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3A9" w:rsidRPr="00C473A9" w:rsidRDefault="00C473A9" w:rsidP="00012873">
      <w:pPr>
        <w:pStyle w:val="Subtitle"/>
      </w:pPr>
      <w:r w:rsidRPr="00C473A9">
        <w:t xml:space="preserve">Summary of </w:t>
      </w:r>
      <w:r w:rsidR="001711EC">
        <w:t>submissions</w:t>
      </w:r>
      <w:r w:rsidR="001711EC" w:rsidRPr="00C473A9">
        <w:t xml:space="preserve"> </w:t>
      </w:r>
      <w:r w:rsidRPr="00C473A9">
        <w:t xml:space="preserve">to the </w:t>
      </w:r>
    </w:p>
    <w:p w:rsidR="00C473A9" w:rsidRPr="00C473A9" w:rsidRDefault="00C473A9" w:rsidP="00C473A9">
      <w:pPr>
        <w:pStyle w:val="Subtitle"/>
        <w:rPr>
          <w:sz w:val="52"/>
          <w:szCs w:val="22"/>
        </w:rPr>
      </w:pPr>
      <w:r w:rsidRPr="00C473A9">
        <w:rPr>
          <w:sz w:val="52"/>
          <w:szCs w:val="22"/>
        </w:rPr>
        <w:t xml:space="preserve">Proposed National Policy Statement on </w:t>
      </w:r>
    </w:p>
    <w:p w:rsidR="0003640E" w:rsidRPr="00D94120" w:rsidRDefault="00C473A9" w:rsidP="00C473A9">
      <w:pPr>
        <w:pStyle w:val="Subtitle"/>
      </w:pPr>
      <w:r w:rsidRPr="00C473A9">
        <w:rPr>
          <w:sz w:val="52"/>
          <w:szCs w:val="22"/>
        </w:rPr>
        <w:t>Urban Development Capacity</w:t>
      </w:r>
    </w:p>
    <w:p w:rsidR="0080531E" w:rsidRPr="006B77BB" w:rsidRDefault="0080531E" w:rsidP="0003640E">
      <w:pPr>
        <w:pStyle w:val="BodyText"/>
      </w:pPr>
    </w:p>
    <w:p w:rsidR="0003640E" w:rsidRPr="006B77BB" w:rsidRDefault="0003640E" w:rsidP="0003640E">
      <w:pPr>
        <w:pStyle w:val="BodyText"/>
      </w:pPr>
    </w:p>
    <w:p w:rsidR="0003640E" w:rsidRPr="006B77BB" w:rsidRDefault="0003640E" w:rsidP="0080531E">
      <w:pPr>
        <w:jc w:val="left"/>
        <w:rPr>
          <w:color w:val="FF0000"/>
        </w:rPr>
        <w:sectPr w:rsidR="0003640E" w:rsidRPr="006B77BB" w:rsidSect="0036151C">
          <w:headerReference w:type="default" r:id="rId9"/>
          <w:footerReference w:type="default" r:id="rId10"/>
          <w:pgSz w:w="11907" w:h="16840" w:code="9"/>
          <w:pgMar w:top="5670" w:right="1418" w:bottom="1701" w:left="1418" w:header="567" w:footer="1134" w:gutter="0"/>
          <w:cols w:space="720"/>
        </w:sectPr>
      </w:pPr>
    </w:p>
    <w:p w:rsidR="00452EC4" w:rsidRPr="006B77BB" w:rsidRDefault="00452EC4" w:rsidP="00775F57">
      <w:pPr>
        <w:pStyle w:val="Imprint"/>
        <w:spacing w:before="0" w:after="0"/>
        <w:rPr>
          <w:b/>
        </w:rPr>
      </w:pPr>
      <w:r w:rsidRPr="006B77BB">
        <w:rPr>
          <w:b/>
        </w:rPr>
        <w:lastRenderedPageBreak/>
        <w:t>Disclaimer</w:t>
      </w:r>
    </w:p>
    <w:p w:rsidR="00452EC4" w:rsidRPr="007029FC" w:rsidRDefault="00452EC4" w:rsidP="00452EC4">
      <w:pPr>
        <w:pStyle w:val="Imprint"/>
      </w:pPr>
      <w:r w:rsidRPr="007029FC">
        <w:t>Insert disclaimer text here if required</w:t>
      </w:r>
      <w:r w:rsidR="00B41FD8" w:rsidRPr="007029FC">
        <w:t>.</w:t>
      </w:r>
    </w:p>
    <w:p w:rsidR="00452EC4" w:rsidRPr="007029FC" w:rsidRDefault="00452EC4" w:rsidP="00452EC4">
      <w:pPr>
        <w:pStyle w:val="Imprint"/>
      </w:pPr>
    </w:p>
    <w:p w:rsidR="00452EC4" w:rsidRPr="006B77BB" w:rsidRDefault="00452EC4" w:rsidP="00452EC4">
      <w:pPr>
        <w:pStyle w:val="Imprint"/>
      </w:pPr>
      <w:r w:rsidRPr="007029FC">
        <w:t xml:space="preserve">This </w:t>
      </w:r>
      <w:r w:rsidR="00775F57" w:rsidRPr="007029FC">
        <w:t>document</w:t>
      </w:r>
      <w:r w:rsidRPr="007029FC">
        <w:t xml:space="preserve"> may be cited as:</w:t>
      </w:r>
      <w:r w:rsidR="00775F57" w:rsidRPr="007029FC">
        <w:t xml:space="preserve"> </w:t>
      </w:r>
      <w:r w:rsidR="00E158A3" w:rsidRPr="009C5ED1">
        <w:rPr>
          <w:i/>
        </w:rPr>
        <w:t xml:space="preserve">Ministry of Business, Innovation and Employment and </w:t>
      </w:r>
      <w:r w:rsidR="00775F57" w:rsidRPr="009C5ED1">
        <w:rPr>
          <w:i/>
        </w:rPr>
        <w:t xml:space="preserve">Ministry for the Environment. </w:t>
      </w:r>
      <w:r w:rsidR="00C473A9" w:rsidRPr="009C5ED1">
        <w:rPr>
          <w:i/>
        </w:rPr>
        <w:t>2016</w:t>
      </w:r>
      <w:r w:rsidR="00775F57" w:rsidRPr="009C5ED1">
        <w:rPr>
          <w:i/>
        </w:rPr>
        <w:t>.</w:t>
      </w:r>
      <w:r w:rsidR="00775F57" w:rsidRPr="007029FC">
        <w:t xml:space="preserve"> </w:t>
      </w:r>
      <w:r w:rsidR="0079293A" w:rsidRPr="007029FC">
        <w:rPr>
          <w:i/>
        </w:rPr>
        <w:t>Summary of Submissions to the Proposed National Policy Statement on Urban Development Capacity</w:t>
      </w:r>
      <w:r w:rsidR="00775F57" w:rsidRPr="007029FC">
        <w:t xml:space="preserve">. </w:t>
      </w:r>
      <w:r w:rsidR="00F64EDB">
        <w:t xml:space="preserve">Wellington: </w:t>
      </w:r>
      <w:r w:rsidR="00F64EDB" w:rsidRPr="006B77BB">
        <w:t>Ministry for the Environment</w:t>
      </w:r>
      <w:r w:rsidR="00F64EDB">
        <w:t xml:space="preserve"> and the Ministry of Business, Innovation and Employment</w:t>
      </w:r>
      <w:r w:rsidR="00F64EDB" w:rsidRPr="006B77BB">
        <w:t>.</w:t>
      </w:r>
    </w:p>
    <w:p w:rsidR="0080531E" w:rsidRPr="006B77BB" w:rsidRDefault="0080531E" w:rsidP="0080531E">
      <w:pPr>
        <w:pStyle w:val="Imprint"/>
      </w:pPr>
    </w:p>
    <w:p w:rsidR="0080531E" w:rsidRPr="006B77BB" w:rsidRDefault="0080531E" w:rsidP="0080531E">
      <w:pPr>
        <w:pStyle w:val="Imprint"/>
      </w:pPr>
    </w:p>
    <w:p w:rsidR="0080531E" w:rsidRDefault="0080531E" w:rsidP="0080531E">
      <w:pPr>
        <w:pStyle w:val="Imprint"/>
      </w:pPr>
    </w:p>
    <w:p w:rsidR="00BD5C16" w:rsidRDefault="00BD5C16" w:rsidP="0080531E">
      <w:pPr>
        <w:pStyle w:val="Imprint"/>
      </w:pPr>
    </w:p>
    <w:p w:rsidR="00BD5C16" w:rsidRDefault="00BD5C16" w:rsidP="0080531E">
      <w:pPr>
        <w:pStyle w:val="Imprint"/>
      </w:pPr>
    </w:p>
    <w:p w:rsidR="00BD5C16" w:rsidRDefault="00BD5C16" w:rsidP="0080531E">
      <w:pPr>
        <w:pStyle w:val="Imprint"/>
      </w:pPr>
    </w:p>
    <w:p w:rsidR="00BD5C16" w:rsidRPr="006B77BB" w:rsidRDefault="00BD5C16" w:rsidP="0080531E">
      <w:pPr>
        <w:pStyle w:val="Imprint"/>
      </w:pPr>
    </w:p>
    <w:p w:rsidR="0080531E" w:rsidRPr="006B77BB" w:rsidRDefault="0080531E" w:rsidP="0080531E">
      <w:pPr>
        <w:pStyle w:val="Imprint"/>
      </w:pPr>
    </w:p>
    <w:p w:rsidR="0080531E" w:rsidRPr="006B77BB" w:rsidRDefault="0080531E" w:rsidP="0080531E">
      <w:pPr>
        <w:pStyle w:val="Imprint"/>
      </w:pPr>
    </w:p>
    <w:p w:rsidR="0080531E" w:rsidRPr="006B77BB" w:rsidRDefault="0080531E" w:rsidP="0080531E">
      <w:pPr>
        <w:pStyle w:val="Imprint"/>
      </w:pPr>
    </w:p>
    <w:p w:rsidR="0080531E" w:rsidRDefault="0080531E" w:rsidP="0080531E">
      <w:pPr>
        <w:pStyle w:val="Imprint"/>
      </w:pPr>
    </w:p>
    <w:p w:rsidR="00BD5C16" w:rsidRDefault="00BD5C16" w:rsidP="0080531E">
      <w:pPr>
        <w:pStyle w:val="Imprint"/>
      </w:pPr>
    </w:p>
    <w:p w:rsidR="00BD5C16" w:rsidRDefault="00BD5C16" w:rsidP="0080531E">
      <w:pPr>
        <w:pStyle w:val="Imprint"/>
      </w:pPr>
    </w:p>
    <w:p w:rsidR="00BD5C16" w:rsidRDefault="00BD5C16" w:rsidP="0080531E">
      <w:pPr>
        <w:pStyle w:val="Imprint"/>
      </w:pPr>
    </w:p>
    <w:p w:rsidR="00BD5C16" w:rsidRDefault="00BD5C16" w:rsidP="0080531E">
      <w:pPr>
        <w:pStyle w:val="Imprint"/>
      </w:pPr>
    </w:p>
    <w:p w:rsidR="00BD5C16" w:rsidRDefault="00BD5C16" w:rsidP="0080531E">
      <w:pPr>
        <w:pStyle w:val="Imprint"/>
      </w:pPr>
    </w:p>
    <w:p w:rsidR="00BD5C16" w:rsidRDefault="00BD5C16" w:rsidP="0080531E">
      <w:pPr>
        <w:pStyle w:val="Imprint"/>
      </w:pPr>
    </w:p>
    <w:p w:rsidR="00BD5C16" w:rsidRPr="006B77BB" w:rsidRDefault="00BD5C16" w:rsidP="0080531E">
      <w:pPr>
        <w:pStyle w:val="Imprint"/>
      </w:pPr>
    </w:p>
    <w:p w:rsidR="00CB557F" w:rsidRPr="006B77BB" w:rsidRDefault="00CB557F" w:rsidP="0080531E">
      <w:pPr>
        <w:pStyle w:val="Imprint"/>
      </w:pPr>
    </w:p>
    <w:p w:rsidR="0080531E" w:rsidRPr="006B77BB" w:rsidRDefault="0080531E" w:rsidP="0080531E">
      <w:pPr>
        <w:pStyle w:val="Imprint"/>
      </w:pPr>
      <w:r w:rsidRPr="006B77BB">
        <w:t xml:space="preserve">Published in </w:t>
      </w:r>
      <w:r w:rsidR="0079293A">
        <w:t>September 2016</w:t>
      </w:r>
      <w:r w:rsidRPr="006B77BB">
        <w:t xml:space="preserve"> by the</w:t>
      </w:r>
      <w:r w:rsidRPr="006B77BB">
        <w:br/>
        <w:t xml:space="preserve">Ministry for the Environment </w:t>
      </w:r>
      <w:r w:rsidRPr="006B77BB">
        <w:br/>
        <w:t>Manatū Mō Te Taiao</w:t>
      </w:r>
      <w:r w:rsidRPr="006B77BB">
        <w:br/>
        <w:t>PO Box 10362, Wellington 6143, New Zealand</w:t>
      </w:r>
    </w:p>
    <w:p w:rsidR="0080531E" w:rsidRPr="006B77BB" w:rsidRDefault="0080531E" w:rsidP="0080531E">
      <w:pPr>
        <w:pStyle w:val="Imprint"/>
        <w:tabs>
          <w:tab w:val="left" w:pos="720"/>
        </w:tabs>
        <w:ind w:left="720" w:hanging="720"/>
      </w:pPr>
      <w:r w:rsidRPr="006B77BB">
        <w:t xml:space="preserve">ISBN: </w:t>
      </w:r>
      <w:r w:rsidRPr="006B77BB">
        <w:tab/>
      </w:r>
      <w:r w:rsidR="00BD5C16" w:rsidRPr="00BD5C16">
        <w:t>978-0-908339-59-4</w:t>
      </w:r>
      <w:r w:rsidR="00B40B30">
        <w:t xml:space="preserve"> </w:t>
      </w:r>
      <w:r w:rsidRPr="006B77BB">
        <w:t>(</w:t>
      </w:r>
      <w:r w:rsidR="00775F57" w:rsidRPr="006B77BB">
        <w:t>online</w:t>
      </w:r>
      <w:r w:rsidRPr="006B77BB">
        <w:t>)</w:t>
      </w:r>
    </w:p>
    <w:p w:rsidR="0080531E" w:rsidRPr="006B77BB" w:rsidRDefault="0080531E" w:rsidP="0080531E">
      <w:pPr>
        <w:pStyle w:val="Imprint"/>
        <w:ind w:left="720" w:hanging="720"/>
      </w:pPr>
      <w:r w:rsidRPr="006B77BB">
        <w:t xml:space="preserve">Publication number: </w:t>
      </w:r>
      <w:r w:rsidRPr="00BD5C16">
        <w:t xml:space="preserve">ME </w:t>
      </w:r>
      <w:r w:rsidR="00BD5C16" w:rsidRPr="00BD5C16">
        <w:t>1262</w:t>
      </w:r>
    </w:p>
    <w:p w:rsidR="0080531E" w:rsidRPr="006B77BB" w:rsidRDefault="0080531E" w:rsidP="0080531E">
      <w:pPr>
        <w:pStyle w:val="Imprint"/>
      </w:pPr>
      <w:r w:rsidRPr="006B77BB">
        <w:t xml:space="preserve">© Crown copyright New Zealand </w:t>
      </w:r>
      <w:r w:rsidR="00C473A9">
        <w:t>2016</w:t>
      </w:r>
    </w:p>
    <w:p w:rsidR="0080531E" w:rsidRPr="006B77BB" w:rsidRDefault="0080531E" w:rsidP="0080531E">
      <w:pPr>
        <w:pStyle w:val="Imprint"/>
        <w:spacing w:before="240"/>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Pr="006B77BB">
          <w:rPr>
            <w:rStyle w:val="Hyperlink"/>
          </w:rPr>
          <w:t>www.mfe.govt.nz</w:t>
        </w:r>
      </w:hyperlink>
      <w:r w:rsidR="00B51610" w:rsidRPr="006B77BB">
        <w:rPr>
          <w:rStyle w:val="Hyperlink"/>
          <w:color w:val="auto"/>
        </w:rPr>
        <w:t>.</w:t>
      </w:r>
    </w:p>
    <w:p w:rsidR="0080531E" w:rsidRPr="006B77BB" w:rsidRDefault="0080531E" w:rsidP="0080531E">
      <w:pPr>
        <w:spacing w:before="0" w:after="0" w:line="240" w:lineRule="auto"/>
        <w:ind w:left="-170" w:right="-284"/>
        <w:jc w:val="left"/>
      </w:pPr>
      <w:r w:rsidRPr="006B77BB">
        <w:rPr>
          <w:noProof/>
        </w:rPr>
        <w:drawing>
          <wp:inline distT="0" distB="0" distL="0" distR="0">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2"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6B77BB" w:rsidRDefault="0080531E" w:rsidP="0080531E">
      <w:pPr>
        <w:spacing w:before="0" w:after="0" w:line="240" w:lineRule="auto"/>
      </w:pPr>
    </w:p>
    <w:p w:rsidR="0080531E" w:rsidRPr="006B77BB" w:rsidRDefault="0080531E" w:rsidP="0080531E">
      <w:pPr>
        <w:spacing w:before="0" w:after="0" w:line="240" w:lineRule="auto"/>
        <w:sectPr w:rsidR="0080531E" w:rsidRPr="006B77BB"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rsidR="0080531E" w:rsidRPr="006B77BB" w:rsidRDefault="0080531E" w:rsidP="008B68EC">
      <w:pPr>
        <w:pStyle w:val="Heading"/>
      </w:pPr>
      <w:r w:rsidRPr="006B77BB">
        <w:lastRenderedPageBreak/>
        <w:t>Contents</w:t>
      </w:r>
    </w:p>
    <w:p w:rsidR="007029FC"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61185713" w:history="1">
        <w:r w:rsidR="007029FC" w:rsidRPr="00C32FC5">
          <w:rPr>
            <w:rStyle w:val="Hyperlink"/>
            <w:noProof/>
          </w:rPr>
          <w:t>Executive summary</w:t>
        </w:r>
        <w:r w:rsidR="007029FC">
          <w:rPr>
            <w:noProof/>
            <w:webHidden/>
          </w:rPr>
          <w:tab/>
        </w:r>
        <w:r w:rsidR="007029FC">
          <w:rPr>
            <w:noProof/>
            <w:webHidden/>
          </w:rPr>
          <w:fldChar w:fldCharType="begin"/>
        </w:r>
        <w:r w:rsidR="007029FC">
          <w:rPr>
            <w:noProof/>
            <w:webHidden/>
          </w:rPr>
          <w:instrText xml:space="preserve"> PAGEREF _Toc461185713 \h </w:instrText>
        </w:r>
        <w:r w:rsidR="007029FC">
          <w:rPr>
            <w:noProof/>
            <w:webHidden/>
          </w:rPr>
        </w:r>
        <w:r w:rsidR="007029FC">
          <w:rPr>
            <w:noProof/>
            <w:webHidden/>
          </w:rPr>
          <w:fldChar w:fldCharType="separate"/>
        </w:r>
        <w:r w:rsidR="00227867">
          <w:rPr>
            <w:noProof/>
            <w:webHidden/>
          </w:rPr>
          <w:t>5</w:t>
        </w:r>
        <w:r w:rsidR="007029FC">
          <w:rPr>
            <w:noProof/>
            <w:webHidden/>
          </w:rPr>
          <w:fldChar w:fldCharType="end"/>
        </w:r>
      </w:hyperlink>
    </w:p>
    <w:p w:rsidR="007029FC" w:rsidRDefault="00697F33">
      <w:pPr>
        <w:pStyle w:val="TOC1"/>
        <w:rPr>
          <w:rFonts w:asciiTheme="minorHAnsi" w:hAnsiTheme="minorHAnsi"/>
          <w:noProof/>
        </w:rPr>
      </w:pPr>
      <w:hyperlink w:anchor="_Toc461185714" w:history="1">
        <w:r w:rsidR="007029FC" w:rsidRPr="00C32FC5">
          <w:rPr>
            <w:rStyle w:val="Hyperlink"/>
            <w:noProof/>
          </w:rPr>
          <w:t>Background</w:t>
        </w:r>
        <w:r w:rsidR="007029FC">
          <w:rPr>
            <w:noProof/>
            <w:webHidden/>
          </w:rPr>
          <w:tab/>
        </w:r>
        <w:r w:rsidR="007029FC">
          <w:rPr>
            <w:noProof/>
            <w:webHidden/>
          </w:rPr>
          <w:fldChar w:fldCharType="begin"/>
        </w:r>
        <w:r w:rsidR="007029FC">
          <w:rPr>
            <w:noProof/>
            <w:webHidden/>
          </w:rPr>
          <w:instrText xml:space="preserve"> PAGEREF _Toc461185714 \h </w:instrText>
        </w:r>
        <w:r w:rsidR="007029FC">
          <w:rPr>
            <w:noProof/>
            <w:webHidden/>
          </w:rPr>
        </w:r>
        <w:r w:rsidR="007029FC">
          <w:rPr>
            <w:noProof/>
            <w:webHidden/>
          </w:rPr>
          <w:fldChar w:fldCharType="separate"/>
        </w:r>
        <w:r w:rsidR="00227867">
          <w:rPr>
            <w:noProof/>
            <w:webHidden/>
          </w:rPr>
          <w:t>8</w:t>
        </w:r>
        <w:r w:rsidR="007029FC">
          <w:rPr>
            <w:noProof/>
            <w:webHidden/>
          </w:rPr>
          <w:fldChar w:fldCharType="end"/>
        </w:r>
      </w:hyperlink>
    </w:p>
    <w:p w:rsidR="007029FC" w:rsidRDefault="00697F33">
      <w:pPr>
        <w:pStyle w:val="TOC2"/>
        <w:rPr>
          <w:rFonts w:asciiTheme="minorHAnsi" w:hAnsiTheme="minorHAnsi"/>
          <w:noProof/>
        </w:rPr>
      </w:pPr>
      <w:hyperlink w:anchor="_Toc461185715" w:history="1">
        <w:r w:rsidR="007029FC" w:rsidRPr="00C32FC5">
          <w:rPr>
            <w:rStyle w:val="Hyperlink"/>
            <w:noProof/>
          </w:rPr>
          <w:t>Consultation process</w:t>
        </w:r>
        <w:r w:rsidR="007029FC">
          <w:rPr>
            <w:noProof/>
            <w:webHidden/>
          </w:rPr>
          <w:tab/>
        </w:r>
        <w:r w:rsidR="007029FC">
          <w:rPr>
            <w:noProof/>
            <w:webHidden/>
          </w:rPr>
          <w:fldChar w:fldCharType="begin"/>
        </w:r>
        <w:r w:rsidR="007029FC">
          <w:rPr>
            <w:noProof/>
            <w:webHidden/>
          </w:rPr>
          <w:instrText xml:space="preserve"> PAGEREF _Toc461185715 \h </w:instrText>
        </w:r>
        <w:r w:rsidR="007029FC">
          <w:rPr>
            <w:noProof/>
            <w:webHidden/>
          </w:rPr>
        </w:r>
        <w:r w:rsidR="007029FC">
          <w:rPr>
            <w:noProof/>
            <w:webHidden/>
          </w:rPr>
          <w:fldChar w:fldCharType="separate"/>
        </w:r>
        <w:r w:rsidR="00227867">
          <w:rPr>
            <w:noProof/>
            <w:webHidden/>
          </w:rPr>
          <w:t>8</w:t>
        </w:r>
        <w:r w:rsidR="007029FC">
          <w:rPr>
            <w:noProof/>
            <w:webHidden/>
          </w:rPr>
          <w:fldChar w:fldCharType="end"/>
        </w:r>
      </w:hyperlink>
    </w:p>
    <w:p w:rsidR="007029FC" w:rsidRDefault="00697F33">
      <w:pPr>
        <w:pStyle w:val="TOC2"/>
        <w:rPr>
          <w:rFonts w:asciiTheme="minorHAnsi" w:hAnsiTheme="minorHAnsi"/>
          <w:noProof/>
        </w:rPr>
      </w:pPr>
      <w:hyperlink w:anchor="_Toc461185716" w:history="1">
        <w:r w:rsidR="007029FC" w:rsidRPr="00C32FC5">
          <w:rPr>
            <w:rStyle w:val="Hyperlink"/>
            <w:noProof/>
          </w:rPr>
          <w:t>Summary of submissions</w:t>
        </w:r>
        <w:r w:rsidR="007029FC">
          <w:rPr>
            <w:noProof/>
            <w:webHidden/>
          </w:rPr>
          <w:tab/>
        </w:r>
        <w:r w:rsidR="007029FC">
          <w:rPr>
            <w:noProof/>
            <w:webHidden/>
          </w:rPr>
          <w:fldChar w:fldCharType="begin"/>
        </w:r>
        <w:r w:rsidR="007029FC">
          <w:rPr>
            <w:noProof/>
            <w:webHidden/>
          </w:rPr>
          <w:instrText xml:space="preserve"> PAGEREF _Toc461185716 \h </w:instrText>
        </w:r>
        <w:r w:rsidR="007029FC">
          <w:rPr>
            <w:noProof/>
            <w:webHidden/>
          </w:rPr>
        </w:r>
        <w:r w:rsidR="007029FC">
          <w:rPr>
            <w:noProof/>
            <w:webHidden/>
          </w:rPr>
          <w:fldChar w:fldCharType="separate"/>
        </w:r>
        <w:r w:rsidR="00227867">
          <w:rPr>
            <w:noProof/>
            <w:webHidden/>
          </w:rPr>
          <w:t>10</w:t>
        </w:r>
        <w:r w:rsidR="007029FC">
          <w:rPr>
            <w:noProof/>
            <w:webHidden/>
          </w:rPr>
          <w:fldChar w:fldCharType="end"/>
        </w:r>
      </w:hyperlink>
    </w:p>
    <w:p w:rsidR="007029FC" w:rsidRDefault="00697F33">
      <w:pPr>
        <w:pStyle w:val="TOC2"/>
        <w:rPr>
          <w:rFonts w:asciiTheme="minorHAnsi" w:hAnsiTheme="minorHAnsi"/>
          <w:noProof/>
        </w:rPr>
      </w:pPr>
      <w:hyperlink w:anchor="_Toc461185717" w:history="1">
        <w:r w:rsidR="007029FC" w:rsidRPr="00C32FC5">
          <w:rPr>
            <w:rStyle w:val="Hyperlink"/>
            <w:noProof/>
          </w:rPr>
          <w:t>Overall findings</w:t>
        </w:r>
        <w:r w:rsidR="007029FC">
          <w:rPr>
            <w:noProof/>
            <w:webHidden/>
          </w:rPr>
          <w:tab/>
        </w:r>
        <w:r w:rsidR="007029FC">
          <w:rPr>
            <w:noProof/>
            <w:webHidden/>
          </w:rPr>
          <w:fldChar w:fldCharType="begin"/>
        </w:r>
        <w:r w:rsidR="007029FC">
          <w:rPr>
            <w:noProof/>
            <w:webHidden/>
          </w:rPr>
          <w:instrText xml:space="preserve"> PAGEREF _Toc461185717 \h </w:instrText>
        </w:r>
        <w:r w:rsidR="007029FC">
          <w:rPr>
            <w:noProof/>
            <w:webHidden/>
          </w:rPr>
        </w:r>
        <w:r w:rsidR="007029FC">
          <w:rPr>
            <w:noProof/>
            <w:webHidden/>
          </w:rPr>
          <w:fldChar w:fldCharType="separate"/>
        </w:r>
        <w:r w:rsidR="00227867">
          <w:rPr>
            <w:noProof/>
            <w:webHidden/>
          </w:rPr>
          <w:t>11</w:t>
        </w:r>
        <w:r w:rsidR="007029FC">
          <w:rPr>
            <w:noProof/>
            <w:webHidden/>
          </w:rPr>
          <w:fldChar w:fldCharType="end"/>
        </w:r>
      </w:hyperlink>
    </w:p>
    <w:p w:rsidR="007029FC" w:rsidRDefault="00697F33">
      <w:pPr>
        <w:pStyle w:val="TOC2"/>
        <w:rPr>
          <w:rFonts w:asciiTheme="minorHAnsi" w:hAnsiTheme="minorHAnsi"/>
          <w:noProof/>
        </w:rPr>
      </w:pPr>
      <w:hyperlink w:anchor="_Toc461185718" w:history="1">
        <w:r w:rsidR="007029FC" w:rsidRPr="00C32FC5">
          <w:rPr>
            <w:rStyle w:val="Hyperlink"/>
            <w:noProof/>
          </w:rPr>
          <w:t>Intent of the NPS-UDC</w:t>
        </w:r>
        <w:r w:rsidR="007029FC">
          <w:rPr>
            <w:noProof/>
            <w:webHidden/>
          </w:rPr>
          <w:tab/>
        </w:r>
        <w:r w:rsidR="007029FC">
          <w:rPr>
            <w:noProof/>
            <w:webHidden/>
          </w:rPr>
          <w:fldChar w:fldCharType="begin"/>
        </w:r>
        <w:r w:rsidR="007029FC">
          <w:rPr>
            <w:noProof/>
            <w:webHidden/>
          </w:rPr>
          <w:instrText xml:space="preserve"> PAGEREF _Toc461185718 \h </w:instrText>
        </w:r>
        <w:r w:rsidR="007029FC">
          <w:rPr>
            <w:noProof/>
            <w:webHidden/>
          </w:rPr>
        </w:r>
        <w:r w:rsidR="007029FC">
          <w:rPr>
            <w:noProof/>
            <w:webHidden/>
          </w:rPr>
          <w:fldChar w:fldCharType="separate"/>
        </w:r>
        <w:r w:rsidR="00227867">
          <w:rPr>
            <w:noProof/>
            <w:webHidden/>
          </w:rPr>
          <w:t>12</w:t>
        </w:r>
        <w:r w:rsidR="007029FC">
          <w:rPr>
            <w:noProof/>
            <w:webHidden/>
          </w:rPr>
          <w:fldChar w:fldCharType="end"/>
        </w:r>
      </w:hyperlink>
    </w:p>
    <w:p w:rsidR="007029FC" w:rsidRDefault="00697F33">
      <w:pPr>
        <w:pStyle w:val="TOC2"/>
        <w:rPr>
          <w:rFonts w:asciiTheme="minorHAnsi" w:hAnsiTheme="minorHAnsi"/>
          <w:noProof/>
        </w:rPr>
      </w:pPr>
      <w:hyperlink w:anchor="_Toc461185719" w:history="1">
        <w:r w:rsidR="007029FC" w:rsidRPr="00C32FC5">
          <w:rPr>
            <w:rStyle w:val="Hyperlink"/>
            <w:noProof/>
          </w:rPr>
          <w:t>Medium and high growth urban areas</w:t>
        </w:r>
        <w:r w:rsidR="007029FC">
          <w:rPr>
            <w:noProof/>
            <w:webHidden/>
          </w:rPr>
          <w:tab/>
        </w:r>
        <w:r w:rsidR="007029FC">
          <w:rPr>
            <w:noProof/>
            <w:webHidden/>
          </w:rPr>
          <w:fldChar w:fldCharType="begin"/>
        </w:r>
        <w:r w:rsidR="007029FC">
          <w:rPr>
            <w:noProof/>
            <w:webHidden/>
          </w:rPr>
          <w:instrText xml:space="preserve"> PAGEREF _Toc461185719 \h </w:instrText>
        </w:r>
        <w:r w:rsidR="007029FC">
          <w:rPr>
            <w:noProof/>
            <w:webHidden/>
          </w:rPr>
        </w:r>
        <w:r w:rsidR="007029FC">
          <w:rPr>
            <w:noProof/>
            <w:webHidden/>
          </w:rPr>
          <w:fldChar w:fldCharType="separate"/>
        </w:r>
        <w:r w:rsidR="00227867">
          <w:rPr>
            <w:noProof/>
            <w:webHidden/>
          </w:rPr>
          <w:t>14</w:t>
        </w:r>
        <w:r w:rsidR="007029FC">
          <w:rPr>
            <w:noProof/>
            <w:webHidden/>
          </w:rPr>
          <w:fldChar w:fldCharType="end"/>
        </w:r>
      </w:hyperlink>
    </w:p>
    <w:p w:rsidR="007029FC" w:rsidRDefault="00697F33">
      <w:pPr>
        <w:pStyle w:val="TOC1"/>
        <w:rPr>
          <w:rFonts w:asciiTheme="minorHAnsi" w:hAnsiTheme="minorHAnsi"/>
          <w:noProof/>
        </w:rPr>
      </w:pPr>
      <w:hyperlink w:anchor="_Toc461185720" w:history="1">
        <w:r w:rsidR="007029FC" w:rsidRPr="00C32FC5">
          <w:rPr>
            <w:rStyle w:val="Hyperlink"/>
            <w:noProof/>
          </w:rPr>
          <w:t>Interpretation</w:t>
        </w:r>
        <w:r w:rsidR="007029FC">
          <w:rPr>
            <w:noProof/>
            <w:webHidden/>
          </w:rPr>
          <w:tab/>
        </w:r>
        <w:r w:rsidR="007029FC">
          <w:rPr>
            <w:noProof/>
            <w:webHidden/>
          </w:rPr>
          <w:fldChar w:fldCharType="begin"/>
        </w:r>
        <w:r w:rsidR="007029FC">
          <w:rPr>
            <w:noProof/>
            <w:webHidden/>
          </w:rPr>
          <w:instrText xml:space="preserve"> PAGEREF _Toc461185720 \h </w:instrText>
        </w:r>
        <w:r w:rsidR="007029FC">
          <w:rPr>
            <w:noProof/>
            <w:webHidden/>
          </w:rPr>
        </w:r>
        <w:r w:rsidR="007029FC">
          <w:rPr>
            <w:noProof/>
            <w:webHidden/>
          </w:rPr>
          <w:fldChar w:fldCharType="separate"/>
        </w:r>
        <w:r w:rsidR="00227867">
          <w:rPr>
            <w:noProof/>
            <w:webHidden/>
          </w:rPr>
          <w:t>16</w:t>
        </w:r>
        <w:r w:rsidR="007029FC">
          <w:rPr>
            <w:noProof/>
            <w:webHidden/>
          </w:rPr>
          <w:fldChar w:fldCharType="end"/>
        </w:r>
      </w:hyperlink>
    </w:p>
    <w:p w:rsidR="007029FC" w:rsidRDefault="00697F33">
      <w:pPr>
        <w:pStyle w:val="TOC1"/>
        <w:rPr>
          <w:rFonts w:asciiTheme="minorHAnsi" w:hAnsiTheme="minorHAnsi"/>
          <w:noProof/>
        </w:rPr>
      </w:pPr>
      <w:hyperlink w:anchor="_Toc461185721" w:history="1">
        <w:r w:rsidR="007029FC" w:rsidRPr="00C32FC5">
          <w:rPr>
            <w:rStyle w:val="Hyperlink"/>
            <w:noProof/>
          </w:rPr>
          <w:t>Outcomes for decision-making (Objectives OA1–OA3, Policies PA1–PA3)</w:t>
        </w:r>
        <w:r w:rsidR="007029FC">
          <w:rPr>
            <w:noProof/>
            <w:webHidden/>
          </w:rPr>
          <w:tab/>
        </w:r>
        <w:r w:rsidR="007029FC">
          <w:rPr>
            <w:noProof/>
            <w:webHidden/>
          </w:rPr>
          <w:fldChar w:fldCharType="begin"/>
        </w:r>
        <w:r w:rsidR="007029FC">
          <w:rPr>
            <w:noProof/>
            <w:webHidden/>
          </w:rPr>
          <w:instrText xml:space="preserve"> PAGEREF _Toc461185721 \h </w:instrText>
        </w:r>
        <w:r w:rsidR="007029FC">
          <w:rPr>
            <w:noProof/>
            <w:webHidden/>
          </w:rPr>
        </w:r>
        <w:r w:rsidR="007029FC">
          <w:rPr>
            <w:noProof/>
            <w:webHidden/>
          </w:rPr>
          <w:fldChar w:fldCharType="separate"/>
        </w:r>
        <w:r w:rsidR="00227867">
          <w:rPr>
            <w:noProof/>
            <w:webHidden/>
          </w:rPr>
          <w:t>19</w:t>
        </w:r>
        <w:r w:rsidR="007029FC">
          <w:rPr>
            <w:noProof/>
            <w:webHidden/>
          </w:rPr>
          <w:fldChar w:fldCharType="end"/>
        </w:r>
      </w:hyperlink>
    </w:p>
    <w:p w:rsidR="007029FC" w:rsidRDefault="00697F33">
      <w:pPr>
        <w:pStyle w:val="TOC1"/>
        <w:rPr>
          <w:rFonts w:asciiTheme="minorHAnsi" w:hAnsiTheme="minorHAnsi"/>
          <w:noProof/>
        </w:rPr>
      </w:pPr>
      <w:hyperlink w:anchor="_Toc461185722" w:history="1">
        <w:r w:rsidR="007029FC" w:rsidRPr="00C32FC5">
          <w:rPr>
            <w:rStyle w:val="Hyperlink"/>
            <w:noProof/>
          </w:rPr>
          <w:t>Evidence and monitoring to support decision-making (Objective OB1, Policies PB1–PB5)</w:t>
        </w:r>
        <w:r w:rsidR="007029FC">
          <w:rPr>
            <w:noProof/>
            <w:webHidden/>
          </w:rPr>
          <w:tab/>
        </w:r>
        <w:r w:rsidR="007029FC">
          <w:rPr>
            <w:noProof/>
            <w:webHidden/>
          </w:rPr>
          <w:fldChar w:fldCharType="begin"/>
        </w:r>
        <w:r w:rsidR="007029FC">
          <w:rPr>
            <w:noProof/>
            <w:webHidden/>
          </w:rPr>
          <w:instrText xml:space="preserve"> PAGEREF _Toc461185722 \h </w:instrText>
        </w:r>
        <w:r w:rsidR="007029FC">
          <w:rPr>
            <w:noProof/>
            <w:webHidden/>
          </w:rPr>
        </w:r>
        <w:r w:rsidR="007029FC">
          <w:rPr>
            <w:noProof/>
            <w:webHidden/>
          </w:rPr>
          <w:fldChar w:fldCharType="separate"/>
        </w:r>
        <w:r w:rsidR="00227867">
          <w:rPr>
            <w:noProof/>
            <w:webHidden/>
          </w:rPr>
          <w:t>21</w:t>
        </w:r>
        <w:r w:rsidR="007029FC">
          <w:rPr>
            <w:noProof/>
            <w:webHidden/>
          </w:rPr>
          <w:fldChar w:fldCharType="end"/>
        </w:r>
      </w:hyperlink>
    </w:p>
    <w:p w:rsidR="007029FC" w:rsidRDefault="00697F33">
      <w:pPr>
        <w:pStyle w:val="TOC1"/>
        <w:rPr>
          <w:rFonts w:asciiTheme="minorHAnsi" w:hAnsiTheme="minorHAnsi"/>
          <w:noProof/>
        </w:rPr>
      </w:pPr>
      <w:hyperlink w:anchor="_Toc461185723" w:history="1">
        <w:r w:rsidR="007029FC" w:rsidRPr="00C32FC5">
          <w:rPr>
            <w:rStyle w:val="Hyperlink"/>
            <w:noProof/>
          </w:rPr>
          <w:t>Coordinated evidence and decision-making (Objective OC1, Policies PC1–PC3)</w:t>
        </w:r>
        <w:r w:rsidR="007029FC">
          <w:rPr>
            <w:noProof/>
            <w:webHidden/>
          </w:rPr>
          <w:tab/>
        </w:r>
        <w:r w:rsidR="007029FC">
          <w:rPr>
            <w:noProof/>
            <w:webHidden/>
          </w:rPr>
          <w:fldChar w:fldCharType="begin"/>
        </w:r>
        <w:r w:rsidR="007029FC">
          <w:rPr>
            <w:noProof/>
            <w:webHidden/>
          </w:rPr>
          <w:instrText xml:space="preserve"> PAGEREF _Toc461185723 \h </w:instrText>
        </w:r>
        <w:r w:rsidR="007029FC">
          <w:rPr>
            <w:noProof/>
            <w:webHidden/>
          </w:rPr>
        </w:r>
        <w:r w:rsidR="007029FC">
          <w:rPr>
            <w:noProof/>
            <w:webHidden/>
          </w:rPr>
          <w:fldChar w:fldCharType="separate"/>
        </w:r>
        <w:r w:rsidR="00227867">
          <w:rPr>
            <w:noProof/>
            <w:webHidden/>
          </w:rPr>
          <w:t>24</w:t>
        </w:r>
        <w:r w:rsidR="007029FC">
          <w:rPr>
            <w:noProof/>
            <w:webHidden/>
          </w:rPr>
          <w:fldChar w:fldCharType="end"/>
        </w:r>
      </w:hyperlink>
    </w:p>
    <w:p w:rsidR="007029FC" w:rsidRDefault="00697F33">
      <w:pPr>
        <w:pStyle w:val="TOC1"/>
        <w:rPr>
          <w:rFonts w:asciiTheme="minorHAnsi" w:hAnsiTheme="minorHAnsi"/>
          <w:noProof/>
        </w:rPr>
      </w:pPr>
      <w:hyperlink w:anchor="_Toc461185724" w:history="1">
        <w:r w:rsidR="007029FC" w:rsidRPr="00C32FC5">
          <w:rPr>
            <w:rStyle w:val="Hyperlink"/>
            <w:noProof/>
          </w:rPr>
          <w:t>Enabling responsive planning (Objectives OD1 and OD2, Policies PD1–PD9)</w:t>
        </w:r>
        <w:r w:rsidR="007029FC">
          <w:rPr>
            <w:noProof/>
            <w:webHidden/>
          </w:rPr>
          <w:tab/>
        </w:r>
        <w:r w:rsidR="007029FC">
          <w:rPr>
            <w:noProof/>
            <w:webHidden/>
          </w:rPr>
          <w:fldChar w:fldCharType="begin"/>
        </w:r>
        <w:r w:rsidR="007029FC">
          <w:rPr>
            <w:noProof/>
            <w:webHidden/>
          </w:rPr>
          <w:instrText xml:space="preserve"> PAGEREF _Toc461185724 \h </w:instrText>
        </w:r>
        <w:r w:rsidR="007029FC">
          <w:rPr>
            <w:noProof/>
            <w:webHidden/>
          </w:rPr>
        </w:r>
        <w:r w:rsidR="007029FC">
          <w:rPr>
            <w:noProof/>
            <w:webHidden/>
          </w:rPr>
          <w:fldChar w:fldCharType="separate"/>
        </w:r>
        <w:r w:rsidR="00227867">
          <w:rPr>
            <w:noProof/>
            <w:webHidden/>
          </w:rPr>
          <w:t>26</w:t>
        </w:r>
        <w:r w:rsidR="007029FC">
          <w:rPr>
            <w:noProof/>
            <w:webHidden/>
          </w:rPr>
          <w:fldChar w:fldCharType="end"/>
        </w:r>
      </w:hyperlink>
    </w:p>
    <w:p w:rsidR="007029FC" w:rsidRDefault="00697F33">
      <w:pPr>
        <w:pStyle w:val="TOC2"/>
        <w:rPr>
          <w:rFonts w:asciiTheme="minorHAnsi" w:hAnsiTheme="minorHAnsi"/>
          <w:noProof/>
        </w:rPr>
      </w:pPr>
      <w:hyperlink w:anchor="_Toc461185725" w:history="1">
        <w:r w:rsidR="007029FC" w:rsidRPr="00C32FC5">
          <w:rPr>
            <w:rStyle w:val="Hyperlink"/>
            <w:noProof/>
          </w:rPr>
          <w:t>Implementation programme</w:t>
        </w:r>
        <w:r w:rsidR="007029FC">
          <w:rPr>
            <w:noProof/>
            <w:webHidden/>
          </w:rPr>
          <w:tab/>
        </w:r>
        <w:r w:rsidR="007029FC">
          <w:rPr>
            <w:noProof/>
            <w:webHidden/>
          </w:rPr>
          <w:fldChar w:fldCharType="begin"/>
        </w:r>
        <w:r w:rsidR="007029FC">
          <w:rPr>
            <w:noProof/>
            <w:webHidden/>
          </w:rPr>
          <w:instrText xml:space="preserve"> PAGEREF _Toc461185725 \h </w:instrText>
        </w:r>
        <w:r w:rsidR="007029FC">
          <w:rPr>
            <w:noProof/>
            <w:webHidden/>
          </w:rPr>
        </w:r>
        <w:r w:rsidR="007029FC">
          <w:rPr>
            <w:noProof/>
            <w:webHidden/>
          </w:rPr>
          <w:fldChar w:fldCharType="separate"/>
        </w:r>
        <w:r w:rsidR="00227867">
          <w:rPr>
            <w:noProof/>
            <w:webHidden/>
          </w:rPr>
          <w:t>28</w:t>
        </w:r>
        <w:r w:rsidR="007029FC">
          <w:rPr>
            <w:noProof/>
            <w:webHidden/>
          </w:rPr>
          <w:fldChar w:fldCharType="end"/>
        </w:r>
      </w:hyperlink>
    </w:p>
    <w:p w:rsidR="007029FC" w:rsidRDefault="00697F33">
      <w:pPr>
        <w:pStyle w:val="TOC2"/>
        <w:rPr>
          <w:rFonts w:asciiTheme="minorHAnsi" w:hAnsiTheme="minorHAnsi"/>
          <w:noProof/>
        </w:rPr>
      </w:pPr>
      <w:hyperlink w:anchor="_Toc461185726" w:history="1">
        <w:r w:rsidR="007029FC" w:rsidRPr="00C32FC5">
          <w:rPr>
            <w:rStyle w:val="Hyperlink"/>
            <w:noProof/>
          </w:rPr>
          <w:t>Matters outside the NPS-UDC</w:t>
        </w:r>
        <w:r w:rsidR="007029FC">
          <w:rPr>
            <w:noProof/>
            <w:webHidden/>
          </w:rPr>
          <w:tab/>
        </w:r>
        <w:r w:rsidR="007029FC">
          <w:rPr>
            <w:noProof/>
            <w:webHidden/>
          </w:rPr>
          <w:fldChar w:fldCharType="begin"/>
        </w:r>
        <w:r w:rsidR="007029FC">
          <w:rPr>
            <w:noProof/>
            <w:webHidden/>
          </w:rPr>
          <w:instrText xml:space="preserve"> PAGEREF _Toc461185726 \h </w:instrText>
        </w:r>
        <w:r w:rsidR="007029FC">
          <w:rPr>
            <w:noProof/>
            <w:webHidden/>
          </w:rPr>
        </w:r>
        <w:r w:rsidR="007029FC">
          <w:rPr>
            <w:noProof/>
            <w:webHidden/>
          </w:rPr>
          <w:fldChar w:fldCharType="separate"/>
        </w:r>
        <w:r w:rsidR="00227867">
          <w:rPr>
            <w:noProof/>
            <w:webHidden/>
          </w:rPr>
          <w:t>29</w:t>
        </w:r>
        <w:r w:rsidR="007029FC">
          <w:rPr>
            <w:noProof/>
            <w:webHidden/>
          </w:rPr>
          <w:fldChar w:fldCharType="end"/>
        </w:r>
      </w:hyperlink>
    </w:p>
    <w:p w:rsidR="007029FC" w:rsidRDefault="00697F33">
      <w:pPr>
        <w:pStyle w:val="TOC1"/>
        <w:rPr>
          <w:rFonts w:asciiTheme="minorHAnsi" w:hAnsiTheme="minorHAnsi"/>
          <w:noProof/>
        </w:rPr>
      </w:pPr>
      <w:hyperlink w:anchor="_Toc461185727" w:history="1">
        <w:r w:rsidR="007029FC" w:rsidRPr="00C32FC5">
          <w:rPr>
            <w:rStyle w:val="Hyperlink"/>
            <w:noProof/>
          </w:rPr>
          <w:t>Appendix 1 – Stakeholder categories</w:t>
        </w:r>
        <w:r w:rsidR="007029FC">
          <w:rPr>
            <w:noProof/>
            <w:webHidden/>
          </w:rPr>
          <w:tab/>
        </w:r>
        <w:r w:rsidR="007029FC">
          <w:rPr>
            <w:noProof/>
            <w:webHidden/>
          </w:rPr>
          <w:fldChar w:fldCharType="begin"/>
        </w:r>
        <w:r w:rsidR="007029FC">
          <w:rPr>
            <w:noProof/>
            <w:webHidden/>
          </w:rPr>
          <w:instrText xml:space="preserve"> PAGEREF _Toc461185727 \h </w:instrText>
        </w:r>
        <w:r w:rsidR="007029FC">
          <w:rPr>
            <w:noProof/>
            <w:webHidden/>
          </w:rPr>
        </w:r>
        <w:r w:rsidR="007029FC">
          <w:rPr>
            <w:noProof/>
            <w:webHidden/>
          </w:rPr>
          <w:fldChar w:fldCharType="separate"/>
        </w:r>
        <w:r w:rsidR="00227867">
          <w:rPr>
            <w:noProof/>
            <w:webHidden/>
          </w:rPr>
          <w:t>33</w:t>
        </w:r>
        <w:r w:rsidR="007029FC">
          <w:rPr>
            <w:noProof/>
            <w:webHidden/>
          </w:rPr>
          <w:fldChar w:fldCharType="end"/>
        </w:r>
      </w:hyperlink>
    </w:p>
    <w:p w:rsidR="007029FC" w:rsidRDefault="00697F33">
      <w:pPr>
        <w:pStyle w:val="TOC1"/>
        <w:rPr>
          <w:rFonts w:asciiTheme="minorHAnsi" w:hAnsiTheme="minorHAnsi"/>
          <w:noProof/>
        </w:rPr>
      </w:pPr>
      <w:hyperlink w:anchor="_Toc461185728" w:history="1">
        <w:r w:rsidR="007029FC" w:rsidRPr="00C32FC5">
          <w:rPr>
            <w:rStyle w:val="Hyperlink"/>
            <w:noProof/>
          </w:rPr>
          <w:t>Appendix 2 – Statistics New Zealand Classifications by local authority</w:t>
        </w:r>
        <w:r w:rsidR="007029FC">
          <w:rPr>
            <w:noProof/>
            <w:webHidden/>
          </w:rPr>
          <w:tab/>
        </w:r>
        <w:r w:rsidR="007029FC">
          <w:rPr>
            <w:noProof/>
            <w:webHidden/>
          </w:rPr>
          <w:fldChar w:fldCharType="begin"/>
        </w:r>
        <w:r w:rsidR="007029FC">
          <w:rPr>
            <w:noProof/>
            <w:webHidden/>
          </w:rPr>
          <w:instrText xml:space="preserve"> PAGEREF _Toc461185728 \h </w:instrText>
        </w:r>
        <w:r w:rsidR="007029FC">
          <w:rPr>
            <w:noProof/>
            <w:webHidden/>
          </w:rPr>
        </w:r>
        <w:r w:rsidR="007029FC">
          <w:rPr>
            <w:noProof/>
            <w:webHidden/>
          </w:rPr>
          <w:fldChar w:fldCharType="separate"/>
        </w:r>
        <w:r w:rsidR="00227867">
          <w:rPr>
            <w:noProof/>
            <w:webHidden/>
          </w:rPr>
          <w:t>37</w:t>
        </w:r>
        <w:r w:rsidR="007029FC">
          <w:rPr>
            <w:noProof/>
            <w:webHidden/>
          </w:rPr>
          <w:fldChar w:fldCharType="end"/>
        </w:r>
      </w:hyperlink>
    </w:p>
    <w:p w:rsidR="007029FC" w:rsidRDefault="00697F33">
      <w:pPr>
        <w:pStyle w:val="TOC1"/>
        <w:rPr>
          <w:rFonts w:asciiTheme="minorHAnsi" w:hAnsiTheme="minorHAnsi"/>
          <w:noProof/>
        </w:rPr>
      </w:pPr>
      <w:hyperlink w:anchor="_Toc461185729" w:history="1">
        <w:r w:rsidR="007029FC" w:rsidRPr="00C32FC5">
          <w:rPr>
            <w:rStyle w:val="Hyperlink"/>
            <w:noProof/>
          </w:rPr>
          <w:t>References</w:t>
        </w:r>
        <w:r w:rsidR="007029FC">
          <w:rPr>
            <w:noProof/>
            <w:webHidden/>
          </w:rPr>
          <w:tab/>
        </w:r>
        <w:r w:rsidR="007029FC">
          <w:rPr>
            <w:noProof/>
            <w:webHidden/>
          </w:rPr>
          <w:fldChar w:fldCharType="begin"/>
        </w:r>
        <w:r w:rsidR="007029FC">
          <w:rPr>
            <w:noProof/>
            <w:webHidden/>
          </w:rPr>
          <w:instrText xml:space="preserve"> PAGEREF _Toc461185729 \h </w:instrText>
        </w:r>
        <w:r w:rsidR="007029FC">
          <w:rPr>
            <w:noProof/>
            <w:webHidden/>
          </w:rPr>
        </w:r>
        <w:r w:rsidR="007029FC">
          <w:rPr>
            <w:noProof/>
            <w:webHidden/>
          </w:rPr>
          <w:fldChar w:fldCharType="separate"/>
        </w:r>
        <w:r w:rsidR="00227867">
          <w:rPr>
            <w:noProof/>
            <w:webHidden/>
          </w:rPr>
          <w:t>38</w:t>
        </w:r>
        <w:r w:rsidR="007029FC">
          <w:rPr>
            <w:noProof/>
            <w:webHidden/>
          </w:rPr>
          <w:fldChar w:fldCharType="end"/>
        </w:r>
      </w:hyperlink>
    </w:p>
    <w:p w:rsidR="0080531E" w:rsidRPr="006B77BB" w:rsidRDefault="00775F57" w:rsidP="002B4778">
      <w:pPr>
        <w:pStyle w:val="Glossary"/>
      </w:pPr>
      <w:r w:rsidRPr="006B77BB">
        <w:rPr>
          <w:color w:val="0092CF"/>
        </w:rPr>
        <w:fldChar w:fldCharType="end"/>
      </w:r>
    </w:p>
    <w:p w:rsidR="00796A6F" w:rsidRPr="006B77BB" w:rsidRDefault="00796A6F">
      <w:pPr>
        <w:spacing w:before="0" w:after="200" w:line="276" w:lineRule="auto"/>
        <w:jc w:val="left"/>
        <w:rPr>
          <w:rFonts w:eastAsiaTheme="majorEastAsia" w:cstheme="majorBidi"/>
          <w:b/>
          <w:bCs/>
          <w:color w:val="17556C"/>
          <w:sz w:val="48"/>
          <w:szCs w:val="28"/>
        </w:rPr>
      </w:pPr>
      <w:r w:rsidRPr="006B77BB">
        <w:br w:type="page"/>
      </w:r>
    </w:p>
    <w:p w:rsidR="00532334" w:rsidRPr="006B77BB" w:rsidRDefault="00532334" w:rsidP="008B68EC">
      <w:pPr>
        <w:pStyle w:val="Heading"/>
      </w:pPr>
      <w:r w:rsidRPr="006B77BB">
        <w:t>Tables</w:t>
      </w:r>
    </w:p>
    <w:p w:rsidR="00796F1A"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461109302" w:history="1">
        <w:r w:rsidR="00796F1A" w:rsidRPr="00D8372F">
          <w:rPr>
            <w:rStyle w:val="Hyperlink"/>
            <w:noProof/>
          </w:rPr>
          <w:t>Table 1:</w:t>
        </w:r>
        <w:r w:rsidR="00796F1A">
          <w:rPr>
            <w:rFonts w:asciiTheme="minorHAnsi" w:hAnsiTheme="minorHAnsi"/>
            <w:noProof/>
          </w:rPr>
          <w:tab/>
        </w:r>
        <w:r w:rsidR="00796F1A" w:rsidRPr="00D8372F">
          <w:rPr>
            <w:rStyle w:val="Hyperlink"/>
            <w:noProof/>
          </w:rPr>
          <w:t>Overall position by stakeholder group</w:t>
        </w:r>
        <w:r w:rsidR="00796F1A">
          <w:rPr>
            <w:noProof/>
            <w:webHidden/>
          </w:rPr>
          <w:tab/>
        </w:r>
        <w:r w:rsidR="00796F1A">
          <w:rPr>
            <w:noProof/>
            <w:webHidden/>
          </w:rPr>
          <w:fldChar w:fldCharType="begin"/>
        </w:r>
        <w:r w:rsidR="00796F1A">
          <w:rPr>
            <w:noProof/>
            <w:webHidden/>
          </w:rPr>
          <w:instrText xml:space="preserve"> PAGEREF _Toc461109302 \h </w:instrText>
        </w:r>
        <w:r w:rsidR="00796F1A">
          <w:rPr>
            <w:noProof/>
            <w:webHidden/>
          </w:rPr>
        </w:r>
        <w:r w:rsidR="00796F1A">
          <w:rPr>
            <w:noProof/>
            <w:webHidden/>
          </w:rPr>
          <w:fldChar w:fldCharType="separate"/>
        </w:r>
        <w:r w:rsidR="00227867">
          <w:rPr>
            <w:noProof/>
            <w:webHidden/>
          </w:rPr>
          <w:t>11</w:t>
        </w:r>
        <w:r w:rsidR="00796F1A">
          <w:rPr>
            <w:noProof/>
            <w:webHidden/>
          </w:rPr>
          <w:fldChar w:fldCharType="end"/>
        </w:r>
      </w:hyperlink>
    </w:p>
    <w:p w:rsidR="00532334" w:rsidRPr="006B77BB" w:rsidRDefault="004943C2" w:rsidP="00D51469">
      <w:pPr>
        <w:pStyle w:val="BodyText"/>
      </w:pPr>
      <w:r w:rsidRPr="006B77BB">
        <w:fldChar w:fldCharType="end"/>
      </w:r>
    </w:p>
    <w:p w:rsidR="00532334" w:rsidRPr="006B77BB" w:rsidRDefault="00532334" w:rsidP="004B5BDD"/>
    <w:p w:rsidR="00532334" w:rsidRPr="006B77BB" w:rsidRDefault="00B51610" w:rsidP="008B68EC">
      <w:pPr>
        <w:pStyle w:val="Heading"/>
      </w:pPr>
      <w:r w:rsidRPr="006B77BB">
        <w:t>Figure</w:t>
      </w:r>
      <w:r w:rsidR="00532334" w:rsidRPr="006B77BB">
        <w:t>s</w:t>
      </w:r>
    </w:p>
    <w:p w:rsidR="00796F1A" w:rsidRDefault="004943C2" w:rsidP="00DA3582">
      <w:pPr>
        <w:pStyle w:val="TableofFigures"/>
        <w:tabs>
          <w:tab w:val="right" w:leader="dot" w:pos="8494"/>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461109295" w:history="1">
        <w:r w:rsidR="00796F1A" w:rsidRPr="005A6B73">
          <w:rPr>
            <w:rStyle w:val="Hyperlink"/>
            <w:noProof/>
          </w:rPr>
          <w:t>Figure 1:</w:t>
        </w:r>
        <w:r w:rsidR="00796F1A">
          <w:rPr>
            <w:rFonts w:asciiTheme="minorHAnsi" w:hAnsiTheme="minorHAnsi"/>
            <w:noProof/>
          </w:rPr>
          <w:tab/>
        </w:r>
        <w:r w:rsidR="00796F1A" w:rsidRPr="005A6B73">
          <w:rPr>
            <w:rStyle w:val="Hyperlink"/>
            <w:noProof/>
          </w:rPr>
          <w:t>Overall position by all submissions</w:t>
        </w:r>
        <w:r w:rsidR="00796F1A">
          <w:rPr>
            <w:noProof/>
            <w:webHidden/>
          </w:rPr>
          <w:tab/>
        </w:r>
        <w:r w:rsidR="00796F1A">
          <w:rPr>
            <w:noProof/>
            <w:webHidden/>
          </w:rPr>
          <w:fldChar w:fldCharType="begin"/>
        </w:r>
        <w:r w:rsidR="00796F1A">
          <w:rPr>
            <w:noProof/>
            <w:webHidden/>
          </w:rPr>
          <w:instrText xml:space="preserve"> PAGEREF _Toc461109295 \h </w:instrText>
        </w:r>
        <w:r w:rsidR="00796F1A">
          <w:rPr>
            <w:noProof/>
            <w:webHidden/>
          </w:rPr>
        </w:r>
        <w:r w:rsidR="00796F1A">
          <w:rPr>
            <w:noProof/>
            <w:webHidden/>
          </w:rPr>
          <w:fldChar w:fldCharType="separate"/>
        </w:r>
        <w:r w:rsidR="00227867">
          <w:rPr>
            <w:noProof/>
            <w:webHidden/>
          </w:rPr>
          <w:t>11</w:t>
        </w:r>
        <w:r w:rsidR="00796F1A">
          <w:rPr>
            <w:noProof/>
            <w:webHidden/>
          </w:rPr>
          <w:fldChar w:fldCharType="end"/>
        </w:r>
      </w:hyperlink>
    </w:p>
    <w:p w:rsidR="00796F1A" w:rsidRDefault="00697F33" w:rsidP="00DA3582">
      <w:pPr>
        <w:pStyle w:val="TableofFigures"/>
        <w:tabs>
          <w:tab w:val="right" w:leader="dot" w:pos="8494"/>
        </w:tabs>
        <w:rPr>
          <w:rFonts w:asciiTheme="minorHAnsi" w:hAnsiTheme="minorHAnsi"/>
          <w:noProof/>
        </w:rPr>
      </w:pPr>
      <w:hyperlink w:anchor="_Toc461109296" w:history="1">
        <w:r w:rsidR="00796F1A" w:rsidRPr="005A6B73">
          <w:rPr>
            <w:rStyle w:val="Hyperlink"/>
            <w:noProof/>
          </w:rPr>
          <w:t>Figure 2:</w:t>
        </w:r>
        <w:r w:rsidR="00796F1A">
          <w:rPr>
            <w:rFonts w:asciiTheme="minorHAnsi" w:hAnsiTheme="minorHAnsi"/>
            <w:noProof/>
          </w:rPr>
          <w:tab/>
        </w:r>
        <w:r w:rsidR="00796F1A" w:rsidRPr="005A6B73">
          <w:rPr>
            <w:rStyle w:val="Hyperlink"/>
            <w:noProof/>
          </w:rPr>
          <w:t>Overall position by local autho</w:t>
        </w:r>
        <w:bookmarkStart w:id="0" w:name="_GoBack"/>
        <w:bookmarkEnd w:id="0"/>
        <w:r w:rsidR="00796F1A" w:rsidRPr="005A6B73">
          <w:rPr>
            <w:rStyle w:val="Hyperlink"/>
            <w:noProof/>
          </w:rPr>
          <w:t>rity growth Urban Area Classification</w:t>
        </w:r>
        <w:r w:rsidR="00796F1A">
          <w:rPr>
            <w:noProof/>
            <w:webHidden/>
          </w:rPr>
          <w:tab/>
        </w:r>
        <w:r w:rsidR="00796F1A">
          <w:rPr>
            <w:noProof/>
            <w:webHidden/>
          </w:rPr>
          <w:fldChar w:fldCharType="begin"/>
        </w:r>
        <w:r w:rsidR="00796F1A">
          <w:rPr>
            <w:noProof/>
            <w:webHidden/>
          </w:rPr>
          <w:instrText xml:space="preserve"> PAGEREF _Toc461109296 \h </w:instrText>
        </w:r>
        <w:r w:rsidR="00796F1A">
          <w:rPr>
            <w:noProof/>
            <w:webHidden/>
          </w:rPr>
        </w:r>
        <w:r w:rsidR="00796F1A">
          <w:rPr>
            <w:noProof/>
            <w:webHidden/>
          </w:rPr>
          <w:fldChar w:fldCharType="separate"/>
        </w:r>
        <w:r w:rsidR="00227867">
          <w:rPr>
            <w:noProof/>
            <w:webHidden/>
          </w:rPr>
          <w:t>12</w:t>
        </w:r>
        <w:r w:rsidR="00796F1A">
          <w:rPr>
            <w:noProof/>
            <w:webHidden/>
          </w:rPr>
          <w:fldChar w:fldCharType="end"/>
        </w:r>
      </w:hyperlink>
    </w:p>
    <w:p w:rsidR="008A2FF1" w:rsidRPr="006B77BB" w:rsidRDefault="004943C2" w:rsidP="00DA3582">
      <w:pPr>
        <w:pStyle w:val="BodyText"/>
      </w:pPr>
      <w:r w:rsidRPr="006B77BB">
        <w:fldChar w:fldCharType="end"/>
      </w:r>
    </w:p>
    <w:p w:rsidR="00796A6F" w:rsidRPr="006B77BB" w:rsidRDefault="00796A6F">
      <w:pPr>
        <w:spacing w:before="0" w:after="200" w:line="276" w:lineRule="auto"/>
        <w:jc w:val="left"/>
        <w:rPr>
          <w:rFonts w:eastAsiaTheme="majorEastAsia" w:cstheme="majorBidi"/>
          <w:b/>
          <w:bCs/>
          <w:color w:val="17556C"/>
          <w:sz w:val="48"/>
          <w:szCs w:val="28"/>
        </w:rPr>
      </w:pPr>
      <w:bookmarkStart w:id="1" w:name="_Toc215561202"/>
      <w:r w:rsidRPr="006B77BB">
        <w:br w:type="page"/>
      </w:r>
    </w:p>
    <w:p w:rsidR="00262319" w:rsidRPr="00AE5CF1" w:rsidRDefault="00262319" w:rsidP="00AE5CF1">
      <w:pPr>
        <w:pStyle w:val="Heading1"/>
        <w:rPr>
          <w:rStyle w:val="Heading1Char"/>
          <w:b/>
          <w:bCs/>
        </w:rPr>
      </w:pPr>
      <w:bookmarkStart w:id="2" w:name="_Toc461185713"/>
      <w:bookmarkStart w:id="3" w:name="_Toc345760336"/>
      <w:bookmarkEnd w:id="1"/>
      <w:r w:rsidRPr="00AE5CF1">
        <w:rPr>
          <w:rStyle w:val="Heading1Char"/>
          <w:b/>
          <w:bCs/>
        </w:rPr>
        <w:t xml:space="preserve">Executive </w:t>
      </w:r>
      <w:r w:rsidR="0079293A" w:rsidRPr="00AE5CF1">
        <w:rPr>
          <w:rStyle w:val="Heading1Char"/>
          <w:b/>
          <w:bCs/>
        </w:rPr>
        <w:t>s</w:t>
      </w:r>
      <w:r w:rsidRPr="00AE5CF1">
        <w:rPr>
          <w:rStyle w:val="Heading1Char"/>
          <w:b/>
          <w:bCs/>
        </w:rPr>
        <w:t>ummary</w:t>
      </w:r>
      <w:bookmarkEnd w:id="2"/>
    </w:p>
    <w:p w:rsidR="00C02CBF" w:rsidRDefault="00C02CBF" w:rsidP="00AE5CF1">
      <w:pPr>
        <w:pStyle w:val="BodyText"/>
        <w:rPr>
          <w:rFonts w:eastAsiaTheme="majorEastAsia"/>
        </w:rPr>
      </w:pPr>
      <w:r w:rsidRPr="007350E0">
        <w:rPr>
          <w:rFonts w:eastAsiaTheme="majorEastAsia"/>
        </w:rPr>
        <w:t>A total of 140 submissions were received during the</w:t>
      </w:r>
      <w:r w:rsidR="007350E0" w:rsidRPr="007350E0">
        <w:rPr>
          <w:rFonts w:eastAsiaTheme="majorEastAsia"/>
        </w:rPr>
        <w:t xml:space="preserve"> six-week long</w:t>
      </w:r>
      <w:r w:rsidRPr="007350E0">
        <w:rPr>
          <w:rFonts w:eastAsiaTheme="majorEastAsia"/>
        </w:rPr>
        <w:t xml:space="preserve"> consultation</w:t>
      </w:r>
      <w:r w:rsidR="007350E0" w:rsidRPr="007350E0">
        <w:rPr>
          <w:rFonts w:eastAsiaTheme="majorEastAsia"/>
        </w:rPr>
        <w:t xml:space="preserve"> period (3 June 2016 to 15</w:t>
      </w:r>
      <w:r w:rsidR="00E13289">
        <w:rPr>
          <w:rFonts w:eastAsiaTheme="majorEastAsia"/>
        </w:rPr>
        <w:t> </w:t>
      </w:r>
      <w:r w:rsidR="007350E0" w:rsidRPr="007350E0">
        <w:rPr>
          <w:rFonts w:eastAsiaTheme="majorEastAsia"/>
        </w:rPr>
        <w:t xml:space="preserve">July 2016) </w:t>
      </w:r>
      <w:r w:rsidRPr="007350E0">
        <w:rPr>
          <w:rFonts w:eastAsiaTheme="majorEastAsia"/>
        </w:rPr>
        <w:t xml:space="preserve">on the Proposed National Policy Statement on Urban Development Capacity (NPS-UDC). </w:t>
      </w:r>
      <w:r w:rsidR="000B3E47">
        <w:rPr>
          <w:rFonts w:eastAsiaTheme="majorEastAsia"/>
        </w:rPr>
        <w:t>Most of the submissions indicated support for the NPS-UDC</w:t>
      </w:r>
      <w:r w:rsidR="00E13289">
        <w:rPr>
          <w:rFonts w:eastAsiaTheme="majorEastAsia"/>
        </w:rPr>
        <w:t>,</w:t>
      </w:r>
      <w:r w:rsidR="000B3E47">
        <w:rPr>
          <w:rFonts w:eastAsiaTheme="majorEastAsia"/>
        </w:rPr>
        <w:t xml:space="preserve"> as well as making suggestions for improvement.</w:t>
      </w:r>
    </w:p>
    <w:p w:rsidR="00C02CBF" w:rsidRDefault="00C02CBF" w:rsidP="00AE5CF1">
      <w:pPr>
        <w:pStyle w:val="BodyText"/>
        <w:rPr>
          <w:rFonts w:eastAsiaTheme="majorEastAsia"/>
        </w:rPr>
      </w:pPr>
      <w:r w:rsidRPr="007350E0">
        <w:rPr>
          <w:rFonts w:eastAsiaTheme="majorEastAsia"/>
        </w:rPr>
        <w:t xml:space="preserve">The NPS-UDC directs a number of new responsibilities to </w:t>
      </w:r>
      <w:r w:rsidR="00722F09">
        <w:rPr>
          <w:rFonts w:eastAsiaTheme="majorEastAsia"/>
        </w:rPr>
        <w:t>l</w:t>
      </w:r>
      <w:r w:rsidRPr="007350E0">
        <w:rPr>
          <w:rFonts w:eastAsiaTheme="majorEastAsia"/>
        </w:rPr>
        <w:t xml:space="preserve">ocal </w:t>
      </w:r>
      <w:r w:rsidR="00722F09">
        <w:rPr>
          <w:rFonts w:eastAsiaTheme="majorEastAsia"/>
        </w:rPr>
        <w:t>a</w:t>
      </w:r>
      <w:r w:rsidRPr="007350E0">
        <w:rPr>
          <w:rFonts w:eastAsiaTheme="majorEastAsia"/>
        </w:rPr>
        <w:t>uthorities. Accordingly, the majority of consultation responses came from local government bodies</w:t>
      </w:r>
      <w:r w:rsidR="007350E0">
        <w:rPr>
          <w:rFonts w:eastAsiaTheme="majorEastAsia"/>
        </w:rPr>
        <w:t xml:space="preserve">. This includes 38 responses </w:t>
      </w:r>
      <w:r w:rsidRPr="007350E0">
        <w:rPr>
          <w:rFonts w:eastAsiaTheme="majorEastAsia"/>
        </w:rPr>
        <w:t xml:space="preserve">received from </w:t>
      </w:r>
      <w:r w:rsidR="00722F09">
        <w:rPr>
          <w:rFonts w:eastAsiaTheme="majorEastAsia"/>
        </w:rPr>
        <w:t>l</w:t>
      </w:r>
      <w:r w:rsidRPr="007350E0">
        <w:rPr>
          <w:rFonts w:eastAsiaTheme="majorEastAsia"/>
        </w:rPr>
        <w:t xml:space="preserve">ocal </w:t>
      </w:r>
      <w:r w:rsidR="00722F09">
        <w:rPr>
          <w:rFonts w:eastAsiaTheme="majorEastAsia"/>
        </w:rPr>
        <w:t>a</w:t>
      </w:r>
      <w:r w:rsidRPr="007350E0">
        <w:rPr>
          <w:rFonts w:eastAsiaTheme="majorEastAsia"/>
        </w:rPr>
        <w:t>uthorities</w:t>
      </w:r>
      <w:r w:rsidR="00E13289">
        <w:rPr>
          <w:rFonts w:eastAsiaTheme="majorEastAsia"/>
        </w:rPr>
        <w:t>,</w:t>
      </w:r>
      <w:r w:rsidRPr="007350E0">
        <w:rPr>
          <w:rFonts w:eastAsiaTheme="majorEastAsia"/>
        </w:rPr>
        <w:t xml:space="preserve"> with a further 11 submissions lodged by </w:t>
      </w:r>
      <w:r w:rsidR="00722F09">
        <w:rPr>
          <w:rFonts w:eastAsiaTheme="majorEastAsia"/>
        </w:rPr>
        <w:t>o</w:t>
      </w:r>
      <w:r w:rsidRPr="007350E0">
        <w:rPr>
          <w:rFonts w:eastAsiaTheme="majorEastAsia"/>
        </w:rPr>
        <w:t xml:space="preserve">ther </w:t>
      </w:r>
      <w:r w:rsidR="00722F09">
        <w:rPr>
          <w:rFonts w:eastAsiaTheme="majorEastAsia"/>
        </w:rPr>
        <w:t>l</w:t>
      </w:r>
      <w:r w:rsidRPr="007350E0">
        <w:rPr>
          <w:rFonts w:eastAsiaTheme="majorEastAsia"/>
        </w:rPr>
        <w:t xml:space="preserve">ocal </w:t>
      </w:r>
      <w:r w:rsidR="00722F09">
        <w:rPr>
          <w:rFonts w:eastAsiaTheme="majorEastAsia"/>
        </w:rPr>
        <w:t>g</w:t>
      </w:r>
      <w:r w:rsidRPr="007350E0">
        <w:rPr>
          <w:rFonts w:eastAsiaTheme="majorEastAsia"/>
        </w:rPr>
        <w:t>overnment (such as strategic partnerships).</w:t>
      </w:r>
      <w:r w:rsidR="000A1CCC">
        <w:rPr>
          <w:rFonts w:eastAsiaTheme="majorEastAsia"/>
        </w:rPr>
        <w:t xml:space="preserve"> </w:t>
      </w:r>
    </w:p>
    <w:p w:rsidR="00C02CBF" w:rsidRPr="007350E0" w:rsidRDefault="00F73425" w:rsidP="00AE5CF1">
      <w:pPr>
        <w:pStyle w:val="BodyText"/>
        <w:rPr>
          <w:rFonts w:eastAsiaTheme="majorEastAsia"/>
        </w:rPr>
      </w:pPr>
      <w:r>
        <w:rPr>
          <w:rFonts w:eastAsiaTheme="majorEastAsia"/>
        </w:rPr>
        <w:t>The other submissions were divided between the development sector (21), infrastruct</w:t>
      </w:r>
      <w:r w:rsidR="00164C97">
        <w:rPr>
          <w:rFonts w:eastAsiaTheme="majorEastAsia"/>
        </w:rPr>
        <w:t>ure (13), business/industry (12)</w:t>
      </w:r>
      <w:r>
        <w:rPr>
          <w:rFonts w:eastAsiaTheme="majorEastAsia"/>
        </w:rPr>
        <w:t xml:space="preserve">, professional bodies (10), Iwi (3) and advocacy organisations and </w:t>
      </w:r>
      <w:r w:rsidR="009842CA">
        <w:rPr>
          <w:rFonts w:eastAsiaTheme="majorEastAsia"/>
        </w:rPr>
        <w:t>individual submitters (17)</w:t>
      </w:r>
      <w:r>
        <w:rPr>
          <w:rFonts w:eastAsiaTheme="majorEastAsia"/>
        </w:rPr>
        <w:t>.</w:t>
      </w:r>
      <w:r w:rsidR="00520BAB">
        <w:rPr>
          <w:rFonts w:eastAsiaTheme="majorEastAsia"/>
        </w:rPr>
        <w:t xml:space="preserve"> </w:t>
      </w:r>
      <w:r w:rsidR="00C02CBF" w:rsidRPr="007350E0">
        <w:rPr>
          <w:rFonts w:eastAsiaTheme="majorEastAsia"/>
        </w:rPr>
        <w:t>Whil</w:t>
      </w:r>
      <w:r w:rsidR="001340EA">
        <w:rPr>
          <w:rFonts w:eastAsiaTheme="majorEastAsia"/>
        </w:rPr>
        <w:t>e most local authorities supported the proposed NP</w:t>
      </w:r>
      <w:r w:rsidR="00303149">
        <w:rPr>
          <w:rFonts w:eastAsiaTheme="majorEastAsia"/>
        </w:rPr>
        <w:t>S</w:t>
      </w:r>
      <w:r w:rsidR="001340EA">
        <w:rPr>
          <w:rFonts w:eastAsiaTheme="majorEastAsia"/>
        </w:rPr>
        <w:t>-UDC</w:t>
      </w:r>
      <w:r w:rsidR="00C02CBF" w:rsidRPr="007350E0">
        <w:rPr>
          <w:rFonts w:eastAsiaTheme="majorEastAsia"/>
        </w:rPr>
        <w:t xml:space="preserve">, a greater disparity in support appeared amongst those councils identified as having a </w:t>
      </w:r>
      <w:r w:rsidR="00923B22">
        <w:rPr>
          <w:rFonts w:eastAsiaTheme="majorEastAsia"/>
        </w:rPr>
        <w:t>‘medium growth urban area’ within their jurisdiction (‘medium g</w:t>
      </w:r>
      <w:r w:rsidR="00C02CBF" w:rsidRPr="007350E0">
        <w:rPr>
          <w:rFonts w:eastAsiaTheme="majorEastAsia"/>
        </w:rPr>
        <w:t>rowth’ council).</w:t>
      </w:r>
      <w:r w:rsidR="001340EA">
        <w:rPr>
          <w:rFonts w:eastAsiaTheme="majorEastAsia"/>
        </w:rPr>
        <w:t xml:space="preserve"> Local authorities captured by medium growth policies, and regional councils in particular were more likely to oppose or partially oppose the NPS-UDC than other categories of local government.</w:t>
      </w:r>
    </w:p>
    <w:p w:rsidR="001340EA" w:rsidRDefault="007350E0" w:rsidP="00AE5CF1">
      <w:pPr>
        <w:pStyle w:val="BodyText"/>
        <w:rPr>
          <w:rFonts w:eastAsiaTheme="majorEastAsia"/>
        </w:rPr>
      </w:pPr>
      <w:r w:rsidRPr="00175646">
        <w:rPr>
          <w:rFonts w:eastAsiaTheme="majorEastAsia"/>
        </w:rPr>
        <w:t xml:space="preserve">The </w:t>
      </w:r>
      <w:r w:rsidR="00722F09">
        <w:rPr>
          <w:rFonts w:eastAsiaTheme="majorEastAsia"/>
        </w:rPr>
        <w:t>d</w:t>
      </w:r>
      <w:r w:rsidRPr="00175646">
        <w:rPr>
          <w:rFonts w:eastAsiaTheme="majorEastAsia"/>
        </w:rPr>
        <w:t xml:space="preserve">evelopment </w:t>
      </w:r>
      <w:r w:rsidR="00722F09">
        <w:rPr>
          <w:rFonts w:eastAsiaTheme="majorEastAsia"/>
        </w:rPr>
        <w:t>s</w:t>
      </w:r>
      <w:r w:rsidRPr="00175646">
        <w:rPr>
          <w:rFonts w:eastAsiaTheme="majorEastAsia"/>
        </w:rPr>
        <w:t xml:space="preserve">ector submitted 21 responses to the consultation, with all but one of those submissions showing support </w:t>
      </w:r>
      <w:r w:rsidR="00175646" w:rsidRPr="00175646">
        <w:rPr>
          <w:rFonts w:eastAsiaTheme="majorEastAsia"/>
        </w:rPr>
        <w:t xml:space="preserve">for the NPS-UDC. Submissions from this sector tended to focus on stronger direction through the </w:t>
      </w:r>
      <w:r w:rsidR="00F27A65">
        <w:rPr>
          <w:rFonts w:eastAsiaTheme="majorEastAsia"/>
        </w:rPr>
        <w:t>National Policy Statement (</w:t>
      </w:r>
      <w:r w:rsidR="00175646" w:rsidRPr="00175646">
        <w:rPr>
          <w:rFonts w:eastAsiaTheme="majorEastAsia"/>
        </w:rPr>
        <w:t>NPS</w:t>
      </w:r>
      <w:r w:rsidR="00F27A65">
        <w:rPr>
          <w:rFonts w:eastAsiaTheme="majorEastAsia"/>
        </w:rPr>
        <w:t>)</w:t>
      </w:r>
      <w:r w:rsidR="00175646" w:rsidRPr="00175646">
        <w:rPr>
          <w:rFonts w:eastAsiaTheme="majorEastAsia"/>
        </w:rPr>
        <w:t xml:space="preserve"> on urban development capacity and enabling development</w:t>
      </w:r>
      <w:r w:rsidR="00175646">
        <w:rPr>
          <w:rFonts w:eastAsiaTheme="majorEastAsia"/>
        </w:rPr>
        <w:t>.</w:t>
      </w:r>
      <w:r w:rsidR="000A1CCC">
        <w:rPr>
          <w:rFonts w:eastAsiaTheme="majorEastAsia"/>
        </w:rPr>
        <w:t xml:space="preserve"> </w:t>
      </w:r>
    </w:p>
    <w:p w:rsidR="007D6F27" w:rsidRDefault="00175646" w:rsidP="00AE5CF1">
      <w:pPr>
        <w:pStyle w:val="BodyText"/>
        <w:rPr>
          <w:rFonts w:eastAsiaTheme="majorEastAsia"/>
        </w:rPr>
      </w:pPr>
      <w:r>
        <w:rPr>
          <w:rFonts w:eastAsiaTheme="majorEastAsia"/>
        </w:rPr>
        <w:t>Strong support was also evident across the submissions from</w:t>
      </w:r>
      <w:r w:rsidR="007D6F27">
        <w:rPr>
          <w:rFonts w:eastAsiaTheme="majorEastAsia"/>
        </w:rPr>
        <w:t>:</w:t>
      </w:r>
      <w:r>
        <w:rPr>
          <w:rFonts w:eastAsiaTheme="majorEastAsia"/>
        </w:rPr>
        <w:t xml:space="preserve"> </w:t>
      </w:r>
    </w:p>
    <w:p w:rsidR="00CF7FAF" w:rsidRDefault="00175646" w:rsidP="00AC105C">
      <w:pPr>
        <w:pStyle w:val="Bullet"/>
        <w:rPr>
          <w:rFonts w:eastAsiaTheme="majorEastAsia"/>
        </w:rPr>
      </w:pPr>
      <w:r>
        <w:rPr>
          <w:rFonts w:eastAsiaTheme="majorEastAsia"/>
        </w:rPr>
        <w:t>In</w:t>
      </w:r>
      <w:r w:rsidR="001340EA">
        <w:rPr>
          <w:rFonts w:eastAsiaTheme="majorEastAsia"/>
        </w:rPr>
        <w:t xml:space="preserve">frastructure </w:t>
      </w:r>
      <w:r w:rsidR="00F228EB">
        <w:rPr>
          <w:rFonts w:eastAsiaTheme="majorEastAsia"/>
        </w:rPr>
        <w:t>p</w:t>
      </w:r>
      <w:r w:rsidR="001340EA">
        <w:rPr>
          <w:rFonts w:eastAsiaTheme="majorEastAsia"/>
        </w:rPr>
        <w:t>roviders (12 of 13 submissions in support)</w:t>
      </w:r>
    </w:p>
    <w:p w:rsidR="00CF7FAF" w:rsidRDefault="001340EA" w:rsidP="00AC105C">
      <w:pPr>
        <w:pStyle w:val="Bullet"/>
        <w:rPr>
          <w:rFonts w:eastAsiaTheme="majorEastAsia"/>
        </w:rPr>
      </w:pPr>
      <w:r>
        <w:rPr>
          <w:rFonts w:eastAsiaTheme="majorEastAsia"/>
        </w:rPr>
        <w:t xml:space="preserve">Iwi (3 of 3 submissions in support) </w:t>
      </w:r>
    </w:p>
    <w:p w:rsidR="007D6F27" w:rsidRDefault="001340EA" w:rsidP="00AC105C">
      <w:pPr>
        <w:pStyle w:val="Bullet"/>
        <w:rPr>
          <w:rFonts w:eastAsiaTheme="majorEastAsia"/>
        </w:rPr>
      </w:pPr>
      <w:r>
        <w:rPr>
          <w:rFonts w:eastAsiaTheme="majorEastAsia"/>
        </w:rPr>
        <w:t xml:space="preserve">Professional </w:t>
      </w:r>
      <w:r w:rsidR="00F228EB">
        <w:rPr>
          <w:rFonts w:eastAsiaTheme="majorEastAsia"/>
        </w:rPr>
        <w:t>b</w:t>
      </w:r>
      <w:r>
        <w:rPr>
          <w:rFonts w:eastAsiaTheme="majorEastAsia"/>
        </w:rPr>
        <w:t>odies (8 of 10 submissions in support).</w:t>
      </w:r>
      <w:r w:rsidR="000A1CCC">
        <w:rPr>
          <w:rFonts w:eastAsiaTheme="majorEastAsia"/>
        </w:rPr>
        <w:t xml:space="preserve"> </w:t>
      </w:r>
    </w:p>
    <w:p w:rsidR="007350E0" w:rsidRDefault="001340EA" w:rsidP="00AE5CF1">
      <w:pPr>
        <w:pStyle w:val="BodyText"/>
        <w:rPr>
          <w:rFonts w:eastAsiaTheme="majorEastAsia"/>
        </w:rPr>
      </w:pPr>
      <w:r>
        <w:rPr>
          <w:rFonts w:eastAsiaTheme="majorEastAsia"/>
        </w:rPr>
        <w:t xml:space="preserve">The </w:t>
      </w:r>
      <w:r w:rsidR="00F228EB">
        <w:rPr>
          <w:rFonts w:eastAsiaTheme="majorEastAsia"/>
        </w:rPr>
        <w:t>b</w:t>
      </w:r>
      <w:r>
        <w:rPr>
          <w:rFonts w:eastAsiaTheme="majorEastAsia"/>
        </w:rPr>
        <w:t>usiness/</w:t>
      </w:r>
      <w:r w:rsidR="00F228EB">
        <w:rPr>
          <w:rFonts w:eastAsiaTheme="majorEastAsia"/>
        </w:rPr>
        <w:t>i</w:t>
      </w:r>
      <w:r>
        <w:rPr>
          <w:rFonts w:eastAsiaTheme="majorEastAsia"/>
        </w:rPr>
        <w:t xml:space="preserve">ndustry submissions showed a split in support (6 of 12 in support and 5 of 12 opposed). </w:t>
      </w:r>
      <w:r w:rsidR="000B55E5">
        <w:rPr>
          <w:rFonts w:eastAsiaTheme="majorEastAsia"/>
        </w:rPr>
        <w:t>Ultimately</w:t>
      </w:r>
      <w:r>
        <w:rPr>
          <w:rFonts w:eastAsiaTheme="majorEastAsia"/>
        </w:rPr>
        <w:t xml:space="preserve">, opposition to the NPS-UDC </w:t>
      </w:r>
      <w:r w:rsidR="005F68EB">
        <w:rPr>
          <w:rFonts w:eastAsiaTheme="majorEastAsia"/>
        </w:rPr>
        <w:t xml:space="preserve">by </w:t>
      </w:r>
      <w:r w:rsidR="00F228EB">
        <w:rPr>
          <w:rFonts w:eastAsiaTheme="majorEastAsia"/>
        </w:rPr>
        <w:t>b</w:t>
      </w:r>
      <w:r w:rsidR="005F68EB">
        <w:rPr>
          <w:rFonts w:eastAsiaTheme="majorEastAsia"/>
        </w:rPr>
        <w:t>usiness/</w:t>
      </w:r>
      <w:r w:rsidR="00F228EB">
        <w:rPr>
          <w:rFonts w:eastAsiaTheme="majorEastAsia"/>
        </w:rPr>
        <w:t>i</w:t>
      </w:r>
      <w:r w:rsidR="005F68EB">
        <w:rPr>
          <w:rFonts w:eastAsiaTheme="majorEastAsia"/>
        </w:rPr>
        <w:t>ndustry stakeholders came down to</w:t>
      </w:r>
      <w:r>
        <w:rPr>
          <w:rFonts w:eastAsiaTheme="majorEastAsia"/>
        </w:rPr>
        <w:t xml:space="preserve"> a perception that this national direction would have negative implications for the rural environment</w:t>
      </w:r>
      <w:r w:rsidR="00F27A65">
        <w:rPr>
          <w:rFonts w:eastAsiaTheme="majorEastAsia"/>
        </w:rPr>
        <w:t>,</w:t>
      </w:r>
      <w:r>
        <w:rPr>
          <w:rFonts w:eastAsiaTheme="majorEastAsia"/>
        </w:rPr>
        <w:t xml:space="preserve"> and existing activities such as farming.</w:t>
      </w:r>
    </w:p>
    <w:p w:rsidR="003F44C4" w:rsidRPr="005F68EB" w:rsidRDefault="00DF5E85" w:rsidP="00AE5CF1">
      <w:pPr>
        <w:pStyle w:val="BodyText"/>
        <w:rPr>
          <w:rFonts w:eastAsiaTheme="majorEastAsia"/>
        </w:rPr>
      </w:pPr>
      <w:r>
        <w:rPr>
          <w:rFonts w:eastAsiaTheme="majorEastAsia"/>
        </w:rPr>
        <w:t>This document summarise</w:t>
      </w:r>
      <w:r w:rsidR="00F27A65">
        <w:rPr>
          <w:rFonts w:eastAsiaTheme="majorEastAsia"/>
        </w:rPr>
        <w:t>s</w:t>
      </w:r>
      <w:r>
        <w:rPr>
          <w:rFonts w:eastAsiaTheme="majorEastAsia"/>
        </w:rPr>
        <w:t xml:space="preserve"> responses </w:t>
      </w:r>
      <w:r w:rsidR="00D0169D">
        <w:rPr>
          <w:rFonts w:eastAsiaTheme="majorEastAsia"/>
        </w:rPr>
        <w:t>in order of</w:t>
      </w:r>
      <w:r>
        <w:rPr>
          <w:rFonts w:eastAsiaTheme="majorEastAsia"/>
        </w:rPr>
        <w:t xml:space="preserve"> the themes </w:t>
      </w:r>
      <w:r w:rsidR="00D0169D">
        <w:rPr>
          <w:rFonts w:eastAsiaTheme="majorEastAsia"/>
        </w:rPr>
        <w:t>or section headings of th</w:t>
      </w:r>
      <w:r>
        <w:rPr>
          <w:rFonts w:eastAsiaTheme="majorEastAsia"/>
        </w:rPr>
        <w:t xml:space="preserve">e consultation document. </w:t>
      </w:r>
      <w:r w:rsidR="005F68EB" w:rsidRPr="005F68EB">
        <w:rPr>
          <w:rFonts w:eastAsiaTheme="majorEastAsia"/>
        </w:rPr>
        <w:t>At a high level, the key</w:t>
      </w:r>
      <w:r>
        <w:rPr>
          <w:rFonts w:eastAsiaTheme="majorEastAsia"/>
        </w:rPr>
        <w:t xml:space="preserve"> responses </w:t>
      </w:r>
      <w:r w:rsidR="00D0169D">
        <w:rPr>
          <w:rFonts w:eastAsiaTheme="majorEastAsia"/>
        </w:rPr>
        <w:t xml:space="preserve">in this summary </w:t>
      </w:r>
      <w:r w:rsidR="009E302B">
        <w:rPr>
          <w:rFonts w:eastAsiaTheme="majorEastAsia"/>
        </w:rPr>
        <w:t>are</w:t>
      </w:r>
      <w:r>
        <w:rPr>
          <w:rFonts w:eastAsiaTheme="majorEastAsia"/>
        </w:rPr>
        <w:t>:</w:t>
      </w:r>
    </w:p>
    <w:p w:rsidR="001711EC" w:rsidRPr="005F68EB" w:rsidRDefault="001711EC" w:rsidP="00AE5CF1">
      <w:pPr>
        <w:pStyle w:val="Bullet"/>
        <w:numPr>
          <w:ilvl w:val="0"/>
          <w:numId w:val="48"/>
        </w:numPr>
        <w:rPr>
          <w:rFonts w:eastAsiaTheme="majorEastAsia"/>
          <w:u w:val="single"/>
        </w:rPr>
      </w:pPr>
      <w:r w:rsidRPr="00F228EB">
        <w:rPr>
          <w:rFonts w:eastAsiaTheme="majorEastAsia"/>
          <w:i/>
        </w:rPr>
        <w:t>Scope of the proposed NPS:</w:t>
      </w:r>
      <w:r>
        <w:rPr>
          <w:rFonts w:eastAsiaTheme="majorEastAsia"/>
        </w:rPr>
        <w:t xml:space="preserve"> </w:t>
      </w:r>
      <w:r w:rsidR="009E302B">
        <w:rPr>
          <w:rFonts w:eastAsiaTheme="majorEastAsia"/>
        </w:rPr>
        <w:br/>
        <w:t xml:space="preserve">Submitters considered that there is a need </w:t>
      </w:r>
      <w:r>
        <w:rPr>
          <w:rFonts w:eastAsiaTheme="majorEastAsia"/>
        </w:rPr>
        <w:t xml:space="preserve">for national direction in urban areas to address wider urban planning issues, </w:t>
      </w:r>
      <w:r w:rsidR="009E302B">
        <w:rPr>
          <w:rFonts w:eastAsiaTheme="majorEastAsia"/>
        </w:rPr>
        <w:t>as well as</w:t>
      </w:r>
      <w:r>
        <w:rPr>
          <w:rFonts w:eastAsiaTheme="majorEastAsia"/>
        </w:rPr>
        <w:t xml:space="preserve"> development capacity. For example, more direction on integrated planning, urban form, urban design</w:t>
      </w:r>
      <w:r w:rsidR="00DB1D9D">
        <w:rPr>
          <w:rFonts w:eastAsiaTheme="majorEastAsia"/>
        </w:rPr>
        <w:t>,</w:t>
      </w:r>
      <w:r>
        <w:rPr>
          <w:rFonts w:eastAsiaTheme="majorEastAsia"/>
        </w:rPr>
        <w:t xml:space="preserve"> and creating liveable communities.</w:t>
      </w:r>
    </w:p>
    <w:p w:rsidR="005F68EB" w:rsidRPr="002E3565" w:rsidRDefault="005F68EB" w:rsidP="00AE5CF1">
      <w:pPr>
        <w:pStyle w:val="Bullet"/>
        <w:numPr>
          <w:ilvl w:val="0"/>
          <w:numId w:val="48"/>
        </w:numPr>
        <w:rPr>
          <w:rFonts w:eastAsiaTheme="majorEastAsia"/>
          <w:u w:val="single"/>
        </w:rPr>
      </w:pPr>
      <w:r w:rsidRPr="00F228EB">
        <w:rPr>
          <w:rFonts w:eastAsiaTheme="majorEastAsia"/>
          <w:i/>
        </w:rPr>
        <w:t xml:space="preserve">The NPS-UDC will not address other factors </w:t>
      </w:r>
      <w:r w:rsidR="009E302B" w:rsidRPr="00F228EB">
        <w:rPr>
          <w:rFonts w:eastAsiaTheme="majorEastAsia"/>
          <w:i/>
        </w:rPr>
        <w:t xml:space="preserve">contributing </w:t>
      </w:r>
      <w:r w:rsidRPr="00F228EB">
        <w:rPr>
          <w:rFonts w:eastAsiaTheme="majorEastAsia"/>
          <w:i/>
        </w:rPr>
        <w:t>to housing affordability:</w:t>
      </w:r>
      <w:r w:rsidR="009E302B">
        <w:rPr>
          <w:rFonts w:eastAsiaTheme="majorEastAsia"/>
        </w:rPr>
        <w:br/>
      </w:r>
      <w:r>
        <w:rPr>
          <w:rFonts w:eastAsiaTheme="majorEastAsia"/>
        </w:rPr>
        <w:t xml:space="preserve">There was a concern that the NPS-UDC would not </w:t>
      </w:r>
      <w:r w:rsidR="002E3565">
        <w:rPr>
          <w:rFonts w:eastAsiaTheme="majorEastAsia"/>
        </w:rPr>
        <w:t>achieve the Government’s intention of addressing housing affordability.</w:t>
      </w:r>
      <w:r w:rsidR="000A1CCC">
        <w:rPr>
          <w:rFonts w:eastAsiaTheme="majorEastAsia"/>
        </w:rPr>
        <w:t xml:space="preserve"> </w:t>
      </w:r>
      <w:r w:rsidR="002E3565">
        <w:rPr>
          <w:rFonts w:eastAsiaTheme="majorEastAsia"/>
        </w:rPr>
        <w:t xml:space="preserve">There are many factors </w:t>
      </w:r>
      <w:r w:rsidR="00370B22">
        <w:rPr>
          <w:rFonts w:eastAsiaTheme="majorEastAsia"/>
        </w:rPr>
        <w:t xml:space="preserve">outside </w:t>
      </w:r>
      <w:r w:rsidR="002E3565">
        <w:rPr>
          <w:rFonts w:eastAsiaTheme="majorEastAsia"/>
        </w:rPr>
        <w:t xml:space="preserve">the scope of the NPS-UDC </w:t>
      </w:r>
      <w:r w:rsidR="00F27A65">
        <w:rPr>
          <w:rFonts w:eastAsiaTheme="majorEastAsia"/>
        </w:rPr>
        <w:t xml:space="preserve">that </w:t>
      </w:r>
      <w:r w:rsidR="002E3565">
        <w:rPr>
          <w:rFonts w:eastAsiaTheme="majorEastAsia"/>
        </w:rPr>
        <w:t>impact on housing supply and affordability</w:t>
      </w:r>
      <w:r w:rsidR="00F27A65">
        <w:rPr>
          <w:rFonts w:eastAsiaTheme="majorEastAsia"/>
        </w:rPr>
        <w:t>,</w:t>
      </w:r>
      <w:r w:rsidR="002E3565">
        <w:rPr>
          <w:rFonts w:eastAsiaTheme="majorEastAsia"/>
        </w:rPr>
        <w:t xml:space="preserve"> including infrastructure funding and land banking. </w:t>
      </w:r>
    </w:p>
    <w:p w:rsidR="002E3565" w:rsidRPr="00CF1090" w:rsidRDefault="00973F0E" w:rsidP="00AE5CF1">
      <w:pPr>
        <w:pStyle w:val="Bullet"/>
        <w:numPr>
          <w:ilvl w:val="0"/>
          <w:numId w:val="48"/>
        </w:numPr>
        <w:rPr>
          <w:rFonts w:eastAsiaTheme="majorEastAsia"/>
          <w:u w:val="single"/>
        </w:rPr>
      </w:pPr>
      <w:r w:rsidRPr="00F228EB">
        <w:rPr>
          <w:rFonts w:eastAsiaTheme="majorEastAsia"/>
          <w:i/>
        </w:rPr>
        <w:t>Other nation</w:t>
      </w:r>
      <w:r w:rsidR="000B3E47" w:rsidRPr="00F228EB">
        <w:rPr>
          <w:rFonts w:eastAsiaTheme="majorEastAsia"/>
          <w:i/>
        </w:rPr>
        <w:t>al</w:t>
      </w:r>
      <w:r w:rsidRPr="00F228EB">
        <w:rPr>
          <w:rFonts w:eastAsiaTheme="majorEastAsia"/>
          <w:i/>
        </w:rPr>
        <w:t xml:space="preserve"> direction:</w:t>
      </w:r>
      <w:r>
        <w:rPr>
          <w:rFonts w:eastAsiaTheme="majorEastAsia"/>
        </w:rPr>
        <w:t xml:space="preserve"> </w:t>
      </w:r>
      <w:r w:rsidR="009E302B">
        <w:rPr>
          <w:rFonts w:eastAsiaTheme="majorEastAsia"/>
        </w:rPr>
        <w:br/>
      </w:r>
      <w:r>
        <w:rPr>
          <w:rFonts w:eastAsiaTheme="majorEastAsia"/>
        </w:rPr>
        <w:t>Some submitters identified the potential for the objectives of the proposed NPS-UDC to conflict with other national direction, creating difficulties for local authorities in making decisions</w:t>
      </w:r>
      <w:r w:rsidR="002D44B3">
        <w:rPr>
          <w:rFonts w:eastAsiaTheme="majorEastAsia"/>
        </w:rPr>
        <w:t xml:space="preserve"> about which to prioritise, or imposing unreasonable costs to achieve both.</w:t>
      </w:r>
      <w:r w:rsidR="00F27A65">
        <w:rPr>
          <w:rFonts w:eastAsiaTheme="majorEastAsia"/>
        </w:rPr>
        <w:t xml:space="preserve"> </w:t>
      </w:r>
      <w:r w:rsidR="002D44B3">
        <w:rPr>
          <w:rFonts w:eastAsiaTheme="majorEastAsia"/>
        </w:rPr>
        <w:t xml:space="preserve">Submissions </w:t>
      </w:r>
      <w:r w:rsidR="00370B22">
        <w:rPr>
          <w:rFonts w:eastAsiaTheme="majorEastAsia"/>
        </w:rPr>
        <w:t xml:space="preserve">referred to </w:t>
      </w:r>
      <w:r w:rsidR="002D44B3">
        <w:rPr>
          <w:rFonts w:eastAsiaTheme="majorEastAsia"/>
        </w:rPr>
        <w:t>the National Policy Statement on Freshwater Management, the New Zealand Coastal Policy Statement and the National Policy Statement on Electricity Transmission</w:t>
      </w:r>
      <w:r w:rsidR="00370B22">
        <w:rPr>
          <w:rFonts w:eastAsiaTheme="majorEastAsia"/>
        </w:rPr>
        <w:t xml:space="preserve"> in regard to this point</w:t>
      </w:r>
      <w:r w:rsidR="002D44B3">
        <w:rPr>
          <w:rFonts w:eastAsiaTheme="majorEastAsia"/>
        </w:rPr>
        <w:t>.</w:t>
      </w:r>
    </w:p>
    <w:p w:rsidR="00CF1090" w:rsidRPr="009842CA" w:rsidRDefault="00CF1090" w:rsidP="00AE5CF1">
      <w:pPr>
        <w:pStyle w:val="Bullet"/>
        <w:numPr>
          <w:ilvl w:val="0"/>
          <w:numId w:val="48"/>
        </w:numPr>
        <w:rPr>
          <w:rFonts w:eastAsiaTheme="majorEastAsia"/>
          <w:u w:val="single"/>
        </w:rPr>
      </w:pPr>
      <w:r w:rsidRPr="00F228EB">
        <w:rPr>
          <w:rFonts w:eastAsiaTheme="majorEastAsia"/>
          <w:i/>
        </w:rPr>
        <w:t>An interpretation that the NPS-UDC requires ‘development at any cost’:</w:t>
      </w:r>
      <w:r w:rsidR="00370B22">
        <w:rPr>
          <w:rFonts w:eastAsiaTheme="majorEastAsia"/>
        </w:rPr>
        <w:br/>
      </w:r>
      <w:r>
        <w:rPr>
          <w:rFonts w:eastAsiaTheme="majorEastAsia"/>
        </w:rPr>
        <w:t xml:space="preserve">Some submitters considered </w:t>
      </w:r>
      <w:r w:rsidR="000B16F8">
        <w:rPr>
          <w:rFonts w:eastAsiaTheme="majorEastAsia"/>
        </w:rPr>
        <w:t xml:space="preserve">the NPS-UDC to be inconsistent with the principle of sustainable management in the Resource Management Act </w:t>
      </w:r>
      <w:r w:rsidR="00F27A65">
        <w:rPr>
          <w:rFonts w:eastAsiaTheme="majorEastAsia"/>
        </w:rPr>
        <w:t xml:space="preserve">1991 </w:t>
      </w:r>
      <w:r w:rsidR="000B16F8">
        <w:rPr>
          <w:rFonts w:eastAsiaTheme="majorEastAsia"/>
        </w:rPr>
        <w:t>(RMA). Responses suggested that there should be stronger ties between the purpose of the NPS-UDC</w:t>
      </w:r>
      <w:r w:rsidR="00F27A65">
        <w:rPr>
          <w:rFonts w:eastAsiaTheme="majorEastAsia"/>
        </w:rPr>
        <w:t>,</w:t>
      </w:r>
      <w:r w:rsidR="000B16F8">
        <w:rPr>
          <w:rFonts w:eastAsiaTheme="majorEastAsia"/>
        </w:rPr>
        <w:t xml:space="preserve"> its objectives and policies</w:t>
      </w:r>
      <w:r w:rsidR="00F27A65">
        <w:rPr>
          <w:rFonts w:eastAsiaTheme="majorEastAsia"/>
        </w:rPr>
        <w:t>,</w:t>
      </w:r>
      <w:r w:rsidR="000B16F8">
        <w:rPr>
          <w:rFonts w:eastAsiaTheme="majorEastAsia"/>
        </w:rPr>
        <w:t xml:space="preserve"> and the purpose of the RMA.</w:t>
      </w:r>
    </w:p>
    <w:p w:rsidR="00DF5E85" w:rsidRDefault="00DF5E85" w:rsidP="00AE5CF1">
      <w:pPr>
        <w:pStyle w:val="Bullet"/>
        <w:numPr>
          <w:ilvl w:val="0"/>
          <w:numId w:val="48"/>
        </w:numPr>
        <w:rPr>
          <w:rFonts w:eastAsiaTheme="majorEastAsia"/>
          <w:u w:val="single"/>
        </w:rPr>
      </w:pPr>
      <w:r w:rsidRPr="00F228EB">
        <w:rPr>
          <w:rFonts w:eastAsiaTheme="majorEastAsia"/>
          <w:i/>
        </w:rPr>
        <w:t>Assessment of legal implications:</w:t>
      </w:r>
      <w:r w:rsidR="00370B22">
        <w:rPr>
          <w:rFonts w:eastAsiaTheme="majorEastAsia"/>
        </w:rPr>
        <w:br/>
      </w:r>
      <w:r w:rsidR="00F27A65">
        <w:rPr>
          <w:rFonts w:eastAsiaTheme="majorEastAsia"/>
        </w:rPr>
        <w:t>S</w:t>
      </w:r>
      <w:r>
        <w:rPr>
          <w:rFonts w:eastAsiaTheme="majorEastAsia"/>
        </w:rPr>
        <w:t xml:space="preserve">ubmitters asked that the NPS-UDC be amended </w:t>
      </w:r>
      <w:r w:rsidR="00F27A65">
        <w:rPr>
          <w:rFonts w:eastAsiaTheme="majorEastAsia"/>
        </w:rPr>
        <w:t>to reflect</w:t>
      </w:r>
      <w:r>
        <w:rPr>
          <w:rFonts w:eastAsiaTheme="majorEastAsia"/>
        </w:rPr>
        <w:t xml:space="preserve"> possible legalities around the choice of syntax</w:t>
      </w:r>
      <w:r w:rsidR="00F27A65">
        <w:rPr>
          <w:rFonts w:eastAsiaTheme="majorEastAsia"/>
        </w:rPr>
        <w:t>,</w:t>
      </w:r>
      <w:r>
        <w:rPr>
          <w:rFonts w:eastAsiaTheme="majorEastAsia"/>
        </w:rPr>
        <w:t xml:space="preserve"> and that language be informed by relevant case law (in particular the King Salmon appeal in Marlborough)</w:t>
      </w:r>
      <w:r w:rsidR="00370B22">
        <w:rPr>
          <w:rFonts w:eastAsiaTheme="majorEastAsia"/>
        </w:rPr>
        <w:t>.</w:t>
      </w:r>
    </w:p>
    <w:p w:rsidR="00D0169D" w:rsidRPr="009842CA" w:rsidRDefault="00541AE3" w:rsidP="00AE5CF1">
      <w:pPr>
        <w:pStyle w:val="Bullet"/>
        <w:numPr>
          <w:ilvl w:val="0"/>
          <w:numId w:val="48"/>
        </w:numPr>
        <w:rPr>
          <w:rFonts w:eastAsiaTheme="majorEastAsia"/>
          <w:u w:val="single"/>
        </w:rPr>
      </w:pPr>
      <w:r w:rsidRPr="00F228EB">
        <w:rPr>
          <w:rFonts w:eastAsiaTheme="majorEastAsia"/>
          <w:i/>
        </w:rPr>
        <w:t>‘Urban a</w:t>
      </w:r>
      <w:r w:rsidR="00D0169D" w:rsidRPr="00F228EB">
        <w:rPr>
          <w:rFonts w:eastAsiaTheme="majorEastAsia"/>
          <w:i/>
        </w:rPr>
        <w:t>reas</w:t>
      </w:r>
      <w:r w:rsidRPr="00F228EB">
        <w:rPr>
          <w:rFonts w:eastAsiaTheme="majorEastAsia"/>
          <w:i/>
        </w:rPr>
        <w:t>’</w:t>
      </w:r>
      <w:r w:rsidR="00D0169D" w:rsidRPr="00F228EB">
        <w:rPr>
          <w:rFonts w:eastAsiaTheme="majorEastAsia"/>
          <w:i/>
        </w:rPr>
        <w:t xml:space="preserve"> and population projections:</w:t>
      </w:r>
      <w:r w:rsidR="00D0169D">
        <w:rPr>
          <w:rFonts w:eastAsiaTheme="majorEastAsia"/>
        </w:rPr>
        <w:t xml:space="preserve"> </w:t>
      </w:r>
      <w:r w:rsidR="00370B22">
        <w:rPr>
          <w:rFonts w:eastAsiaTheme="majorEastAsia"/>
        </w:rPr>
        <w:br/>
      </w:r>
      <w:r w:rsidR="00D0169D">
        <w:rPr>
          <w:rFonts w:eastAsiaTheme="majorEastAsia"/>
        </w:rPr>
        <w:t xml:space="preserve">Many local authorities misinterpreted </w:t>
      </w:r>
      <w:r w:rsidR="00923B22">
        <w:rPr>
          <w:rFonts w:eastAsiaTheme="majorEastAsia"/>
        </w:rPr>
        <w:t>‘medium growth urban area’ and ‘high growth urban area’</w:t>
      </w:r>
      <w:r w:rsidR="00D0169D">
        <w:rPr>
          <w:rFonts w:eastAsiaTheme="majorEastAsia"/>
        </w:rPr>
        <w:t xml:space="preserve"> in the NPS. They were concerned that the NPS would require local authorities to apply the NPS policies only within the boundaries of Statistics New Zealand’s Urban Areas. If so, this would undermine long</w:t>
      </w:r>
      <w:r w:rsidR="00370B22">
        <w:rPr>
          <w:rFonts w:eastAsiaTheme="majorEastAsia"/>
        </w:rPr>
        <w:t>-</w:t>
      </w:r>
      <w:r w:rsidR="00D0169D">
        <w:rPr>
          <w:rFonts w:eastAsiaTheme="majorEastAsia"/>
        </w:rPr>
        <w:t>standing existing local agreements that focus on more appropriate areas for urban development.</w:t>
      </w:r>
    </w:p>
    <w:p w:rsidR="00890DBF" w:rsidRPr="009842CA" w:rsidRDefault="00890DBF" w:rsidP="00AE5CF1">
      <w:pPr>
        <w:pStyle w:val="Bullet"/>
        <w:numPr>
          <w:ilvl w:val="0"/>
          <w:numId w:val="48"/>
        </w:numPr>
        <w:rPr>
          <w:rFonts w:eastAsiaTheme="majorEastAsia"/>
          <w:u w:val="single"/>
        </w:rPr>
      </w:pPr>
      <w:r w:rsidRPr="00F228EB">
        <w:rPr>
          <w:rFonts w:eastAsiaTheme="majorEastAsia"/>
          <w:i/>
        </w:rPr>
        <w:t xml:space="preserve">Cost implications for </w:t>
      </w:r>
      <w:r w:rsidR="00F27A65" w:rsidRPr="00F228EB">
        <w:rPr>
          <w:rFonts w:eastAsiaTheme="majorEastAsia"/>
          <w:i/>
        </w:rPr>
        <w:t>c</w:t>
      </w:r>
      <w:r w:rsidRPr="00F228EB">
        <w:rPr>
          <w:rFonts w:eastAsiaTheme="majorEastAsia"/>
          <w:i/>
        </w:rPr>
        <w:t xml:space="preserve">ouncils with responsibilities for </w:t>
      </w:r>
      <w:r w:rsidR="00923B22" w:rsidRPr="00F228EB">
        <w:rPr>
          <w:rFonts w:eastAsiaTheme="majorEastAsia"/>
          <w:i/>
        </w:rPr>
        <w:t>‘medium growth urban area</w:t>
      </w:r>
      <w:r w:rsidRPr="00F228EB">
        <w:rPr>
          <w:rFonts w:eastAsiaTheme="majorEastAsia"/>
          <w:i/>
        </w:rPr>
        <w:t>s</w:t>
      </w:r>
      <w:r w:rsidR="00923B22" w:rsidRPr="00F228EB">
        <w:rPr>
          <w:rFonts w:eastAsiaTheme="majorEastAsia"/>
          <w:i/>
        </w:rPr>
        <w:t>’</w:t>
      </w:r>
      <w:r w:rsidRPr="00F228EB">
        <w:rPr>
          <w:rFonts w:eastAsiaTheme="majorEastAsia"/>
          <w:i/>
        </w:rPr>
        <w:t>:</w:t>
      </w:r>
      <w:r w:rsidR="00370B22">
        <w:rPr>
          <w:rFonts w:eastAsiaTheme="majorEastAsia"/>
        </w:rPr>
        <w:br/>
        <w:t>T</w:t>
      </w:r>
      <w:r w:rsidRPr="009842CA">
        <w:rPr>
          <w:rFonts w:eastAsiaTheme="majorEastAsia"/>
        </w:rPr>
        <w:t xml:space="preserve">he costs of implementing policies under the NPS-UDC were </w:t>
      </w:r>
      <w:r w:rsidR="00370B22">
        <w:rPr>
          <w:rFonts w:eastAsiaTheme="majorEastAsia"/>
        </w:rPr>
        <w:t>a concern for</w:t>
      </w:r>
      <w:r w:rsidRPr="009842CA">
        <w:rPr>
          <w:rFonts w:eastAsiaTheme="majorEastAsia"/>
        </w:rPr>
        <w:t xml:space="preserve"> some local authorities, especially councils that have jurisdiction over a </w:t>
      </w:r>
      <w:r w:rsidR="00923B22">
        <w:rPr>
          <w:rFonts w:eastAsiaTheme="majorEastAsia"/>
        </w:rPr>
        <w:t>‘medium growth urban area’</w:t>
      </w:r>
      <w:r w:rsidRPr="009842CA">
        <w:rPr>
          <w:rFonts w:eastAsiaTheme="majorEastAsia"/>
        </w:rPr>
        <w:t xml:space="preserve">. These local authorities </w:t>
      </w:r>
      <w:r w:rsidR="00F27A65">
        <w:rPr>
          <w:rFonts w:eastAsiaTheme="majorEastAsia"/>
        </w:rPr>
        <w:t>saw</w:t>
      </w:r>
      <w:r w:rsidR="00F27A65" w:rsidRPr="009842CA">
        <w:rPr>
          <w:rFonts w:eastAsiaTheme="majorEastAsia"/>
        </w:rPr>
        <w:t xml:space="preserve"> </w:t>
      </w:r>
      <w:r w:rsidRPr="009842CA">
        <w:rPr>
          <w:rFonts w:eastAsiaTheme="majorEastAsia"/>
        </w:rPr>
        <w:t>the requirement to pro</w:t>
      </w:r>
      <w:r w:rsidR="00193545">
        <w:rPr>
          <w:rFonts w:eastAsiaTheme="majorEastAsia"/>
        </w:rPr>
        <w:t>duce Housing and Business Land a</w:t>
      </w:r>
      <w:r w:rsidRPr="009842CA">
        <w:rPr>
          <w:rFonts w:eastAsiaTheme="majorEastAsia"/>
        </w:rPr>
        <w:t xml:space="preserve">ssessments every three years as onerous. </w:t>
      </w:r>
      <w:r w:rsidR="00370B22">
        <w:rPr>
          <w:rFonts w:eastAsiaTheme="majorEastAsia"/>
        </w:rPr>
        <w:t>M</w:t>
      </w:r>
      <w:r w:rsidRPr="009842CA">
        <w:rPr>
          <w:rFonts w:eastAsiaTheme="majorEastAsia"/>
        </w:rPr>
        <w:t>any of these local authorities did not recognise</w:t>
      </w:r>
      <w:r w:rsidR="00370B22">
        <w:rPr>
          <w:rFonts w:eastAsiaTheme="majorEastAsia"/>
        </w:rPr>
        <w:t>, however,</w:t>
      </w:r>
      <w:r w:rsidRPr="009842CA">
        <w:rPr>
          <w:rFonts w:eastAsiaTheme="majorEastAsia"/>
        </w:rPr>
        <w:t xml:space="preserve"> that </w:t>
      </w:r>
      <w:r w:rsidR="00F27A65">
        <w:rPr>
          <w:rFonts w:eastAsiaTheme="majorEastAsia"/>
        </w:rPr>
        <w:t>these</w:t>
      </w:r>
      <w:r w:rsidR="00F27A65" w:rsidRPr="009842CA">
        <w:rPr>
          <w:rFonts w:eastAsiaTheme="majorEastAsia"/>
        </w:rPr>
        <w:t xml:space="preserve"> </w:t>
      </w:r>
      <w:r w:rsidRPr="009842CA">
        <w:rPr>
          <w:rFonts w:eastAsiaTheme="majorEastAsia"/>
        </w:rPr>
        <w:t>assessments should be carried out jointly across the relevant councils.</w:t>
      </w:r>
    </w:p>
    <w:p w:rsidR="00786BEA" w:rsidRPr="006B011E" w:rsidRDefault="00786BEA" w:rsidP="00AE5CF1">
      <w:pPr>
        <w:pStyle w:val="Bullet"/>
        <w:numPr>
          <w:ilvl w:val="0"/>
          <w:numId w:val="48"/>
        </w:numPr>
        <w:rPr>
          <w:rFonts w:eastAsiaTheme="majorEastAsia"/>
          <w:u w:val="single"/>
        </w:rPr>
      </w:pPr>
      <w:r w:rsidRPr="00F228EB">
        <w:rPr>
          <w:rFonts w:eastAsiaTheme="majorEastAsia"/>
          <w:i/>
        </w:rPr>
        <w:t>The requirements to provide ‘sufficient’ development capacity:</w:t>
      </w:r>
      <w:r w:rsidR="006B011E">
        <w:rPr>
          <w:rFonts w:eastAsiaTheme="majorEastAsia"/>
        </w:rPr>
        <w:t xml:space="preserve"> </w:t>
      </w:r>
      <w:r w:rsidR="00370B22">
        <w:rPr>
          <w:rFonts w:eastAsiaTheme="majorEastAsia"/>
        </w:rPr>
        <w:br/>
      </w:r>
      <w:r w:rsidR="00F27A65">
        <w:rPr>
          <w:rFonts w:eastAsiaTheme="majorEastAsia"/>
        </w:rPr>
        <w:t>S</w:t>
      </w:r>
      <w:r w:rsidR="006B011E">
        <w:rPr>
          <w:rFonts w:eastAsiaTheme="majorEastAsia"/>
        </w:rPr>
        <w:t xml:space="preserve">ubmitters were </w:t>
      </w:r>
      <w:r w:rsidR="00F27A65">
        <w:rPr>
          <w:rFonts w:eastAsiaTheme="majorEastAsia"/>
        </w:rPr>
        <w:t xml:space="preserve">mainly </w:t>
      </w:r>
      <w:r w:rsidR="006B011E">
        <w:rPr>
          <w:rFonts w:eastAsiaTheme="majorEastAsia"/>
        </w:rPr>
        <w:t xml:space="preserve">concerned with three aspects of the requirements </w:t>
      </w:r>
      <w:r w:rsidR="00722F09">
        <w:rPr>
          <w:rFonts w:eastAsiaTheme="majorEastAsia"/>
        </w:rPr>
        <w:t xml:space="preserve">for </w:t>
      </w:r>
      <w:r w:rsidR="006B011E">
        <w:rPr>
          <w:rFonts w:eastAsiaTheme="majorEastAsia"/>
        </w:rPr>
        <w:t>sufficient development capacity</w:t>
      </w:r>
      <w:r w:rsidR="00722F09">
        <w:rPr>
          <w:rFonts w:eastAsiaTheme="majorEastAsia"/>
        </w:rPr>
        <w:t>,</w:t>
      </w:r>
      <w:r w:rsidR="006B011E">
        <w:rPr>
          <w:rFonts w:eastAsiaTheme="majorEastAsia"/>
        </w:rPr>
        <w:t xml:space="preserve"> as defined by the NPS-UDC. These included:</w:t>
      </w:r>
    </w:p>
    <w:p w:rsidR="006B011E" w:rsidRPr="006B011E" w:rsidRDefault="006B011E" w:rsidP="00AE5CF1">
      <w:pPr>
        <w:pStyle w:val="Bullet"/>
        <w:numPr>
          <w:ilvl w:val="1"/>
          <w:numId w:val="48"/>
        </w:numPr>
        <w:rPr>
          <w:rFonts w:eastAsiaTheme="majorEastAsia" w:cstheme="majorBidi"/>
          <w:bCs/>
          <w:u w:val="single"/>
        </w:rPr>
      </w:pPr>
      <w:r>
        <w:rPr>
          <w:rFonts w:eastAsiaTheme="majorEastAsia" w:cstheme="majorBidi"/>
          <w:bCs/>
          <w:i/>
        </w:rPr>
        <w:t xml:space="preserve">Provision of infrastructure: </w:t>
      </w:r>
      <w:r w:rsidRPr="006B011E">
        <w:rPr>
          <w:rFonts w:eastAsiaTheme="majorEastAsia" w:cstheme="majorBidi"/>
          <w:bCs/>
        </w:rPr>
        <w:t>infrastructure is a component of the NPS-UDC def</w:t>
      </w:r>
      <w:r>
        <w:rPr>
          <w:rFonts w:eastAsiaTheme="majorEastAsia" w:cstheme="majorBidi"/>
          <w:bCs/>
        </w:rPr>
        <w:t>inition of development capacity</w:t>
      </w:r>
      <w:r w:rsidR="00722F09">
        <w:rPr>
          <w:rFonts w:eastAsiaTheme="majorEastAsia" w:cstheme="majorBidi"/>
          <w:bCs/>
        </w:rPr>
        <w:t>,</w:t>
      </w:r>
      <w:r>
        <w:rPr>
          <w:rFonts w:eastAsiaTheme="majorEastAsia" w:cstheme="majorBidi"/>
          <w:bCs/>
        </w:rPr>
        <w:t xml:space="preserve"> and many submitters thought that the requirement that infrastructure should ‘exist or be likely to exist’ created ambiguity. Submitters, including many local authorities, also commented that the definition of ‘infrastructure’ itself was too narrow and that it should be expanded to include social infrastructure covering schools, open spaces and reserves.</w:t>
      </w:r>
    </w:p>
    <w:p w:rsidR="006B011E" w:rsidRPr="007F1544" w:rsidRDefault="006B011E" w:rsidP="00AE5CF1">
      <w:pPr>
        <w:pStyle w:val="Bullet"/>
        <w:numPr>
          <w:ilvl w:val="1"/>
          <w:numId w:val="48"/>
        </w:numPr>
        <w:rPr>
          <w:rFonts w:eastAsiaTheme="majorEastAsia" w:cstheme="majorBidi"/>
          <w:bCs/>
          <w:u w:val="single"/>
        </w:rPr>
      </w:pPr>
      <w:r>
        <w:rPr>
          <w:rFonts w:eastAsiaTheme="majorEastAsia" w:cstheme="majorBidi"/>
          <w:bCs/>
          <w:i/>
        </w:rPr>
        <w:t>Sufficiency margins</w:t>
      </w:r>
      <w:r>
        <w:rPr>
          <w:rFonts w:eastAsiaTheme="majorEastAsia" w:cstheme="majorBidi"/>
          <w:bCs/>
        </w:rPr>
        <w:t xml:space="preserve">: some local authorities considered </w:t>
      </w:r>
      <w:r w:rsidR="00722F09">
        <w:rPr>
          <w:rFonts w:eastAsiaTheme="majorEastAsia" w:cstheme="majorBidi"/>
          <w:bCs/>
        </w:rPr>
        <w:t xml:space="preserve">that </w:t>
      </w:r>
      <w:r>
        <w:rPr>
          <w:rFonts w:eastAsiaTheme="majorEastAsia" w:cstheme="majorBidi"/>
          <w:bCs/>
        </w:rPr>
        <w:t xml:space="preserve">the requirement to over-provide development capacity </w:t>
      </w:r>
      <w:r w:rsidR="00722F09">
        <w:rPr>
          <w:rFonts w:eastAsiaTheme="majorEastAsia" w:cstheme="majorBidi"/>
          <w:bCs/>
        </w:rPr>
        <w:t xml:space="preserve">was </w:t>
      </w:r>
      <w:r>
        <w:rPr>
          <w:rFonts w:eastAsiaTheme="majorEastAsia" w:cstheme="majorBidi"/>
          <w:bCs/>
        </w:rPr>
        <w:t>inappropriate</w:t>
      </w:r>
      <w:r w:rsidR="00722F09">
        <w:rPr>
          <w:rFonts w:eastAsiaTheme="majorEastAsia" w:cstheme="majorBidi"/>
          <w:bCs/>
        </w:rPr>
        <w:t>.</w:t>
      </w:r>
      <w:r w:rsidR="007F1544">
        <w:rPr>
          <w:rFonts w:eastAsiaTheme="majorEastAsia" w:cstheme="majorBidi"/>
          <w:bCs/>
        </w:rPr>
        <w:t xml:space="preserve"> </w:t>
      </w:r>
      <w:r w:rsidR="00722F09">
        <w:rPr>
          <w:rFonts w:eastAsiaTheme="majorEastAsia" w:cstheme="majorBidi"/>
          <w:bCs/>
        </w:rPr>
        <w:t>T</w:t>
      </w:r>
      <w:r w:rsidR="007F1544">
        <w:rPr>
          <w:rFonts w:eastAsiaTheme="majorEastAsia" w:cstheme="majorBidi"/>
          <w:bCs/>
        </w:rPr>
        <w:t xml:space="preserve">heir comments focused in particular on the fiscal impacts of supplying infrastructure to support this. In contrast, </w:t>
      </w:r>
      <w:r w:rsidR="00C353A8">
        <w:rPr>
          <w:rFonts w:eastAsiaTheme="majorEastAsia" w:cstheme="majorBidi"/>
          <w:bCs/>
        </w:rPr>
        <w:t xml:space="preserve">other </w:t>
      </w:r>
      <w:r w:rsidR="007F1544">
        <w:rPr>
          <w:rFonts w:eastAsiaTheme="majorEastAsia" w:cstheme="majorBidi"/>
          <w:bCs/>
        </w:rPr>
        <w:t xml:space="preserve">submissions (primarily from the </w:t>
      </w:r>
      <w:r w:rsidR="00722F09">
        <w:rPr>
          <w:rFonts w:eastAsiaTheme="majorEastAsia" w:cstheme="majorBidi"/>
          <w:bCs/>
        </w:rPr>
        <w:t>d</w:t>
      </w:r>
      <w:r w:rsidR="007F1544">
        <w:rPr>
          <w:rFonts w:eastAsiaTheme="majorEastAsia" w:cstheme="majorBidi"/>
          <w:bCs/>
        </w:rPr>
        <w:t xml:space="preserve">evelopment </w:t>
      </w:r>
      <w:r w:rsidR="00722F09">
        <w:rPr>
          <w:rFonts w:eastAsiaTheme="majorEastAsia" w:cstheme="majorBidi"/>
          <w:bCs/>
        </w:rPr>
        <w:t>s</w:t>
      </w:r>
      <w:r w:rsidR="007F1544">
        <w:rPr>
          <w:rFonts w:eastAsiaTheme="majorEastAsia" w:cstheme="majorBidi"/>
          <w:bCs/>
        </w:rPr>
        <w:t xml:space="preserve">ector) </w:t>
      </w:r>
      <w:r w:rsidR="0071794B">
        <w:rPr>
          <w:rFonts w:eastAsiaTheme="majorEastAsia" w:cstheme="majorBidi"/>
          <w:bCs/>
        </w:rPr>
        <w:t xml:space="preserve">considered </w:t>
      </w:r>
      <w:r w:rsidR="007F1544">
        <w:rPr>
          <w:rFonts w:eastAsiaTheme="majorEastAsia" w:cstheme="majorBidi"/>
          <w:bCs/>
        </w:rPr>
        <w:t>that margins in the definition should be markedly increased.</w:t>
      </w:r>
    </w:p>
    <w:p w:rsidR="007F1544" w:rsidRPr="007F1544" w:rsidRDefault="007F1544" w:rsidP="00AE5CF1">
      <w:pPr>
        <w:pStyle w:val="Bullet"/>
        <w:numPr>
          <w:ilvl w:val="1"/>
          <w:numId w:val="48"/>
        </w:numPr>
        <w:rPr>
          <w:rFonts w:eastAsiaTheme="majorEastAsia" w:cstheme="majorBidi"/>
          <w:bCs/>
          <w:u w:val="single"/>
        </w:rPr>
      </w:pPr>
      <w:r>
        <w:rPr>
          <w:rFonts w:eastAsiaTheme="majorEastAsia" w:cstheme="majorBidi"/>
          <w:bCs/>
          <w:i/>
        </w:rPr>
        <w:t xml:space="preserve">Other council: </w:t>
      </w:r>
      <w:r>
        <w:rPr>
          <w:rFonts w:eastAsiaTheme="majorEastAsia" w:cstheme="majorBidi"/>
          <w:bCs/>
        </w:rPr>
        <w:t xml:space="preserve">many ‘other councils’ </w:t>
      </w:r>
      <w:r w:rsidR="0071794B">
        <w:rPr>
          <w:rFonts w:eastAsiaTheme="majorEastAsia" w:cstheme="majorBidi"/>
          <w:bCs/>
        </w:rPr>
        <w:t>(</w:t>
      </w:r>
      <w:r>
        <w:rPr>
          <w:rFonts w:eastAsiaTheme="majorEastAsia" w:cstheme="majorBidi"/>
          <w:bCs/>
        </w:rPr>
        <w:t xml:space="preserve">those </w:t>
      </w:r>
      <w:r w:rsidR="0071794B">
        <w:rPr>
          <w:rFonts w:eastAsiaTheme="majorEastAsia" w:cstheme="majorBidi"/>
          <w:bCs/>
        </w:rPr>
        <w:t xml:space="preserve">who </w:t>
      </w:r>
      <w:r>
        <w:rPr>
          <w:rFonts w:eastAsiaTheme="majorEastAsia" w:cstheme="majorBidi"/>
          <w:bCs/>
        </w:rPr>
        <w:t>do not h</w:t>
      </w:r>
      <w:r w:rsidR="00923B22">
        <w:rPr>
          <w:rFonts w:eastAsiaTheme="majorEastAsia" w:cstheme="majorBidi"/>
          <w:bCs/>
        </w:rPr>
        <w:t>ave jurisdiction over either a ‘m</w:t>
      </w:r>
      <w:r>
        <w:rPr>
          <w:rFonts w:eastAsiaTheme="majorEastAsia" w:cstheme="majorBidi"/>
          <w:bCs/>
        </w:rPr>
        <w:t xml:space="preserve">edium or a </w:t>
      </w:r>
      <w:r w:rsidR="00923B22">
        <w:rPr>
          <w:rFonts w:eastAsiaTheme="majorEastAsia" w:cstheme="majorBidi"/>
          <w:bCs/>
        </w:rPr>
        <w:t>high growth urban area’</w:t>
      </w:r>
      <w:r w:rsidR="0071794B">
        <w:rPr>
          <w:rFonts w:eastAsiaTheme="majorEastAsia" w:cstheme="majorBidi"/>
          <w:bCs/>
        </w:rPr>
        <w:t>)</w:t>
      </w:r>
      <w:r>
        <w:rPr>
          <w:rFonts w:eastAsiaTheme="majorEastAsia" w:cstheme="majorBidi"/>
          <w:bCs/>
        </w:rPr>
        <w:t xml:space="preserve"> called for more clarity about what was expected of them to show compliance with the requirement to provide sufficient development capacity.</w:t>
      </w:r>
    </w:p>
    <w:p w:rsidR="00CE1AD7" w:rsidRPr="00AE3981" w:rsidRDefault="00CE1AD7" w:rsidP="00AE5CF1">
      <w:pPr>
        <w:pStyle w:val="Bullet"/>
        <w:numPr>
          <w:ilvl w:val="0"/>
          <w:numId w:val="48"/>
        </w:numPr>
        <w:rPr>
          <w:rFonts w:eastAsiaTheme="majorEastAsia" w:cstheme="majorBidi"/>
          <w:bCs/>
          <w:u w:val="single"/>
        </w:rPr>
      </w:pPr>
      <w:r w:rsidRPr="00F228EB">
        <w:rPr>
          <w:rFonts w:eastAsiaTheme="majorEastAsia" w:cstheme="majorBidi"/>
          <w:bCs/>
          <w:i/>
        </w:rPr>
        <w:t>Implementation of the NPS-UDC:</w:t>
      </w:r>
      <w:r>
        <w:rPr>
          <w:rFonts w:eastAsiaTheme="majorEastAsia" w:cstheme="majorBidi"/>
          <w:bCs/>
        </w:rPr>
        <w:t xml:space="preserve"> </w:t>
      </w:r>
      <w:r w:rsidR="0071794B">
        <w:rPr>
          <w:rFonts w:eastAsiaTheme="majorEastAsia" w:cstheme="majorBidi"/>
          <w:bCs/>
        </w:rPr>
        <w:br/>
        <w:t>M</w:t>
      </w:r>
      <w:r>
        <w:rPr>
          <w:rFonts w:eastAsiaTheme="majorEastAsia" w:cstheme="majorBidi"/>
          <w:bCs/>
        </w:rPr>
        <w:t>ost submissions</w:t>
      </w:r>
      <w:r w:rsidR="00AE3981">
        <w:rPr>
          <w:rFonts w:eastAsiaTheme="majorEastAsia" w:cstheme="majorBidi"/>
          <w:bCs/>
        </w:rPr>
        <w:t xml:space="preserve"> raised the need for an intensive guidance and implementation programme that provides consistent methodologies for carrying out assessments and monitoring and sought to establish better relationships and coordination with central government.</w:t>
      </w:r>
    </w:p>
    <w:p w:rsidR="00AE3981" w:rsidRPr="000856CD" w:rsidRDefault="00AE3981" w:rsidP="00AE5CF1">
      <w:pPr>
        <w:pStyle w:val="Bullet"/>
        <w:numPr>
          <w:ilvl w:val="0"/>
          <w:numId w:val="48"/>
        </w:numPr>
        <w:rPr>
          <w:rFonts w:eastAsiaTheme="majorEastAsia" w:cstheme="majorBidi"/>
          <w:bCs/>
          <w:u w:val="single"/>
        </w:rPr>
      </w:pPr>
      <w:r w:rsidRPr="00F228EB">
        <w:rPr>
          <w:rFonts w:eastAsiaTheme="majorEastAsia" w:cstheme="majorBidi"/>
          <w:bCs/>
          <w:i/>
        </w:rPr>
        <w:t xml:space="preserve">Central </w:t>
      </w:r>
      <w:r w:rsidR="0071794B" w:rsidRPr="00F228EB">
        <w:rPr>
          <w:rFonts w:eastAsiaTheme="majorEastAsia" w:cstheme="majorBidi"/>
          <w:bCs/>
          <w:i/>
        </w:rPr>
        <w:t>g</w:t>
      </w:r>
      <w:r w:rsidRPr="00F228EB">
        <w:rPr>
          <w:rFonts w:eastAsiaTheme="majorEastAsia" w:cstheme="majorBidi"/>
          <w:bCs/>
          <w:i/>
        </w:rPr>
        <w:t>overnment role in infrastructure provision:</w:t>
      </w:r>
      <w:r w:rsidRPr="0071794B">
        <w:rPr>
          <w:rFonts w:eastAsiaTheme="majorEastAsia" w:cstheme="majorBidi"/>
          <w:bCs/>
        </w:rPr>
        <w:t xml:space="preserve"> </w:t>
      </w:r>
      <w:r w:rsidR="0071794B">
        <w:rPr>
          <w:rFonts w:eastAsiaTheme="majorEastAsia" w:cstheme="majorBidi"/>
          <w:bCs/>
        </w:rPr>
        <w:br/>
        <w:t>I</w:t>
      </w:r>
      <w:r>
        <w:rPr>
          <w:rFonts w:eastAsiaTheme="majorEastAsia" w:cstheme="majorBidi"/>
          <w:bCs/>
        </w:rPr>
        <w:t xml:space="preserve">n lieu of item </w:t>
      </w:r>
      <w:r w:rsidR="009842CA">
        <w:rPr>
          <w:rFonts w:eastAsiaTheme="majorEastAsia" w:cstheme="majorBidi"/>
          <w:bCs/>
        </w:rPr>
        <w:t>h</w:t>
      </w:r>
      <w:r>
        <w:rPr>
          <w:rFonts w:eastAsiaTheme="majorEastAsia" w:cstheme="majorBidi"/>
          <w:bCs/>
        </w:rPr>
        <w:t>)</w:t>
      </w:r>
      <w:r w:rsidR="009842CA">
        <w:rPr>
          <w:rFonts w:eastAsiaTheme="majorEastAsia" w:cstheme="majorBidi"/>
          <w:bCs/>
        </w:rPr>
        <w:t>(a)</w:t>
      </w:r>
      <w:r w:rsidR="00193545">
        <w:rPr>
          <w:rFonts w:eastAsiaTheme="majorEastAsia" w:cstheme="majorBidi"/>
          <w:bCs/>
        </w:rPr>
        <w:t xml:space="preserve"> ‘provision of infrastru</w:t>
      </w:r>
      <w:r w:rsidR="00541AE3">
        <w:rPr>
          <w:rFonts w:eastAsiaTheme="majorEastAsia" w:cstheme="majorBidi"/>
          <w:bCs/>
        </w:rPr>
        <w:t>c</w:t>
      </w:r>
      <w:r w:rsidR="00193545">
        <w:rPr>
          <w:rFonts w:eastAsiaTheme="majorEastAsia" w:cstheme="majorBidi"/>
          <w:bCs/>
        </w:rPr>
        <w:t>ture’</w:t>
      </w:r>
      <w:r>
        <w:rPr>
          <w:rFonts w:eastAsiaTheme="majorEastAsia" w:cstheme="majorBidi"/>
          <w:bCs/>
        </w:rPr>
        <w:t xml:space="preserve"> above, many of the submissions from </w:t>
      </w:r>
      <w:r w:rsidR="00722F09">
        <w:rPr>
          <w:rFonts w:eastAsiaTheme="majorEastAsia" w:cstheme="majorBidi"/>
          <w:bCs/>
        </w:rPr>
        <w:t>l</w:t>
      </w:r>
      <w:r>
        <w:rPr>
          <w:rFonts w:eastAsiaTheme="majorEastAsia" w:cstheme="majorBidi"/>
          <w:bCs/>
        </w:rPr>
        <w:t xml:space="preserve">ocal </w:t>
      </w:r>
      <w:r w:rsidR="00722F09">
        <w:rPr>
          <w:rFonts w:eastAsiaTheme="majorEastAsia" w:cstheme="majorBidi"/>
          <w:bCs/>
        </w:rPr>
        <w:t>a</w:t>
      </w:r>
      <w:r>
        <w:rPr>
          <w:rFonts w:eastAsiaTheme="majorEastAsia" w:cstheme="majorBidi"/>
          <w:bCs/>
        </w:rPr>
        <w:t xml:space="preserve">uthorities, </w:t>
      </w:r>
      <w:r w:rsidR="00722F09">
        <w:rPr>
          <w:rFonts w:eastAsiaTheme="majorEastAsia" w:cstheme="majorBidi"/>
          <w:bCs/>
        </w:rPr>
        <w:t>i</w:t>
      </w:r>
      <w:r>
        <w:rPr>
          <w:rFonts w:eastAsiaTheme="majorEastAsia" w:cstheme="majorBidi"/>
          <w:bCs/>
        </w:rPr>
        <w:t xml:space="preserve">nfrastructure </w:t>
      </w:r>
      <w:r w:rsidR="00722F09">
        <w:rPr>
          <w:rFonts w:eastAsiaTheme="majorEastAsia" w:cstheme="majorBidi"/>
          <w:bCs/>
        </w:rPr>
        <w:t>p</w:t>
      </w:r>
      <w:r>
        <w:rPr>
          <w:rFonts w:eastAsiaTheme="majorEastAsia" w:cstheme="majorBidi"/>
          <w:bCs/>
        </w:rPr>
        <w:t xml:space="preserve">roviders and the </w:t>
      </w:r>
      <w:r w:rsidR="00722F09">
        <w:rPr>
          <w:rFonts w:eastAsiaTheme="majorEastAsia" w:cstheme="majorBidi"/>
          <w:bCs/>
        </w:rPr>
        <w:t>d</w:t>
      </w:r>
      <w:r>
        <w:rPr>
          <w:rFonts w:eastAsiaTheme="majorEastAsia" w:cstheme="majorBidi"/>
          <w:bCs/>
        </w:rPr>
        <w:t xml:space="preserve">evelopment </w:t>
      </w:r>
      <w:r w:rsidR="00722F09">
        <w:rPr>
          <w:rFonts w:eastAsiaTheme="majorEastAsia" w:cstheme="majorBidi"/>
          <w:bCs/>
        </w:rPr>
        <w:t>s</w:t>
      </w:r>
      <w:r>
        <w:rPr>
          <w:rFonts w:eastAsiaTheme="majorEastAsia" w:cstheme="majorBidi"/>
          <w:bCs/>
        </w:rPr>
        <w:t xml:space="preserve">ector commented that </w:t>
      </w:r>
      <w:r w:rsidR="0071794B">
        <w:rPr>
          <w:rFonts w:eastAsiaTheme="majorEastAsia" w:cstheme="majorBidi"/>
          <w:bCs/>
        </w:rPr>
        <w:t xml:space="preserve">provision of infrastructure by </w:t>
      </w:r>
      <w:r>
        <w:rPr>
          <w:rFonts w:eastAsiaTheme="majorEastAsia" w:cstheme="majorBidi"/>
          <w:bCs/>
        </w:rPr>
        <w:t>central government is critical in any local authority response to growth.</w:t>
      </w:r>
    </w:p>
    <w:p w:rsidR="00D0169D" w:rsidRPr="00CE1AD7" w:rsidRDefault="00D0169D" w:rsidP="00AE5CF1">
      <w:pPr>
        <w:pStyle w:val="Bullet"/>
        <w:numPr>
          <w:ilvl w:val="0"/>
          <w:numId w:val="48"/>
        </w:numPr>
        <w:rPr>
          <w:rFonts w:eastAsiaTheme="majorEastAsia" w:cstheme="majorBidi"/>
          <w:bCs/>
          <w:u w:val="single"/>
        </w:rPr>
      </w:pPr>
      <w:r w:rsidRPr="00F228EB">
        <w:rPr>
          <w:rFonts w:eastAsiaTheme="majorEastAsia" w:cstheme="majorBidi"/>
          <w:bCs/>
          <w:i/>
        </w:rPr>
        <w:t>Reverse sensitivity:</w:t>
      </w:r>
      <w:r>
        <w:rPr>
          <w:rFonts w:eastAsiaTheme="majorEastAsia" w:cstheme="majorBidi"/>
          <w:bCs/>
        </w:rPr>
        <w:t xml:space="preserve"> </w:t>
      </w:r>
      <w:r w:rsidR="0071794B">
        <w:rPr>
          <w:rFonts w:eastAsiaTheme="majorEastAsia" w:cstheme="majorBidi"/>
          <w:bCs/>
        </w:rPr>
        <w:br/>
      </w:r>
      <w:r>
        <w:rPr>
          <w:rFonts w:eastAsiaTheme="majorEastAsia" w:cstheme="majorBidi"/>
          <w:bCs/>
        </w:rPr>
        <w:t>Business/</w:t>
      </w:r>
      <w:r w:rsidR="0071794B">
        <w:rPr>
          <w:rFonts w:eastAsiaTheme="majorEastAsia" w:cstheme="majorBidi"/>
          <w:bCs/>
        </w:rPr>
        <w:t>i</w:t>
      </w:r>
      <w:r>
        <w:rPr>
          <w:rFonts w:eastAsiaTheme="majorEastAsia" w:cstheme="majorBidi"/>
          <w:bCs/>
        </w:rPr>
        <w:t xml:space="preserve">ndustry and </w:t>
      </w:r>
      <w:r w:rsidR="0071794B">
        <w:rPr>
          <w:rFonts w:eastAsiaTheme="majorEastAsia" w:cstheme="majorBidi"/>
          <w:bCs/>
        </w:rPr>
        <w:t>i</w:t>
      </w:r>
      <w:r>
        <w:rPr>
          <w:rFonts w:eastAsiaTheme="majorEastAsia" w:cstheme="majorBidi"/>
          <w:bCs/>
        </w:rPr>
        <w:t xml:space="preserve">nfrastructure </w:t>
      </w:r>
      <w:r w:rsidR="0071794B">
        <w:rPr>
          <w:rFonts w:eastAsiaTheme="majorEastAsia" w:cstheme="majorBidi"/>
          <w:bCs/>
        </w:rPr>
        <w:t>p</w:t>
      </w:r>
      <w:r>
        <w:rPr>
          <w:rFonts w:eastAsiaTheme="majorEastAsia" w:cstheme="majorBidi"/>
          <w:bCs/>
        </w:rPr>
        <w:t xml:space="preserve">roviders submitted strongly that the proposed NPS-UDC needed to provide direction for reverse sensitivity, even though the </w:t>
      </w:r>
      <w:r w:rsidR="0071794B">
        <w:rPr>
          <w:rFonts w:eastAsiaTheme="majorEastAsia" w:cstheme="majorBidi"/>
          <w:bCs/>
        </w:rPr>
        <w:t>c</w:t>
      </w:r>
      <w:r>
        <w:rPr>
          <w:rFonts w:eastAsiaTheme="majorEastAsia" w:cstheme="majorBidi"/>
          <w:bCs/>
        </w:rPr>
        <w:t xml:space="preserve">onsultation </w:t>
      </w:r>
      <w:r w:rsidR="0071794B">
        <w:rPr>
          <w:rFonts w:eastAsiaTheme="majorEastAsia" w:cstheme="majorBidi"/>
          <w:bCs/>
        </w:rPr>
        <w:t>d</w:t>
      </w:r>
      <w:r>
        <w:rPr>
          <w:rFonts w:eastAsiaTheme="majorEastAsia" w:cstheme="majorBidi"/>
          <w:bCs/>
        </w:rPr>
        <w:t>ocument had stated that this had not been addressed due to its complexity and the timeline of the national direction.</w:t>
      </w:r>
    </w:p>
    <w:p w:rsidR="0071794B" w:rsidRPr="00AE5CF1" w:rsidRDefault="0071794B" w:rsidP="00AE5CF1">
      <w:pPr>
        <w:pStyle w:val="Bullet"/>
        <w:numPr>
          <w:ilvl w:val="0"/>
          <w:numId w:val="48"/>
        </w:numPr>
        <w:rPr>
          <w:rStyle w:val="Heading1Char"/>
          <w:bCs w:val="0"/>
        </w:rPr>
      </w:pPr>
      <w:r w:rsidRPr="00AE5CF1">
        <w:rPr>
          <w:rStyle w:val="Heading1Char"/>
          <w:b w:val="0"/>
        </w:rPr>
        <w:br w:type="page"/>
      </w:r>
    </w:p>
    <w:p w:rsidR="00C473A9" w:rsidRPr="007F14B0" w:rsidRDefault="00C473A9" w:rsidP="007F14B0">
      <w:pPr>
        <w:pStyle w:val="Heading1"/>
        <w:rPr>
          <w:rStyle w:val="Heading1Char"/>
          <w:b/>
          <w:bCs/>
        </w:rPr>
      </w:pPr>
      <w:bookmarkStart w:id="4" w:name="_Toc461185714"/>
      <w:r w:rsidRPr="007F14B0">
        <w:rPr>
          <w:rStyle w:val="Heading1Char"/>
          <w:b/>
          <w:bCs/>
        </w:rPr>
        <w:t>Background</w:t>
      </w:r>
      <w:bookmarkEnd w:id="4"/>
    </w:p>
    <w:p w:rsidR="00C473A9" w:rsidRPr="002D0857" w:rsidRDefault="00C473A9" w:rsidP="00520BAB">
      <w:pPr>
        <w:pStyle w:val="BodyText"/>
        <w:rPr>
          <w:rFonts w:cs="Times New Roman"/>
        </w:rPr>
      </w:pPr>
      <w:r w:rsidRPr="00C473A9">
        <w:t>A national policy statement</w:t>
      </w:r>
      <w:r w:rsidR="002D36AC">
        <w:t xml:space="preserve"> (NPS)</w:t>
      </w:r>
      <w:r w:rsidRPr="00C473A9">
        <w:t xml:space="preserve"> is an instrument issued under section 52(2) of the Resource Management Act 1991 (RMA). The purpose of the proposed National Policy Statement on Urban Development Capacity (</w:t>
      </w:r>
      <w:r w:rsidR="002D0259">
        <w:t>NPS-UDC</w:t>
      </w:r>
      <w:r w:rsidRPr="00C473A9">
        <w:t xml:space="preserve">) </w:t>
      </w:r>
      <w:r w:rsidR="00193545">
        <w:t>is to provide direction to decision-makers under the RMA on urban planning. It has a particular focus on ensuring that planning enables development through providing sufficient development capacity for housing and businesses.</w:t>
      </w:r>
    </w:p>
    <w:p w:rsidR="00C473A9" w:rsidRPr="00C473A9" w:rsidRDefault="00C473A9" w:rsidP="00520BAB">
      <w:pPr>
        <w:pStyle w:val="BodyText"/>
      </w:pPr>
      <w:r w:rsidRPr="00C473A9">
        <w:t>Some urban areas in New Zealand are growing quickly. Regional and district councils are under pressure to provide</w:t>
      </w:r>
      <w:r w:rsidR="000856CD">
        <w:t xml:space="preserve"> </w:t>
      </w:r>
      <w:r w:rsidR="00C12FED">
        <w:t xml:space="preserve">zoning for development </w:t>
      </w:r>
      <w:r w:rsidR="000856CD">
        <w:t>in step with the demand</w:t>
      </w:r>
      <w:r w:rsidR="00CC0441">
        <w:t>,</w:t>
      </w:r>
      <w:r w:rsidR="000856CD">
        <w:t xml:space="preserve"> </w:t>
      </w:r>
      <w:r w:rsidR="00C12FED">
        <w:t>and</w:t>
      </w:r>
      <w:r w:rsidR="000856CD">
        <w:t xml:space="preserve"> ensure </w:t>
      </w:r>
      <w:r w:rsidR="00CC0441">
        <w:t>that appropriate</w:t>
      </w:r>
      <w:r w:rsidR="00C12FED">
        <w:t xml:space="preserve"> infrastructure that supports that development</w:t>
      </w:r>
      <w:r w:rsidR="002A31A8">
        <w:t xml:space="preserve"> </w:t>
      </w:r>
      <w:r w:rsidR="00CC0441">
        <w:t>is provided</w:t>
      </w:r>
      <w:r w:rsidR="000856CD">
        <w:t>.</w:t>
      </w:r>
      <w:r w:rsidRPr="00C473A9">
        <w:t xml:space="preserve"> To support productive and well-functioning cities, it is important that regional policy statements and regional and district plans provide adequate opportunities to develop land for business and housing</w:t>
      </w:r>
      <w:r w:rsidR="00CC0441">
        <w:t>,</w:t>
      </w:r>
      <w:r w:rsidRPr="00C473A9">
        <w:t xml:space="preserve"> and contribute to competitive land and development markets.</w:t>
      </w:r>
    </w:p>
    <w:p w:rsidR="00C473A9" w:rsidRPr="00C473A9" w:rsidRDefault="00C473A9" w:rsidP="00520BAB">
      <w:pPr>
        <w:pStyle w:val="BodyText"/>
      </w:pPr>
      <w:r w:rsidRPr="00C473A9">
        <w:t xml:space="preserve">Insufficient development capacity in some urban areas is a key determinant in the increasing land and house prices being experienced in </w:t>
      </w:r>
      <w:r w:rsidR="00CC0441" w:rsidRPr="00C473A9">
        <w:t xml:space="preserve">some </w:t>
      </w:r>
      <w:r w:rsidR="002A31A8">
        <w:t>parts of the country</w:t>
      </w:r>
      <w:r w:rsidRPr="00C473A9">
        <w:t>.</w:t>
      </w:r>
    </w:p>
    <w:p w:rsidR="001C5E55" w:rsidRPr="00520BAB" w:rsidRDefault="00C473A9" w:rsidP="00520BAB">
      <w:pPr>
        <w:pStyle w:val="BodyText"/>
        <w:rPr>
          <w:b/>
        </w:rPr>
      </w:pPr>
      <w:r w:rsidRPr="00520BAB">
        <w:rPr>
          <w:b/>
        </w:rPr>
        <w:t xml:space="preserve">The report </w:t>
      </w:r>
      <w:r w:rsidRPr="00520BAB">
        <w:rPr>
          <w:b/>
          <w:i/>
        </w:rPr>
        <w:t>Using Land for Housing</w:t>
      </w:r>
      <w:r w:rsidRPr="00520BAB">
        <w:rPr>
          <w:b/>
        </w:rPr>
        <w:t xml:space="preserve"> (</w:t>
      </w:r>
      <w:r w:rsidR="00C20A17" w:rsidRPr="00520BAB">
        <w:rPr>
          <w:b/>
        </w:rPr>
        <w:t>Productivity Commission</w:t>
      </w:r>
      <w:r w:rsidRPr="00520BAB">
        <w:rPr>
          <w:b/>
        </w:rPr>
        <w:t>, 2015) recommended that a national policy statement could help to address the constraints on development capacity in the resource management system.</w:t>
      </w:r>
    </w:p>
    <w:p w:rsidR="000856CD" w:rsidRDefault="000856CD" w:rsidP="000856CD">
      <w:pPr>
        <w:pStyle w:val="BodyText"/>
      </w:pPr>
      <w:r>
        <w:t>The NPS-UDC applies a tiered approach</w:t>
      </w:r>
      <w:r w:rsidR="001C5E55">
        <w:t>,</w:t>
      </w:r>
      <w:r>
        <w:t xml:space="preserve"> with a tiered set of requirements targeted to different </w:t>
      </w:r>
      <w:r w:rsidR="00E62C72">
        <w:t>u</w:t>
      </w:r>
      <w:r>
        <w:t xml:space="preserve">rban </w:t>
      </w:r>
      <w:r w:rsidR="00F228EB">
        <w:t>a</w:t>
      </w:r>
      <w:r>
        <w:t xml:space="preserve">reas. </w:t>
      </w:r>
      <w:r w:rsidR="001C5E55">
        <w:t>T</w:t>
      </w:r>
      <w:r>
        <w:t>o target policies to different local authorities and provide a geographic basis for coordination across local authority boundaries, the NPS-UDC has used the Statistics New Zealand’s Urban Areas and population projections</w:t>
      </w:r>
      <w:r w:rsidR="0046263D">
        <w:t xml:space="preserve"> (Statistics New Zealand, 2016a)</w:t>
      </w:r>
      <w:r>
        <w:t xml:space="preserve"> as a tool for triggering requirements. </w:t>
      </w:r>
      <w:r w:rsidR="00CD22A1">
        <w:t>T</w:t>
      </w:r>
      <w:r>
        <w:t xml:space="preserve">he NPS-UDC </w:t>
      </w:r>
      <w:r w:rsidR="00CD22A1">
        <w:t xml:space="preserve">polices are not intended </w:t>
      </w:r>
      <w:r>
        <w:t xml:space="preserve">to </w:t>
      </w:r>
      <w:r w:rsidR="00CD22A1">
        <w:t>only be applied</w:t>
      </w:r>
      <w:r>
        <w:t xml:space="preserve"> to the geographic boundaries of the Statistics New Zealand Urban Area.</w:t>
      </w:r>
    </w:p>
    <w:p w:rsidR="00C473A9" w:rsidRPr="006B77BB" w:rsidRDefault="00541AE3" w:rsidP="002D0857">
      <w:pPr>
        <w:pStyle w:val="BodyText"/>
      </w:pPr>
      <w:r>
        <w:t>‘Urban a</w:t>
      </w:r>
      <w:r w:rsidR="00923B22">
        <w:t>reas</w:t>
      </w:r>
      <w:r>
        <w:t>’</w:t>
      </w:r>
      <w:r w:rsidR="00923B22">
        <w:t xml:space="preserve"> include ‘medium growth urban area</w:t>
      </w:r>
      <w:r w:rsidR="000856CD">
        <w:t>s</w:t>
      </w:r>
      <w:r w:rsidR="00923B22">
        <w:t>’ and ‘high growth urban areas’</w:t>
      </w:r>
      <w:r w:rsidR="00CD22A1">
        <w:t>,</w:t>
      </w:r>
      <w:r w:rsidR="000856CD">
        <w:t xml:space="preserve"> with</w:t>
      </w:r>
      <w:r w:rsidR="0079266C">
        <w:t xml:space="preserve"> relevant </w:t>
      </w:r>
      <w:r w:rsidR="000856CD">
        <w:t xml:space="preserve">associated </w:t>
      </w:r>
      <w:r w:rsidR="0079266C">
        <w:t>local authorities</w:t>
      </w:r>
      <w:r w:rsidR="000856CD">
        <w:t xml:space="preserve"> for each</w:t>
      </w:r>
      <w:r w:rsidR="0079266C">
        <w:t>.</w:t>
      </w:r>
      <w:r w:rsidR="000856CD">
        <w:t xml:space="preserve"> There are also requirements </w:t>
      </w:r>
      <w:r w:rsidR="00CD22A1">
        <w:t xml:space="preserve">that </w:t>
      </w:r>
      <w:r w:rsidR="000856CD">
        <w:t xml:space="preserve">apply to all local </w:t>
      </w:r>
      <w:r>
        <w:t>authorities regardless of this ‘urban a</w:t>
      </w:r>
      <w:r w:rsidR="000856CD">
        <w:t>rea</w:t>
      </w:r>
      <w:r>
        <w:t>’</w:t>
      </w:r>
      <w:r w:rsidR="000856CD">
        <w:t xml:space="preserve"> trigger.</w:t>
      </w:r>
      <w:r w:rsidR="0079266C">
        <w:t xml:space="preserve"> This structure is designed to target policies to those places facing the greatest growth challenges</w:t>
      </w:r>
      <w:r w:rsidR="00CD22A1">
        <w:t>,</w:t>
      </w:r>
      <w:r w:rsidR="0079266C">
        <w:t xml:space="preserve"> while minimising the costs of meeting national direction in places </w:t>
      </w:r>
      <w:r w:rsidR="00CD22A1">
        <w:t>not facing the same challenges</w:t>
      </w:r>
      <w:r w:rsidR="0079266C">
        <w:t>.</w:t>
      </w:r>
    </w:p>
    <w:p w:rsidR="00C473A9" w:rsidRPr="007F14B0" w:rsidRDefault="00C12FED" w:rsidP="007F14B0">
      <w:pPr>
        <w:pStyle w:val="Heading2"/>
      </w:pPr>
      <w:bookmarkStart w:id="5" w:name="_Toc461185715"/>
      <w:r w:rsidRPr="007F14B0">
        <w:t xml:space="preserve">Consultation </w:t>
      </w:r>
      <w:r w:rsidR="00CD22A1" w:rsidRPr="007F14B0">
        <w:t>p</w:t>
      </w:r>
      <w:r w:rsidRPr="007F14B0">
        <w:t>rocess</w:t>
      </w:r>
      <w:bookmarkEnd w:id="5"/>
    </w:p>
    <w:p w:rsidR="007A121E" w:rsidRDefault="007A121E" w:rsidP="007F14B0">
      <w:pPr>
        <w:pStyle w:val="BodyText"/>
      </w:pPr>
      <w:r>
        <w:t>T</w:t>
      </w:r>
      <w:r w:rsidRPr="001C5E55">
        <w:t>wo phases of consultation</w:t>
      </w:r>
      <w:r>
        <w:t xml:space="preserve"> are</w:t>
      </w:r>
      <w:r w:rsidRPr="001C5E55">
        <w:t xml:space="preserve"> required under the RMA during the development of a proposed national policy statement.</w:t>
      </w:r>
    </w:p>
    <w:p w:rsidR="007A121E" w:rsidRPr="007A121E" w:rsidRDefault="007A121E" w:rsidP="007F14B0">
      <w:pPr>
        <w:pStyle w:val="BodyText"/>
      </w:pPr>
      <w:r>
        <w:t>The first phase of consultation was held between 3 December 2015 and 5 February 2016.</w:t>
      </w:r>
      <w:r w:rsidR="000A1CCC">
        <w:t xml:space="preserve"> </w:t>
      </w:r>
      <w:r w:rsidR="002D0857">
        <w:t>During that</w:t>
      </w:r>
      <w:r w:rsidR="00910AB9">
        <w:t xml:space="preserve"> phase of consultation </w:t>
      </w:r>
      <w:r w:rsidR="002D0857">
        <w:t>feedback was invited from 260</w:t>
      </w:r>
      <w:r w:rsidR="00910AB9">
        <w:t xml:space="preserve"> targeted stakeholder</w:t>
      </w:r>
      <w:r w:rsidR="002D0857">
        <w:t>s</w:t>
      </w:r>
      <w:r w:rsidR="00910AB9">
        <w:t xml:space="preserve"> of which</w:t>
      </w:r>
      <w:r w:rsidR="002D0857">
        <w:t>,</w:t>
      </w:r>
      <w:r w:rsidR="00910AB9">
        <w:t xml:space="preserve"> forty-seven </w:t>
      </w:r>
      <w:r w:rsidR="002D0857">
        <w:t>submitted a response</w:t>
      </w:r>
      <w:r w:rsidR="00910AB9">
        <w:t xml:space="preserve">. </w:t>
      </w:r>
      <w:r w:rsidR="002A31A8">
        <w:t>The report</w:t>
      </w:r>
      <w:r w:rsidR="00910AB9">
        <w:t xml:space="preserve"> on the consultation submissions can be viewed on the MfE website</w:t>
      </w:r>
      <w:r w:rsidR="009507A5">
        <w:t xml:space="preserve"> (Ministry for the Environment, 2016c)</w:t>
      </w:r>
      <w:r w:rsidR="00910AB9">
        <w:t>.</w:t>
      </w:r>
    </w:p>
    <w:p w:rsidR="00CD22A1" w:rsidRPr="001C5E55" w:rsidRDefault="00C473A9" w:rsidP="007F14B0">
      <w:pPr>
        <w:pStyle w:val="BodyText"/>
      </w:pPr>
      <w:r w:rsidRPr="00234833">
        <w:t xml:space="preserve">The Government held </w:t>
      </w:r>
      <w:r w:rsidR="007A121E">
        <w:t>the</w:t>
      </w:r>
      <w:r w:rsidRPr="00234833">
        <w:t xml:space="preserve"> second phase of consultation on the </w:t>
      </w:r>
      <w:r w:rsidR="002D0259" w:rsidRPr="00234833">
        <w:t>NPS-UDC</w:t>
      </w:r>
      <w:r w:rsidRPr="00234833">
        <w:t xml:space="preserve"> between 3 June 2016 and 15 July 2016</w:t>
      </w:r>
      <w:r w:rsidR="00CD22A1">
        <w:t>, starting with the release of the</w:t>
      </w:r>
      <w:r w:rsidRPr="00234833">
        <w:t xml:space="preserve"> </w:t>
      </w:r>
      <w:r w:rsidR="00CD22A1" w:rsidRPr="00CA1729">
        <w:rPr>
          <w:i/>
        </w:rPr>
        <w:t>Proposed National Policy Statement on Urban Development Capacity: Consultation Document</w:t>
      </w:r>
      <w:r w:rsidR="00CD22A1" w:rsidRPr="001C5E55">
        <w:t xml:space="preserve"> </w:t>
      </w:r>
      <w:r w:rsidR="00CD22A1" w:rsidRPr="00CA1729">
        <w:t>(Ministry for the Environment and Ministry of Business, Innovation and Employment (2016))</w:t>
      </w:r>
      <w:r w:rsidR="00CD22A1" w:rsidRPr="001C5E55">
        <w:t>.</w:t>
      </w:r>
      <w:r w:rsidR="000A1CCC">
        <w:t xml:space="preserve"> </w:t>
      </w:r>
    </w:p>
    <w:p w:rsidR="00FE61DE" w:rsidRDefault="00C4796E" w:rsidP="007F14B0">
      <w:pPr>
        <w:pStyle w:val="BodyText"/>
      </w:pPr>
      <w:r>
        <w:t>The written responses to the consultation document are summarised in t</w:t>
      </w:r>
      <w:r w:rsidR="00C473A9">
        <w:t>his document</w:t>
      </w:r>
      <w:r>
        <w:t xml:space="preserve">, along with an </w:t>
      </w:r>
      <w:r w:rsidR="00C473A9">
        <w:t>out</w:t>
      </w:r>
      <w:r>
        <w:t>line of</w:t>
      </w:r>
      <w:r w:rsidR="00C473A9">
        <w:t xml:space="preserve"> the methodology for public consultation</w:t>
      </w:r>
      <w:r w:rsidR="002D0857">
        <w:t>.</w:t>
      </w:r>
      <w:r w:rsidR="00C473A9">
        <w:t xml:space="preserve"> </w:t>
      </w:r>
    </w:p>
    <w:p w:rsidR="00C473A9" w:rsidRDefault="00FE61DE" w:rsidP="007F14B0">
      <w:pPr>
        <w:pStyle w:val="BodyText"/>
      </w:pPr>
      <w:r>
        <w:t>T</w:t>
      </w:r>
      <w:r w:rsidR="00C473A9">
        <w:t>h</w:t>
      </w:r>
      <w:r w:rsidR="007A121E">
        <w:t>e</w:t>
      </w:r>
      <w:r w:rsidR="00C473A9">
        <w:t xml:space="preserve"> second phase of national policy development involved the formal notification process under the Resource Management Act as well as information briefings.</w:t>
      </w:r>
      <w:r w:rsidR="000A1CCC">
        <w:t xml:space="preserve"> </w:t>
      </w:r>
    </w:p>
    <w:p w:rsidR="00C473A9" w:rsidRDefault="00C473A9" w:rsidP="007F14B0">
      <w:pPr>
        <w:pStyle w:val="BodyText"/>
      </w:pPr>
      <w:r>
        <w:t xml:space="preserve">The </w:t>
      </w:r>
      <w:r w:rsidR="007A121E">
        <w:t xml:space="preserve">formal notification </w:t>
      </w:r>
      <w:r>
        <w:t xml:space="preserve">process included a </w:t>
      </w:r>
      <w:r w:rsidR="007A121E">
        <w:t>p</w:t>
      </w:r>
      <w:r>
        <w:t xml:space="preserve">ublic </w:t>
      </w:r>
      <w:r w:rsidR="007A121E">
        <w:t>n</w:t>
      </w:r>
      <w:r>
        <w:t xml:space="preserve">otice in five daily newspapers, letters to the Chief Executives of each </w:t>
      </w:r>
      <w:r w:rsidR="007A121E">
        <w:t>c</w:t>
      </w:r>
      <w:r>
        <w:t>ouncil, Iwi authorities, Iwi Leaders Group, Urban Māori Authorities, key stakeholders, submitters from the first phase of consultation</w:t>
      </w:r>
      <w:r w:rsidR="007A121E">
        <w:t>,</w:t>
      </w:r>
      <w:r>
        <w:t xml:space="preserve"> and council planners.</w:t>
      </w:r>
    </w:p>
    <w:p w:rsidR="001617E0" w:rsidRDefault="007A121E" w:rsidP="007F14B0">
      <w:pPr>
        <w:pStyle w:val="BodyText"/>
      </w:pPr>
      <w:r>
        <w:t xml:space="preserve">During the </w:t>
      </w:r>
      <w:r w:rsidR="00C473A9" w:rsidRPr="0079266C">
        <w:t>second phase</w:t>
      </w:r>
      <w:r>
        <w:t>, the</w:t>
      </w:r>
      <w:r w:rsidR="00C473A9" w:rsidRPr="0079266C">
        <w:t xml:space="preserve"> M</w:t>
      </w:r>
      <w:r>
        <w:t xml:space="preserve">inistry </w:t>
      </w:r>
      <w:r w:rsidR="00C473A9" w:rsidRPr="0079266C">
        <w:t>f</w:t>
      </w:r>
      <w:r>
        <w:t xml:space="preserve">or the </w:t>
      </w:r>
      <w:r w:rsidR="00C473A9" w:rsidRPr="0079266C">
        <w:t>E</w:t>
      </w:r>
      <w:r>
        <w:t>nvironment</w:t>
      </w:r>
      <w:r w:rsidR="00C473A9" w:rsidRPr="0079266C">
        <w:t xml:space="preserve"> and </w:t>
      </w:r>
      <w:r w:rsidR="001617E0" w:rsidRPr="002D0857">
        <w:t>Ministry of Business, Innovation and Employment</w:t>
      </w:r>
      <w:r w:rsidR="001617E0" w:rsidRPr="00404B2A" w:rsidDel="001617E0">
        <w:t xml:space="preserve"> </w:t>
      </w:r>
      <w:r w:rsidR="00C473A9" w:rsidRPr="00404B2A">
        <w:t>websites</w:t>
      </w:r>
      <w:r w:rsidR="00C473A9" w:rsidRPr="0079266C">
        <w:t xml:space="preserve"> provided</w:t>
      </w:r>
      <w:r w:rsidR="00C12FED" w:rsidRPr="00210EF0">
        <w:t xml:space="preserve"> links to</w:t>
      </w:r>
      <w:r w:rsidR="00C473A9" w:rsidRPr="00210EF0">
        <w:t xml:space="preserve"> relevant information</w:t>
      </w:r>
      <w:r w:rsidR="001617E0">
        <w:t>,</w:t>
      </w:r>
      <w:r w:rsidR="00C473A9" w:rsidRPr="00210EF0">
        <w:t xml:space="preserve"> including</w:t>
      </w:r>
      <w:r w:rsidR="001617E0">
        <w:t>:</w:t>
      </w:r>
      <w:r w:rsidR="00C473A9" w:rsidRPr="00210EF0">
        <w:t xml:space="preserve"> </w:t>
      </w:r>
    </w:p>
    <w:p w:rsidR="00C473A9" w:rsidRPr="00210EF0" w:rsidRDefault="001E5CD5" w:rsidP="00AC105C">
      <w:pPr>
        <w:pStyle w:val="Bullet"/>
        <w:ind w:left="397" w:hanging="397"/>
      </w:pPr>
      <w:r w:rsidRPr="00CA1729">
        <w:rPr>
          <w:i/>
        </w:rPr>
        <w:t>Proposed National Policy Statement on Urban Development Capacity: Consultation Document</w:t>
      </w:r>
      <w:r w:rsidR="001617E0" w:rsidRPr="001617E0">
        <w:t xml:space="preserve"> </w:t>
      </w:r>
      <w:r w:rsidR="00C1654F">
        <w:t>(Ministry for the Environment and Ministry of Business, Innovation and Employment, 2016)</w:t>
      </w:r>
    </w:p>
    <w:p w:rsidR="00C473A9" w:rsidRPr="00404B2A" w:rsidRDefault="00C473A9" w:rsidP="00AC105C">
      <w:pPr>
        <w:pStyle w:val="Bullet"/>
        <w:ind w:left="397" w:hanging="397"/>
      </w:pPr>
      <w:r w:rsidRPr="002D0857">
        <w:rPr>
          <w:i/>
        </w:rPr>
        <w:t>Regulatory Impact Statement for the Proposed National Policy Statement on Urban Development Capacity under the Resource Management Act 1991</w:t>
      </w:r>
      <w:r w:rsidR="007B6D91" w:rsidDel="007B6D91">
        <w:rPr>
          <w:rStyle w:val="FootnoteReference"/>
          <w:i/>
        </w:rPr>
        <w:t xml:space="preserve"> </w:t>
      </w:r>
      <w:r w:rsidR="007B6D91">
        <w:t>(Ministry for the Environment, 2016a)</w:t>
      </w:r>
    </w:p>
    <w:p w:rsidR="00C473A9" w:rsidRPr="00404B2A" w:rsidRDefault="00CE61C3" w:rsidP="00AC105C">
      <w:pPr>
        <w:pStyle w:val="Bullet"/>
        <w:ind w:left="397" w:hanging="397"/>
      </w:pPr>
      <w:r w:rsidRPr="002D0857">
        <w:rPr>
          <w:i/>
        </w:rPr>
        <w:t>C</w:t>
      </w:r>
      <w:r w:rsidR="00C473A9" w:rsidRPr="002D0857">
        <w:rPr>
          <w:i/>
        </w:rPr>
        <w:t>ost benefit analysis of policy options for a National Policy Statement on Urban Development Capacity</w:t>
      </w:r>
      <w:r w:rsidR="00217AE1" w:rsidRPr="00404B2A">
        <w:t xml:space="preserve"> (as required under section 32 of the Resource Management Act 1991)</w:t>
      </w:r>
      <w:r w:rsidR="007B6D91">
        <w:t xml:space="preserve"> (Ministry for the Environment, 2016b)</w:t>
      </w:r>
    </w:p>
    <w:p w:rsidR="00C473A9" w:rsidRPr="00404B2A" w:rsidRDefault="00C473A9" w:rsidP="00AC105C">
      <w:pPr>
        <w:pStyle w:val="Bullet"/>
        <w:ind w:left="397" w:hanging="397"/>
      </w:pPr>
      <w:r w:rsidRPr="002D0857">
        <w:rPr>
          <w:i/>
        </w:rPr>
        <w:t>National Policy Statement on Urban Development Capacity - Report on section 46(a) consultation submissions</w:t>
      </w:r>
      <w:r w:rsidR="007B6D91" w:rsidDel="007B6D91">
        <w:rPr>
          <w:rStyle w:val="FootnoteReference"/>
        </w:rPr>
        <w:t xml:space="preserve"> </w:t>
      </w:r>
      <w:r w:rsidR="007B6D91">
        <w:t>(Ministry for the Environment, 2016c)</w:t>
      </w:r>
    </w:p>
    <w:p w:rsidR="00C473A9" w:rsidRPr="00404B2A" w:rsidRDefault="00C473A9" w:rsidP="00AC105C">
      <w:pPr>
        <w:pStyle w:val="Bullet"/>
        <w:ind w:left="397" w:hanging="397"/>
      </w:pPr>
      <w:r w:rsidRPr="002D0857">
        <w:rPr>
          <w:i/>
        </w:rPr>
        <w:t>International approaches to providing for business and housing needs</w:t>
      </w:r>
      <w:r w:rsidR="002D0461">
        <w:rPr>
          <w:i/>
        </w:rPr>
        <w:t xml:space="preserve"> </w:t>
      </w:r>
      <w:r w:rsidR="007B6D91">
        <w:t>(Ministry for the Environment, 2016d)</w:t>
      </w:r>
    </w:p>
    <w:p w:rsidR="00C473A9" w:rsidRPr="00B20AB1" w:rsidRDefault="00B20AB1" w:rsidP="00AC105C">
      <w:pPr>
        <w:pStyle w:val="Bullet"/>
        <w:ind w:left="397" w:hanging="397"/>
        <w:rPr>
          <w:i/>
        </w:rPr>
      </w:pPr>
      <w:r>
        <w:rPr>
          <w:i/>
        </w:rPr>
        <w:t>Cabinet paper: ‘Approval for public consultation on a proposed National Policy Statement on Urban Development Capacity</w:t>
      </w:r>
      <w:r w:rsidR="002D0461">
        <w:t xml:space="preserve"> (Ministry for the Environment, 2016e)</w:t>
      </w:r>
    </w:p>
    <w:p w:rsidR="00C473A9" w:rsidRPr="00AE2597" w:rsidRDefault="00C473A9" w:rsidP="00AC105C">
      <w:pPr>
        <w:pStyle w:val="Bullet"/>
        <w:ind w:left="397" w:hanging="397"/>
        <w:rPr>
          <w:i/>
        </w:rPr>
      </w:pPr>
      <w:r w:rsidRPr="002D0857">
        <w:rPr>
          <w:i/>
        </w:rPr>
        <w:t>Business land: problems and causes - Research to support a proposed NPS on urban planning</w:t>
      </w:r>
      <w:r w:rsidR="009B3120" w:rsidDel="009B3120">
        <w:rPr>
          <w:rStyle w:val="FootnoteReference"/>
        </w:rPr>
        <w:t xml:space="preserve"> </w:t>
      </w:r>
      <w:r w:rsidR="009B3120">
        <w:t>(Sanderson et al, 2016)</w:t>
      </w:r>
    </w:p>
    <w:p w:rsidR="00C473A9" w:rsidRDefault="00C473A9" w:rsidP="007F14B0">
      <w:pPr>
        <w:pStyle w:val="BodyText"/>
      </w:pPr>
      <w:r>
        <w:t xml:space="preserve">The consultation process provided both an online and </w:t>
      </w:r>
      <w:r w:rsidR="000709BE">
        <w:t xml:space="preserve">a </w:t>
      </w:r>
      <w:r>
        <w:t>printable feedback form for submissions</w:t>
      </w:r>
      <w:r w:rsidR="000709BE">
        <w:t>,</w:t>
      </w:r>
      <w:r>
        <w:t xml:space="preserve"> with open-ended questions to guide responses. </w:t>
      </w:r>
      <w:r w:rsidR="000709BE">
        <w:t>A</w:t>
      </w:r>
      <w:r>
        <w:t xml:space="preserve"> dedicated email address and phone number </w:t>
      </w:r>
      <w:r w:rsidR="000709BE">
        <w:t xml:space="preserve">were also provided </w:t>
      </w:r>
      <w:r>
        <w:t>for assistance and queries.</w:t>
      </w:r>
    </w:p>
    <w:p w:rsidR="00C473A9" w:rsidRDefault="00C473A9" w:rsidP="007F14B0">
      <w:pPr>
        <w:pStyle w:val="BodyText"/>
      </w:pPr>
      <w:r>
        <w:t>In addition to the statutory requirement</w:t>
      </w:r>
      <w:r w:rsidR="000709BE">
        <w:t>,</w:t>
      </w:r>
      <w:r>
        <w:t xml:space="preserve"> the </w:t>
      </w:r>
      <w:r w:rsidR="00C4796E">
        <w:t>consultation</w:t>
      </w:r>
      <w:r>
        <w:t xml:space="preserve"> team</w:t>
      </w:r>
      <w:r w:rsidR="00C4796E">
        <w:t xml:space="preserve"> from the two Ministries</w:t>
      </w:r>
      <w:r>
        <w:t xml:space="preserve"> held briefing workshops for council staff</w:t>
      </w:r>
      <w:r w:rsidR="003508F7">
        <w:t xml:space="preserve"> and some elected members</w:t>
      </w:r>
      <w:r>
        <w:t xml:space="preserve">. These were held during June 2016 in Auckland, Hamilton, </w:t>
      </w:r>
      <w:r w:rsidR="003508F7">
        <w:t xml:space="preserve">Tauranga, </w:t>
      </w:r>
      <w:r>
        <w:t>Wellington and Christchurch.</w:t>
      </w:r>
      <w:r w:rsidR="000A1CCC">
        <w:t xml:space="preserve"> </w:t>
      </w:r>
      <w:r>
        <w:t>Over 100 council officers attended these briefings.</w:t>
      </w:r>
    </w:p>
    <w:p w:rsidR="00C473A9" w:rsidRDefault="003508F7" w:rsidP="007F14B0">
      <w:pPr>
        <w:pStyle w:val="BodyText"/>
      </w:pPr>
      <w:r>
        <w:t>A</w:t>
      </w:r>
      <w:r w:rsidR="00C473A9">
        <w:t xml:space="preserve"> briefing was held with mana whenua in Auckland through the mana whenua kaitiaki hui at Auckland Council.</w:t>
      </w:r>
    </w:p>
    <w:p w:rsidR="00C473A9" w:rsidRDefault="00C473A9" w:rsidP="007F14B0">
      <w:pPr>
        <w:pStyle w:val="BodyText"/>
      </w:pPr>
      <w:r>
        <w:t xml:space="preserve">Working with </w:t>
      </w:r>
      <w:r w:rsidR="00C4796E">
        <w:t>the New Zealand Society of Local Government Managers (</w:t>
      </w:r>
      <w:r>
        <w:t>SOLGM</w:t>
      </w:r>
      <w:r w:rsidR="00C4796E">
        <w:t>)</w:t>
      </w:r>
      <w:r>
        <w:t xml:space="preserve">, a webinar was delivered </w:t>
      </w:r>
      <w:r w:rsidR="002D0857">
        <w:t>for the SOLGM membership</w:t>
      </w:r>
      <w:r w:rsidR="00B87FDB">
        <w:t xml:space="preserve">, </w:t>
      </w:r>
      <w:r>
        <w:t>provid</w:t>
      </w:r>
      <w:r w:rsidR="00C4796E">
        <w:t>ing</w:t>
      </w:r>
      <w:r>
        <w:t xml:space="preserve"> an interactive questions and answers session with the project team.</w:t>
      </w:r>
      <w:r w:rsidR="000A1CCC">
        <w:t xml:space="preserve"> </w:t>
      </w:r>
    </w:p>
    <w:p w:rsidR="00C473A9" w:rsidRDefault="00C473A9" w:rsidP="007F14B0">
      <w:pPr>
        <w:pStyle w:val="BodyText"/>
      </w:pPr>
      <w:r>
        <w:t xml:space="preserve">Additionally, </w:t>
      </w:r>
      <w:r w:rsidR="0028065A">
        <w:t>meetings were held with</w:t>
      </w:r>
      <w:r>
        <w:t xml:space="preserve"> members of the New Zealand Property Council</w:t>
      </w:r>
      <w:r w:rsidR="0028065A">
        <w:t xml:space="preserve"> </w:t>
      </w:r>
      <w:r>
        <w:t>in Auckland and Hamilton</w:t>
      </w:r>
      <w:r w:rsidR="0028065A">
        <w:t>, and with the New Zealand Council for Infrastructure Development</w:t>
      </w:r>
      <w:r>
        <w:t xml:space="preserve">. Comments made during the stakeholder events are not summarised in this report, though in general, issues raised during those events have been reflected in the written submissions received in response to the </w:t>
      </w:r>
      <w:r w:rsidR="00C4796E">
        <w:t>c</w:t>
      </w:r>
      <w:r>
        <w:t xml:space="preserve">onsultation </w:t>
      </w:r>
      <w:r w:rsidR="00C4796E">
        <w:t>d</w:t>
      </w:r>
      <w:r>
        <w:t>ocument.</w:t>
      </w:r>
    </w:p>
    <w:p w:rsidR="00C473A9" w:rsidRDefault="00C473A9" w:rsidP="00303149">
      <w:pPr>
        <w:spacing w:before="0" w:after="200" w:line="276" w:lineRule="auto"/>
        <w:jc w:val="left"/>
        <w:rPr>
          <w:rStyle w:val="Heading1Char"/>
          <w:bCs w:val="0"/>
        </w:rPr>
      </w:pPr>
      <w:r>
        <w:rPr>
          <w:rStyle w:val="Heading1Char"/>
          <w:b w:val="0"/>
        </w:rPr>
        <w:br w:type="page"/>
      </w:r>
    </w:p>
    <w:p w:rsidR="00C473A9" w:rsidRPr="00C473A9" w:rsidRDefault="00C473A9" w:rsidP="008F008B">
      <w:pPr>
        <w:pStyle w:val="Heading2"/>
        <w:rPr>
          <w:color w:val="1C556C"/>
          <w:sz w:val="48"/>
          <w:szCs w:val="28"/>
        </w:rPr>
      </w:pPr>
      <w:bookmarkStart w:id="6" w:name="_Toc461185716"/>
      <w:r w:rsidRPr="00C473A9">
        <w:rPr>
          <w:color w:val="1C556C"/>
          <w:sz w:val="48"/>
          <w:szCs w:val="28"/>
        </w:rPr>
        <w:t xml:space="preserve">Summary of </w:t>
      </w:r>
      <w:r w:rsidR="00521099">
        <w:rPr>
          <w:color w:val="1C556C"/>
          <w:sz w:val="48"/>
          <w:szCs w:val="28"/>
        </w:rPr>
        <w:t>s</w:t>
      </w:r>
      <w:r w:rsidR="00C12FED">
        <w:rPr>
          <w:color w:val="1C556C"/>
          <w:sz w:val="48"/>
          <w:szCs w:val="28"/>
        </w:rPr>
        <w:t>ubmissions</w:t>
      </w:r>
      <w:bookmarkEnd w:id="6"/>
    </w:p>
    <w:p w:rsidR="00217AE1" w:rsidRPr="00B87FDB" w:rsidRDefault="00C473A9" w:rsidP="007F14B0">
      <w:pPr>
        <w:pStyle w:val="BodyText"/>
        <w:rPr>
          <w:rFonts w:asciiTheme="minorHAnsi" w:eastAsia="Times New Roman" w:hAnsiTheme="minorHAnsi" w:cs="Times New Roman"/>
          <w:szCs w:val="20"/>
          <w:lang w:eastAsia="en-US"/>
        </w:rPr>
      </w:pPr>
      <w:r w:rsidRPr="0087129A">
        <w:t>A</w:t>
      </w:r>
      <w:r>
        <w:t xml:space="preserve"> total of 140 submissions were received</w:t>
      </w:r>
      <w:r w:rsidR="00210EF0">
        <w:t xml:space="preserve"> during the six-week consultation period. </w:t>
      </w:r>
      <w:r w:rsidR="00234833" w:rsidRPr="00303149">
        <w:t>The majority of consultation responses</w:t>
      </w:r>
      <w:r w:rsidR="00234833">
        <w:t xml:space="preserve"> </w:t>
      </w:r>
      <w:r w:rsidR="00234833" w:rsidRPr="00303149">
        <w:t>came from local government bodies</w:t>
      </w:r>
      <w:r w:rsidR="00234833">
        <w:t xml:space="preserve"> (local authorities and other local government bodies combined), with</w:t>
      </w:r>
      <w:r w:rsidR="00234833" w:rsidRPr="00303149">
        <w:t xml:space="preserve"> </w:t>
      </w:r>
      <w:r w:rsidR="00234833">
        <w:t>38</w:t>
      </w:r>
      <w:r w:rsidR="00234833" w:rsidRPr="00303149">
        <w:t xml:space="preserve"> submissions from </w:t>
      </w:r>
      <w:r w:rsidR="00234833">
        <w:t>l</w:t>
      </w:r>
      <w:r w:rsidR="00234833" w:rsidRPr="00303149">
        <w:t xml:space="preserve">ocal </w:t>
      </w:r>
      <w:r w:rsidR="00234833">
        <w:t>a</w:t>
      </w:r>
      <w:r w:rsidR="00234833" w:rsidRPr="00303149">
        <w:t>uthorities</w:t>
      </w:r>
      <w:r w:rsidR="00234833">
        <w:t>,</w:t>
      </w:r>
      <w:r w:rsidR="00234833" w:rsidRPr="00303149">
        <w:t xml:space="preserve"> </w:t>
      </w:r>
      <w:r w:rsidR="00234833">
        <w:t>and</w:t>
      </w:r>
      <w:r w:rsidR="00234833" w:rsidRPr="00303149">
        <w:t xml:space="preserve"> a further 11 submitted from </w:t>
      </w:r>
      <w:r w:rsidR="00234833">
        <w:t>o</w:t>
      </w:r>
      <w:r w:rsidR="00234833" w:rsidRPr="00303149">
        <w:t xml:space="preserve">ther </w:t>
      </w:r>
      <w:r w:rsidR="00234833">
        <w:t>l</w:t>
      </w:r>
      <w:r w:rsidR="00234833" w:rsidRPr="00303149">
        <w:t xml:space="preserve">ocal </w:t>
      </w:r>
      <w:r w:rsidR="00234833">
        <w:t>g</w:t>
      </w:r>
      <w:r w:rsidR="00234833" w:rsidRPr="00303149">
        <w:t>overnment bodies</w:t>
      </w:r>
      <w:r w:rsidR="003232EF">
        <w:t>, making 49 submissions or 35 per cent of the total submissions</w:t>
      </w:r>
      <w:r w:rsidR="00234833" w:rsidRPr="00303149">
        <w:t xml:space="preserve">. Three local authority submissions were </w:t>
      </w:r>
      <w:r w:rsidR="00234833">
        <w:t xml:space="preserve">laid </w:t>
      </w:r>
      <w:r w:rsidR="00234833" w:rsidRPr="00303149">
        <w:t>jointly</w:t>
      </w:r>
      <w:r w:rsidR="00234833">
        <w:t>,</w:t>
      </w:r>
      <w:r w:rsidR="00234833" w:rsidRPr="00303149">
        <w:t xml:space="preserve"> meaning that in total 45 </w:t>
      </w:r>
      <w:r w:rsidR="00234833">
        <w:t>l</w:t>
      </w:r>
      <w:r w:rsidR="00234833" w:rsidRPr="00303149">
        <w:t xml:space="preserve">ocal </w:t>
      </w:r>
      <w:r w:rsidR="00234833">
        <w:t>a</w:t>
      </w:r>
      <w:r w:rsidR="00234833" w:rsidRPr="00303149">
        <w:t>uthorities engaged in the consultation process.</w:t>
      </w:r>
      <w:r w:rsidR="00234833">
        <w:t xml:space="preserve"> T</w:t>
      </w:r>
      <w:r>
        <w:t xml:space="preserve">he </w:t>
      </w:r>
      <w:r w:rsidR="00BE4787">
        <w:t>d</w:t>
      </w:r>
      <w:r>
        <w:t xml:space="preserve">evelopment </w:t>
      </w:r>
      <w:r w:rsidR="00BE4787">
        <w:t>s</w:t>
      </w:r>
      <w:r w:rsidRPr="0004550E">
        <w:t>ector</w:t>
      </w:r>
      <w:r w:rsidR="00234833">
        <w:t xml:space="preserve"> were also well represented, with</w:t>
      </w:r>
      <w:r w:rsidRPr="0004550E">
        <w:t xml:space="preserve"> 21 submissions, or 15</w:t>
      </w:r>
      <w:r w:rsidR="00BE4787">
        <w:t xml:space="preserve"> per cent</w:t>
      </w:r>
      <w:r w:rsidRPr="0004550E">
        <w:t xml:space="preserve"> of the total.</w:t>
      </w:r>
      <w:r w:rsidR="000A1CCC">
        <w:t xml:space="preserve"> </w:t>
      </w:r>
      <w:r w:rsidR="00AB2029" w:rsidRPr="00404B2A">
        <w:t>Appendix 1 provides a breakdown of how submissions were categorised</w:t>
      </w:r>
      <w:r w:rsidR="00AB2029" w:rsidRPr="00210EF0">
        <w:t>.</w:t>
      </w:r>
    </w:p>
    <w:p w:rsidR="00044DDB" w:rsidRDefault="00217AE1" w:rsidP="007F14B0">
      <w:pPr>
        <w:pStyle w:val="BodyText"/>
        <w:rPr>
          <w:rFonts w:asciiTheme="minorHAnsi" w:hAnsiTheme="minorHAnsi"/>
        </w:rPr>
      </w:pPr>
      <w:r>
        <w:rPr>
          <w:rFonts w:asciiTheme="minorHAnsi" w:hAnsiTheme="minorHAnsi"/>
        </w:rPr>
        <w:t>O</w:t>
      </w:r>
      <w:r w:rsidR="00C473A9" w:rsidRPr="0004550E">
        <w:rPr>
          <w:rFonts w:asciiTheme="minorHAnsi" w:hAnsiTheme="minorHAnsi"/>
        </w:rPr>
        <w:t>verall, most submitters s</w:t>
      </w:r>
      <w:r w:rsidR="00C473A9" w:rsidRPr="00192AB8">
        <w:rPr>
          <w:rFonts w:asciiTheme="minorHAnsi" w:hAnsiTheme="minorHAnsi"/>
        </w:rPr>
        <w:t xml:space="preserve">upported the intent of the </w:t>
      </w:r>
      <w:r w:rsidR="00192AB8" w:rsidRPr="00541AE3">
        <w:rPr>
          <w:rFonts w:asciiTheme="minorHAnsi" w:hAnsiTheme="minorHAnsi"/>
        </w:rPr>
        <w:t>National Policy Statement on Urban Development Capacity (</w:t>
      </w:r>
      <w:r w:rsidR="002D0259">
        <w:rPr>
          <w:rFonts w:asciiTheme="minorHAnsi" w:hAnsiTheme="minorHAnsi"/>
        </w:rPr>
        <w:t>NPS-UDC</w:t>
      </w:r>
      <w:r w:rsidR="00192AB8">
        <w:rPr>
          <w:rFonts w:asciiTheme="minorHAnsi" w:hAnsiTheme="minorHAnsi"/>
        </w:rPr>
        <w:t>)</w:t>
      </w:r>
      <w:r w:rsidR="00C473A9" w:rsidRPr="0004550E">
        <w:rPr>
          <w:rFonts w:asciiTheme="minorHAnsi" w:hAnsiTheme="minorHAnsi"/>
        </w:rPr>
        <w:t xml:space="preserve"> and the policies, but nearly all recommended amendments </w:t>
      </w:r>
      <w:r w:rsidR="00C473A9">
        <w:rPr>
          <w:rFonts w:asciiTheme="minorHAnsi" w:hAnsiTheme="minorHAnsi"/>
        </w:rPr>
        <w:t>to the objectives and policies as drafted</w:t>
      </w:r>
      <w:r w:rsidR="00C473A9" w:rsidRPr="0004550E">
        <w:rPr>
          <w:rFonts w:asciiTheme="minorHAnsi" w:hAnsiTheme="minorHAnsi"/>
        </w:rPr>
        <w:t>. Th</w:t>
      </w:r>
      <w:r w:rsidR="00C473A9">
        <w:rPr>
          <w:rFonts w:asciiTheme="minorHAnsi" w:hAnsiTheme="minorHAnsi"/>
        </w:rPr>
        <w:t xml:space="preserve">is summary provides a </w:t>
      </w:r>
      <w:r w:rsidR="00C473A9" w:rsidRPr="0004550E">
        <w:rPr>
          <w:rFonts w:asciiTheme="minorHAnsi" w:hAnsiTheme="minorHAnsi"/>
        </w:rPr>
        <w:t xml:space="preserve">breakdown of </w:t>
      </w:r>
      <w:r w:rsidR="00C473A9">
        <w:rPr>
          <w:rFonts w:asciiTheme="minorHAnsi" w:hAnsiTheme="minorHAnsi"/>
        </w:rPr>
        <w:t>submission points by key themes. Where relevant, particularly where there is a divergence in views across stakeholder groups, the summary will include a brea</w:t>
      </w:r>
      <w:r w:rsidR="007B11F5">
        <w:rPr>
          <w:rFonts w:asciiTheme="minorHAnsi" w:hAnsiTheme="minorHAnsi"/>
        </w:rPr>
        <w:t>kdown by key stakeholder group.</w:t>
      </w:r>
    </w:p>
    <w:p w:rsidR="00210EF0" w:rsidRPr="00303149" w:rsidRDefault="00210EF0" w:rsidP="007F14B0">
      <w:pPr>
        <w:pStyle w:val="BodyText"/>
      </w:pPr>
      <w:r>
        <w:t>The</w:t>
      </w:r>
      <w:r w:rsidR="00404B2A">
        <w:t xml:space="preserve"> variation in</w:t>
      </w:r>
      <w:r>
        <w:t xml:space="preserve"> response rate across the key themes of the NPS-UDC consultation document by stakeholder group</w:t>
      </w:r>
      <w:r w:rsidR="00404B2A">
        <w:t xml:space="preserve"> is as follows</w:t>
      </w:r>
      <w:r>
        <w:t>.</w:t>
      </w:r>
    </w:p>
    <w:p w:rsidR="00E7419D" w:rsidRDefault="00040BFE" w:rsidP="007F14B0">
      <w:pPr>
        <w:pStyle w:val="BodyText"/>
      </w:pPr>
      <w:r w:rsidRPr="00404B2A">
        <w:rPr>
          <w:b/>
        </w:rPr>
        <w:t xml:space="preserve">Local </w:t>
      </w:r>
      <w:r w:rsidR="00E7419D">
        <w:rPr>
          <w:b/>
        </w:rPr>
        <w:t>a</w:t>
      </w:r>
      <w:r w:rsidRPr="00404B2A">
        <w:rPr>
          <w:b/>
        </w:rPr>
        <w:t>uthorities</w:t>
      </w:r>
      <w:r>
        <w:t xml:space="preserve"> had a high response rate across the</w:t>
      </w:r>
      <w:r w:rsidR="002C600B">
        <w:t xml:space="preserve"> </w:t>
      </w:r>
      <w:r w:rsidR="00E7419D">
        <w:t xml:space="preserve">main </w:t>
      </w:r>
      <w:r w:rsidR="002C600B">
        <w:t>themes</w:t>
      </w:r>
      <w:r w:rsidR="00E7419D">
        <w:t>,</w:t>
      </w:r>
      <w:r w:rsidR="002C600B">
        <w:t xml:space="preserve"> but responses most</w:t>
      </w:r>
      <w:r w:rsidR="00E7419D">
        <w:t>ly dealt with</w:t>
      </w:r>
      <w:r>
        <w:t>:</w:t>
      </w:r>
    </w:p>
    <w:p w:rsidR="00E7419D" w:rsidRDefault="00040BFE" w:rsidP="00B87FDB">
      <w:pPr>
        <w:pStyle w:val="Bullet"/>
      </w:pPr>
      <w:r w:rsidRPr="00B87FDB">
        <w:rPr>
          <w:rFonts w:asciiTheme="minorHAnsi" w:hAnsiTheme="minorHAnsi"/>
          <w:lang w:eastAsia="en-US"/>
        </w:rPr>
        <w:t>Statistics</w:t>
      </w:r>
      <w:r>
        <w:t xml:space="preserve"> New Zealand Urban Areas </w:t>
      </w:r>
    </w:p>
    <w:p w:rsidR="00E7419D" w:rsidRDefault="00E7419D" w:rsidP="00B87FDB">
      <w:pPr>
        <w:pStyle w:val="Bullet"/>
      </w:pPr>
      <w:r>
        <w:t>p</w:t>
      </w:r>
      <w:r w:rsidR="00040BFE">
        <w:t xml:space="preserve">opulation </w:t>
      </w:r>
      <w:r>
        <w:t>t</w:t>
      </w:r>
      <w:r w:rsidR="00040BFE">
        <w:t xml:space="preserve">riggers </w:t>
      </w:r>
    </w:p>
    <w:p w:rsidR="00040BFE" w:rsidRDefault="00E7419D" w:rsidP="00B87FDB">
      <w:pPr>
        <w:pStyle w:val="Bullet"/>
      </w:pPr>
      <w:r>
        <w:t>i</w:t>
      </w:r>
      <w:r w:rsidR="00040BFE">
        <w:t>mplementation</w:t>
      </w:r>
      <w:r w:rsidR="00D57BDD">
        <w:t xml:space="preserve"> </w:t>
      </w:r>
      <w:r>
        <w:t>p</w:t>
      </w:r>
      <w:r w:rsidR="00D57BDD">
        <w:t>rogramme for the NPS-UDC</w:t>
      </w:r>
      <w:r w:rsidR="00040BFE">
        <w:t>.</w:t>
      </w:r>
    </w:p>
    <w:p w:rsidR="00E7419D" w:rsidRDefault="000A40C6" w:rsidP="007F14B0">
      <w:pPr>
        <w:pStyle w:val="BodyText"/>
      </w:pPr>
      <w:r>
        <w:t>Twenty-one responses were received from the</w:t>
      </w:r>
      <w:r w:rsidRPr="00404B2A">
        <w:rPr>
          <w:b/>
        </w:rPr>
        <w:t xml:space="preserve"> </w:t>
      </w:r>
      <w:r w:rsidR="00E7419D">
        <w:rPr>
          <w:b/>
        </w:rPr>
        <w:t>d</w:t>
      </w:r>
      <w:r w:rsidRPr="00404B2A">
        <w:rPr>
          <w:b/>
        </w:rPr>
        <w:t xml:space="preserve">evelopment </w:t>
      </w:r>
      <w:r w:rsidR="00E7419D">
        <w:rPr>
          <w:b/>
        </w:rPr>
        <w:t>s</w:t>
      </w:r>
      <w:r w:rsidRPr="00404B2A">
        <w:rPr>
          <w:b/>
        </w:rPr>
        <w:t>ector</w:t>
      </w:r>
      <w:r>
        <w:t>.</w:t>
      </w:r>
      <w:r w:rsidR="000A1CCC">
        <w:t xml:space="preserve"> </w:t>
      </w:r>
      <w:r w:rsidR="00D57BDD">
        <w:t xml:space="preserve">Submissions from this group showed particularly strong interest in: </w:t>
      </w:r>
    </w:p>
    <w:p w:rsidR="00E7419D" w:rsidRDefault="00E7419D" w:rsidP="00B87FDB">
      <w:pPr>
        <w:pStyle w:val="Bullet"/>
      </w:pPr>
      <w:r>
        <w:t>o</w:t>
      </w:r>
      <w:r w:rsidR="00D57BDD">
        <w:t xml:space="preserve">utcomes for </w:t>
      </w:r>
      <w:r>
        <w:t>d</w:t>
      </w:r>
      <w:r w:rsidR="00D57BDD">
        <w:t>ecision-</w:t>
      </w:r>
      <w:r>
        <w:t>m</w:t>
      </w:r>
      <w:r w:rsidR="00D57BDD">
        <w:t>aking objectives and policies (OA1-A3 and PA1-A3)</w:t>
      </w:r>
    </w:p>
    <w:p w:rsidR="00E7419D" w:rsidRDefault="00E7419D" w:rsidP="00B87FDB">
      <w:pPr>
        <w:pStyle w:val="Bullet"/>
      </w:pPr>
      <w:r>
        <w:t>e</w:t>
      </w:r>
      <w:r w:rsidR="00D57BDD">
        <w:t xml:space="preserve">vidence and </w:t>
      </w:r>
      <w:r>
        <w:t>m</w:t>
      </w:r>
      <w:r w:rsidR="00D57BDD">
        <w:t xml:space="preserve">onitoring to </w:t>
      </w:r>
      <w:r>
        <w:t>s</w:t>
      </w:r>
      <w:r w:rsidR="00D57BDD">
        <w:t xml:space="preserve">upport </w:t>
      </w:r>
      <w:r>
        <w:t>d</w:t>
      </w:r>
      <w:r w:rsidR="00D57BDD">
        <w:t>ecision-</w:t>
      </w:r>
      <w:r>
        <w:t>m</w:t>
      </w:r>
      <w:r w:rsidR="00D57BDD">
        <w:t>aking (OB1 and PB1-B5)</w:t>
      </w:r>
    </w:p>
    <w:p w:rsidR="003116B3" w:rsidRDefault="00D57BDD" w:rsidP="00B87FDB">
      <w:pPr>
        <w:pStyle w:val="Bullet"/>
      </w:pPr>
      <w:r>
        <w:t xml:space="preserve">provisions relating to </w:t>
      </w:r>
      <w:r w:rsidR="00E7419D">
        <w:t>e</w:t>
      </w:r>
      <w:r>
        <w:t xml:space="preserve">nabling </w:t>
      </w:r>
      <w:r w:rsidR="00E7419D">
        <w:t>r</w:t>
      </w:r>
      <w:r>
        <w:t xml:space="preserve">esponsive </w:t>
      </w:r>
      <w:r w:rsidR="00E7419D">
        <w:t>p</w:t>
      </w:r>
      <w:r>
        <w:t>lanning.</w:t>
      </w:r>
    </w:p>
    <w:p w:rsidR="00D57BDD" w:rsidRDefault="003116B3" w:rsidP="007F14B0">
      <w:pPr>
        <w:pStyle w:val="BodyText"/>
      </w:pPr>
      <w:r w:rsidRPr="00404B2A">
        <w:rPr>
          <w:b/>
        </w:rPr>
        <w:t xml:space="preserve">Infrastructure </w:t>
      </w:r>
      <w:r w:rsidR="00E7419D">
        <w:rPr>
          <w:b/>
        </w:rPr>
        <w:t>p</w:t>
      </w:r>
      <w:r w:rsidRPr="00404B2A">
        <w:rPr>
          <w:b/>
        </w:rPr>
        <w:t>roviders</w:t>
      </w:r>
      <w:r w:rsidR="000A40C6">
        <w:t xml:space="preserve"> lodged 13 submissions</w:t>
      </w:r>
      <w:r w:rsidR="00E7419D">
        <w:t>,</w:t>
      </w:r>
      <w:r w:rsidR="000A40C6">
        <w:t xml:space="preserve"> and a</w:t>
      </w:r>
      <w:r w:rsidR="00D57BDD">
        <w:t>nalysis showed particularly high response rates on reverse sensitivity and the definitions of development capacity and infrastructure.</w:t>
      </w:r>
    </w:p>
    <w:p w:rsidR="00E7419D" w:rsidRDefault="003116B3" w:rsidP="007F14B0">
      <w:pPr>
        <w:pStyle w:val="BodyText"/>
      </w:pPr>
      <w:r>
        <w:t>Th</w:t>
      </w:r>
      <w:r w:rsidR="000A40C6">
        <w:t xml:space="preserve">e </w:t>
      </w:r>
      <w:r w:rsidR="00E7419D">
        <w:rPr>
          <w:b/>
        </w:rPr>
        <w:t>b</w:t>
      </w:r>
      <w:r w:rsidR="000A40C6" w:rsidRPr="00404B2A">
        <w:rPr>
          <w:b/>
        </w:rPr>
        <w:t>usiness/</w:t>
      </w:r>
      <w:r w:rsidR="00E7419D">
        <w:rPr>
          <w:b/>
        </w:rPr>
        <w:t>i</w:t>
      </w:r>
      <w:r w:rsidR="000A40C6" w:rsidRPr="00404B2A">
        <w:rPr>
          <w:b/>
        </w:rPr>
        <w:t>ndustry</w:t>
      </w:r>
      <w:r w:rsidR="000A40C6">
        <w:t xml:space="preserve"> </w:t>
      </w:r>
      <w:r w:rsidR="00210EF0">
        <w:t xml:space="preserve">stakeholders </w:t>
      </w:r>
      <w:r w:rsidR="000A40C6">
        <w:t>accounted for 12 responses</w:t>
      </w:r>
      <w:r w:rsidR="00E7419D">
        <w:t>,</w:t>
      </w:r>
      <w:r w:rsidR="000A40C6">
        <w:t xml:space="preserve"> with response rates amongst them particularly high on matters related to</w:t>
      </w:r>
      <w:r w:rsidR="00E7419D">
        <w:t>:</w:t>
      </w:r>
      <w:r w:rsidR="000A40C6">
        <w:t xml:space="preserve"> </w:t>
      </w:r>
    </w:p>
    <w:p w:rsidR="00E7419D" w:rsidRDefault="000A40C6" w:rsidP="00B87FDB">
      <w:pPr>
        <w:pStyle w:val="Bullet"/>
      </w:pPr>
      <w:r>
        <w:t>the scope or intent of the NPS-UDC</w:t>
      </w:r>
    </w:p>
    <w:p w:rsidR="00E7419D" w:rsidRDefault="00E7419D" w:rsidP="00B87FDB">
      <w:pPr>
        <w:pStyle w:val="Bullet"/>
      </w:pPr>
      <w:r>
        <w:t>b</w:t>
      </w:r>
      <w:r w:rsidR="000A40C6">
        <w:t xml:space="preserve">usiness </w:t>
      </w:r>
      <w:r>
        <w:t>l</w:t>
      </w:r>
      <w:r w:rsidR="000A40C6">
        <w:t xml:space="preserve">and assessments </w:t>
      </w:r>
    </w:p>
    <w:p w:rsidR="00E16424" w:rsidRDefault="000A40C6" w:rsidP="00B87FDB">
      <w:pPr>
        <w:pStyle w:val="Bullet"/>
      </w:pPr>
      <w:r>
        <w:t>both the Statistic New Zealand Urban Areas and the NPS-UDC definition of ‘urban area’.</w:t>
      </w:r>
    </w:p>
    <w:p w:rsidR="00426C89" w:rsidRDefault="00CD0EC3" w:rsidP="007F14B0">
      <w:pPr>
        <w:pStyle w:val="BodyText"/>
      </w:pPr>
      <w:r>
        <w:t xml:space="preserve">The submissions from the </w:t>
      </w:r>
      <w:r w:rsidR="00426C89">
        <w:rPr>
          <w:b/>
        </w:rPr>
        <w:t>c</w:t>
      </w:r>
      <w:r w:rsidRPr="00404B2A">
        <w:rPr>
          <w:b/>
        </w:rPr>
        <w:t xml:space="preserve">entral </w:t>
      </w:r>
      <w:r w:rsidR="00426C89">
        <w:rPr>
          <w:b/>
        </w:rPr>
        <w:t>g</w:t>
      </w:r>
      <w:r w:rsidRPr="00404B2A">
        <w:rPr>
          <w:b/>
        </w:rPr>
        <w:t xml:space="preserve">overnment </w:t>
      </w:r>
      <w:r w:rsidR="00426C89">
        <w:rPr>
          <w:b/>
        </w:rPr>
        <w:t>a</w:t>
      </w:r>
      <w:r w:rsidRPr="00404B2A">
        <w:rPr>
          <w:b/>
        </w:rPr>
        <w:t>gencies</w:t>
      </w:r>
      <w:r>
        <w:t xml:space="preserve"> and </w:t>
      </w:r>
      <w:r w:rsidR="00426C89">
        <w:rPr>
          <w:b/>
        </w:rPr>
        <w:t>i</w:t>
      </w:r>
      <w:r w:rsidRPr="00404B2A">
        <w:rPr>
          <w:b/>
        </w:rPr>
        <w:t>wi</w:t>
      </w:r>
      <w:r>
        <w:t xml:space="preserve"> stakeholders showed an interest in</w:t>
      </w:r>
      <w:r w:rsidR="00426C89">
        <w:t>:</w:t>
      </w:r>
      <w:r>
        <w:t xml:space="preserve"> </w:t>
      </w:r>
    </w:p>
    <w:p w:rsidR="00426C89" w:rsidRDefault="00CD0EC3" w:rsidP="00B87FDB">
      <w:pPr>
        <w:pStyle w:val="Bullet"/>
      </w:pPr>
      <w:r>
        <w:t xml:space="preserve">the </w:t>
      </w:r>
      <w:r w:rsidR="00426C89">
        <w:t>o</w:t>
      </w:r>
      <w:r w:rsidR="002C600B">
        <w:t xml:space="preserve">utcomes for </w:t>
      </w:r>
      <w:r w:rsidR="00426C89">
        <w:t>d</w:t>
      </w:r>
      <w:r w:rsidR="002C600B">
        <w:t>ecision-</w:t>
      </w:r>
      <w:r w:rsidR="00426C89">
        <w:t>m</w:t>
      </w:r>
      <w:r w:rsidR="002C600B">
        <w:t>aking objectives and policies (OA1-A3 and PA1-A3)</w:t>
      </w:r>
    </w:p>
    <w:p w:rsidR="00CD0EC3" w:rsidRDefault="00426C89" w:rsidP="00B87FDB">
      <w:pPr>
        <w:pStyle w:val="Bullet"/>
      </w:pPr>
      <w:r>
        <w:t>c</w:t>
      </w:r>
      <w:r w:rsidR="002C600B" w:rsidRPr="002C600B">
        <w:t xml:space="preserve">oordinated </w:t>
      </w:r>
      <w:r>
        <w:t>e</w:t>
      </w:r>
      <w:r w:rsidR="002C600B" w:rsidRPr="002C600B">
        <w:t xml:space="preserve">vidence and </w:t>
      </w:r>
      <w:r>
        <w:t>d</w:t>
      </w:r>
      <w:r w:rsidR="002C600B" w:rsidRPr="002C600B">
        <w:t>ecision-</w:t>
      </w:r>
      <w:r>
        <w:t>m</w:t>
      </w:r>
      <w:r w:rsidR="002C600B" w:rsidRPr="002C600B">
        <w:t>aking (Objective OC1, Policies PC1-C3)</w:t>
      </w:r>
      <w:r>
        <w:t>.</w:t>
      </w:r>
    </w:p>
    <w:p w:rsidR="007B11F5" w:rsidRPr="002C600B" w:rsidRDefault="00CD0EC3" w:rsidP="007F14B0">
      <w:pPr>
        <w:pStyle w:val="BodyText"/>
      </w:pPr>
      <w:r>
        <w:t>The diverse i</w:t>
      </w:r>
      <w:r w:rsidR="000A40C6">
        <w:t xml:space="preserve">nterests </w:t>
      </w:r>
      <w:r>
        <w:t xml:space="preserve">of the stakeholders </w:t>
      </w:r>
      <w:r w:rsidR="002C600B">
        <w:t xml:space="preserve">in the remaining categories were </w:t>
      </w:r>
      <w:r w:rsidR="00426C89">
        <w:t>reflected in</w:t>
      </w:r>
      <w:r w:rsidR="002C600B">
        <w:t xml:space="preserve"> the diverse range of interest in the content of the NPS-UDC.</w:t>
      </w:r>
      <w:r w:rsidR="007B11F5">
        <w:br w:type="page"/>
      </w:r>
    </w:p>
    <w:p w:rsidR="00C473A9" w:rsidRPr="00C473A9" w:rsidRDefault="00C473A9" w:rsidP="00074668">
      <w:pPr>
        <w:pStyle w:val="Heading2"/>
      </w:pPr>
      <w:bookmarkStart w:id="7" w:name="_Toc461185717"/>
      <w:r w:rsidRPr="00C473A9">
        <w:t xml:space="preserve">Overall </w:t>
      </w:r>
      <w:r w:rsidR="00426C89">
        <w:t>f</w:t>
      </w:r>
      <w:r w:rsidRPr="00C473A9">
        <w:t>indings</w:t>
      </w:r>
      <w:bookmarkEnd w:id="7"/>
    </w:p>
    <w:p w:rsidR="00C473A9" w:rsidRPr="00C473A9" w:rsidRDefault="00C473A9" w:rsidP="007F14B0">
      <w:pPr>
        <w:pStyle w:val="BodyText"/>
      </w:pPr>
      <w:r w:rsidRPr="00C473A9">
        <w:t>Submissions were categorised as having been submitted by one of ten stakeholder groups.</w:t>
      </w:r>
      <w:r w:rsidR="000A1CCC">
        <w:t xml:space="preserve"> </w:t>
      </w:r>
      <w:r w:rsidRPr="00C473A9">
        <w:t xml:space="preserve">In the absence of the submitter identifying their stakeholder group, </w:t>
      </w:r>
      <w:r w:rsidR="00426C89">
        <w:t xml:space="preserve">we had to </w:t>
      </w:r>
      <w:r w:rsidRPr="00C473A9">
        <w:t>categoris</w:t>
      </w:r>
      <w:r w:rsidR="00426C89">
        <w:t>e each submission by</w:t>
      </w:r>
      <w:r w:rsidRPr="00C473A9">
        <w:t xml:space="preserve"> the interests </w:t>
      </w:r>
      <w:r w:rsidR="00426C89">
        <w:t>shown in it</w:t>
      </w:r>
      <w:r w:rsidR="00023C1D">
        <w:t xml:space="preserve">. </w:t>
      </w:r>
      <w:r w:rsidR="00426C89">
        <w:t>Figure</w:t>
      </w:r>
      <w:r w:rsidR="00426C89" w:rsidRPr="00C473A9">
        <w:t xml:space="preserve"> </w:t>
      </w:r>
      <w:r w:rsidR="00210EF0" w:rsidRPr="00C473A9">
        <w:t xml:space="preserve">1 </w:t>
      </w:r>
      <w:r w:rsidR="00426C89">
        <w:t>shows</w:t>
      </w:r>
      <w:r w:rsidR="00426C89" w:rsidRPr="00C473A9">
        <w:t xml:space="preserve"> </w:t>
      </w:r>
      <w:r w:rsidR="00210EF0" w:rsidRPr="00C473A9">
        <w:t xml:space="preserve">the overall </w:t>
      </w:r>
      <w:r w:rsidR="00210EF0">
        <w:t>support for the NPS-UDC</w:t>
      </w:r>
      <w:r w:rsidR="00210EF0" w:rsidRPr="00C473A9">
        <w:t xml:space="preserve"> using the total submission tally of 140</w:t>
      </w:r>
      <w:r w:rsidR="00426C89">
        <w:t>,</w:t>
      </w:r>
      <w:r w:rsidR="00210EF0">
        <w:t xml:space="preserve"> and </w:t>
      </w:r>
      <w:r w:rsidRPr="00C473A9">
        <w:t>Table 1 illustrates the distribution of responses by stakeholder group</w:t>
      </w:r>
      <w:r w:rsidR="00210EF0">
        <w:t>.</w:t>
      </w:r>
      <w:r w:rsidRPr="00C473A9">
        <w:t xml:space="preserve"> Unless the submission expressly stated a position, the stakeholder position with respect to the proposed NPS has been determined manually through an analysis of each individual response.</w:t>
      </w:r>
      <w:r w:rsidR="000A1CCC">
        <w:t xml:space="preserve"> </w:t>
      </w:r>
    </w:p>
    <w:p w:rsidR="003257A6" w:rsidRDefault="00C473A9" w:rsidP="007F14B0">
      <w:pPr>
        <w:pStyle w:val="BodyText"/>
      </w:pPr>
      <w:r w:rsidRPr="00C473A9">
        <w:t xml:space="preserve">Nighty-eight </w:t>
      </w:r>
      <w:r w:rsidR="00173935" w:rsidRPr="00C473A9">
        <w:t xml:space="preserve">responses </w:t>
      </w:r>
      <w:r w:rsidRPr="00C473A9">
        <w:t>(71</w:t>
      </w:r>
      <w:r w:rsidR="00173935">
        <w:t xml:space="preserve"> per cent</w:t>
      </w:r>
      <w:r w:rsidRPr="00C473A9">
        <w:t xml:space="preserve">) showed overall support for the </w:t>
      </w:r>
      <w:r w:rsidR="002D0259">
        <w:t>NPS-UDC</w:t>
      </w:r>
      <w:r w:rsidR="00173935">
        <w:t>,</w:t>
      </w:r>
      <w:r w:rsidRPr="00C473A9">
        <w:t xml:space="preserve"> while </w:t>
      </w:r>
      <w:r w:rsidR="00586360">
        <w:t xml:space="preserve">22 </w:t>
      </w:r>
      <w:r w:rsidRPr="00C473A9">
        <w:t>(16</w:t>
      </w:r>
      <w:r w:rsidR="00173935">
        <w:t xml:space="preserve"> per cent</w:t>
      </w:r>
      <w:r w:rsidRPr="00C473A9">
        <w:t xml:space="preserve">) of submissions showed overall opposition to the </w:t>
      </w:r>
      <w:r w:rsidR="002D0259">
        <w:t>NPS-UDC</w:t>
      </w:r>
      <w:r w:rsidR="000A1CCC">
        <w:t xml:space="preserve">. </w:t>
      </w:r>
      <w:r w:rsidRPr="00C473A9">
        <w:t>Nearly all submissions contained suggested amendments for consideration.</w:t>
      </w:r>
      <w:r w:rsidR="000A1CCC">
        <w:t xml:space="preserve"> </w:t>
      </w:r>
    </w:p>
    <w:p w:rsidR="007B11F5" w:rsidRDefault="00F86B49" w:rsidP="007F14B0">
      <w:pPr>
        <w:pStyle w:val="BodyText"/>
      </w:pPr>
      <w:r>
        <w:t xml:space="preserve">Six </w:t>
      </w:r>
      <w:r w:rsidR="00C473A9" w:rsidRPr="00C473A9">
        <w:t>submission</w:t>
      </w:r>
      <w:r w:rsidR="00173935">
        <w:t>s</w:t>
      </w:r>
      <w:r w:rsidR="00C473A9" w:rsidRPr="00C473A9">
        <w:t xml:space="preserve"> opposed to the </w:t>
      </w:r>
      <w:r w:rsidR="002D0259">
        <w:t>NPS-UDC</w:t>
      </w:r>
      <w:r w:rsidR="00C473A9" w:rsidRPr="00C473A9">
        <w:t xml:space="preserve"> were submitted by local authorit</w:t>
      </w:r>
      <w:r w:rsidR="00586360">
        <w:t xml:space="preserve">ies, in </w:t>
      </w:r>
      <w:r w:rsidR="00923B22">
        <w:t>particular those identified as ‘high g</w:t>
      </w:r>
      <w:r w:rsidR="00586360">
        <w:t>rowth</w:t>
      </w:r>
      <w:r w:rsidR="00923B22">
        <w:t>’ or ‘medium g</w:t>
      </w:r>
      <w:r w:rsidR="00586360">
        <w:t>rowth</w:t>
      </w:r>
      <w:r w:rsidR="00923B22">
        <w:t>’</w:t>
      </w:r>
      <w:r w:rsidR="00586360">
        <w:t xml:space="preserve"> </w:t>
      </w:r>
      <w:r w:rsidR="005243E2">
        <w:t>councils</w:t>
      </w:r>
      <w:r w:rsidR="00173935">
        <w:t xml:space="preserve"> </w:t>
      </w:r>
      <w:r w:rsidR="00650C56">
        <w:t>(see Appendix 2)</w:t>
      </w:r>
      <w:r w:rsidR="00586360">
        <w:t xml:space="preserve"> and from </w:t>
      </w:r>
      <w:r w:rsidR="005243E2">
        <w:t>b</w:t>
      </w:r>
      <w:r w:rsidR="00586360">
        <w:t>usiness/</w:t>
      </w:r>
      <w:r w:rsidR="005243E2">
        <w:t>i</w:t>
      </w:r>
      <w:r w:rsidR="007B11F5">
        <w:t>n</w:t>
      </w:r>
      <w:r w:rsidR="002C600B">
        <w:t>d</w:t>
      </w:r>
      <w:r w:rsidR="00C473A9" w:rsidRPr="00C473A9">
        <w:t>ustry stakeholders, primarily those with an interest in rural land and farming activities.</w:t>
      </w:r>
    </w:p>
    <w:p w:rsidR="00210EF0" w:rsidRDefault="00173935" w:rsidP="00AE2597">
      <w:pPr>
        <w:pStyle w:val="Figureheading"/>
      </w:pPr>
      <w:bookmarkStart w:id="8" w:name="_Toc461109295"/>
      <w:r>
        <w:t xml:space="preserve">Figure </w:t>
      </w:r>
      <w:r w:rsidR="00210EF0">
        <w:t>1</w:t>
      </w:r>
      <w:r w:rsidR="00210EF0" w:rsidRPr="006B77BB">
        <w:t>:</w:t>
      </w:r>
      <w:r w:rsidR="00210EF0" w:rsidRPr="006B77BB">
        <w:tab/>
      </w:r>
      <w:r w:rsidR="00210EF0">
        <w:t xml:space="preserve">Overall </w:t>
      </w:r>
      <w:r>
        <w:t>p</w:t>
      </w:r>
      <w:r w:rsidR="00210EF0">
        <w:t xml:space="preserve">osition by </w:t>
      </w:r>
      <w:r>
        <w:t>a</w:t>
      </w:r>
      <w:r w:rsidR="00210EF0">
        <w:t xml:space="preserve">ll </w:t>
      </w:r>
      <w:r>
        <w:t>s</w:t>
      </w:r>
      <w:r w:rsidR="00210EF0">
        <w:t>ubmissions</w:t>
      </w:r>
      <w:bookmarkEnd w:id="8"/>
    </w:p>
    <w:p w:rsidR="003B1DC2" w:rsidRDefault="00210EF0" w:rsidP="003B1DC2">
      <w:r>
        <w:rPr>
          <w:noProof/>
        </w:rPr>
        <w:drawing>
          <wp:inline distT="0" distB="0" distL="0" distR="0" wp14:anchorId="51A881BA" wp14:editId="4885A3AC">
            <wp:extent cx="4975761" cy="2470067"/>
            <wp:effectExtent l="0" t="0" r="15875"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9" w:name="_Toc461109302"/>
    </w:p>
    <w:p w:rsidR="006400AB" w:rsidRPr="007B11F5" w:rsidRDefault="006400AB" w:rsidP="00A94F01">
      <w:pPr>
        <w:pStyle w:val="Tableheading"/>
      </w:pPr>
      <w:r w:rsidRPr="007B11F5">
        <w:t>Table 1:</w:t>
      </w:r>
      <w:r w:rsidRPr="007B11F5">
        <w:tab/>
        <w:t xml:space="preserve">Overall </w:t>
      </w:r>
      <w:r w:rsidR="005243E2">
        <w:t>p</w:t>
      </w:r>
      <w:r w:rsidRPr="007B11F5">
        <w:t xml:space="preserve">osition by </w:t>
      </w:r>
      <w:r w:rsidR="005243E2">
        <w:t>s</w:t>
      </w:r>
      <w:r w:rsidRPr="007B11F5">
        <w:t xml:space="preserve">takeholder </w:t>
      </w:r>
      <w:r w:rsidR="005243E2">
        <w:t>g</w:t>
      </w:r>
      <w:r w:rsidRPr="007B11F5">
        <w:t>roup</w:t>
      </w:r>
      <w:bookmarkEnd w:id="9"/>
    </w:p>
    <w:tbl>
      <w:tblPr>
        <w:tblStyle w:val="TableGrid"/>
        <w:tblW w:w="8505" w:type="dxa"/>
        <w:tblBorders>
          <w:top w:val="single" w:sz="4" w:space="0" w:color="183C47"/>
          <w:left w:val="single" w:sz="4" w:space="0" w:color="183C47"/>
          <w:bottom w:val="single" w:sz="4" w:space="0" w:color="183C47"/>
          <w:right w:val="single" w:sz="4" w:space="0" w:color="183C47"/>
          <w:insideH w:val="single" w:sz="4" w:space="0" w:color="183C47"/>
          <w:insideV w:val="single" w:sz="4" w:space="0" w:color="183C47"/>
        </w:tblBorders>
        <w:tblLayout w:type="fixed"/>
        <w:tblLook w:val="04A0" w:firstRow="1" w:lastRow="0" w:firstColumn="1" w:lastColumn="0" w:noHBand="0" w:noVBand="1"/>
      </w:tblPr>
      <w:tblGrid>
        <w:gridCol w:w="2377"/>
        <w:gridCol w:w="851"/>
        <w:gridCol w:w="850"/>
        <w:gridCol w:w="851"/>
        <w:gridCol w:w="850"/>
        <w:gridCol w:w="851"/>
        <w:gridCol w:w="850"/>
        <w:gridCol w:w="1025"/>
      </w:tblGrid>
      <w:tr w:rsidR="003B1DC2" w:rsidRPr="00356C3D" w:rsidTr="00820EFA">
        <w:trPr>
          <w:tblHeader/>
        </w:trPr>
        <w:tc>
          <w:tcPr>
            <w:tcW w:w="2377" w:type="dxa"/>
            <w:tcBorders>
              <w:top w:val="single" w:sz="4" w:space="0" w:color="1C556C"/>
              <w:left w:val="nil"/>
              <w:bottom w:val="single" w:sz="4" w:space="0" w:color="1C556C"/>
              <w:right w:val="single" w:sz="4" w:space="0" w:color="1C556C"/>
            </w:tcBorders>
            <w:shd w:val="clear" w:color="auto" w:fill="1C556C"/>
            <w:vAlign w:val="bottom"/>
          </w:tcPr>
          <w:p w:rsidR="00020846" w:rsidRPr="00356C3D" w:rsidRDefault="00020846" w:rsidP="005243E2">
            <w:pPr>
              <w:pStyle w:val="TableTextbold"/>
              <w:rPr>
                <w:color w:val="FFFFFF" w:themeColor="background1"/>
              </w:rPr>
            </w:pPr>
            <w:r>
              <w:rPr>
                <w:color w:val="FFFFFF" w:themeColor="background1"/>
              </w:rPr>
              <w:t xml:space="preserve">Stakeholder </w:t>
            </w:r>
            <w:r w:rsidR="005243E2">
              <w:rPr>
                <w:color w:val="FFFFFF" w:themeColor="background1"/>
              </w:rPr>
              <w:t>g</w:t>
            </w:r>
            <w:r>
              <w:rPr>
                <w:color w:val="FFFFFF" w:themeColor="background1"/>
              </w:rPr>
              <w:t>roup</w:t>
            </w:r>
          </w:p>
        </w:tc>
        <w:tc>
          <w:tcPr>
            <w:tcW w:w="851" w:type="dxa"/>
            <w:tcBorders>
              <w:top w:val="single" w:sz="4" w:space="0" w:color="1C556C"/>
              <w:left w:val="single" w:sz="4" w:space="0" w:color="1C556C"/>
              <w:bottom w:val="single" w:sz="4" w:space="0" w:color="1C556C"/>
              <w:right w:val="single" w:sz="4" w:space="0" w:color="1C556C"/>
            </w:tcBorders>
            <w:shd w:val="clear" w:color="auto" w:fill="1C556C"/>
            <w:vAlign w:val="bottom"/>
          </w:tcPr>
          <w:p w:rsidR="00020846" w:rsidRPr="00356C3D" w:rsidRDefault="00020846" w:rsidP="00044DDB">
            <w:pPr>
              <w:pStyle w:val="TableTextbold"/>
              <w:jc w:val="center"/>
              <w:rPr>
                <w:color w:val="FFFFFF" w:themeColor="background1"/>
              </w:rPr>
            </w:pPr>
            <w:r>
              <w:rPr>
                <w:color w:val="FFFFFF" w:themeColor="background1"/>
              </w:rPr>
              <w:t>Oppose</w:t>
            </w:r>
          </w:p>
        </w:tc>
        <w:tc>
          <w:tcPr>
            <w:tcW w:w="850" w:type="dxa"/>
            <w:tcBorders>
              <w:top w:val="single" w:sz="4" w:space="0" w:color="1C556C"/>
              <w:left w:val="single" w:sz="4" w:space="0" w:color="1C556C"/>
              <w:bottom w:val="single" w:sz="4" w:space="0" w:color="1C556C"/>
              <w:right w:val="single" w:sz="4" w:space="0" w:color="1C556C"/>
            </w:tcBorders>
            <w:shd w:val="clear" w:color="auto" w:fill="1C556C"/>
            <w:vAlign w:val="bottom"/>
          </w:tcPr>
          <w:p w:rsidR="00020846" w:rsidRPr="00356C3D" w:rsidRDefault="00020846" w:rsidP="005243E2">
            <w:pPr>
              <w:pStyle w:val="TableTextbold"/>
              <w:jc w:val="center"/>
              <w:rPr>
                <w:color w:val="FFFFFF" w:themeColor="background1"/>
              </w:rPr>
            </w:pPr>
            <w:r>
              <w:rPr>
                <w:color w:val="FFFFFF" w:themeColor="background1"/>
              </w:rPr>
              <w:t xml:space="preserve">Oppose in </w:t>
            </w:r>
            <w:r w:rsidR="005243E2">
              <w:rPr>
                <w:color w:val="FFFFFF" w:themeColor="background1"/>
              </w:rPr>
              <w:t>p</w:t>
            </w:r>
            <w:r>
              <w:rPr>
                <w:color w:val="FFFFFF" w:themeColor="background1"/>
              </w:rPr>
              <w:t>art</w:t>
            </w:r>
          </w:p>
        </w:tc>
        <w:tc>
          <w:tcPr>
            <w:tcW w:w="851" w:type="dxa"/>
            <w:tcBorders>
              <w:top w:val="single" w:sz="4" w:space="0" w:color="1C556C"/>
              <w:left w:val="single" w:sz="4" w:space="0" w:color="1C556C"/>
              <w:bottom w:val="single" w:sz="4" w:space="0" w:color="1C556C"/>
              <w:right w:val="single" w:sz="4" w:space="0" w:color="1C556C"/>
            </w:tcBorders>
            <w:shd w:val="clear" w:color="auto" w:fill="1C556C"/>
            <w:vAlign w:val="bottom"/>
          </w:tcPr>
          <w:p w:rsidR="00020846" w:rsidRPr="00356C3D" w:rsidRDefault="00020846" w:rsidP="00044DDB">
            <w:pPr>
              <w:pStyle w:val="TableTextbold"/>
              <w:jc w:val="center"/>
              <w:rPr>
                <w:color w:val="FFFFFF" w:themeColor="background1"/>
              </w:rPr>
            </w:pPr>
            <w:r>
              <w:rPr>
                <w:color w:val="FFFFFF" w:themeColor="background1"/>
              </w:rPr>
              <w:t xml:space="preserve">No </w:t>
            </w:r>
            <w:r w:rsidR="005243E2">
              <w:rPr>
                <w:color w:val="FFFFFF" w:themeColor="background1"/>
              </w:rPr>
              <w:t>c</w:t>
            </w:r>
            <w:r>
              <w:rPr>
                <w:color w:val="FFFFFF" w:themeColor="background1"/>
              </w:rPr>
              <w:t xml:space="preserve">lear </w:t>
            </w:r>
            <w:r w:rsidR="005243E2">
              <w:rPr>
                <w:color w:val="FFFFFF" w:themeColor="background1"/>
              </w:rPr>
              <w:t>p</w:t>
            </w:r>
            <w:r>
              <w:rPr>
                <w:color w:val="FFFFFF" w:themeColor="background1"/>
              </w:rPr>
              <w:t>osition</w:t>
            </w:r>
          </w:p>
        </w:tc>
        <w:tc>
          <w:tcPr>
            <w:tcW w:w="850" w:type="dxa"/>
            <w:tcBorders>
              <w:top w:val="single" w:sz="4" w:space="0" w:color="1C556C"/>
              <w:left w:val="single" w:sz="4" w:space="0" w:color="1C556C"/>
              <w:bottom w:val="single" w:sz="4" w:space="0" w:color="1C556C"/>
              <w:right w:val="single" w:sz="4" w:space="0" w:color="1C556C"/>
            </w:tcBorders>
            <w:shd w:val="clear" w:color="auto" w:fill="1C556C"/>
            <w:vAlign w:val="bottom"/>
          </w:tcPr>
          <w:p w:rsidR="00020846" w:rsidRPr="00356C3D" w:rsidRDefault="00020846" w:rsidP="00044DDB">
            <w:pPr>
              <w:pStyle w:val="TableTextbold"/>
              <w:jc w:val="center"/>
              <w:rPr>
                <w:color w:val="FFFFFF" w:themeColor="background1"/>
              </w:rPr>
            </w:pPr>
            <w:r>
              <w:rPr>
                <w:color w:val="FFFFFF" w:themeColor="background1"/>
              </w:rPr>
              <w:t>Neutral</w:t>
            </w:r>
          </w:p>
        </w:tc>
        <w:tc>
          <w:tcPr>
            <w:tcW w:w="851" w:type="dxa"/>
            <w:tcBorders>
              <w:top w:val="single" w:sz="4" w:space="0" w:color="1C556C"/>
              <w:left w:val="single" w:sz="4" w:space="0" w:color="1C556C"/>
              <w:bottom w:val="single" w:sz="4" w:space="0" w:color="1C556C"/>
              <w:right w:val="single" w:sz="4" w:space="0" w:color="1C556C"/>
            </w:tcBorders>
            <w:shd w:val="clear" w:color="auto" w:fill="1C556C"/>
            <w:vAlign w:val="bottom"/>
          </w:tcPr>
          <w:p w:rsidR="00020846" w:rsidRPr="00356C3D" w:rsidRDefault="00020846" w:rsidP="00044DDB">
            <w:pPr>
              <w:pStyle w:val="TableTextbold"/>
              <w:jc w:val="center"/>
              <w:rPr>
                <w:color w:val="FFFFFF" w:themeColor="background1"/>
              </w:rPr>
            </w:pPr>
            <w:r>
              <w:rPr>
                <w:color w:val="FFFFFF" w:themeColor="background1"/>
              </w:rPr>
              <w:t xml:space="preserve">Support in </w:t>
            </w:r>
            <w:r w:rsidR="005243E2">
              <w:rPr>
                <w:color w:val="FFFFFF" w:themeColor="background1"/>
              </w:rPr>
              <w:t>p</w:t>
            </w:r>
            <w:r>
              <w:rPr>
                <w:color w:val="FFFFFF" w:themeColor="background1"/>
              </w:rPr>
              <w:t>art</w:t>
            </w:r>
          </w:p>
        </w:tc>
        <w:tc>
          <w:tcPr>
            <w:tcW w:w="850" w:type="dxa"/>
            <w:tcBorders>
              <w:top w:val="single" w:sz="4" w:space="0" w:color="1C556C"/>
              <w:left w:val="single" w:sz="4" w:space="0" w:color="1C556C"/>
              <w:bottom w:val="single" w:sz="4" w:space="0" w:color="1C556C"/>
              <w:right w:val="nil"/>
            </w:tcBorders>
            <w:shd w:val="clear" w:color="auto" w:fill="1C556C"/>
            <w:vAlign w:val="bottom"/>
          </w:tcPr>
          <w:p w:rsidR="00020846" w:rsidRPr="00356C3D" w:rsidRDefault="00020846" w:rsidP="00044DDB">
            <w:pPr>
              <w:pStyle w:val="TableTextbold"/>
              <w:jc w:val="center"/>
              <w:rPr>
                <w:color w:val="FFFFFF" w:themeColor="background1"/>
              </w:rPr>
            </w:pPr>
            <w:r>
              <w:rPr>
                <w:color w:val="FFFFFF" w:themeColor="background1"/>
              </w:rPr>
              <w:t>Support</w:t>
            </w:r>
          </w:p>
        </w:tc>
        <w:tc>
          <w:tcPr>
            <w:tcW w:w="1025" w:type="dxa"/>
            <w:tcBorders>
              <w:top w:val="single" w:sz="4" w:space="0" w:color="1C556C"/>
              <w:left w:val="single" w:sz="4" w:space="0" w:color="1C556C"/>
              <w:bottom w:val="single" w:sz="4" w:space="0" w:color="1C556C"/>
              <w:right w:val="nil"/>
            </w:tcBorders>
            <w:shd w:val="clear" w:color="auto" w:fill="1C556C"/>
            <w:vAlign w:val="bottom"/>
          </w:tcPr>
          <w:p w:rsidR="00020846" w:rsidRDefault="00020846" w:rsidP="00820EFA">
            <w:pPr>
              <w:pStyle w:val="TableTextbold"/>
              <w:jc w:val="center"/>
              <w:rPr>
                <w:color w:val="FFFFFF" w:themeColor="background1"/>
              </w:rPr>
            </w:pPr>
            <w:r>
              <w:rPr>
                <w:color w:val="FFFFFF" w:themeColor="background1"/>
              </w:rPr>
              <w:t xml:space="preserve">TOTAL </w:t>
            </w:r>
          </w:p>
        </w:tc>
      </w:tr>
      <w:tr w:rsidR="003B1DC2" w:rsidRPr="00356C3D" w:rsidTr="00820EFA">
        <w:tc>
          <w:tcPr>
            <w:tcW w:w="2377" w:type="dxa"/>
            <w:tcBorders>
              <w:top w:val="single" w:sz="4" w:space="0" w:color="1C556C"/>
              <w:left w:val="nil"/>
              <w:bottom w:val="single" w:sz="4" w:space="0" w:color="17556C"/>
              <w:right w:val="single" w:sz="4" w:space="0" w:color="1C556C"/>
            </w:tcBorders>
            <w:shd w:val="clear" w:color="auto" w:fill="auto"/>
          </w:tcPr>
          <w:p w:rsidR="00020846" w:rsidRPr="00356C3D" w:rsidRDefault="00020846" w:rsidP="00044DDB">
            <w:pPr>
              <w:pStyle w:val="TableText"/>
            </w:pPr>
            <w:r>
              <w:t>Advocacy</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356C3D" w:rsidRDefault="00020846" w:rsidP="00044DDB">
            <w:pPr>
              <w:pStyle w:val="TableText"/>
              <w:jc w:val="right"/>
            </w:pPr>
            <w:r>
              <w:t>2</w:t>
            </w: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356C3D"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356C3D"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356C3D" w:rsidRDefault="00020846" w:rsidP="00044DDB">
            <w:pPr>
              <w:pStyle w:val="TableText"/>
              <w:jc w:val="right"/>
            </w:pPr>
            <w:r>
              <w:t>2</w:t>
            </w:r>
          </w:p>
        </w:tc>
        <w:tc>
          <w:tcPr>
            <w:tcW w:w="851" w:type="dxa"/>
            <w:tcBorders>
              <w:top w:val="single" w:sz="4" w:space="0" w:color="1C556C"/>
              <w:left w:val="single" w:sz="4" w:space="0" w:color="1C556C"/>
              <w:bottom w:val="single" w:sz="4" w:space="0" w:color="17556C"/>
              <w:right w:val="single" w:sz="4" w:space="0" w:color="1C556C"/>
            </w:tcBorders>
            <w:shd w:val="clear" w:color="auto" w:fill="auto"/>
            <w:vAlign w:val="bottom"/>
          </w:tcPr>
          <w:p w:rsidR="00020846" w:rsidRPr="00356C3D" w:rsidRDefault="00020846" w:rsidP="00044DDB">
            <w:pPr>
              <w:pStyle w:val="TableText"/>
              <w:jc w:val="right"/>
            </w:pPr>
            <w:r>
              <w:t>5</w:t>
            </w:r>
          </w:p>
        </w:tc>
        <w:tc>
          <w:tcPr>
            <w:tcW w:w="850" w:type="dxa"/>
            <w:tcBorders>
              <w:top w:val="single" w:sz="4" w:space="0" w:color="1C556C"/>
              <w:left w:val="single" w:sz="4" w:space="0" w:color="1C556C"/>
              <w:bottom w:val="single" w:sz="4" w:space="0" w:color="17556C"/>
              <w:right w:val="nil"/>
            </w:tcBorders>
            <w:vAlign w:val="bottom"/>
          </w:tcPr>
          <w:p w:rsidR="00020846" w:rsidRPr="00356C3D" w:rsidRDefault="00020846" w:rsidP="00044DDB">
            <w:pPr>
              <w:pStyle w:val="TableText"/>
              <w:jc w:val="right"/>
            </w:pPr>
            <w:r>
              <w:t>3</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12</w:t>
            </w:r>
          </w:p>
        </w:tc>
      </w:tr>
      <w:tr w:rsidR="003B1DC2" w:rsidRPr="00927700" w:rsidTr="00820EFA">
        <w:tc>
          <w:tcPr>
            <w:tcW w:w="2377" w:type="dxa"/>
            <w:tcBorders>
              <w:top w:val="single" w:sz="4" w:space="0" w:color="17556C"/>
              <w:left w:val="nil"/>
              <w:bottom w:val="single" w:sz="4" w:space="0" w:color="1C556C"/>
              <w:right w:val="single" w:sz="4" w:space="0" w:color="1C556C"/>
            </w:tcBorders>
            <w:shd w:val="clear" w:color="auto" w:fill="auto"/>
          </w:tcPr>
          <w:p w:rsidR="00020846" w:rsidRPr="00927700" w:rsidRDefault="00020846" w:rsidP="005243E2">
            <w:pPr>
              <w:pStyle w:val="TableText"/>
            </w:pPr>
            <w:r>
              <w:t>Business/</w:t>
            </w:r>
            <w:r w:rsidR="005243E2">
              <w:t>i</w:t>
            </w:r>
            <w:r>
              <w:t>ndustry</w:t>
            </w:r>
          </w:p>
        </w:tc>
        <w:tc>
          <w:tcPr>
            <w:tcW w:w="851" w:type="dxa"/>
            <w:tcBorders>
              <w:top w:val="single" w:sz="4" w:space="0" w:color="17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1</w:t>
            </w:r>
          </w:p>
        </w:tc>
        <w:tc>
          <w:tcPr>
            <w:tcW w:w="850" w:type="dxa"/>
            <w:tcBorders>
              <w:top w:val="single" w:sz="4" w:space="0" w:color="17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4</w:t>
            </w:r>
          </w:p>
        </w:tc>
        <w:tc>
          <w:tcPr>
            <w:tcW w:w="851" w:type="dxa"/>
            <w:tcBorders>
              <w:top w:val="single" w:sz="4" w:space="0" w:color="17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1</w:t>
            </w:r>
          </w:p>
        </w:tc>
        <w:tc>
          <w:tcPr>
            <w:tcW w:w="850" w:type="dxa"/>
            <w:tcBorders>
              <w:top w:val="single" w:sz="4" w:space="0" w:color="17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7556C"/>
              <w:left w:val="single" w:sz="4" w:space="0" w:color="1C556C"/>
              <w:bottom w:val="single" w:sz="4" w:space="0" w:color="1C556C"/>
              <w:right w:val="single" w:sz="4" w:space="0" w:color="1C556C"/>
            </w:tcBorders>
            <w:shd w:val="clear" w:color="auto" w:fill="auto"/>
            <w:vAlign w:val="bottom"/>
          </w:tcPr>
          <w:p w:rsidR="00020846" w:rsidRPr="00927700" w:rsidRDefault="00020846" w:rsidP="00044DDB">
            <w:pPr>
              <w:pStyle w:val="TableText"/>
              <w:jc w:val="right"/>
            </w:pPr>
            <w:r>
              <w:t>5</w:t>
            </w:r>
          </w:p>
        </w:tc>
        <w:tc>
          <w:tcPr>
            <w:tcW w:w="850" w:type="dxa"/>
            <w:tcBorders>
              <w:top w:val="single" w:sz="4" w:space="0" w:color="17556C"/>
              <w:left w:val="single" w:sz="4" w:space="0" w:color="1C556C"/>
              <w:bottom w:val="single" w:sz="4" w:space="0" w:color="1C556C"/>
              <w:right w:val="nil"/>
            </w:tcBorders>
            <w:vAlign w:val="bottom"/>
          </w:tcPr>
          <w:p w:rsidR="00020846" w:rsidRPr="00927700" w:rsidRDefault="00020846" w:rsidP="00044DDB">
            <w:pPr>
              <w:pStyle w:val="TableText"/>
              <w:jc w:val="right"/>
            </w:pPr>
            <w:r>
              <w:t>1</w:t>
            </w:r>
          </w:p>
        </w:tc>
        <w:tc>
          <w:tcPr>
            <w:tcW w:w="1025" w:type="dxa"/>
            <w:tcBorders>
              <w:top w:val="single" w:sz="4" w:space="0" w:color="17556C"/>
              <w:left w:val="single" w:sz="4" w:space="0" w:color="1C556C"/>
              <w:bottom w:val="single" w:sz="4" w:space="0" w:color="1C556C"/>
              <w:right w:val="nil"/>
            </w:tcBorders>
            <w:shd w:val="clear" w:color="auto" w:fill="BCF6F7" w:themeFill="accent2" w:themeFillTint="33"/>
            <w:vAlign w:val="bottom"/>
          </w:tcPr>
          <w:p w:rsidR="00020846" w:rsidRPr="00020846" w:rsidRDefault="00020846" w:rsidP="00044DDB">
            <w:pPr>
              <w:pStyle w:val="TableText"/>
              <w:jc w:val="right"/>
              <w:rPr>
                <w:b/>
              </w:rPr>
            </w:pPr>
            <w:r>
              <w:rPr>
                <w:b/>
              </w:rPr>
              <w:t>12</w:t>
            </w:r>
          </w:p>
        </w:tc>
      </w:tr>
      <w:tr w:rsidR="003B1DC2" w:rsidRPr="00927700" w:rsidTr="00820EFA">
        <w:tc>
          <w:tcPr>
            <w:tcW w:w="2377" w:type="dxa"/>
            <w:tcBorders>
              <w:top w:val="single" w:sz="4" w:space="0" w:color="1C556C"/>
              <w:left w:val="nil"/>
              <w:bottom w:val="single" w:sz="4" w:space="0" w:color="17556C"/>
              <w:right w:val="single" w:sz="4" w:space="0" w:color="1C556C"/>
            </w:tcBorders>
          </w:tcPr>
          <w:p w:rsidR="00020846" w:rsidRPr="00927700" w:rsidRDefault="00020846" w:rsidP="005243E2">
            <w:pPr>
              <w:pStyle w:val="TableText"/>
            </w:pPr>
            <w:r>
              <w:t xml:space="preserve">Central </w:t>
            </w:r>
            <w:r w:rsidR="005243E2">
              <w:t>g</w:t>
            </w:r>
            <w:r>
              <w:t xml:space="preserve">overnment </w:t>
            </w:r>
            <w:r w:rsidR="005243E2">
              <w:t>a</w:t>
            </w:r>
            <w:r>
              <w:t>gencies</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217E0A" w:rsidP="00044DDB">
            <w:pPr>
              <w:pStyle w:val="TableText"/>
              <w:jc w:val="right"/>
            </w:pPr>
            <w:r>
              <w:t>1</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2</w:t>
            </w:r>
          </w:p>
        </w:tc>
        <w:tc>
          <w:tcPr>
            <w:tcW w:w="850" w:type="dxa"/>
            <w:tcBorders>
              <w:top w:val="single" w:sz="4" w:space="0" w:color="1C556C"/>
              <w:left w:val="single" w:sz="4" w:space="0" w:color="1C556C"/>
              <w:bottom w:val="single" w:sz="4" w:space="0" w:color="17556C"/>
              <w:right w:val="nil"/>
            </w:tcBorders>
            <w:vAlign w:val="bottom"/>
          </w:tcPr>
          <w:p w:rsidR="00020846" w:rsidRPr="00927700" w:rsidRDefault="00020846" w:rsidP="00044DDB">
            <w:pPr>
              <w:pStyle w:val="TableText"/>
              <w:jc w:val="right"/>
            </w:pP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3</w:t>
            </w:r>
          </w:p>
        </w:tc>
      </w:tr>
      <w:tr w:rsidR="003B1DC2" w:rsidRPr="00927700" w:rsidTr="00820EFA">
        <w:tc>
          <w:tcPr>
            <w:tcW w:w="2377" w:type="dxa"/>
            <w:tcBorders>
              <w:top w:val="single" w:sz="4" w:space="0" w:color="1C556C"/>
              <w:left w:val="nil"/>
              <w:bottom w:val="single" w:sz="4" w:space="0" w:color="17556C"/>
              <w:right w:val="single" w:sz="4" w:space="0" w:color="1C556C"/>
            </w:tcBorders>
          </w:tcPr>
          <w:p w:rsidR="00020846" w:rsidRPr="00927700" w:rsidRDefault="00020846" w:rsidP="00044DDB">
            <w:pPr>
              <w:pStyle w:val="TableText"/>
            </w:pPr>
            <w:r>
              <w:t xml:space="preserve">Development </w:t>
            </w:r>
            <w:r w:rsidR="005243E2">
              <w:t>s</w:t>
            </w:r>
            <w:r>
              <w:t>ector</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217E0A" w:rsidP="00044DDB">
            <w:pPr>
              <w:pStyle w:val="TableText"/>
              <w:jc w:val="right"/>
            </w:pPr>
            <w:r>
              <w:t>1</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14</w:t>
            </w:r>
          </w:p>
        </w:tc>
        <w:tc>
          <w:tcPr>
            <w:tcW w:w="850" w:type="dxa"/>
            <w:tcBorders>
              <w:top w:val="single" w:sz="4" w:space="0" w:color="1C556C"/>
              <w:left w:val="single" w:sz="4" w:space="0" w:color="1C556C"/>
              <w:bottom w:val="single" w:sz="4" w:space="0" w:color="17556C"/>
              <w:right w:val="nil"/>
            </w:tcBorders>
            <w:vAlign w:val="bottom"/>
          </w:tcPr>
          <w:p w:rsidR="00020846" w:rsidRPr="00927700" w:rsidRDefault="00217E0A" w:rsidP="00044DDB">
            <w:pPr>
              <w:pStyle w:val="TableText"/>
              <w:jc w:val="right"/>
            </w:pPr>
            <w:r>
              <w:t>6</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21</w:t>
            </w:r>
          </w:p>
        </w:tc>
      </w:tr>
      <w:tr w:rsidR="003B1DC2" w:rsidRPr="00927700" w:rsidTr="00820EFA">
        <w:tc>
          <w:tcPr>
            <w:tcW w:w="2377" w:type="dxa"/>
            <w:tcBorders>
              <w:top w:val="single" w:sz="4" w:space="0" w:color="1C556C"/>
              <w:left w:val="nil"/>
              <w:bottom w:val="single" w:sz="4" w:space="0" w:color="17556C"/>
              <w:right w:val="single" w:sz="4" w:space="0" w:color="1C556C"/>
            </w:tcBorders>
          </w:tcPr>
          <w:p w:rsidR="00020846" w:rsidRPr="00927700" w:rsidRDefault="00020846" w:rsidP="00044DDB">
            <w:pPr>
              <w:pStyle w:val="TableText"/>
            </w:pPr>
            <w:r>
              <w:t>Individuals</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3</w:t>
            </w: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217E0A" w:rsidP="00044DDB">
            <w:pPr>
              <w:pStyle w:val="TableText"/>
              <w:jc w:val="right"/>
            </w:pPr>
            <w:r>
              <w:t>4</w:t>
            </w: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7</w:t>
            </w:r>
          </w:p>
        </w:tc>
        <w:tc>
          <w:tcPr>
            <w:tcW w:w="850" w:type="dxa"/>
            <w:tcBorders>
              <w:top w:val="single" w:sz="4" w:space="0" w:color="1C556C"/>
              <w:left w:val="single" w:sz="4" w:space="0" w:color="1C556C"/>
              <w:bottom w:val="single" w:sz="4" w:space="0" w:color="17556C"/>
              <w:right w:val="nil"/>
            </w:tcBorders>
            <w:vAlign w:val="bottom"/>
          </w:tcPr>
          <w:p w:rsidR="00020846" w:rsidRPr="00927700" w:rsidRDefault="00217E0A" w:rsidP="00044DDB">
            <w:pPr>
              <w:pStyle w:val="TableText"/>
              <w:jc w:val="right"/>
            </w:pPr>
            <w:r>
              <w:t>3</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17</w:t>
            </w:r>
          </w:p>
        </w:tc>
      </w:tr>
      <w:tr w:rsidR="003B1DC2" w:rsidRPr="00927700" w:rsidTr="00820EFA">
        <w:tc>
          <w:tcPr>
            <w:tcW w:w="2377" w:type="dxa"/>
            <w:tcBorders>
              <w:top w:val="single" w:sz="4" w:space="0" w:color="1C556C"/>
              <w:left w:val="nil"/>
              <w:bottom w:val="single" w:sz="4" w:space="0" w:color="17556C"/>
              <w:right w:val="single" w:sz="4" w:space="0" w:color="1C556C"/>
            </w:tcBorders>
          </w:tcPr>
          <w:p w:rsidR="00020846" w:rsidRPr="00927700" w:rsidRDefault="00020846" w:rsidP="00044DDB">
            <w:pPr>
              <w:pStyle w:val="TableText"/>
            </w:pPr>
            <w:r>
              <w:t xml:space="preserve">Infrastructure </w:t>
            </w:r>
            <w:r w:rsidR="005243E2">
              <w:t>p</w:t>
            </w:r>
            <w:r>
              <w:t>roviders</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217E0A" w:rsidP="00044DDB">
            <w:pPr>
              <w:pStyle w:val="TableText"/>
              <w:jc w:val="right"/>
            </w:pPr>
            <w:r>
              <w:t>1</w:t>
            </w: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11</w:t>
            </w:r>
          </w:p>
        </w:tc>
        <w:tc>
          <w:tcPr>
            <w:tcW w:w="850" w:type="dxa"/>
            <w:tcBorders>
              <w:top w:val="single" w:sz="4" w:space="0" w:color="1C556C"/>
              <w:left w:val="single" w:sz="4" w:space="0" w:color="1C556C"/>
              <w:bottom w:val="single" w:sz="4" w:space="0" w:color="17556C"/>
              <w:right w:val="nil"/>
            </w:tcBorders>
            <w:vAlign w:val="bottom"/>
          </w:tcPr>
          <w:p w:rsidR="00020846" w:rsidRPr="00927700" w:rsidRDefault="00217E0A" w:rsidP="00044DDB">
            <w:pPr>
              <w:pStyle w:val="TableText"/>
              <w:jc w:val="right"/>
            </w:pPr>
            <w:r>
              <w:t>1</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13</w:t>
            </w:r>
          </w:p>
        </w:tc>
      </w:tr>
      <w:tr w:rsidR="003B1DC2" w:rsidRPr="00927700" w:rsidTr="00820EFA">
        <w:tc>
          <w:tcPr>
            <w:tcW w:w="2377" w:type="dxa"/>
            <w:tcBorders>
              <w:top w:val="single" w:sz="4" w:space="0" w:color="1C556C"/>
              <w:left w:val="nil"/>
              <w:bottom w:val="single" w:sz="4" w:space="0" w:color="17556C"/>
              <w:right w:val="single" w:sz="4" w:space="0" w:color="1C556C"/>
            </w:tcBorders>
          </w:tcPr>
          <w:p w:rsidR="00020846" w:rsidRPr="00927700" w:rsidRDefault="00020846" w:rsidP="00044DDB">
            <w:pPr>
              <w:pStyle w:val="TableText"/>
            </w:pPr>
            <w:r>
              <w:t>Iwi</w:t>
            </w: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7556C"/>
              <w:right w:val="single" w:sz="4" w:space="0" w:color="1C556C"/>
            </w:tcBorders>
            <w:vAlign w:val="bottom"/>
          </w:tcPr>
          <w:p w:rsidR="00020846" w:rsidRPr="00927700" w:rsidRDefault="00020846" w:rsidP="00044DDB">
            <w:pPr>
              <w:pStyle w:val="TableText"/>
              <w:jc w:val="right"/>
            </w:pPr>
            <w:r>
              <w:t>2</w:t>
            </w:r>
          </w:p>
        </w:tc>
        <w:tc>
          <w:tcPr>
            <w:tcW w:w="850" w:type="dxa"/>
            <w:tcBorders>
              <w:top w:val="single" w:sz="4" w:space="0" w:color="1C556C"/>
              <w:left w:val="single" w:sz="4" w:space="0" w:color="1C556C"/>
              <w:bottom w:val="single" w:sz="4" w:space="0" w:color="17556C"/>
              <w:right w:val="nil"/>
            </w:tcBorders>
            <w:vAlign w:val="bottom"/>
          </w:tcPr>
          <w:p w:rsidR="00020846" w:rsidRPr="00927700" w:rsidRDefault="00217E0A" w:rsidP="00044DDB">
            <w:pPr>
              <w:pStyle w:val="TableText"/>
              <w:jc w:val="right"/>
            </w:pPr>
            <w:r>
              <w:t>1</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3</w:t>
            </w:r>
          </w:p>
        </w:tc>
      </w:tr>
      <w:tr w:rsidR="003B1DC2" w:rsidRPr="00927700" w:rsidTr="00820EFA">
        <w:tc>
          <w:tcPr>
            <w:tcW w:w="2377" w:type="dxa"/>
            <w:tcBorders>
              <w:top w:val="single" w:sz="4" w:space="0" w:color="1C556C"/>
              <w:left w:val="nil"/>
              <w:bottom w:val="single" w:sz="4" w:space="0" w:color="1C556C"/>
              <w:right w:val="single" w:sz="4" w:space="0" w:color="1C556C"/>
            </w:tcBorders>
          </w:tcPr>
          <w:p w:rsidR="00020846" w:rsidRPr="00927700" w:rsidRDefault="00020846" w:rsidP="00044DDB">
            <w:pPr>
              <w:pStyle w:val="TableText"/>
            </w:pPr>
            <w:r>
              <w:t xml:space="preserve">Local </w:t>
            </w:r>
            <w:r w:rsidR="005243E2">
              <w:t>a</w:t>
            </w:r>
            <w:r>
              <w:t>uthorities</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6</w:t>
            </w: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217E0A" w:rsidP="00044DDB">
            <w:pPr>
              <w:pStyle w:val="TableText"/>
              <w:jc w:val="right"/>
            </w:pPr>
            <w:r>
              <w:t>5</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217E0A" w:rsidP="00044DDB">
            <w:pPr>
              <w:pStyle w:val="TableText"/>
              <w:jc w:val="right"/>
            </w:pPr>
            <w:r>
              <w:t>1</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17</w:t>
            </w:r>
          </w:p>
        </w:tc>
        <w:tc>
          <w:tcPr>
            <w:tcW w:w="850" w:type="dxa"/>
            <w:tcBorders>
              <w:top w:val="single" w:sz="4" w:space="0" w:color="1C556C"/>
              <w:left w:val="single" w:sz="4" w:space="0" w:color="1C556C"/>
              <w:bottom w:val="single" w:sz="4" w:space="0" w:color="1C556C"/>
              <w:right w:val="nil"/>
            </w:tcBorders>
            <w:vAlign w:val="bottom"/>
          </w:tcPr>
          <w:p w:rsidR="00020846" w:rsidRPr="00927700" w:rsidRDefault="00217E0A" w:rsidP="00044DDB">
            <w:pPr>
              <w:pStyle w:val="TableText"/>
              <w:jc w:val="right"/>
            </w:pPr>
            <w:r>
              <w:t>9</w:t>
            </w:r>
          </w:p>
        </w:tc>
        <w:tc>
          <w:tcPr>
            <w:tcW w:w="1025" w:type="dxa"/>
            <w:tcBorders>
              <w:top w:val="single" w:sz="4" w:space="0" w:color="1C556C"/>
              <w:left w:val="single" w:sz="4" w:space="0" w:color="1C556C"/>
              <w:bottom w:val="single" w:sz="4" w:space="0" w:color="1C556C"/>
              <w:right w:val="nil"/>
            </w:tcBorders>
            <w:shd w:val="clear" w:color="auto" w:fill="BCF6F7" w:themeFill="accent2" w:themeFillTint="33"/>
            <w:vAlign w:val="bottom"/>
          </w:tcPr>
          <w:p w:rsidR="00020846" w:rsidRPr="00020846" w:rsidRDefault="00020846" w:rsidP="00044DDB">
            <w:pPr>
              <w:pStyle w:val="TableText"/>
              <w:jc w:val="right"/>
              <w:rPr>
                <w:b/>
              </w:rPr>
            </w:pPr>
            <w:r>
              <w:rPr>
                <w:b/>
              </w:rPr>
              <w:t>38</w:t>
            </w:r>
          </w:p>
        </w:tc>
      </w:tr>
      <w:tr w:rsidR="003B1DC2" w:rsidRPr="00927700" w:rsidTr="00820EFA">
        <w:tc>
          <w:tcPr>
            <w:tcW w:w="2377" w:type="dxa"/>
            <w:tcBorders>
              <w:top w:val="single" w:sz="4" w:space="0" w:color="1C556C"/>
              <w:left w:val="nil"/>
              <w:bottom w:val="single" w:sz="4" w:space="0" w:color="1C556C"/>
              <w:right w:val="single" w:sz="4" w:space="0" w:color="1C556C"/>
            </w:tcBorders>
          </w:tcPr>
          <w:p w:rsidR="00020846" w:rsidRPr="00927700" w:rsidRDefault="00020846" w:rsidP="005243E2">
            <w:pPr>
              <w:pStyle w:val="TableText"/>
            </w:pPr>
            <w:r>
              <w:t xml:space="preserve">Other </w:t>
            </w:r>
            <w:r w:rsidR="005243E2">
              <w:t>l</w:t>
            </w:r>
            <w:r>
              <w:t xml:space="preserve">ocal </w:t>
            </w:r>
            <w:r w:rsidR="005243E2">
              <w:t>g</w:t>
            </w:r>
            <w:r>
              <w:t>overnment</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1</w:t>
            </w: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217E0A" w:rsidP="00044DDB">
            <w:pPr>
              <w:pStyle w:val="TableText"/>
              <w:jc w:val="right"/>
            </w:pPr>
            <w:r>
              <w:t>6</w:t>
            </w: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4</w:t>
            </w:r>
          </w:p>
        </w:tc>
        <w:tc>
          <w:tcPr>
            <w:tcW w:w="850" w:type="dxa"/>
            <w:tcBorders>
              <w:top w:val="single" w:sz="4" w:space="0" w:color="1C556C"/>
              <w:left w:val="single" w:sz="4" w:space="0" w:color="1C556C"/>
              <w:bottom w:val="single" w:sz="4" w:space="0" w:color="1C556C"/>
              <w:right w:val="nil"/>
            </w:tcBorders>
            <w:vAlign w:val="bottom"/>
          </w:tcPr>
          <w:p w:rsidR="00020846" w:rsidRPr="00927700" w:rsidRDefault="00020846" w:rsidP="00044DDB">
            <w:pPr>
              <w:pStyle w:val="TableText"/>
              <w:jc w:val="right"/>
            </w:pPr>
          </w:p>
        </w:tc>
        <w:tc>
          <w:tcPr>
            <w:tcW w:w="1025" w:type="dxa"/>
            <w:tcBorders>
              <w:top w:val="single" w:sz="4" w:space="0" w:color="1C556C"/>
              <w:left w:val="single" w:sz="4" w:space="0" w:color="1C556C"/>
              <w:bottom w:val="single" w:sz="4" w:space="0" w:color="1C556C"/>
              <w:right w:val="nil"/>
            </w:tcBorders>
            <w:shd w:val="clear" w:color="auto" w:fill="BCF6F7" w:themeFill="accent2" w:themeFillTint="33"/>
            <w:vAlign w:val="bottom"/>
          </w:tcPr>
          <w:p w:rsidR="00020846" w:rsidRPr="00020846" w:rsidRDefault="00020846" w:rsidP="00044DDB">
            <w:pPr>
              <w:pStyle w:val="TableText"/>
              <w:jc w:val="right"/>
              <w:rPr>
                <w:b/>
              </w:rPr>
            </w:pPr>
            <w:r>
              <w:rPr>
                <w:b/>
              </w:rPr>
              <w:t>11</w:t>
            </w:r>
          </w:p>
        </w:tc>
      </w:tr>
      <w:tr w:rsidR="003B1DC2" w:rsidRPr="00927700" w:rsidTr="00820EFA">
        <w:tc>
          <w:tcPr>
            <w:tcW w:w="2377" w:type="dxa"/>
            <w:tcBorders>
              <w:top w:val="single" w:sz="4" w:space="0" w:color="1C556C"/>
              <w:left w:val="nil"/>
              <w:bottom w:val="single" w:sz="4" w:space="0" w:color="1C556C"/>
              <w:right w:val="single" w:sz="4" w:space="0" w:color="1C556C"/>
            </w:tcBorders>
          </w:tcPr>
          <w:p w:rsidR="00020846" w:rsidRPr="00927700" w:rsidRDefault="00020846" w:rsidP="00044DDB">
            <w:pPr>
              <w:pStyle w:val="TableText"/>
            </w:pPr>
            <w:r>
              <w:t xml:space="preserve">Professional </w:t>
            </w:r>
            <w:r w:rsidR="005243E2">
              <w:t>b</w:t>
            </w:r>
            <w:r>
              <w:t>odies</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217E0A" w:rsidP="00044DDB">
            <w:pPr>
              <w:pStyle w:val="TableText"/>
              <w:jc w:val="right"/>
            </w:pPr>
            <w:r>
              <w:t>2</w:t>
            </w:r>
          </w:p>
        </w:tc>
        <w:tc>
          <w:tcPr>
            <w:tcW w:w="850"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217E0A" w:rsidP="00044DDB">
            <w:pPr>
              <w:pStyle w:val="TableText"/>
              <w:jc w:val="right"/>
            </w:pPr>
            <w:r>
              <w:t>1</w:t>
            </w:r>
          </w:p>
        </w:tc>
        <w:tc>
          <w:tcPr>
            <w:tcW w:w="851" w:type="dxa"/>
            <w:tcBorders>
              <w:top w:val="single" w:sz="4" w:space="0" w:color="1C556C"/>
              <w:left w:val="single" w:sz="4" w:space="0" w:color="1C556C"/>
              <w:bottom w:val="single" w:sz="4" w:space="0" w:color="1C556C"/>
              <w:right w:val="single" w:sz="4" w:space="0" w:color="1C556C"/>
            </w:tcBorders>
            <w:vAlign w:val="bottom"/>
          </w:tcPr>
          <w:p w:rsidR="00020846" w:rsidRPr="00927700" w:rsidRDefault="00020846" w:rsidP="00044DDB">
            <w:pPr>
              <w:pStyle w:val="TableText"/>
              <w:jc w:val="right"/>
            </w:pPr>
            <w:r>
              <w:t>4</w:t>
            </w:r>
          </w:p>
        </w:tc>
        <w:tc>
          <w:tcPr>
            <w:tcW w:w="850" w:type="dxa"/>
            <w:tcBorders>
              <w:top w:val="single" w:sz="4" w:space="0" w:color="1C556C"/>
              <w:left w:val="single" w:sz="4" w:space="0" w:color="1C556C"/>
              <w:bottom w:val="single" w:sz="4" w:space="0" w:color="1C556C"/>
              <w:right w:val="nil"/>
            </w:tcBorders>
            <w:vAlign w:val="bottom"/>
          </w:tcPr>
          <w:p w:rsidR="00020846" w:rsidRPr="00927700" w:rsidRDefault="00217E0A" w:rsidP="00044DDB">
            <w:pPr>
              <w:pStyle w:val="TableText"/>
              <w:jc w:val="right"/>
            </w:pPr>
            <w:r>
              <w:t>3</w:t>
            </w:r>
          </w:p>
        </w:tc>
        <w:tc>
          <w:tcPr>
            <w:tcW w:w="1025" w:type="dxa"/>
            <w:tcBorders>
              <w:top w:val="single" w:sz="4" w:space="0" w:color="1C556C"/>
              <w:left w:val="single" w:sz="4" w:space="0" w:color="1C556C"/>
              <w:bottom w:val="single" w:sz="4" w:space="0" w:color="1C556C"/>
              <w:right w:val="nil"/>
            </w:tcBorders>
            <w:shd w:val="clear" w:color="auto" w:fill="BCF6F7" w:themeFill="accent2" w:themeFillTint="33"/>
            <w:vAlign w:val="bottom"/>
          </w:tcPr>
          <w:p w:rsidR="00020846" w:rsidRPr="00020846" w:rsidRDefault="00020846" w:rsidP="00044DDB">
            <w:pPr>
              <w:pStyle w:val="TableText"/>
              <w:jc w:val="right"/>
              <w:rPr>
                <w:b/>
              </w:rPr>
            </w:pPr>
            <w:r>
              <w:rPr>
                <w:b/>
              </w:rPr>
              <w:t>10</w:t>
            </w:r>
          </w:p>
        </w:tc>
      </w:tr>
      <w:tr w:rsidR="003B1DC2" w:rsidRPr="00927700" w:rsidTr="00820EFA">
        <w:trPr>
          <w:trHeight w:val="70"/>
        </w:trPr>
        <w:tc>
          <w:tcPr>
            <w:tcW w:w="2377" w:type="dxa"/>
            <w:tcBorders>
              <w:top w:val="single" w:sz="4" w:space="0" w:color="1C556C"/>
              <w:left w:val="nil"/>
              <w:bottom w:val="single" w:sz="4" w:space="0" w:color="17556C"/>
              <w:right w:val="single" w:sz="4" w:space="0" w:color="1C556C"/>
            </w:tcBorders>
            <w:shd w:val="clear" w:color="auto" w:fill="BCF6F7" w:themeFill="accent2" w:themeFillTint="33"/>
          </w:tcPr>
          <w:p w:rsidR="00020846" w:rsidRPr="00020846" w:rsidRDefault="00020846" w:rsidP="00044DDB">
            <w:pPr>
              <w:pStyle w:val="TableText"/>
              <w:rPr>
                <w:b/>
              </w:rPr>
            </w:pPr>
            <w:r w:rsidRPr="00020846">
              <w:rPr>
                <w:b/>
              </w:rPr>
              <w:t>TOTAL OVERALL POSITION</w:t>
            </w:r>
          </w:p>
        </w:tc>
        <w:tc>
          <w:tcPr>
            <w:tcW w:w="851" w:type="dxa"/>
            <w:tcBorders>
              <w:top w:val="single" w:sz="4" w:space="0" w:color="1C556C"/>
              <w:left w:val="single" w:sz="4" w:space="0" w:color="1C556C"/>
              <w:bottom w:val="single" w:sz="4" w:space="0" w:color="17556C"/>
              <w:right w:val="single" w:sz="4" w:space="0" w:color="1C556C"/>
            </w:tcBorders>
            <w:shd w:val="clear" w:color="auto" w:fill="BCF6F7" w:themeFill="accent2" w:themeFillTint="33"/>
            <w:vAlign w:val="bottom"/>
          </w:tcPr>
          <w:p w:rsidR="00020846" w:rsidRPr="00020846" w:rsidRDefault="00020846" w:rsidP="00044DDB">
            <w:pPr>
              <w:pStyle w:val="TableText"/>
              <w:jc w:val="right"/>
              <w:rPr>
                <w:b/>
              </w:rPr>
            </w:pPr>
            <w:r>
              <w:rPr>
                <w:b/>
              </w:rPr>
              <w:t>13</w:t>
            </w:r>
          </w:p>
        </w:tc>
        <w:tc>
          <w:tcPr>
            <w:tcW w:w="850" w:type="dxa"/>
            <w:tcBorders>
              <w:top w:val="single" w:sz="4" w:space="0" w:color="1C556C"/>
              <w:left w:val="single" w:sz="4" w:space="0" w:color="1C556C"/>
              <w:bottom w:val="single" w:sz="4" w:space="0" w:color="17556C"/>
              <w:right w:val="single" w:sz="4" w:space="0" w:color="1C556C"/>
            </w:tcBorders>
            <w:shd w:val="clear" w:color="auto" w:fill="BCF6F7" w:themeFill="accent2" w:themeFillTint="33"/>
            <w:vAlign w:val="bottom"/>
          </w:tcPr>
          <w:p w:rsidR="00020846" w:rsidRPr="00020846" w:rsidRDefault="00020846" w:rsidP="00044DDB">
            <w:pPr>
              <w:pStyle w:val="TableText"/>
              <w:jc w:val="right"/>
              <w:rPr>
                <w:b/>
              </w:rPr>
            </w:pPr>
            <w:r>
              <w:rPr>
                <w:b/>
              </w:rPr>
              <w:t>9</w:t>
            </w:r>
          </w:p>
        </w:tc>
        <w:tc>
          <w:tcPr>
            <w:tcW w:w="851" w:type="dxa"/>
            <w:tcBorders>
              <w:top w:val="single" w:sz="4" w:space="0" w:color="1C556C"/>
              <w:left w:val="single" w:sz="4" w:space="0" w:color="1C556C"/>
              <w:bottom w:val="single" w:sz="4" w:space="0" w:color="17556C"/>
              <w:right w:val="single" w:sz="4" w:space="0" w:color="1C556C"/>
            </w:tcBorders>
            <w:shd w:val="clear" w:color="auto" w:fill="BCF6F7" w:themeFill="accent2" w:themeFillTint="33"/>
            <w:vAlign w:val="bottom"/>
          </w:tcPr>
          <w:p w:rsidR="00020846" w:rsidRPr="00020846" w:rsidRDefault="00020846" w:rsidP="00044DDB">
            <w:pPr>
              <w:pStyle w:val="TableText"/>
              <w:jc w:val="right"/>
              <w:rPr>
                <w:b/>
              </w:rPr>
            </w:pPr>
            <w:r>
              <w:rPr>
                <w:b/>
              </w:rPr>
              <w:t>14</w:t>
            </w:r>
          </w:p>
        </w:tc>
        <w:tc>
          <w:tcPr>
            <w:tcW w:w="850" w:type="dxa"/>
            <w:tcBorders>
              <w:top w:val="single" w:sz="4" w:space="0" w:color="1C556C"/>
              <w:left w:val="single" w:sz="4" w:space="0" w:color="1C556C"/>
              <w:bottom w:val="single" w:sz="4" w:space="0" w:color="17556C"/>
              <w:right w:val="single" w:sz="4" w:space="0" w:color="1C556C"/>
            </w:tcBorders>
            <w:shd w:val="clear" w:color="auto" w:fill="BCF6F7" w:themeFill="accent2" w:themeFillTint="33"/>
            <w:vAlign w:val="bottom"/>
          </w:tcPr>
          <w:p w:rsidR="00020846" w:rsidRPr="00020846" w:rsidRDefault="00020846" w:rsidP="00044DDB">
            <w:pPr>
              <w:pStyle w:val="TableText"/>
              <w:jc w:val="right"/>
              <w:rPr>
                <w:b/>
              </w:rPr>
            </w:pPr>
            <w:r>
              <w:rPr>
                <w:b/>
              </w:rPr>
              <w:t>6</w:t>
            </w:r>
          </w:p>
        </w:tc>
        <w:tc>
          <w:tcPr>
            <w:tcW w:w="851" w:type="dxa"/>
            <w:tcBorders>
              <w:top w:val="single" w:sz="4" w:space="0" w:color="1C556C"/>
              <w:left w:val="single" w:sz="4" w:space="0" w:color="1C556C"/>
              <w:bottom w:val="single" w:sz="4" w:space="0" w:color="17556C"/>
              <w:right w:val="single" w:sz="4" w:space="0" w:color="1C556C"/>
            </w:tcBorders>
            <w:shd w:val="clear" w:color="auto" w:fill="BCF6F7" w:themeFill="accent2" w:themeFillTint="33"/>
            <w:vAlign w:val="bottom"/>
          </w:tcPr>
          <w:p w:rsidR="00020846" w:rsidRPr="00020846" w:rsidRDefault="00020846" w:rsidP="00044DDB">
            <w:pPr>
              <w:pStyle w:val="TableText"/>
              <w:jc w:val="right"/>
              <w:rPr>
                <w:b/>
              </w:rPr>
            </w:pPr>
            <w:r>
              <w:rPr>
                <w:b/>
              </w:rPr>
              <w:t>71</w:t>
            </w:r>
          </w:p>
        </w:tc>
        <w:tc>
          <w:tcPr>
            <w:tcW w:w="850"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27</w:t>
            </w:r>
          </w:p>
        </w:tc>
        <w:tc>
          <w:tcPr>
            <w:tcW w:w="1025" w:type="dxa"/>
            <w:tcBorders>
              <w:top w:val="single" w:sz="4" w:space="0" w:color="1C556C"/>
              <w:left w:val="single" w:sz="4" w:space="0" w:color="1C556C"/>
              <w:bottom w:val="single" w:sz="4" w:space="0" w:color="17556C"/>
              <w:right w:val="nil"/>
            </w:tcBorders>
            <w:shd w:val="clear" w:color="auto" w:fill="BCF6F7" w:themeFill="accent2" w:themeFillTint="33"/>
            <w:vAlign w:val="bottom"/>
          </w:tcPr>
          <w:p w:rsidR="00020846" w:rsidRPr="00020846" w:rsidRDefault="00020846" w:rsidP="00044DDB">
            <w:pPr>
              <w:pStyle w:val="TableText"/>
              <w:jc w:val="right"/>
              <w:rPr>
                <w:b/>
              </w:rPr>
            </w:pPr>
            <w:r>
              <w:rPr>
                <w:b/>
              </w:rPr>
              <w:t>140</w:t>
            </w:r>
          </w:p>
        </w:tc>
      </w:tr>
    </w:tbl>
    <w:p w:rsidR="00424385" w:rsidRDefault="002C600B" w:rsidP="007F14B0">
      <w:pPr>
        <w:pStyle w:val="BodyText"/>
      </w:pPr>
      <w:r w:rsidRPr="00303149">
        <w:t>Whil</w:t>
      </w:r>
      <w:r w:rsidR="005243E2">
        <w:t>e</w:t>
      </w:r>
      <w:r w:rsidRPr="00303149">
        <w:t xml:space="preserve"> councils with a </w:t>
      </w:r>
      <w:r w:rsidR="00AA20EA">
        <w:t>“</w:t>
      </w:r>
      <w:r w:rsidR="00923B22">
        <w:t>high growth urban area</w:t>
      </w:r>
      <w:r w:rsidR="00AA20EA">
        <w:t xml:space="preserve"> in their jurisdiction (‘high g</w:t>
      </w:r>
      <w:r w:rsidRPr="00303149">
        <w:t>rowth council’)</w:t>
      </w:r>
      <w:r w:rsidR="005243E2">
        <w:t>,</w:t>
      </w:r>
      <w:r w:rsidRPr="00303149">
        <w:t xml:space="preserve"> and those councils without either a </w:t>
      </w:r>
      <w:r w:rsidR="00AA20EA">
        <w:t>“m</w:t>
      </w:r>
      <w:r w:rsidRPr="00303149">
        <w:t>edium</w:t>
      </w:r>
      <w:r w:rsidR="00AA20EA">
        <w:t>”</w:t>
      </w:r>
      <w:r w:rsidRPr="00303149">
        <w:t xml:space="preserve"> or </w:t>
      </w:r>
      <w:r w:rsidR="00AA20EA">
        <w:t>“</w:t>
      </w:r>
      <w:r w:rsidR="00923B22">
        <w:t>high growth urban area</w:t>
      </w:r>
      <w:r w:rsidR="00AA20EA">
        <w:t>”</w:t>
      </w:r>
      <w:r w:rsidRPr="00303149">
        <w:t xml:space="preserve"> in their jurisdiction (‘other councils’)</w:t>
      </w:r>
      <w:r w:rsidR="005243E2">
        <w:t>,</w:t>
      </w:r>
      <w:r w:rsidRPr="00303149">
        <w:t xml:space="preserve"> showed strong support for the proposed NPS-UDC, a greater disparity in support appeared among councils </w:t>
      </w:r>
      <w:r w:rsidR="005243E2">
        <w:t>with</w:t>
      </w:r>
      <w:r w:rsidRPr="00303149">
        <w:t xml:space="preserve"> a </w:t>
      </w:r>
      <w:r w:rsidR="00AA20EA">
        <w:t>“medium growth urban area</w:t>
      </w:r>
      <w:r w:rsidR="00923B22">
        <w:t>”</w:t>
      </w:r>
      <w:r w:rsidR="00AA20EA">
        <w:t xml:space="preserve"> in their jurisdiction (‘medium growth</w:t>
      </w:r>
      <w:r w:rsidRPr="00303149">
        <w:t xml:space="preserve"> council</w:t>
      </w:r>
      <w:r w:rsidR="005243E2">
        <w:t>’</w:t>
      </w:r>
      <w:r w:rsidRPr="00303149">
        <w:t>).</w:t>
      </w:r>
      <w:r w:rsidR="000A1CCC">
        <w:t xml:space="preserve"> </w:t>
      </w:r>
      <w:r w:rsidR="005243E2">
        <w:t xml:space="preserve">Figure </w:t>
      </w:r>
      <w:r>
        <w:t xml:space="preserve">2 </w:t>
      </w:r>
      <w:r w:rsidR="005243E2">
        <w:t xml:space="preserve">shows </w:t>
      </w:r>
      <w:r>
        <w:t>the overall position</w:t>
      </w:r>
      <w:r w:rsidR="005243E2">
        <w:t>,</w:t>
      </w:r>
      <w:r>
        <w:t xml:space="preserve"> broken down by local authority</w:t>
      </w:r>
      <w:r w:rsidR="003257A6">
        <w:t xml:space="preserve"> urban growth area classification.</w:t>
      </w:r>
      <w:r w:rsidR="000A1CCC">
        <w:t xml:space="preserve"> </w:t>
      </w:r>
      <w:r w:rsidR="00210EF0">
        <w:t xml:space="preserve">Submissions from </w:t>
      </w:r>
      <w:r w:rsidR="00D0034A">
        <w:t>those l</w:t>
      </w:r>
      <w:r w:rsidR="00210EF0">
        <w:t xml:space="preserve">ocal </w:t>
      </w:r>
      <w:r w:rsidR="005243E2">
        <w:t>a</w:t>
      </w:r>
      <w:r w:rsidR="00210EF0">
        <w:t xml:space="preserve">uthorities with responsibilities triggered by the </w:t>
      </w:r>
      <w:r w:rsidR="005237F3">
        <w:t>m</w:t>
      </w:r>
      <w:r w:rsidR="00923B22">
        <w:t>edium growth urban area</w:t>
      </w:r>
      <w:r w:rsidR="00210EF0">
        <w:t xml:space="preserve"> definition </w:t>
      </w:r>
      <w:r w:rsidR="00CA0347">
        <w:t>were</w:t>
      </w:r>
      <w:r w:rsidR="00210EF0">
        <w:t xml:space="preserve"> concern</w:t>
      </w:r>
      <w:r w:rsidR="00CA0347">
        <w:t>ed</w:t>
      </w:r>
      <w:r w:rsidR="00210EF0">
        <w:t xml:space="preserve"> </w:t>
      </w:r>
      <w:r w:rsidR="00CA0347">
        <w:t xml:space="preserve">about </w:t>
      </w:r>
      <w:r w:rsidR="00210EF0">
        <w:t>the impact</w:t>
      </w:r>
      <w:r w:rsidR="00CA0347">
        <w:t>s</w:t>
      </w:r>
      <w:r w:rsidR="00210EF0">
        <w:t xml:space="preserve"> of meet</w:t>
      </w:r>
      <w:r w:rsidR="00CA0347">
        <w:t>ing</w:t>
      </w:r>
      <w:r w:rsidR="00210EF0">
        <w:t xml:space="preserve"> the requirements of the NPS-UDC</w:t>
      </w:r>
      <w:r w:rsidR="00CA0347">
        <w:t>,</w:t>
      </w:r>
      <w:r w:rsidR="00210EF0">
        <w:t xml:space="preserve"> and the cost and capacity implications</w:t>
      </w:r>
      <w:r w:rsidR="00CA0347">
        <w:t xml:space="preserve"> of this</w:t>
      </w:r>
      <w:r w:rsidR="00210EF0">
        <w:t>.</w:t>
      </w:r>
    </w:p>
    <w:p w:rsidR="00820EFA" w:rsidRDefault="00820EFA" w:rsidP="00820EFA">
      <w:pPr>
        <w:pStyle w:val="Figureheading"/>
      </w:pPr>
      <w:bookmarkStart w:id="10" w:name="_Toc461109296"/>
      <w:r>
        <w:t>Figure</w:t>
      </w:r>
      <w:r w:rsidRPr="00262319">
        <w:t xml:space="preserve"> 2:</w:t>
      </w:r>
      <w:r w:rsidRPr="00262319">
        <w:tab/>
        <w:t xml:space="preserve">Overall </w:t>
      </w:r>
      <w:r>
        <w:t>p</w:t>
      </w:r>
      <w:r w:rsidRPr="00262319">
        <w:t xml:space="preserve">osition by </w:t>
      </w:r>
      <w:r>
        <w:t>l</w:t>
      </w:r>
      <w:r w:rsidRPr="00262319">
        <w:t xml:space="preserve">ocal </w:t>
      </w:r>
      <w:r>
        <w:t>a</w:t>
      </w:r>
      <w:r w:rsidRPr="00262319">
        <w:t xml:space="preserve">uthority </w:t>
      </w:r>
      <w:r>
        <w:t>g</w:t>
      </w:r>
      <w:r w:rsidRPr="00262319">
        <w:t>rowth Urban Area Classification</w:t>
      </w:r>
      <w:r w:rsidRPr="00262319">
        <w:rPr>
          <w:color w:val="183C47"/>
          <w:vertAlign w:val="superscript"/>
        </w:rPr>
        <w:footnoteReference w:id="1"/>
      </w:r>
      <w:bookmarkEnd w:id="10"/>
    </w:p>
    <w:p w:rsidR="009849F4" w:rsidRDefault="00820EFA" w:rsidP="00820EFA">
      <w:pPr>
        <w:pStyle w:val="Figureheading"/>
      </w:pPr>
      <w:r>
        <w:rPr>
          <w:noProof/>
        </w:rPr>
        <w:drawing>
          <wp:inline distT="0" distB="0" distL="0" distR="0">
            <wp:extent cx="5180330" cy="2552065"/>
            <wp:effectExtent l="0" t="0" r="2032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11F5" w:rsidRDefault="007B11F5" w:rsidP="009849F4">
      <w:pPr>
        <w:pStyle w:val="BodyText"/>
      </w:pPr>
      <w:r>
        <w:t xml:space="preserve">The following sections </w:t>
      </w:r>
      <w:r w:rsidR="00F84946">
        <w:t xml:space="preserve">group </w:t>
      </w:r>
      <w:r>
        <w:t xml:space="preserve">submissions according </w:t>
      </w:r>
      <w:r w:rsidR="00F84946">
        <w:t>to the</w:t>
      </w:r>
      <w:r>
        <w:t xml:space="preserve"> section headings </w:t>
      </w:r>
      <w:r w:rsidR="00F84946">
        <w:t xml:space="preserve">used in </w:t>
      </w:r>
      <w:r>
        <w:t xml:space="preserve">the </w:t>
      </w:r>
      <w:r w:rsidR="00F84946">
        <w:t>c</w:t>
      </w:r>
      <w:r>
        <w:t xml:space="preserve">onsultation </w:t>
      </w:r>
      <w:r w:rsidR="00F84946">
        <w:t>d</w:t>
      </w:r>
      <w:r>
        <w:t>ocument.</w:t>
      </w:r>
      <w:r w:rsidR="000A1CCC">
        <w:t xml:space="preserve"> </w:t>
      </w:r>
      <w:r>
        <w:t xml:space="preserve">Each section summary </w:t>
      </w:r>
      <w:r w:rsidR="00F84946">
        <w:t xml:space="preserve">then </w:t>
      </w:r>
      <w:r>
        <w:t>specif</w:t>
      </w:r>
      <w:r w:rsidR="00F84946">
        <w:t>ies</w:t>
      </w:r>
      <w:r>
        <w:t xml:space="preserve"> stakeholder groups and contrasting views where relevant.</w:t>
      </w:r>
      <w:r w:rsidR="000A1CCC">
        <w:t xml:space="preserve"> </w:t>
      </w:r>
      <w:r>
        <w:t xml:space="preserve">Quotes from </w:t>
      </w:r>
      <w:r w:rsidR="00F84946">
        <w:t xml:space="preserve">some </w:t>
      </w:r>
      <w:r>
        <w:t xml:space="preserve">submissions have </w:t>
      </w:r>
      <w:r w:rsidR="00F84946">
        <w:t xml:space="preserve">also been included, </w:t>
      </w:r>
      <w:r>
        <w:t>to illustrate common points of view.</w:t>
      </w:r>
    </w:p>
    <w:p w:rsidR="003E7242" w:rsidRPr="00423B88" w:rsidRDefault="003E7242" w:rsidP="00423B88">
      <w:pPr>
        <w:pStyle w:val="Heading2"/>
      </w:pPr>
      <w:bookmarkStart w:id="11" w:name="_Toc461185718"/>
      <w:r w:rsidRPr="00423B88">
        <w:t xml:space="preserve">Intent of the </w:t>
      </w:r>
      <w:r w:rsidR="002D0259" w:rsidRPr="00423B88">
        <w:t>NPS-UDC</w:t>
      </w:r>
      <w:bookmarkEnd w:id="11"/>
    </w:p>
    <w:p w:rsidR="00184E29" w:rsidRDefault="003E7242" w:rsidP="007F14B0">
      <w:pPr>
        <w:pStyle w:val="BodyText"/>
      </w:pPr>
      <w:r w:rsidRPr="003E7242">
        <w:t xml:space="preserve">Half </w:t>
      </w:r>
      <w:r w:rsidR="00FC0859">
        <w:t>the</w:t>
      </w:r>
      <w:r w:rsidR="00FC0859" w:rsidRPr="003E7242">
        <w:t xml:space="preserve"> </w:t>
      </w:r>
      <w:r w:rsidRPr="003E7242">
        <w:t xml:space="preserve">submissions commented on the content of the </w:t>
      </w:r>
      <w:r w:rsidR="00FC0859">
        <w:t>p</w:t>
      </w:r>
      <w:r w:rsidRPr="003E7242">
        <w:t>reamble</w:t>
      </w:r>
      <w:r w:rsidR="00FC0859">
        <w:t>,</w:t>
      </w:r>
      <w:r w:rsidRPr="003E7242">
        <w:t xml:space="preserve"> and the overall scope of the </w:t>
      </w:r>
      <w:r w:rsidR="002D0259">
        <w:t>NPS-UDC</w:t>
      </w:r>
      <w:r w:rsidRPr="003E7242">
        <w:t>.</w:t>
      </w:r>
      <w:r w:rsidR="000A1CCC">
        <w:t xml:space="preserve"> </w:t>
      </w:r>
      <w:r w:rsidR="00184E29">
        <w:t xml:space="preserve">Three </w:t>
      </w:r>
      <w:r w:rsidR="00FC0859">
        <w:t>overall</w:t>
      </w:r>
      <w:r w:rsidR="00184E29">
        <w:t xml:space="preserve"> themes emerged across </w:t>
      </w:r>
      <w:r w:rsidR="00FC0859">
        <w:t xml:space="preserve">the </w:t>
      </w:r>
      <w:r w:rsidR="00184E29">
        <w:t>submissions:</w:t>
      </w:r>
    </w:p>
    <w:p w:rsidR="003E7242" w:rsidRDefault="003E7242" w:rsidP="00423B88">
      <w:pPr>
        <w:pStyle w:val="Bullet"/>
        <w:numPr>
          <w:ilvl w:val="0"/>
          <w:numId w:val="46"/>
        </w:numPr>
      </w:pPr>
      <w:r w:rsidRPr="003E7242">
        <w:t xml:space="preserve">While </w:t>
      </w:r>
      <w:r w:rsidR="00763C59">
        <w:t xml:space="preserve">some </w:t>
      </w:r>
      <w:r w:rsidRPr="003E7242">
        <w:t xml:space="preserve">submissions </w:t>
      </w:r>
      <w:r w:rsidR="00FC0859">
        <w:t>expressed</w:t>
      </w:r>
      <w:r w:rsidR="00FC0859" w:rsidRPr="003E7242">
        <w:t xml:space="preserve"> </w:t>
      </w:r>
      <w:r w:rsidRPr="003E7242">
        <w:t xml:space="preserve">a general appetite for national direction to address urban development capacity, </w:t>
      </w:r>
      <w:r w:rsidR="00763C59">
        <w:t>others</w:t>
      </w:r>
      <w:r w:rsidR="00763C59" w:rsidRPr="003E7242">
        <w:t xml:space="preserve"> </w:t>
      </w:r>
      <w:r w:rsidRPr="003E7242">
        <w:t>felt the focus to be too narrow</w:t>
      </w:r>
      <w:r w:rsidR="00FC0859">
        <w:t>.</w:t>
      </w:r>
    </w:p>
    <w:p w:rsidR="00184E29" w:rsidRDefault="00184E29" w:rsidP="00423B88">
      <w:pPr>
        <w:pStyle w:val="Bullet"/>
        <w:numPr>
          <w:ilvl w:val="0"/>
          <w:numId w:val="46"/>
        </w:numPr>
      </w:pPr>
      <w:r>
        <w:rPr>
          <w:rFonts w:eastAsiaTheme="majorEastAsia" w:cstheme="majorBidi"/>
          <w:bCs/>
        </w:rPr>
        <w:t>The NPS-</w:t>
      </w:r>
      <w:r>
        <w:t>UDC by itself is not able to address housing affordability</w:t>
      </w:r>
      <w:r w:rsidR="00FC0859">
        <w:t>.</w:t>
      </w:r>
    </w:p>
    <w:p w:rsidR="00C90C3C" w:rsidRPr="00D822C2" w:rsidRDefault="00184E29" w:rsidP="00423B88">
      <w:pPr>
        <w:pStyle w:val="Bullet"/>
        <w:numPr>
          <w:ilvl w:val="0"/>
          <w:numId w:val="46"/>
        </w:numPr>
      </w:pPr>
      <w:r w:rsidRPr="00D822C2">
        <w:t>A perception that the NPS-UDC requires development at any cost and as such is inconsistent with the purpose of the RM</w:t>
      </w:r>
      <w:r w:rsidR="00C90C3C" w:rsidRPr="00D822C2">
        <w:t>A.</w:t>
      </w:r>
    </w:p>
    <w:p w:rsidR="00D822C2" w:rsidRDefault="00D822C2" w:rsidP="00423B88">
      <w:pPr>
        <w:pStyle w:val="Heading3"/>
      </w:pPr>
      <w:r>
        <w:t>A narrow focus</w:t>
      </w:r>
    </w:p>
    <w:p w:rsidR="00D822C2" w:rsidRDefault="00975F65" w:rsidP="00423B88">
      <w:pPr>
        <w:pStyle w:val="BodyText"/>
      </w:pPr>
      <w:r>
        <w:t>There was s</w:t>
      </w:r>
      <w:r w:rsidR="003E7242" w:rsidRPr="00D822C2">
        <w:t>upport for an NPS with an exclusive focus on development capacity.</w:t>
      </w:r>
      <w:r w:rsidR="000A1CCC">
        <w:t xml:space="preserve"> </w:t>
      </w:r>
      <w:r w:rsidR="003E7242" w:rsidRPr="00D822C2">
        <w:t xml:space="preserve">Some submissions, in particular from the </w:t>
      </w:r>
      <w:r>
        <w:t>d</w:t>
      </w:r>
      <w:r w:rsidR="003E7242" w:rsidRPr="00D822C2">
        <w:t xml:space="preserve">evelopment </w:t>
      </w:r>
      <w:r>
        <w:t>s</w:t>
      </w:r>
      <w:r w:rsidR="003E7242" w:rsidRPr="00D822C2">
        <w:t xml:space="preserve">ector, welcomed the </w:t>
      </w:r>
      <w:r w:rsidR="002D0259" w:rsidRPr="00D822C2">
        <w:t>NPS-UDC</w:t>
      </w:r>
      <w:r w:rsidR="003E7242" w:rsidRPr="00D822C2">
        <w:t xml:space="preserve"> </w:t>
      </w:r>
      <w:r w:rsidR="002D0259" w:rsidRPr="00D822C2">
        <w:t xml:space="preserve">addressing </w:t>
      </w:r>
      <w:r w:rsidR="003E7242" w:rsidRPr="00D822C2">
        <w:t xml:space="preserve">matters of urban development capacity and acknowledged </w:t>
      </w:r>
      <w:r>
        <w:t>that a</w:t>
      </w:r>
      <w:r w:rsidRPr="00D822C2">
        <w:t xml:space="preserve"> </w:t>
      </w:r>
      <w:r w:rsidR="003E7242" w:rsidRPr="00D822C2">
        <w:t>national direction would lead to a better understanding of how planning interacts with the market.</w:t>
      </w:r>
    </w:p>
    <w:p w:rsidR="00D822C2" w:rsidRDefault="00C90C3C" w:rsidP="00423B88">
      <w:pPr>
        <w:pStyle w:val="BodyText"/>
      </w:pPr>
      <w:r w:rsidRPr="00D822C2">
        <w:t xml:space="preserve">There </w:t>
      </w:r>
      <w:r w:rsidR="00975F65">
        <w:t>was no</w:t>
      </w:r>
      <w:r w:rsidRPr="00D822C2">
        <w:t xml:space="preserve"> direct reference to quality urban development.</w:t>
      </w:r>
      <w:r w:rsidR="000A1CCC">
        <w:t xml:space="preserve"> </w:t>
      </w:r>
      <w:r w:rsidRPr="00D822C2">
        <w:t>Other submitters felt that the NPS-UDC had too narrow a focus</w:t>
      </w:r>
      <w:r w:rsidR="00975F65">
        <w:t>,</w:t>
      </w:r>
      <w:r w:rsidRPr="00D822C2">
        <w:t xml:space="preserve"> and sought for it to also address:</w:t>
      </w:r>
    </w:p>
    <w:p w:rsidR="00D822C2" w:rsidRPr="00423B88" w:rsidRDefault="00975F65" w:rsidP="00A94F01">
      <w:pPr>
        <w:pStyle w:val="Bullet"/>
        <w:ind w:left="397" w:hanging="397"/>
        <w:rPr>
          <w:rFonts w:eastAsia="Calibri"/>
        </w:rPr>
      </w:pPr>
      <w:r w:rsidRPr="00423B88">
        <w:t>g</w:t>
      </w:r>
      <w:r w:rsidR="00C90C3C" w:rsidRPr="00423B88">
        <w:t xml:space="preserve">ood urban design, </w:t>
      </w:r>
      <w:r w:rsidRPr="00423B88">
        <w:t xml:space="preserve">and </w:t>
      </w:r>
      <w:r w:rsidR="00C90C3C" w:rsidRPr="00423B88">
        <w:t>social infrastructure considerations such as the provision of hospitals and schools, community amenities</w:t>
      </w:r>
      <w:r w:rsidRPr="00423B88">
        <w:t>,</w:t>
      </w:r>
      <w:r w:rsidR="00C90C3C" w:rsidRPr="00423B88">
        <w:t xml:space="preserve"> and facilities such as open spaces, parks and reserves</w:t>
      </w:r>
    </w:p>
    <w:p w:rsidR="00C90C3C" w:rsidRPr="00423B88" w:rsidRDefault="00975F65" w:rsidP="00A94F01">
      <w:pPr>
        <w:pStyle w:val="Bullet"/>
        <w:ind w:left="397" w:hanging="397"/>
        <w:rPr>
          <w:rFonts w:eastAsia="Calibri"/>
        </w:rPr>
      </w:pPr>
      <w:r w:rsidRPr="00423B88">
        <w:t>c</w:t>
      </w:r>
      <w:r w:rsidR="00C90C3C" w:rsidRPr="00423B88">
        <w:t xml:space="preserve">hanging household numbers, declining and ageing populations </w:t>
      </w:r>
      <w:r w:rsidRPr="00423B88">
        <w:t xml:space="preserve">in </w:t>
      </w:r>
      <w:r w:rsidR="00C90C3C" w:rsidRPr="00423B88">
        <w:t>some communities</w:t>
      </w:r>
    </w:p>
    <w:p w:rsidR="00C90C3C" w:rsidRPr="00423B88" w:rsidRDefault="00975F65" w:rsidP="00A94F01">
      <w:pPr>
        <w:pStyle w:val="Bullet"/>
        <w:ind w:left="397" w:hanging="397"/>
      </w:pPr>
      <w:r w:rsidRPr="00423B88">
        <w:t>w</w:t>
      </w:r>
      <w:r w:rsidR="00C90C3C" w:rsidRPr="00423B88">
        <w:t>ider environmental considerations such as ecological, cultural or natural hazard constraints</w:t>
      </w:r>
    </w:p>
    <w:p w:rsidR="00C90C3C" w:rsidRPr="00423B88" w:rsidRDefault="000035D9" w:rsidP="00A94F01">
      <w:pPr>
        <w:pStyle w:val="Bullet"/>
        <w:ind w:left="397" w:hanging="397"/>
      </w:pPr>
      <w:r w:rsidRPr="00423B88">
        <w:t>a</w:t>
      </w:r>
      <w:r w:rsidR="00C90C3C" w:rsidRPr="00423B88">
        <w:t xml:space="preserve">cknowledgement of </w:t>
      </w:r>
      <w:r w:rsidRPr="00423B88">
        <w:t>T</w:t>
      </w:r>
      <w:r w:rsidR="00C90C3C" w:rsidRPr="00423B88">
        <w:t>e Tiriti o Waitangi</w:t>
      </w:r>
      <w:r w:rsidRPr="00423B88">
        <w:t>.</w:t>
      </w:r>
    </w:p>
    <w:p w:rsidR="00C90C3C" w:rsidRPr="00423B88" w:rsidRDefault="00C90C3C" w:rsidP="00A94F01">
      <w:pPr>
        <w:pStyle w:val="Quote"/>
      </w:pPr>
      <w:r w:rsidRPr="00423B88">
        <w:t>“The Council considers that the NPS is too heavily focussed on enabling development capacity and does not sufficiently recognise the close connections between providing this capacity and other urban planning considerations, such as the social and environmental impacts of urban development. For example, there is no reference to the Urban Design Protocol, which is a fundamental consideration in delivering capacity.” Christchurch City Council</w:t>
      </w:r>
    </w:p>
    <w:p w:rsidR="00C90C3C" w:rsidRPr="00423B88" w:rsidRDefault="00C90C3C" w:rsidP="00A94F01">
      <w:pPr>
        <w:pStyle w:val="Quote"/>
      </w:pPr>
      <w:r w:rsidRPr="00423B88">
        <w:t>”Te Rūnanga see this as an opportunity to create a meaningful framework for cooperation between government, both central and local, and iwi in accordance with the principles of a genuine Treaty partnership.”</w:t>
      </w:r>
      <w:r w:rsidR="000A1CCC">
        <w:t xml:space="preserve"> </w:t>
      </w:r>
      <w:r w:rsidRPr="00423B88">
        <w:t>Te Rūnanga o Ngāi Tahu</w:t>
      </w:r>
    </w:p>
    <w:p w:rsidR="00EF77DE" w:rsidRPr="00423B88" w:rsidRDefault="00EF77DE" w:rsidP="00A94F01">
      <w:pPr>
        <w:pStyle w:val="Quote"/>
      </w:pPr>
      <w:r w:rsidRPr="00423B88">
        <w:t>“The NPS aims to address the need for capacity, as distinct from quality, which is entirely appropriate given the conclusions of the Productivity Commission reports of 2012 and 2015. On that basis, we urge the team preparing the NPS to eliminate all matters that do not directly address the issue of capacity.</w:t>
      </w:r>
      <w:r w:rsidR="000035D9" w:rsidRPr="00423B88">
        <w:t>”</w:t>
      </w:r>
      <w:r w:rsidR="000A1CCC">
        <w:t xml:space="preserve"> </w:t>
      </w:r>
      <w:r w:rsidRPr="00423B88">
        <w:t>Jon Mapes Land Solutions Limited</w:t>
      </w:r>
    </w:p>
    <w:p w:rsidR="000E71E2" w:rsidRDefault="00763C59" w:rsidP="00423B88">
      <w:pPr>
        <w:pStyle w:val="Heading3"/>
      </w:pPr>
      <w:r>
        <w:t>Ability to address housing affordability</w:t>
      </w:r>
    </w:p>
    <w:p w:rsidR="000E71E2" w:rsidRDefault="00C83A29" w:rsidP="00423B88">
      <w:pPr>
        <w:pStyle w:val="BodyText"/>
      </w:pPr>
      <w:r>
        <w:t>Some submissions commented that t</w:t>
      </w:r>
      <w:r w:rsidR="003E7242">
        <w:t xml:space="preserve">he </w:t>
      </w:r>
      <w:r w:rsidR="002D0259">
        <w:t>NPS-UDC will be ineffect</w:t>
      </w:r>
      <w:r w:rsidR="00A85BD6">
        <w:t>ive</w:t>
      </w:r>
      <w:r w:rsidR="002D0259">
        <w:t xml:space="preserve"> in addressing housing affordability</w:t>
      </w:r>
      <w:r w:rsidR="003E7242" w:rsidRPr="003E7242">
        <w:t>. A number of submissions commented that the underpinning objectives and policies would fail to</w:t>
      </w:r>
      <w:r w:rsidR="00A85BD6">
        <w:t xml:space="preserve"> either</w:t>
      </w:r>
      <w:r w:rsidR="003E7242" w:rsidRPr="003E7242">
        <w:t xml:space="preserve"> address housing affordability issues</w:t>
      </w:r>
      <w:r w:rsidR="00A85BD6">
        <w:t>,</w:t>
      </w:r>
      <w:r w:rsidR="003E7242" w:rsidRPr="003E7242">
        <w:t xml:space="preserve"> or reduce the cost of housing relative to income.</w:t>
      </w:r>
    </w:p>
    <w:p w:rsidR="005E4D35" w:rsidRPr="00423B88" w:rsidRDefault="005E4D35" w:rsidP="00A94F01">
      <w:pPr>
        <w:pStyle w:val="Quote"/>
        <w:rPr>
          <w:rFonts w:eastAsia="Calibri" w:cs="Calibri"/>
        </w:rPr>
      </w:pPr>
      <w:r w:rsidRPr="00423B88">
        <w:t>“As stated in the Preamble, Objectives and Policies, a key theme of the NPS is for planning to be driven by the property market.</w:t>
      </w:r>
      <w:r w:rsidR="000A1CCC">
        <w:t xml:space="preserve"> </w:t>
      </w:r>
      <w:r w:rsidRPr="00423B88">
        <w:t>Unfortunately, this market for complex reasons has not been responsive to demand pressures to date, and so it is unlikely a simple reliance on market signals will work.” Mt Vict</w:t>
      </w:r>
      <w:r w:rsidR="00C970B3" w:rsidRPr="00423B88">
        <w:t>oria Residents’ Association Inc</w:t>
      </w:r>
    </w:p>
    <w:p w:rsidR="00763C59" w:rsidRPr="00423B88" w:rsidRDefault="00763C59" w:rsidP="00023C1D">
      <w:pPr>
        <w:pStyle w:val="Heading3"/>
      </w:pPr>
      <w:r w:rsidRPr="00423B88">
        <w:t>The NPS-UDC and sustainable management</w:t>
      </w:r>
    </w:p>
    <w:p w:rsidR="003E7242" w:rsidRPr="00423B88" w:rsidRDefault="005E4D35" w:rsidP="00423B88">
      <w:pPr>
        <w:pStyle w:val="BodyText"/>
      </w:pPr>
      <w:r w:rsidRPr="00423B88">
        <w:t>Some s</w:t>
      </w:r>
      <w:r w:rsidR="003E7242" w:rsidRPr="00423B88">
        <w:t xml:space="preserve">ubmitters made an interpretation that the </w:t>
      </w:r>
      <w:r w:rsidR="002D0259" w:rsidRPr="00423B88">
        <w:t>NPS-UDC</w:t>
      </w:r>
      <w:r w:rsidR="003E7242" w:rsidRPr="00423B88">
        <w:t xml:space="preserve"> requires ‘development at any cost’</w:t>
      </w:r>
      <w:r w:rsidR="00A85BD6" w:rsidRPr="00423B88">
        <w:t>,</w:t>
      </w:r>
      <w:r w:rsidR="003E7242" w:rsidRPr="00423B88">
        <w:t xml:space="preserve"> and is not consistent with the principle of sustainable management under the RMA.</w:t>
      </w:r>
      <w:r w:rsidR="000A1CCC">
        <w:t xml:space="preserve"> </w:t>
      </w:r>
      <w:r w:rsidR="003E7242" w:rsidRPr="00423B88">
        <w:t xml:space="preserve">Submitters suggested that the purpose, objectives and policies of the </w:t>
      </w:r>
      <w:r w:rsidR="002D0259" w:rsidRPr="00423B88">
        <w:t>NPS-UDC</w:t>
      </w:r>
      <w:r w:rsidR="003E7242" w:rsidRPr="00423B88">
        <w:t xml:space="preserve"> relate more clearly to the purpose of the RMA. Contrasting submissions suggested the outcomes for decision-making either provide stronger direction on environmental outcomes or </w:t>
      </w:r>
      <w:r w:rsidR="002178F3" w:rsidRPr="00423B88">
        <w:t xml:space="preserve">stronger direction </w:t>
      </w:r>
      <w:r w:rsidR="003E7242" w:rsidRPr="00423B88">
        <w:t>on development outcomes.</w:t>
      </w:r>
    </w:p>
    <w:p w:rsidR="005E4D35" w:rsidRPr="00423B88" w:rsidRDefault="00625090" w:rsidP="00A94F01">
      <w:pPr>
        <w:pStyle w:val="Quote"/>
      </w:pPr>
      <w:r w:rsidRPr="00423B88">
        <w:t>“It seems that what the draft NPS on UDC requires is not one approach (compact urban form) or the other (sprawl), but holds both out as potential possibilities, so long as the objectives of social and economic exchange, efficient use of resources and infrastructure, and competitively-priced land supply are met.”</w:t>
      </w:r>
      <w:r w:rsidR="000A1CCC">
        <w:t xml:space="preserve"> </w:t>
      </w:r>
      <w:r w:rsidRPr="00423B88">
        <w:t>Save Our Hills (Upper Hutt) Inc</w:t>
      </w:r>
    </w:p>
    <w:p w:rsidR="003E7242" w:rsidRPr="00423B88" w:rsidRDefault="00625090" w:rsidP="00423B88">
      <w:pPr>
        <w:pStyle w:val="BodyText"/>
      </w:pPr>
      <w:r w:rsidRPr="00423B88">
        <w:t>Submitters viewed the NPS-UDC as creating u</w:t>
      </w:r>
      <w:r w:rsidR="003E7242" w:rsidRPr="00423B88">
        <w:t xml:space="preserve">ncertainty between the </w:t>
      </w:r>
      <w:r w:rsidRPr="00423B88">
        <w:t>enabling of urban development</w:t>
      </w:r>
      <w:r w:rsidR="003E7242" w:rsidRPr="00423B88">
        <w:t xml:space="preserve"> and other legislation.</w:t>
      </w:r>
      <w:r w:rsidR="000A1CCC">
        <w:t xml:space="preserve"> </w:t>
      </w:r>
      <w:r w:rsidR="003E7242" w:rsidRPr="00423B88">
        <w:t xml:space="preserve">Some submitters, especially </w:t>
      </w:r>
      <w:r w:rsidR="0078203E" w:rsidRPr="00423B88">
        <w:t>l</w:t>
      </w:r>
      <w:r w:rsidR="003E7242" w:rsidRPr="00423B88">
        <w:t xml:space="preserve">ocal </w:t>
      </w:r>
      <w:r w:rsidR="0078203E" w:rsidRPr="00423B88">
        <w:t>a</w:t>
      </w:r>
      <w:r w:rsidR="003E7242" w:rsidRPr="00423B88">
        <w:t xml:space="preserve">uthorities, identified the potential for the proposed </w:t>
      </w:r>
      <w:r w:rsidR="002D0259" w:rsidRPr="00423B88">
        <w:t>NPS-UDC</w:t>
      </w:r>
      <w:r w:rsidR="003E7242" w:rsidRPr="00423B88">
        <w:t xml:space="preserve"> to conflict with other national direction, creating difficulties for local authorities about which to prioritise</w:t>
      </w:r>
      <w:r w:rsidR="00205B87" w:rsidRPr="00423B88">
        <w:t xml:space="preserve"> when making a decision</w:t>
      </w:r>
      <w:r w:rsidR="003E7242" w:rsidRPr="00423B88">
        <w:t>.</w:t>
      </w:r>
      <w:r w:rsidR="000A1CCC">
        <w:t xml:space="preserve"> </w:t>
      </w:r>
      <w:r w:rsidR="009A4376" w:rsidRPr="00423B88">
        <w:t>The King Salmon case law was referenced in a number of responses.</w:t>
      </w:r>
      <w:r w:rsidR="000A1CCC">
        <w:t xml:space="preserve"> </w:t>
      </w:r>
      <w:r w:rsidR="003E7242" w:rsidRPr="00423B88">
        <w:t xml:space="preserve">Submissions asked for detail in the </w:t>
      </w:r>
      <w:r w:rsidR="002D0259" w:rsidRPr="00423B88">
        <w:t>NPS-UDC</w:t>
      </w:r>
      <w:r w:rsidR="003E7242" w:rsidRPr="00423B88">
        <w:t xml:space="preserve"> itself</w:t>
      </w:r>
      <w:r w:rsidR="00C2138E" w:rsidRPr="00423B88">
        <w:t>,</w:t>
      </w:r>
      <w:r w:rsidR="003E7242" w:rsidRPr="00423B88">
        <w:t xml:space="preserve"> or in guidance to address how the </w:t>
      </w:r>
      <w:r w:rsidR="002D0259" w:rsidRPr="00423B88">
        <w:t>NPS-UDC</w:t>
      </w:r>
      <w:r w:rsidR="003E7242" w:rsidRPr="00423B88">
        <w:t xml:space="preserve"> fits alongside the:</w:t>
      </w:r>
    </w:p>
    <w:p w:rsidR="003E7242" w:rsidRPr="00423B88" w:rsidRDefault="003E7242" w:rsidP="00A94F01">
      <w:pPr>
        <w:pStyle w:val="Bullet"/>
        <w:ind w:left="397" w:hanging="397"/>
      </w:pPr>
      <w:r w:rsidRPr="00423B88">
        <w:t xml:space="preserve">Local Government Act </w:t>
      </w:r>
      <w:r w:rsidR="00C2138E" w:rsidRPr="00423B88">
        <w:t>(</w:t>
      </w:r>
      <w:r w:rsidRPr="00423B88">
        <w:t xml:space="preserve">particularly in relation to the principles for consultation and the timing of </w:t>
      </w:r>
      <w:r w:rsidR="00144A06" w:rsidRPr="00423B88">
        <w:t>long-term p</w:t>
      </w:r>
      <w:r w:rsidRPr="00423B88">
        <w:t>lans</w:t>
      </w:r>
    </w:p>
    <w:p w:rsidR="003E7242" w:rsidRPr="00423B88" w:rsidRDefault="003E7242" w:rsidP="00A94F01">
      <w:pPr>
        <w:pStyle w:val="Bullet"/>
        <w:ind w:left="397" w:hanging="397"/>
      </w:pPr>
      <w:r w:rsidRPr="00423B88">
        <w:t>National Policy Statement for Freshwater Management</w:t>
      </w:r>
    </w:p>
    <w:p w:rsidR="003E7242" w:rsidRPr="00423B88" w:rsidRDefault="003E7242" w:rsidP="00A94F01">
      <w:pPr>
        <w:pStyle w:val="Bullet"/>
        <w:ind w:left="397" w:hanging="397"/>
      </w:pPr>
      <w:r w:rsidRPr="00423B88">
        <w:t>National Policy Statement on Electricity Transmission</w:t>
      </w:r>
    </w:p>
    <w:p w:rsidR="003E7242" w:rsidRPr="00423B88" w:rsidRDefault="003E7242" w:rsidP="00A94F01">
      <w:pPr>
        <w:pStyle w:val="Bullet"/>
        <w:ind w:left="397" w:hanging="397"/>
      </w:pPr>
      <w:r w:rsidRPr="00423B88">
        <w:t>New Zealand Coastal Policy Statement</w:t>
      </w:r>
    </w:p>
    <w:p w:rsidR="003E7242" w:rsidRPr="00423B88" w:rsidRDefault="003E7242" w:rsidP="00A94F01">
      <w:pPr>
        <w:pStyle w:val="Bullet"/>
        <w:ind w:left="397" w:hanging="397"/>
      </w:pPr>
      <w:r w:rsidRPr="00423B88">
        <w:t>Resource Amendment Legislation Bill</w:t>
      </w:r>
    </w:p>
    <w:p w:rsidR="00625090" w:rsidRPr="00423B88" w:rsidRDefault="003E7242" w:rsidP="00A94F01">
      <w:pPr>
        <w:pStyle w:val="Bullet"/>
        <w:ind w:left="397" w:hanging="397"/>
      </w:pPr>
      <w:r w:rsidRPr="00423B88">
        <w:t>Land Transport Management Act</w:t>
      </w:r>
      <w:r w:rsidR="00C2138E" w:rsidRPr="00423B88">
        <w:t>.</w:t>
      </w:r>
    </w:p>
    <w:p w:rsidR="003E7242" w:rsidRPr="00423B88" w:rsidRDefault="005E4D35" w:rsidP="00A94F01">
      <w:pPr>
        <w:pStyle w:val="Quote"/>
      </w:pPr>
      <w:r w:rsidRPr="00423B88">
        <w:t xml:space="preserve"> </w:t>
      </w:r>
      <w:r w:rsidR="003E7242" w:rsidRPr="00423B88">
        <w:t>“The relationship between the NPS-UDC and the other NPS, including the National Policy Statement for Freshwater Management 2014 (NPS-FM) and the New Zealand Coastal Policy Statement 2010 needs to be carefully considered.</w:t>
      </w:r>
      <w:r w:rsidR="000A1CCC">
        <w:t xml:space="preserve"> </w:t>
      </w:r>
      <w:r w:rsidR="003E7242" w:rsidRPr="00423B88">
        <w:t>If there is conflict between the provisions of these documents, then direction, or guidance, needs to be provided as to how local authorities can address those conflicts when giving effect to them in policy statements and regional and district plans.” Taranaki Regional Council</w:t>
      </w:r>
    </w:p>
    <w:p w:rsidR="009A4376" w:rsidRPr="00423B88" w:rsidRDefault="009A4376" w:rsidP="00A94F01">
      <w:pPr>
        <w:pStyle w:val="Quote"/>
      </w:pPr>
      <w:r w:rsidRPr="00423B88">
        <w:t>“The planning profession is now, post King Salmon, well versed in the language of national policy statements and has precedent to rely on about what takes primacy. The language of the proposed NPS further complicates the challenge of reconciling it with the restrictively worded directives of NZCPS and NPSFM.” New Zealand Planning Institute</w:t>
      </w:r>
    </w:p>
    <w:p w:rsidR="00202232" w:rsidRPr="00BC45C9" w:rsidRDefault="00C2138E" w:rsidP="00423B88">
      <w:pPr>
        <w:pStyle w:val="BodyText"/>
      </w:pPr>
      <w:r>
        <w:t>A</w:t>
      </w:r>
      <w:r w:rsidR="003E7242" w:rsidRPr="003E7242">
        <w:t xml:space="preserve"> number of respondents </w:t>
      </w:r>
      <w:r w:rsidR="002B23D4">
        <w:t xml:space="preserve">also </w:t>
      </w:r>
      <w:r w:rsidR="003E7242" w:rsidRPr="003E7242">
        <w:t xml:space="preserve">made submission points </w:t>
      </w:r>
      <w:r>
        <w:t>regarding</w:t>
      </w:r>
      <w:r w:rsidR="003E7242" w:rsidRPr="003E7242">
        <w:t xml:space="preserve"> matters beyond the scope of the </w:t>
      </w:r>
      <w:r w:rsidR="002D0259">
        <w:t>NPS-UDC</w:t>
      </w:r>
      <w:r>
        <w:t>,</w:t>
      </w:r>
      <w:r w:rsidR="003E7242" w:rsidRPr="003E7242">
        <w:t xml:space="preserve"> such as land banking and infrastructure financing</w:t>
      </w:r>
      <w:r>
        <w:t>. T</w:t>
      </w:r>
      <w:r w:rsidR="003E7242" w:rsidRPr="003E7242">
        <w:t xml:space="preserve">hose points have been summarised in section ‘Matters outside the </w:t>
      </w:r>
      <w:r w:rsidR="002D0259">
        <w:t>NPS-UDC</w:t>
      </w:r>
      <w:r w:rsidR="003E7242" w:rsidRPr="003E7242">
        <w:t>’</w:t>
      </w:r>
      <w:r w:rsidR="00B65B91">
        <w:t xml:space="preserve"> of this document</w:t>
      </w:r>
      <w:r w:rsidR="003E7242" w:rsidRPr="003E7242">
        <w:t>.</w:t>
      </w:r>
    </w:p>
    <w:p w:rsidR="00202232" w:rsidRPr="00423B88" w:rsidRDefault="0027154F" w:rsidP="00423B88">
      <w:pPr>
        <w:pStyle w:val="Heading2"/>
      </w:pPr>
      <w:bookmarkStart w:id="12" w:name="_Toc461185719"/>
      <w:r w:rsidRPr="00423B88">
        <w:t xml:space="preserve">Medium and </w:t>
      </w:r>
      <w:r w:rsidR="00923B22" w:rsidRPr="00423B88">
        <w:t>high growth urban area</w:t>
      </w:r>
      <w:r w:rsidR="0048495F" w:rsidRPr="00423B88">
        <w:t>s</w:t>
      </w:r>
      <w:bookmarkEnd w:id="12"/>
      <w:r w:rsidR="0048495F" w:rsidRPr="00423B88">
        <w:t xml:space="preserve"> </w:t>
      </w:r>
    </w:p>
    <w:p w:rsidR="00202232" w:rsidRDefault="00202232" w:rsidP="00423B88">
      <w:pPr>
        <w:pStyle w:val="BodyText"/>
      </w:pPr>
      <w:r>
        <w:t xml:space="preserve">A high proportion of submissions from local government bodies (32 of 49 submissions) commented on the </w:t>
      </w:r>
      <w:r w:rsidR="003E3D2C">
        <w:t xml:space="preserve">use of </w:t>
      </w:r>
      <w:r w:rsidR="0088777F">
        <w:t>‘</w:t>
      </w:r>
      <w:r w:rsidR="003E3D2C">
        <w:t>medium growth urban area</w:t>
      </w:r>
      <w:r w:rsidR="0088777F">
        <w:t>’</w:t>
      </w:r>
      <w:r w:rsidR="003E3D2C">
        <w:t xml:space="preserve"> and </w:t>
      </w:r>
      <w:r w:rsidR="0088777F">
        <w:t>‘</w:t>
      </w:r>
      <w:r w:rsidR="00923B22">
        <w:t>high growth urban area</w:t>
      </w:r>
      <w:r w:rsidR="0088777F">
        <w:t>’</w:t>
      </w:r>
      <w:r w:rsidR="003E3D2C">
        <w:t xml:space="preserve"> in the </w:t>
      </w:r>
      <w:r w:rsidR="002D0259">
        <w:t>NPS-UDC</w:t>
      </w:r>
      <w:r w:rsidR="003E3D2C">
        <w:t>, and the way these areas were defined</w:t>
      </w:r>
      <w:r w:rsidR="00C16E1B">
        <w:t>.</w:t>
      </w:r>
      <w:r w:rsidR="003E3D2C">
        <w:t xml:space="preserve"> </w:t>
      </w:r>
      <w:r w:rsidR="00625090">
        <w:t xml:space="preserve">Over half the </w:t>
      </w:r>
      <w:r w:rsidR="005A681E">
        <w:t>b</w:t>
      </w:r>
      <w:r w:rsidR="00625090">
        <w:t>usiness/</w:t>
      </w:r>
      <w:r w:rsidR="005A681E">
        <w:t>i</w:t>
      </w:r>
      <w:r w:rsidR="00625090">
        <w:t xml:space="preserve">ndustry submitters also commented on the </w:t>
      </w:r>
      <w:r w:rsidR="003E3D2C">
        <w:t>use of Statistics New Zealand’s</w:t>
      </w:r>
      <w:r w:rsidR="00774CFF">
        <w:t xml:space="preserve"> Urban Areas</w:t>
      </w:r>
      <w:r w:rsidR="005A681E">
        <w:t>,</w:t>
      </w:r>
      <w:r w:rsidR="00774CFF">
        <w:t xml:space="preserve"> and the potential for urban development to encroach on rural land and farming activities.</w:t>
      </w:r>
      <w:r w:rsidR="003E3D2C">
        <w:t xml:space="preserve"> </w:t>
      </w:r>
    </w:p>
    <w:p w:rsidR="00C16E1B" w:rsidRDefault="0048732F" w:rsidP="00423B88">
      <w:pPr>
        <w:pStyle w:val="BodyText"/>
      </w:pPr>
      <w:r w:rsidRPr="00D822C2">
        <w:rPr>
          <w:rFonts w:asciiTheme="minorHAnsi" w:hAnsiTheme="minorHAnsi"/>
        </w:rPr>
        <w:t xml:space="preserve">The </w:t>
      </w:r>
      <w:r w:rsidR="0027154F">
        <w:rPr>
          <w:rFonts w:asciiTheme="minorHAnsi" w:hAnsiTheme="minorHAnsi"/>
        </w:rPr>
        <w:t>‘</w:t>
      </w:r>
      <w:r w:rsidRPr="00D822C2">
        <w:rPr>
          <w:rFonts w:asciiTheme="minorHAnsi" w:hAnsiTheme="minorHAnsi"/>
        </w:rPr>
        <w:t>m</w:t>
      </w:r>
      <w:r w:rsidR="003E3D2C" w:rsidRPr="00D822C2">
        <w:rPr>
          <w:rFonts w:asciiTheme="minorHAnsi" w:hAnsiTheme="minorHAnsi"/>
        </w:rPr>
        <w:t>edium</w:t>
      </w:r>
      <w:r w:rsidR="0045363D">
        <w:rPr>
          <w:rFonts w:asciiTheme="minorHAnsi" w:hAnsiTheme="minorHAnsi"/>
        </w:rPr>
        <w:t xml:space="preserve"> growth urban area</w:t>
      </w:r>
      <w:r w:rsidR="0027154F">
        <w:rPr>
          <w:rFonts w:asciiTheme="minorHAnsi" w:hAnsiTheme="minorHAnsi"/>
        </w:rPr>
        <w:t>’</w:t>
      </w:r>
      <w:r w:rsidR="003E3D2C" w:rsidRPr="00D822C2">
        <w:rPr>
          <w:rFonts w:asciiTheme="minorHAnsi" w:hAnsiTheme="minorHAnsi"/>
        </w:rPr>
        <w:t xml:space="preserve"> and </w:t>
      </w:r>
      <w:r w:rsidR="0027154F">
        <w:rPr>
          <w:rFonts w:asciiTheme="minorHAnsi" w:hAnsiTheme="minorHAnsi"/>
        </w:rPr>
        <w:t>‘</w:t>
      </w:r>
      <w:r w:rsidR="00923B22">
        <w:rPr>
          <w:rFonts w:asciiTheme="minorHAnsi" w:hAnsiTheme="minorHAnsi"/>
        </w:rPr>
        <w:t>high growth urban area</w:t>
      </w:r>
      <w:r w:rsidR="0027154F">
        <w:rPr>
          <w:rFonts w:asciiTheme="minorHAnsi" w:hAnsiTheme="minorHAnsi"/>
        </w:rPr>
        <w:t>’</w:t>
      </w:r>
      <w:r w:rsidRPr="00D822C2">
        <w:rPr>
          <w:rFonts w:asciiTheme="minorHAnsi" w:hAnsiTheme="minorHAnsi"/>
        </w:rPr>
        <w:t xml:space="preserve"> definition</w:t>
      </w:r>
      <w:r w:rsidR="003E3D2C" w:rsidRPr="00D822C2">
        <w:rPr>
          <w:rFonts w:asciiTheme="minorHAnsi" w:hAnsiTheme="minorHAnsi"/>
        </w:rPr>
        <w:t xml:space="preserve">s </w:t>
      </w:r>
      <w:r w:rsidR="000562CB">
        <w:rPr>
          <w:rFonts w:asciiTheme="minorHAnsi" w:hAnsiTheme="minorHAnsi"/>
        </w:rPr>
        <w:t xml:space="preserve">in the proposed NPS-UDC </w:t>
      </w:r>
      <w:r w:rsidR="003E3D2C" w:rsidRPr="00D822C2">
        <w:rPr>
          <w:rFonts w:asciiTheme="minorHAnsi" w:hAnsiTheme="minorHAnsi"/>
        </w:rPr>
        <w:t xml:space="preserve">were </w:t>
      </w:r>
      <w:r w:rsidR="00C16E1B">
        <w:t>based on Statistics New Zealand’s Urban Areas and population projections.</w:t>
      </w:r>
      <w:r w:rsidR="003B0FB0">
        <w:rPr>
          <w:rStyle w:val="FootnoteReference"/>
        </w:rPr>
        <w:footnoteReference w:id="2"/>
      </w:r>
      <w:r w:rsidR="00C16E1B">
        <w:t xml:space="preserve"> </w:t>
      </w:r>
      <w:r w:rsidR="00346035">
        <w:t>Areas project</w:t>
      </w:r>
      <w:r w:rsidR="003B0FB0">
        <w:t>ed</w:t>
      </w:r>
      <w:r w:rsidR="00346035">
        <w:t xml:space="preserve"> to grow 5</w:t>
      </w:r>
      <w:r w:rsidR="003B0FB0">
        <w:t>–</w:t>
      </w:r>
      <w:r w:rsidR="00346035">
        <w:t>10</w:t>
      </w:r>
      <w:r w:rsidR="003B0FB0">
        <w:t xml:space="preserve"> per cent</w:t>
      </w:r>
      <w:r w:rsidR="00346035">
        <w:t xml:space="preserve"> over the next </w:t>
      </w:r>
      <w:r w:rsidR="003B0FB0">
        <w:t xml:space="preserve">10 </w:t>
      </w:r>
      <w:r w:rsidR="00346035">
        <w:t xml:space="preserve">years were classified as </w:t>
      </w:r>
      <w:r w:rsidR="0088777F">
        <w:t>‘</w:t>
      </w:r>
      <w:r w:rsidR="00C83A29">
        <w:t>m</w:t>
      </w:r>
      <w:r w:rsidR="00346035">
        <w:t>edium growth</w:t>
      </w:r>
      <w:r w:rsidR="0088777F">
        <w:t>’</w:t>
      </w:r>
      <w:r w:rsidR="003B0FB0">
        <w:t>,</w:t>
      </w:r>
      <w:r w:rsidR="00346035">
        <w:t xml:space="preserve"> while areas projected to grow at more than 10</w:t>
      </w:r>
      <w:r w:rsidR="003B0FB0">
        <w:t xml:space="preserve"> per cent</w:t>
      </w:r>
      <w:r w:rsidR="00346035">
        <w:t xml:space="preserve"> over the next </w:t>
      </w:r>
      <w:r w:rsidR="003B0FB0">
        <w:t xml:space="preserve">10 </w:t>
      </w:r>
      <w:r w:rsidR="00346035">
        <w:t xml:space="preserve">years were classified as </w:t>
      </w:r>
      <w:r w:rsidR="0088777F">
        <w:t>‘</w:t>
      </w:r>
      <w:r w:rsidR="00346035">
        <w:t>high growth</w:t>
      </w:r>
      <w:r w:rsidR="0088777F">
        <w:t>’</w:t>
      </w:r>
      <w:r w:rsidR="00346035">
        <w:t>.</w:t>
      </w:r>
      <w:r w:rsidR="000A1CCC">
        <w:t xml:space="preserve"> </w:t>
      </w:r>
      <w:r w:rsidR="00C16E1B">
        <w:t>Urban Areas are different than the areas of territorial authorities, often crossing over territorial authority boundaries.</w:t>
      </w:r>
    </w:p>
    <w:p w:rsidR="0048732F" w:rsidRPr="00D822C2" w:rsidRDefault="0027154F" w:rsidP="00423B88">
      <w:pPr>
        <w:pStyle w:val="BodyText"/>
        <w:rPr>
          <w:rFonts w:asciiTheme="minorHAnsi" w:hAnsiTheme="minorHAnsi"/>
        </w:rPr>
      </w:pPr>
      <w:r>
        <w:t xml:space="preserve">The ‘medium and </w:t>
      </w:r>
      <w:r w:rsidR="00923B22">
        <w:t>high growth urban area</w:t>
      </w:r>
      <w:r w:rsidR="00C16E1B">
        <w:t>s</w:t>
      </w:r>
      <w:r w:rsidR="00923B22">
        <w:t>’</w:t>
      </w:r>
      <w:r w:rsidR="00C16E1B">
        <w:t xml:space="preserve"> </w:t>
      </w:r>
      <w:r w:rsidR="000562CB">
        <w:t xml:space="preserve">in the NPS-UDC </w:t>
      </w:r>
      <w:r w:rsidR="00C16E1B">
        <w:t xml:space="preserve">were </w:t>
      </w:r>
      <w:r w:rsidR="003E3D2C" w:rsidRPr="00D822C2">
        <w:rPr>
          <w:rFonts w:asciiTheme="minorHAnsi" w:hAnsiTheme="minorHAnsi"/>
        </w:rPr>
        <w:t xml:space="preserve">intended </w:t>
      </w:r>
      <w:r w:rsidR="003B0FB0">
        <w:rPr>
          <w:rFonts w:asciiTheme="minorHAnsi" w:hAnsiTheme="minorHAnsi"/>
        </w:rPr>
        <w:t>to</w:t>
      </w:r>
      <w:r w:rsidR="0048732F" w:rsidRPr="00D822C2">
        <w:rPr>
          <w:rFonts w:asciiTheme="minorHAnsi" w:hAnsiTheme="minorHAnsi"/>
        </w:rPr>
        <w:t>:</w:t>
      </w:r>
    </w:p>
    <w:p w:rsidR="0048732F" w:rsidRPr="00D822C2" w:rsidRDefault="003E3D2C" w:rsidP="00423B88">
      <w:pPr>
        <w:pStyle w:val="Bullet"/>
      </w:pPr>
      <w:r w:rsidRPr="00D822C2">
        <w:t>target different policies to different local authorities</w:t>
      </w:r>
    </w:p>
    <w:p w:rsidR="0048732F" w:rsidRPr="00D822C2" w:rsidRDefault="003E3D2C" w:rsidP="00423B88">
      <w:pPr>
        <w:pStyle w:val="Bullet"/>
      </w:pPr>
      <w:r w:rsidRPr="00D822C2">
        <w:t xml:space="preserve">provide a geographic basis for coordination across local authority boundaries. </w:t>
      </w:r>
    </w:p>
    <w:p w:rsidR="000562CB" w:rsidRDefault="0045363D" w:rsidP="00423B88">
      <w:pPr>
        <w:pStyle w:val="BodyText"/>
      </w:pPr>
      <w:r>
        <w:t xml:space="preserve">Local authorities with jurisdiction over all or part of a </w:t>
      </w:r>
      <w:r w:rsidR="00923B22">
        <w:t>‘high growth urban area’</w:t>
      </w:r>
      <w:r>
        <w:t xml:space="preserve"> would have to implement all </w:t>
      </w:r>
      <w:r w:rsidR="00C16E1B">
        <w:t>the</w:t>
      </w:r>
      <w:r>
        <w:t xml:space="preserve"> NPS-UDC</w:t>
      </w:r>
      <w:r w:rsidR="00C16E1B">
        <w:t xml:space="preserve"> in full</w:t>
      </w:r>
      <w:r>
        <w:t>.</w:t>
      </w:r>
      <w:r w:rsidR="000A1CCC">
        <w:t xml:space="preserve"> </w:t>
      </w:r>
      <w:r>
        <w:t xml:space="preserve">Local authorities with jurisdiction over a </w:t>
      </w:r>
      <w:r w:rsidR="00923B22">
        <w:t>‘medium growth urban area’</w:t>
      </w:r>
      <w:r>
        <w:t xml:space="preserve"> would have to implement </w:t>
      </w:r>
      <w:r w:rsidR="00C16E1B">
        <w:t xml:space="preserve">most but not </w:t>
      </w:r>
      <w:r>
        <w:t>all</w:t>
      </w:r>
      <w:r w:rsidR="00C16E1B">
        <w:t xml:space="preserve"> of </w:t>
      </w:r>
      <w:r>
        <w:t>the NPS-UDC</w:t>
      </w:r>
      <w:r w:rsidR="00C16E1B">
        <w:t xml:space="preserve"> policies.</w:t>
      </w:r>
      <w:r w:rsidR="000A1CCC">
        <w:t xml:space="preserve"> </w:t>
      </w:r>
      <w:r w:rsidR="00C16E1B">
        <w:t>Other local authorities would only have to give effect to the objectives and outcome</w:t>
      </w:r>
      <w:r w:rsidR="0088777F">
        <w:t>-</w:t>
      </w:r>
      <w:r w:rsidR="00C16E1B">
        <w:t xml:space="preserve">related policies. </w:t>
      </w:r>
    </w:p>
    <w:p w:rsidR="003E3D2C" w:rsidRDefault="0088777F" w:rsidP="00423B88">
      <w:pPr>
        <w:pStyle w:val="BodyText"/>
      </w:pPr>
      <w:r>
        <w:t>L</w:t>
      </w:r>
      <w:r w:rsidR="0048732F">
        <w:t xml:space="preserve">ocal authorities </w:t>
      </w:r>
      <w:r w:rsidR="0048732F" w:rsidRPr="009D7B5D">
        <w:t>should</w:t>
      </w:r>
      <w:r w:rsidR="003E3D2C">
        <w:t xml:space="preserve"> </w:t>
      </w:r>
      <w:r>
        <w:t xml:space="preserve">not </w:t>
      </w:r>
      <w:r w:rsidR="003E3D2C">
        <w:t xml:space="preserve">restrict the application of NPS-UDC policies to the geographic boundaries of the </w:t>
      </w:r>
      <w:r w:rsidR="00E62C72">
        <w:t>u</w:t>
      </w:r>
      <w:r w:rsidR="003E3D2C">
        <w:t xml:space="preserve">rban </w:t>
      </w:r>
      <w:r w:rsidR="00E62C72">
        <w:t>a</w:t>
      </w:r>
      <w:r w:rsidR="003E3D2C">
        <w:t>rea.</w:t>
      </w:r>
      <w:r w:rsidR="0048732F">
        <w:t xml:space="preserve"> </w:t>
      </w:r>
      <w:r>
        <w:t>S</w:t>
      </w:r>
      <w:r w:rsidR="0048732F">
        <w:t>ubmissions suggest</w:t>
      </w:r>
      <w:r>
        <w:t>, however,</w:t>
      </w:r>
      <w:r w:rsidR="0048732F">
        <w:t xml:space="preserve"> that this was not clear in the proposed NPS-UDC.</w:t>
      </w:r>
    </w:p>
    <w:p w:rsidR="00202232" w:rsidRDefault="00202232" w:rsidP="00423B88">
      <w:pPr>
        <w:pStyle w:val="BodyText"/>
      </w:pPr>
      <w:r>
        <w:t>The key feedback received included:</w:t>
      </w:r>
    </w:p>
    <w:p w:rsidR="00202232" w:rsidRPr="00423B88" w:rsidRDefault="0048732F" w:rsidP="00423B88">
      <w:pPr>
        <w:pStyle w:val="BodyText"/>
        <w:rPr>
          <w:b/>
        </w:rPr>
      </w:pPr>
      <w:r w:rsidRPr="00423B88">
        <w:rPr>
          <w:b/>
        </w:rPr>
        <w:t xml:space="preserve">The boundaries of Statistics New Zealand’s </w:t>
      </w:r>
      <w:r w:rsidR="00202232" w:rsidRPr="00423B88">
        <w:rPr>
          <w:b/>
        </w:rPr>
        <w:t xml:space="preserve">Urban Areas </w:t>
      </w:r>
      <w:r w:rsidRPr="00423B88">
        <w:rPr>
          <w:b/>
        </w:rPr>
        <w:t>should not define the focus of NPS-UDC policies or urban development</w:t>
      </w:r>
      <w:r w:rsidR="000A1CCC">
        <w:rPr>
          <w:b/>
        </w:rPr>
        <w:t xml:space="preserve"> </w:t>
      </w:r>
    </w:p>
    <w:p w:rsidR="00C322B7" w:rsidRPr="009D7B5D" w:rsidRDefault="00202232" w:rsidP="00423B88">
      <w:pPr>
        <w:pStyle w:val="BodyText"/>
      </w:pPr>
      <w:r w:rsidRPr="009D7B5D">
        <w:t xml:space="preserve">Many local authorities misinterpreted the use of </w:t>
      </w:r>
      <w:r w:rsidR="00923B22">
        <w:t>‘m</w:t>
      </w:r>
      <w:r w:rsidR="00C83A29">
        <w:t xml:space="preserve">edium and </w:t>
      </w:r>
      <w:r w:rsidR="00923B22">
        <w:t>high growth urban area</w:t>
      </w:r>
      <w:r w:rsidR="0048732F" w:rsidRPr="009D7B5D">
        <w:t>s</w:t>
      </w:r>
      <w:r w:rsidR="00923B22">
        <w:t>’</w:t>
      </w:r>
      <w:r w:rsidRPr="009D7B5D">
        <w:t>.</w:t>
      </w:r>
      <w:r w:rsidR="000A1CCC">
        <w:t xml:space="preserve"> </w:t>
      </w:r>
      <w:r w:rsidRPr="009D7B5D">
        <w:t>Submissions raised concern that those boundar</w:t>
      </w:r>
      <w:r w:rsidR="00F81D72">
        <w:t>ies defined</w:t>
      </w:r>
      <w:r w:rsidRPr="009D7B5D">
        <w:t xml:space="preserve"> where growth should be </w:t>
      </w:r>
      <w:r w:rsidR="00F81D72">
        <w:t>focused under</w:t>
      </w:r>
      <w:r w:rsidRPr="009D7B5D">
        <w:t xml:space="preserve"> the </w:t>
      </w:r>
      <w:r w:rsidR="002D0259" w:rsidRPr="009D7B5D">
        <w:t>NPS-UDC</w:t>
      </w:r>
      <w:r w:rsidRPr="009D7B5D">
        <w:t>.</w:t>
      </w:r>
      <w:r w:rsidR="000A1CCC">
        <w:t xml:space="preserve"> </w:t>
      </w:r>
      <w:r w:rsidRPr="009D7B5D">
        <w:t>Authorities with partnership arrangements in place felt such an approach would undermine existi</w:t>
      </w:r>
      <w:r w:rsidR="00774CFF" w:rsidRPr="009D7B5D">
        <w:t>ng local agreements</w:t>
      </w:r>
      <w:r w:rsidR="00F81D72">
        <w:t>,</w:t>
      </w:r>
      <w:r w:rsidR="00774CFF" w:rsidRPr="009D7B5D">
        <w:t xml:space="preserve"> such as the </w:t>
      </w:r>
      <w:r w:rsidRPr="009D7B5D">
        <w:t>Greater Christchurch</w:t>
      </w:r>
      <w:r w:rsidR="00774CFF" w:rsidRPr="009D7B5D">
        <w:t xml:space="preserve"> Urban Development Strategy or </w:t>
      </w:r>
      <w:r w:rsidR="00F9785B">
        <w:t>the SmartGrowth P</w:t>
      </w:r>
      <w:r w:rsidRPr="009D7B5D">
        <w:t>artnership in Bay of Plenty</w:t>
      </w:r>
      <w:r w:rsidR="00F52F46" w:rsidRPr="009D7B5D">
        <w:t>:</w:t>
      </w:r>
    </w:p>
    <w:p w:rsidR="00C322B7" w:rsidRPr="00423B88" w:rsidRDefault="00C322B7" w:rsidP="00A94F01">
      <w:pPr>
        <w:pStyle w:val="Quote"/>
      </w:pPr>
      <w:r w:rsidRPr="00423B88">
        <w:t>“The NPS should allow for the boundaries of sub-regional spatial plans, such as the Greater Christchurch UDS area to be used to determine the areas to which the medium and high growth definitions apply.” Greater Christchurch Urban Development Strategy Partnership</w:t>
      </w:r>
    </w:p>
    <w:p w:rsidR="00F52F46" w:rsidRDefault="00F52F46" w:rsidP="00423B88">
      <w:pPr>
        <w:pStyle w:val="BodyText"/>
      </w:pPr>
      <w:r w:rsidRPr="00202232">
        <w:t>Business/</w:t>
      </w:r>
      <w:r w:rsidR="00F81D72">
        <w:t>i</w:t>
      </w:r>
      <w:r w:rsidRPr="00202232">
        <w:t xml:space="preserve">ndustry submissions </w:t>
      </w:r>
      <w:r>
        <w:t>asked for the</w:t>
      </w:r>
      <w:r w:rsidRPr="00202232">
        <w:t xml:space="preserve"> exclusion of greenfield or rural land from </w:t>
      </w:r>
      <w:r>
        <w:t>the definition of an urban area.</w:t>
      </w:r>
      <w:r w:rsidR="000A1CCC">
        <w:t xml:space="preserve"> </w:t>
      </w:r>
      <w:r>
        <w:t xml:space="preserve">This was in contrast to submissions from the </w:t>
      </w:r>
      <w:r w:rsidR="00F81D72">
        <w:t>d</w:t>
      </w:r>
      <w:r w:rsidRPr="00202232">
        <w:t xml:space="preserve">evelopment </w:t>
      </w:r>
      <w:r w:rsidR="00F81D72">
        <w:t>s</w:t>
      </w:r>
      <w:r w:rsidRPr="00202232">
        <w:t>ector</w:t>
      </w:r>
      <w:r w:rsidR="00F81D72">
        <w:t>,</w:t>
      </w:r>
      <w:r w:rsidRPr="00202232">
        <w:t xml:space="preserve"> </w:t>
      </w:r>
      <w:r>
        <w:t xml:space="preserve">which asked for </w:t>
      </w:r>
      <w:r w:rsidRPr="00202232">
        <w:t xml:space="preserve">more decisive direction on </w:t>
      </w:r>
      <w:r>
        <w:t>the inclusion of greenfield sites.</w:t>
      </w:r>
    </w:p>
    <w:p w:rsidR="009D7B5D" w:rsidRPr="00423B88" w:rsidRDefault="00F52F46" w:rsidP="00423B88">
      <w:pPr>
        <w:pStyle w:val="BodyText"/>
        <w:rPr>
          <w:b/>
        </w:rPr>
      </w:pPr>
      <w:r w:rsidRPr="00423B88">
        <w:rPr>
          <w:b/>
        </w:rPr>
        <w:t>Urban Areas are a useful device for encouraging neighbouring local authorities to coordinate across single urban markets</w:t>
      </w:r>
      <w:r w:rsidR="00D822C2" w:rsidRPr="00423B88">
        <w:rPr>
          <w:b/>
        </w:rPr>
        <w:t>.</w:t>
      </w:r>
      <w:r w:rsidR="000A1CCC">
        <w:rPr>
          <w:b/>
        </w:rPr>
        <w:t xml:space="preserve"> </w:t>
      </w:r>
    </w:p>
    <w:p w:rsidR="00D822C2" w:rsidRPr="00D822C2" w:rsidRDefault="00202232" w:rsidP="00423B88">
      <w:pPr>
        <w:pStyle w:val="BodyText"/>
        <w:rPr>
          <w:b/>
        </w:rPr>
      </w:pPr>
      <w:r w:rsidRPr="00DB017F">
        <w:t xml:space="preserve">Other authorities welcomed the </w:t>
      </w:r>
      <w:r w:rsidR="00F81D72" w:rsidRPr="00DB017F">
        <w:t xml:space="preserve">inclusion </w:t>
      </w:r>
      <w:r w:rsidRPr="00DB017F">
        <w:t xml:space="preserve">of locations </w:t>
      </w:r>
      <w:r w:rsidR="00F81D72">
        <w:t>outside</w:t>
      </w:r>
      <w:r w:rsidR="00F81D72" w:rsidRPr="00DB017F">
        <w:t xml:space="preserve"> </w:t>
      </w:r>
      <w:r w:rsidR="00704657" w:rsidRPr="00DB017F">
        <w:t>defined</w:t>
      </w:r>
      <w:r w:rsidR="00C83A29">
        <w:t xml:space="preserve"> Urban A</w:t>
      </w:r>
      <w:r w:rsidRPr="00DB017F">
        <w:t xml:space="preserve">reas for </w:t>
      </w:r>
      <w:r w:rsidR="00F81D72">
        <w:t>providing</w:t>
      </w:r>
      <w:r w:rsidRPr="00DB017F">
        <w:t xml:space="preserve"> sufficient development capacity</w:t>
      </w:r>
      <w:r w:rsidR="00D822C2">
        <w:t>.</w:t>
      </w:r>
      <w:r w:rsidR="00F52F46" w:rsidRPr="00DB017F">
        <w:t xml:space="preserve"> </w:t>
      </w:r>
    </w:p>
    <w:p w:rsidR="00C322B7" w:rsidRPr="00423B88" w:rsidRDefault="00C322B7" w:rsidP="00A94F01">
      <w:pPr>
        <w:pStyle w:val="Quote"/>
        <w:rPr>
          <w:b/>
        </w:rPr>
      </w:pPr>
      <w:r w:rsidRPr="00423B88">
        <w:t>“Future Proof supports this approach as it is important that the sub-regional partners are involved in the implementation of the Proposed NPS as it relates to Hamilton and its surrounding area.</w:t>
      </w:r>
      <w:r w:rsidR="000A1CCC">
        <w:t xml:space="preserve"> </w:t>
      </w:r>
      <w:r w:rsidRPr="00423B88">
        <w:t xml:space="preserve">The sub-regional partners already work together and collaborate on a number of growth management matters.” Future Proof Implementation Committee </w:t>
      </w:r>
    </w:p>
    <w:p w:rsidR="000B7AF5" w:rsidRPr="00423B88" w:rsidRDefault="0045363D" w:rsidP="00423B88">
      <w:pPr>
        <w:pStyle w:val="BodyText"/>
        <w:rPr>
          <w:b/>
        </w:rPr>
      </w:pPr>
      <w:r w:rsidRPr="00423B88">
        <w:rPr>
          <w:b/>
        </w:rPr>
        <w:t>The d</w:t>
      </w:r>
      <w:r w:rsidR="00202232" w:rsidRPr="00423B88">
        <w:rPr>
          <w:b/>
        </w:rPr>
        <w:t>efinition</w:t>
      </w:r>
      <w:r w:rsidRPr="00423B88">
        <w:rPr>
          <w:b/>
        </w:rPr>
        <w:t>s</w:t>
      </w:r>
      <w:r w:rsidR="00202232" w:rsidRPr="00423B88">
        <w:rPr>
          <w:b/>
        </w:rPr>
        <w:t xml:space="preserve"> of ‘urban area’</w:t>
      </w:r>
      <w:r w:rsidRPr="00423B88">
        <w:rPr>
          <w:b/>
        </w:rPr>
        <w:t xml:space="preserve"> and the appendices were confusing</w:t>
      </w:r>
      <w:r w:rsidR="00202232" w:rsidRPr="00423B88">
        <w:rPr>
          <w:b/>
        </w:rPr>
        <w:t>.</w:t>
      </w:r>
      <w:r w:rsidR="000A1CCC">
        <w:rPr>
          <w:b/>
        </w:rPr>
        <w:t xml:space="preserve"> </w:t>
      </w:r>
    </w:p>
    <w:p w:rsidR="00202232" w:rsidRDefault="00202232" w:rsidP="00423B88">
      <w:pPr>
        <w:pStyle w:val="BodyText"/>
      </w:pPr>
      <w:r>
        <w:t xml:space="preserve">The </w:t>
      </w:r>
      <w:r w:rsidR="00D71BEC">
        <w:t>inclusion</w:t>
      </w:r>
      <w:r>
        <w:t xml:space="preserve"> of </w:t>
      </w:r>
      <w:r w:rsidR="00D71BEC">
        <w:t xml:space="preserve">both </w:t>
      </w:r>
      <w:r>
        <w:t xml:space="preserve">an appendix to specify the urban growth areas </w:t>
      </w:r>
      <w:r w:rsidR="00D71BEC">
        <w:t>and the</w:t>
      </w:r>
      <w:r>
        <w:t xml:space="preserve"> definition</w:t>
      </w:r>
      <w:r w:rsidR="005E37DD">
        <w:t>s</w:t>
      </w:r>
      <w:r>
        <w:t xml:space="preserve"> of </w:t>
      </w:r>
      <w:r w:rsidR="00D71BEC">
        <w:t>‘</w:t>
      </w:r>
      <w:r w:rsidR="00923B22">
        <w:t>medium growth urban area</w:t>
      </w:r>
      <w:r w:rsidR="00D71BEC">
        <w:t>’</w:t>
      </w:r>
      <w:r w:rsidR="0045363D">
        <w:t xml:space="preserve">, </w:t>
      </w:r>
      <w:r w:rsidR="00D71BEC">
        <w:t>‘</w:t>
      </w:r>
      <w:r w:rsidR="00923B22">
        <w:t>high growth urban area</w:t>
      </w:r>
      <w:r w:rsidR="00D71BEC">
        <w:t>’,</w:t>
      </w:r>
      <w:r w:rsidR="0045363D">
        <w:t xml:space="preserve"> and </w:t>
      </w:r>
      <w:r>
        <w:t>‘urban area’ caused confusion amongst submitters.</w:t>
      </w:r>
    </w:p>
    <w:p w:rsidR="000B7AF5" w:rsidRPr="00423B88" w:rsidRDefault="000562CB" w:rsidP="00423B88">
      <w:pPr>
        <w:pStyle w:val="BodyText"/>
        <w:rPr>
          <w:b/>
        </w:rPr>
      </w:pPr>
      <w:r w:rsidRPr="00423B88">
        <w:rPr>
          <w:b/>
        </w:rPr>
        <w:t>Changing population projections could cause local aut</w:t>
      </w:r>
      <w:r w:rsidR="00923B22" w:rsidRPr="00423B88">
        <w:rPr>
          <w:b/>
        </w:rPr>
        <w:t>horities to move in and out of ‘medium and high growth a</w:t>
      </w:r>
      <w:r w:rsidRPr="00423B88">
        <w:rPr>
          <w:b/>
        </w:rPr>
        <w:t>reas</w:t>
      </w:r>
      <w:r w:rsidR="00923B22" w:rsidRPr="00423B88">
        <w:rPr>
          <w:b/>
        </w:rPr>
        <w:t>’</w:t>
      </w:r>
      <w:r w:rsidR="00D71BEC" w:rsidRPr="00423B88">
        <w:rPr>
          <w:b/>
        </w:rPr>
        <w:t>,</w:t>
      </w:r>
      <w:r w:rsidRPr="00423B88">
        <w:rPr>
          <w:b/>
        </w:rPr>
        <w:t xml:space="preserve"> and this </w:t>
      </w:r>
      <w:r w:rsidR="00346035" w:rsidRPr="00423B88">
        <w:rPr>
          <w:b/>
        </w:rPr>
        <w:t>would be</w:t>
      </w:r>
      <w:r w:rsidRPr="00423B88">
        <w:rPr>
          <w:b/>
        </w:rPr>
        <w:t xml:space="preserve"> costly.</w:t>
      </w:r>
      <w:r w:rsidR="000A1CCC">
        <w:rPr>
          <w:b/>
        </w:rPr>
        <w:t xml:space="preserve"> </w:t>
      </w:r>
    </w:p>
    <w:p w:rsidR="00202232" w:rsidRDefault="00346035" w:rsidP="00423B88">
      <w:pPr>
        <w:pStyle w:val="BodyText"/>
      </w:pPr>
      <w:r>
        <w:t>When population projections are revised some local authorities might go above or below the 5</w:t>
      </w:r>
      <w:r w:rsidR="00D71BEC">
        <w:t xml:space="preserve"> per cent</w:t>
      </w:r>
      <w:r>
        <w:t xml:space="preserve"> or 10</w:t>
      </w:r>
      <w:r w:rsidR="00D71BEC">
        <w:t xml:space="preserve"> per cent</w:t>
      </w:r>
      <w:r>
        <w:t xml:space="preserve"> thresholds</w:t>
      </w:r>
      <w:r w:rsidR="00D71BEC">
        <w:t>,</w:t>
      </w:r>
      <w:r>
        <w:t xml:space="preserve"> and be</w:t>
      </w:r>
      <w:r w:rsidR="00202232">
        <w:t xml:space="preserve"> classed in</w:t>
      </w:r>
      <w:r w:rsidR="00704657">
        <w:t xml:space="preserve"> and</w:t>
      </w:r>
      <w:r w:rsidR="00202232">
        <w:t xml:space="preserve"> then out, or vice versa, of </w:t>
      </w:r>
      <w:r w:rsidR="00923B22">
        <w:t>‘</w:t>
      </w:r>
      <w:r w:rsidR="000562CB">
        <w:t>med</w:t>
      </w:r>
      <w:r>
        <w:t xml:space="preserve">ium and </w:t>
      </w:r>
      <w:r w:rsidR="00923B22">
        <w:t>high growth urban area</w:t>
      </w:r>
      <w:r>
        <w:t>s</w:t>
      </w:r>
      <w:r w:rsidR="00923B22">
        <w:t>’</w:t>
      </w:r>
      <w:r>
        <w:t>.</w:t>
      </w:r>
      <w:r w:rsidR="000A1CCC">
        <w:t xml:space="preserve"> </w:t>
      </w:r>
      <w:r>
        <w:t>They commented on the uncertainty and the costs of this:</w:t>
      </w:r>
    </w:p>
    <w:p w:rsidR="00D71BEC" w:rsidRPr="00423B88" w:rsidRDefault="00C322B7" w:rsidP="00A94F01">
      <w:pPr>
        <w:pStyle w:val="Quote"/>
      </w:pPr>
      <w:r w:rsidRPr="00423B88">
        <w:t xml:space="preserve"> </w:t>
      </w:r>
      <w:r w:rsidR="00202232" w:rsidRPr="00423B88">
        <w:t>“Exceeding this threshold triggers a requirement for the Council to give effect to 12 additional policies (PB1-PB5, PC1-PC3, PD1-PD4).</w:t>
      </w:r>
      <w:r w:rsidR="000A1CCC">
        <w:t xml:space="preserve"> </w:t>
      </w:r>
      <w:r w:rsidR="00202232" w:rsidRPr="00423B88">
        <w:t>In particular, it requires the Council to undertake in depth assessments and regular monitoring of a range of indicator…The Council does not consider this to be an efficient policy response: It involves costs to the Council (and ratepayer) without any discernible benefit due to the fact that objective OA2 has already been achieved.” Marlborough District Council</w:t>
      </w:r>
    </w:p>
    <w:p w:rsidR="00EF77DE" w:rsidRDefault="00EF77DE">
      <w:pPr>
        <w:spacing w:before="0" w:after="200" w:line="276" w:lineRule="auto"/>
        <w:jc w:val="left"/>
      </w:pPr>
      <w:r>
        <w:br w:type="page"/>
      </w:r>
    </w:p>
    <w:p w:rsidR="00202232" w:rsidRPr="00423B88" w:rsidRDefault="0048495F" w:rsidP="00423B88">
      <w:pPr>
        <w:pStyle w:val="Heading1"/>
      </w:pPr>
      <w:bookmarkStart w:id="13" w:name="_Toc461185720"/>
      <w:r w:rsidRPr="00423B88">
        <w:t>Interpretation</w:t>
      </w:r>
      <w:bookmarkEnd w:id="13"/>
      <w:r w:rsidRPr="00423B88">
        <w:t xml:space="preserve"> </w:t>
      </w:r>
    </w:p>
    <w:p w:rsidR="00202232" w:rsidRPr="00CC216F" w:rsidRDefault="00202232" w:rsidP="00423B88">
      <w:pPr>
        <w:pStyle w:val="BodyText"/>
        <w:rPr>
          <w:rFonts w:eastAsia="Calibri"/>
        </w:rPr>
      </w:pPr>
      <w:r>
        <w:rPr>
          <w:rFonts w:eastAsia="Calibri"/>
        </w:rPr>
        <w:t xml:space="preserve">A total of </w:t>
      </w:r>
      <w:r w:rsidR="00D71BEC">
        <w:rPr>
          <w:rFonts w:eastAsia="Calibri"/>
        </w:rPr>
        <w:t>85</w:t>
      </w:r>
      <w:r>
        <w:rPr>
          <w:rFonts w:eastAsia="Calibri"/>
        </w:rPr>
        <w:t xml:space="preserve"> submissions (61</w:t>
      </w:r>
      <w:r w:rsidR="00D71BEC">
        <w:rPr>
          <w:rFonts w:eastAsia="Calibri"/>
        </w:rPr>
        <w:t xml:space="preserve"> per cent</w:t>
      </w:r>
      <w:r>
        <w:rPr>
          <w:rFonts w:eastAsia="Calibri"/>
        </w:rPr>
        <w:t xml:space="preserve">) included comments regarding the definitions in the Interpretation section of the </w:t>
      </w:r>
      <w:r w:rsidR="00BE51FE">
        <w:rPr>
          <w:rFonts w:eastAsia="Calibri"/>
        </w:rPr>
        <w:t>National Policy Statement on Urban Development Capacity (</w:t>
      </w:r>
      <w:r w:rsidR="00E5140E">
        <w:rPr>
          <w:rFonts w:eastAsia="Calibri"/>
        </w:rPr>
        <w:t>NPS-UDC</w:t>
      </w:r>
      <w:r w:rsidR="00BE51FE">
        <w:rPr>
          <w:rFonts w:eastAsia="Calibri"/>
        </w:rPr>
        <w:t>)</w:t>
      </w:r>
      <w:r>
        <w:rPr>
          <w:rFonts w:eastAsia="Calibri"/>
        </w:rPr>
        <w:t>.</w:t>
      </w:r>
      <w:r w:rsidR="000A1CCC">
        <w:rPr>
          <w:rFonts w:eastAsia="Calibri"/>
        </w:rPr>
        <w:t xml:space="preserve"> </w:t>
      </w:r>
      <w:r>
        <w:rPr>
          <w:rFonts w:eastAsia="Calibri"/>
        </w:rPr>
        <w:t xml:space="preserve">Response rates for definitions were especially high across </w:t>
      </w:r>
      <w:r w:rsidR="00D71BEC">
        <w:rPr>
          <w:rFonts w:eastAsia="Calibri"/>
        </w:rPr>
        <w:t>i</w:t>
      </w:r>
      <w:r w:rsidRPr="00D822C2">
        <w:rPr>
          <w:rFonts w:eastAsia="Calibri"/>
        </w:rPr>
        <w:t xml:space="preserve">nfrastructure </w:t>
      </w:r>
      <w:r w:rsidR="00D71BEC">
        <w:rPr>
          <w:rFonts w:eastAsia="Calibri"/>
        </w:rPr>
        <w:t>p</w:t>
      </w:r>
      <w:r w:rsidRPr="00D822C2">
        <w:rPr>
          <w:rFonts w:eastAsia="Calibri"/>
        </w:rPr>
        <w:t>roviders</w:t>
      </w:r>
      <w:r>
        <w:rPr>
          <w:rFonts w:eastAsia="Calibri"/>
        </w:rPr>
        <w:t xml:space="preserve"> (100</w:t>
      </w:r>
      <w:r w:rsidR="00D71BEC">
        <w:rPr>
          <w:rFonts w:eastAsia="Calibri"/>
        </w:rPr>
        <w:t xml:space="preserve"> per cent</w:t>
      </w:r>
      <w:r>
        <w:rPr>
          <w:rFonts w:eastAsia="Calibri"/>
        </w:rPr>
        <w:t>) as well as submissions from local government bodies (75</w:t>
      </w:r>
      <w:r w:rsidR="00D71BEC">
        <w:rPr>
          <w:rFonts w:eastAsia="Calibri"/>
        </w:rPr>
        <w:t xml:space="preserve"> per cent</w:t>
      </w:r>
      <w:r>
        <w:rPr>
          <w:rFonts w:eastAsia="Calibri"/>
        </w:rPr>
        <w:t>).</w:t>
      </w:r>
      <w:r w:rsidR="000A1CCC">
        <w:rPr>
          <w:rFonts w:eastAsia="Calibri"/>
        </w:rPr>
        <w:t xml:space="preserve"> </w:t>
      </w:r>
      <w:r>
        <w:rPr>
          <w:rFonts w:eastAsia="Calibri"/>
        </w:rPr>
        <w:t>Generally, submitters viewed</w:t>
      </w:r>
      <w:r w:rsidR="00C322B7">
        <w:rPr>
          <w:rFonts w:eastAsia="Calibri"/>
        </w:rPr>
        <w:t xml:space="preserve"> some </w:t>
      </w:r>
      <w:r>
        <w:rPr>
          <w:rFonts w:eastAsia="Calibri"/>
        </w:rPr>
        <w:t xml:space="preserve">definitions as creating more ambiguity around the application of the </w:t>
      </w:r>
      <w:r w:rsidR="002D0259">
        <w:rPr>
          <w:rFonts w:eastAsia="Calibri"/>
        </w:rPr>
        <w:t>NPS-UDC</w:t>
      </w:r>
      <w:r>
        <w:rPr>
          <w:rFonts w:eastAsia="Calibri"/>
        </w:rPr>
        <w:t>.</w:t>
      </w:r>
      <w:r w:rsidR="000A1CCC">
        <w:rPr>
          <w:rFonts w:eastAsia="Calibri"/>
        </w:rPr>
        <w:t xml:space="preserve"> </w:t>
      </w:r>
    </w:p>
    <w:p w:rsidR="00202232" w:rsidRPr="00423B88" w:rsidRDefault="00202232" w:rsidP="00A94F01">
      <w:pPr>
        <w:pStyle w:val="Quote"/>
      </w:pPr>
      <w:r w:rsidRPr="00423B88">
        <w:t>“Clear and unambiguous definitions are necessary to ensuring the successful implementation of the proposed NPS</w:t>
      </w:r>
      <w:r w:rsidR="004463F4" w:rsidRPr="00423B88">
        <w:t>-</w:t>
      </w:r>
      <w:r w:rsidRPr="00423B88">
        <w:t>UDC.</w:t>
      </w:r>
      <w:r w:rsidR="000A1CCC">
        <w:t xml:space="preserve"> </w:t>
      </w:r>
      <w:r w:rsidRPr="00423B88">
        <w:t>Ambiguous definitions will result in delays and increased costs as parties argue around interpretations or seek clarity via court processes.” Te Runanga O Ngati Whatua</w:t>
      </w:r>
    </w:p>
    <w:p w:rsidR="00C473A9" w:rsidRPr="00423B88" w:rsidRDefault="00202232" w:rsidP="00423B88">
      <w:pPr>
        <w:pStyle w:val="Heading3"/>
      </w:pPr>
      <w:r w:rsidRPr="00423B88">
        <w:t>‘</w:t>
      </w:r>
      <w:r w:rsidR="0096629F" w:rsidRPr="00423B88">
        <w:t xml:space="preserve">Business </w:t>
      </w:r>
      <w:r w:rsidR="0048495F" w:rsidRPr="00423B88">
        <w:t>land’</w:t>
      </w:r>
    </w:p>
    <w:p w:rsidR="00202232" w:rsidRPr="00202232" w:rsidRDefault="00202232" w:rsidP="00423B88">
      <w:pPr>
        <w:pStyle w:val="BodyText"/>
        <w:rPr>
          <w:b/>
          <w:i/>
        </w:rPr>
      </w:pPr>
      <w:r w:rsidRPr="00202232">
        <w:rPr>
          <w:rFonts w:eastAsia="Calibri" w:cs="Calibri"/>
          <w:lang w:eastAsia="en-US"/>
        </w:rPr>
        <w:t xml:space="preserve">Submissions on the definition of ‘business land’ were received from local government bodies, </w:t>
      </w:r>
      <w:r w:rsidR="00B1375C">
        <w:t>b</w:t>
      </w:r>
      <w:r w:rsidRPr="00202232">
        <w:t>usiness/</w:t>
      </w:r>
      <w:r w:rsidR="00B1375C">
        <w:t>i</w:t>
      </w:r>
      <w:r w:rsidRPr="00202232">
        <w:t xml:space="preserve">ndustry and the </w:t>
      </w:r>
      <w:r w:rsidR="00B1375C">
        <w:t>d</w:t>
      </w:r>
      <w:r w:rsidRPr="00202232">
        <w:t xml:space="preserve">evelopment </w:t>
      </w:r>
      <w:r w:rsidR="00B1375C">
        <w:t>s</w:t>
      </w:r>
      <w:r w:rsidRPr="00202232">
        <w:t>ector. Overall</w:t>
      </w:r>
      <w:r w:rsidR="00DD58D6">
        <w:t>,</w:t>
      </w:r>
      <w:r w:rsidRPr="00202232">
        <w:t xml:space="preserve"> submitters felt that the definition of ‘business land’ created ambiguity</w:t>
      </w:r>
      <w:r w:rsidR="00DD58D6">
        <w:t>,</w:t>
      </w:r>
      <w:r w:rsidRPr="00202232">
        <w:t xml:space="preserve"> and three recurring points were identified: </w:t>
      </w:r>
    </w:p>
    <w:p w:rsidR="00202232" w:rsidRPr="00202232" w:rsidRDefault="00202232" w:rsidP="00A94F01">
      <w:pPr>
        <w:pStyle w:val="Bullet"/>
        <w:ind w:left="397" w:hanging="397"/>
        <w:rPr>
          <w:b/>
          <w:i/>
        </w:rPr>
      </w:pPr>
      <w:r w:rsidRPr="00202232">
        <w:t>the term ‘productive economic activities’ is unclear</w:t>
      </w:r>
    </w:p>
    <w:p w:rsidR="0096629F" w:rsidRPr="00D822C2" w:rsidRDefault="00202232" w:rsidP="00A94F01">
      <w:pPr>
        <w:pStyle w:val="Bullet"/>
        <w:ind w:left="397" w:hanging="397"/>
        <w:rPr>
          <w:b/>
          <w:i/>
        </w:rPr>
      </w:pPr>
      <w:r w:rsidRPr="00202232">
        <w:t>home-based occupations/home</w:t>
      </w:r>
      <w:r w:rsidR="00DD58D6">
        <w:t>-</w:t>
      </w:r>
      <w:r w:rsidRPr="00202232">
        <w:t>based businesses could be included in the definition</w:t>
      </w:r>
    </w:p>
    <w:p w:rsidR="00E045EF" w:rsidRPr="00DB017F" w:rsidRDefault="0096629F" w:rsidP="00A94F01">
      <w:pPr>
        <w:pStyle w:val="Bullet"/>
        <w:ind w:left="397" w:hanging="397"/>
        <w:rPr>
          <w:b/>
          <w:i/>
        </w:rPr>
      </w:pPr>
      <w:r w:rsidRPr="00202232">
        <w:t>application of such a broad definition of ‘business land’ would have practical implications given the range of activities it is intended to capture</w:t>
      </w:r>
      <w:r w:rsidR="00DD58D6">
        <w:t>.</w:t>
      </w:r>
    </w:p>
    <w:p w:rsidR="00202232" w:rsidRPr="00423B88" w:rsidRDefault="00202232" w:rsidP="00A94F01">
      <w:pPr>
        <w:pStyle w:val="Quote"/>
      </w:pPr>
      <w:r w:rsidRPr="00423B88">
        <w:t xml:space="preserve">“Fonterra considers that this broad definition will create issues in practice as it includes a range of activities that are significantly different to each other, and have substantially different location and size requirements.” Fonterra Co-operative Group Limited </w:t>
      </w:r>
    </w:p>
    <w:p w:rsidR="0001327E" w:rsidRPr="00423B88" w:rsidRDefault="0001327E" w:rsidP="00423B88">
      <w:pPr>
        <w:pStyle w:val="Heading3"/>
      </w:pPr>
      <w:r w:rsidRPr="00423B88">
        <w:t>‘</w:t>
      </w:r>
      <w:r w:rsidR="0096629F" w:rsidRPr="00423B88">
        <w:t>Demand’</w:t>
      </w:r>
    </w:p>
    <w:p w:rsidR="00202232" w:rsidRPr="00202232" w:rsidRDefault="00202232" w:rsidP="00423B88">
      <w:pPr>
        <w:pStyle w:val="BodyText"/>
        <w:rPr>
          <w:rFonts w:ascii="Arial Black" w:hAnsi="Arial Black"/>
          <w:b/>
          <w:i/>
        </w:rPr>
      </w:pPr>
      <w:r>
        <w:t xml:space="preserve">A </w:t>
      </w:r>
      <w:r w:rsidRPr="0049158C">
        <w:t xml:space="preserve">small number of submissions made </w:t>
      </w:r>
      <w:r>
        <w:t>comments</w:t>
      </w:r>
      <w:r w:rsidRPr="0049158C">
        <w:t xml:space="preserve"> </w:t>
      </w:r>
      <w:r>
        <w:t xml:space="preserve">on </w:t>
      </w:r>
      <w:r w:rsidRPr="0049158C">
        <w:t>the definition of ‘demand’.</w:t>
      </w:r>
      <w:r w:rsidR="000A1CCC">
        <w:t xml:space="preserve"> </w:t>
      </w:r>
      <w:r w:rsidRPr="0049158C">
        <w:t>From a business land perspective, submissions sought the inclusion of ‘lot size’ to better recognise the operational requirements of industry.</w:t>
      </w:r>
      <w:r w:rsidR="000A1CCC">
        <w:t xml:space="preserve"> </w:t>
      </w:r>
      <w:r w:rsidRPr="0049158C">
        <w:t>From a housing perspective, submissions sought the ability to confine analysis of demand to matters of interest locally.</w:t>
      </w:r>
    </w:p>
    <w:p w:rsidR="00202232" w:rsidRPr="00423B88" w:rsidRDefault="0001327E" w:rsidP="00423B88">
      <w:pPr>
        <w:pStyle w:val="Heading3"/>
      </w:pPr>
      <w:r w:rsidRPr="00423B88">
        <w:t>‘</w:t>
      </w:r>
      <w:r w:rsidR="0096629F" w:rsidRPr="00423B88">
        <w:t xml:space="preserve">Development </w:t>
      </w:r>
      <w:r w:rsidRPr="00423B88">
        <w:t>capacity’</w:t>
      </w:r>
    </w:p>
    <w:p w:rsidR="00202232" w:rsidRPr="00453A7C" w:rsidRDefault="00202232" w:rsidP="00423B88">
      <w:pPr>
        <w:pStyle w:val="BodyText"/>
        <w:rPr>
          <w:rFonts w:ascii="Arial Black" w:hAnsi="Arial Black"/>
          <w:b/>
          <w:i/>
        </w:rPr>
      </w:pPr>
      <w:r w:rsidRPr="00EF77DE">
        <w:t>I</w:t>
      </w:r>
      <w:r w:rsidRPr="00D822C2">
        <w:t xml:space="preserve">nfrastructure </w:t>
      </w:r>
      <w:r w:rsidR="00D04F4D">
        <w:t>p</w:t>
      </w:r>
      <w:r w:rsidRPr="00D822C2">
        <w:t>roviders</w:t>
      </w:r>
      <w:r w:rsidRPr="00EF77DE">
        <w:t xml:space="preserve"> a</w:t>
      </w:r>
      <w:r w:rsidRPr="0049158C">
        <w:t xml:space="preserve">nd </w:t>
      </w:r>
      <w:r w:rsidR="00D04F4D">
        <w:t>l</w:t>
      </w:r>
      <w:r>
        <w:t xml:space="preserve">ocal </w:t>
      </w:r>
      <w:r w:rsidR="00D04F4D">
        <w:t>a</w:t>
      </w:r>
      <w:r w:rsidRPr="0049158C">
        <w:t>uthorities exhibited the most interest in the definition of ‘development capacity’.</w:t>
      </w:r>
      <w:r w:rsidRPr="005E37DD">
        <w:t xml:space="preserve"> </w:t>
      </w:r>
      <w:r w:rsidR="000379AD" w:rsidRPr="005E37DD">
        <w:t>Many</w:t>
      </w:r>
      <w:r>
        <w:t xml:space="preserve"> submitters </w:t>
      </w:r>
      <w:r w:rsidR="000379AD">
        <w:t>felt</w:t>
      </w:r>
      <w:r>
        <w:t xml:space="preserve"> that t</w:t>
      </w:r>
      <w:r w:rsidRPr="008C3E30">
        <w:t xml:space="preserve">he requirements </w:t>
      </w:r>
      <w:r w:rsidR="000379AD">
        <w:t>of</w:t>
      </w:r>
      <w:r w:rsidR="005E37DD">
        <w:t xml:space="preserve"> i</w:t>
      </w:r>
      <w:r w:rsidRPr="008C3E30">
        <w:t>nfrastructure provision need</w:t>
      </w:r>
      <w:r w:rsidR="000379AD">
        <w:t>ed</w:t>
      </w:r>
      <w:r w:rsidRPr="008C3E30">
        <w:t xml:space="preserve"> to be reconsidered.</w:t>
      </w:r>
      <w:r>
        <w:t xml:space="preserve"> </w:t>
      </w:r>
      <w:r w:rsidRPr="0049158C">
        <w:t>The most common submission point</w:t>
      </w:r>
      <w:r>
        <w:t xml:space="preserve">s related to the inclusion of </w:t>
      </w:r>
      <w:r w:rsidRPr="0049158C">
        <w:t xml:space="preserve">the phrase </w:t>
      </w:r>
      <w:r>
        <w:t>‘existing or likely to exist’</w:t>
      </w:r>
      <w:r w:rsidR="003F61B0">
        <w:t>,</w:t>
      </w:r>
      <w:r>
        <w:t xml:space="preserve"> with many submitters unsure of what this </w:t>
      </w:r>
      <w:r w:rsidR="000379AD">
        <w:t>meant</w:t>
      </w:r>
      <w:r>
        <w:t>.</w:t>
      </w:r>
      <w:r w:rsidR="000A1CCC">
        <w:t xml:space="preserve"> </w:t>
      </w:r>
      <w:r w:rsidRPr="0049158C">
        <w:t xml:space="preserve">Other submissions asked for the definition to allow for </w:t>
      </w:r>
      <w:r>
        <w:t>different levels of application</w:t>
      </w:r>
      <w:r w:rsidRPr="0049158C">
        <w:t xml:space="preserve"> across the short, medium and long term.</w:t>
      </w:r>
    </w:p>
    <w:p w:rsidR="00202232" w:rsidRPr="00423B88" w:rsidRDefault="00202232" w:rsidP="00A94F01">
      <w:pPr>
        <w:pStyle w:val="Quote"/>
        <w:rPr>
          <w:rFonts w:eastAsia="Calibri" w:cs="Calibri"/>
        </w:rPr>
      </w:pPr>
      <w:r w:rsidRPr="00423B88">
        <w:t>“Greater definition is required to the phrase ‘likely to exist’ and if this means identified in the LTP/RTLP or by private means.” Yvonne Weeber</w:t>
      </w:r>
    </w:p>
    <w:p w:rsidR="00202232" w:rsidRPr="00423B88" w:rsidRDefault="0001327E" w:rsidP="00423B88">
      <w:pPr>
        <w:pStyle w:val="Heading3"/>
      </w:pPr>
      <w:r w:rsidRPr="00423B88">
        <w:t>‘</w:t>
      </w:r>
      <w:r w:rsidR="0096629F" w:rsidRPr="00423B88">
        <w:t>Feasible’</w:t>
      </w:r>
    </w:p>
    <w:p w:rsidR="00C322B7" w:rsidRPr="005E37DD" w:rsidRDefault="00C322B7" w:rsidP="00423B88">
      <w:pPr>
        <w:pStyle w:val="BodyText"/>
      </w:pPr>
      <w:r w:rsidRPr="005E37DD">
        <w:t xml:space="preserve">A range of submitters </w:t>
      </w:r>
      <w:r w:rsidR="00A373EE" w:rsidRPr="005E37DD">
        <w:t xml:space="preserve">commented on the importance of including infrastructure </w:t>
      </w:r>
      <w:r w:rsidR="009344D2">
        <w:t>when</w:t>
      </w:r>
      <w:r w:rsidR="00A373EE" w:rsidRPr="005E37DD">
        <w:t xml:space="preserve"> assessing feasibility</w:t>
      </w:r>
      <w:r w:rsidR="009344D2">
        <w:t>,</w:t>
      </w:r>
      <w:r w:rsidR="00A373EE" w:rsidRPr="005E37DD">
        <w:t xml:space="preserve"> but there were differing views on how this consideration would be best assessed and accounted for</w:t>
      </w:r>
      <w:r w:rsidRPr="005E37DD">
        <w:t>.</w:t>
      </w:r>
    </w:p>
    <w:p w:rsidR="00A373EE" w:rsidRDefault="00C322B7" w:rsidP="00423B88">
      <w:pPr>
        <w:pStyle w:val="BodyText"/>
      </w:pPr>
      <w:r w:rsidRPr="005E37DD">
        <w:t>These submitters</w:t>
      </w:r>
      <w:r w:rsidR="00A373EE" w:rsidRPr="005E37DD">
        <w:t xml:space="preserve"> asked for the </w:t>
      </w:r>
      <w:r w:rsidR="002D0259" w:rsidRPr="005E37DD">
        <w:t>NPS-UDC</w:t>
      </w:r>
      <w:r w:rsidR="00A373EE" w:rsidRPr="005E37DD">
        <w:t xml:space="preserve"> to clarify how to apply a test for feasibility.</w:t>
      </w:r>
      <w:r w:rsidR="000A1CCC">
        <w:t xml:space="preserve"> </w:t>
      </w:r>
      <w:r w:rsidR="00A373EE" w:rsidRPr="005E37DD">
        <w:t>A small number of submissions noted that the definition of ‘feasible’ should acknowledge the variation in ‘commercial viability of development’ between the short, medium and long</w:t>
      </w:r>
      <w:r w:rsidR="009344D2">
        <w:t xml:space="preserve"> </w:t>
      </w:r>
      <w:r w:rsidR="00A373EE" w:rsidRPr="005E37DD">
        <w:t>term</w:t>
      </w:r>
      <w:r w:rsidR="005E37DD">
        <w:t>s</w:t>
      </w:r>
      <w:r w:rsidR="00A373EE" w:rsidRPr="005E37DD">
        <w:t>.</w:t>
      </w:r>
      <w:r w:rsidR="00A373EE" w:rsidRPr="00B50080">
        <w:t xml:space="preserve"> </w:t>
      </w:r>
    </w:p>
    <w:p w:rsidR="00A373EE" w:rsidRPr="00423B88" w:rsidRDefault="00A373EE" w:rsidP="00A94F01">
      <w:pPr>
        <w:pStyle w:val="Quote"/>
      </w:pPr>
      <w:r w:rsidRPr="00423B88">
        <w:t>“…many respected agencies such as the Royal Institute of Chartered Surveyors state that area-wide feasibility testing over a medium to long term time frame is not reliable or possible at present.” Hill Young Cooper</w:t>
      </w:r>
    </w:p>
    <w:p w:rsidR="0001327E" w:rsidRPr="00423B88" w:rsidRDefault="0001327E" w:rsidP="00423B88">
      <w:pPr>
        <w:pStyle w:val="Heading3"/>
      </w:pPr>
      <w:r w:rsidRPr="00423B88">
        <w:t>‘</w:t>
      </w:r>
      <w:r w:rsidR="0096629F" w:rsidRPr="00423B88">
        <w:t>I</w:t>
      </w:r>
      <w:r w:rsidRPr="00423B88">
        <w:t>nfrastructure’</w:t>
      </w:r>
    </w:p>
    <w:p w:rsidR="00A373EE" w:rsidRDefault="00C322B7" w:rsidP="00423B88">
      <w:pPr>
        <w:pStyle w:val="BodyText"/>
      </w:pPr>
      <w:r>
        <w:t xml:space="preserve">Comments regarding the definition of ‘infrastructure’ were submitted in the main by </w:t>
      </w:r>
      <w:r w:rsidR="00EB01DC">
        <w:t>i</w:t>
      </w:r>
      <w:r>
        <w:t xml:space="preserve">nfrastructure </w:t>
      </w:r>
      <w:r w:rsidR="00EB01DC">
        <w:t>p</w:t>
      </w:r>
      <w:r>
        <w:t xml:space="preserve">roviders and </w:t>
      </w:r>
      <w:r w:rsidR="00EB01DC">
        <w:t>l</w:t>
      </w:r>
      <w:r>
        <w:t>ocal</w:t>
      </w:r>
      <w:r w:rsidR="00F12AA7">
        <w:t xml:space="preserve"> </w:t>
      </w:r>
      <w:r w:rsidR="00EB01DC">
        <w:t>a</w:t>
      </w:r>
      <w:r w:rsidR="00F12AA7">
        <w:t>uthorities.</w:t>
      </w:r>
      <w:r w:rsidR="000A1CCC">
        <w:t xml:space="preserve"> </w:t>
      </w:r>
      <w:r w:rsidR="00A373EE">
        <w:t xml:space="preserve">Thirty-six of the </w:t>
      </w:r>
      <w:r w:rsidR="003A5AC0">
        <w:t>37</w:t>
      </w:r>
      <w:r w:rsidR="00A373EE">
        <w:t xml:space="preserve"> submissions on the definition of ‘infrastructure’ </w:t>
      </w:r>
      <w:r w:rsidR="003A5AC0">
        <w:t xml:space="preserve">wanted </w:t>
      </w:r>
      <w:r w:rsidR="00A373EE">
        <w:t xml:space="preserve">a wider definition </w:t>
      </w:r>
      <w:r w:rsidR="003A5AC0">
        <w:t xml:space="preserve">included </w:t>
      </w:r>
      <w:r w:rsidR="00A373EE">
        <w:t>in the</w:t>
      </w:r>
      <w:r w:rsidR="00A373EE" w:rsidRPr="008C3E30">
        <w:t xml:space="preserve"> </w:t>
      </w:r>
      <w:r w:rsidR="002D0259">
        <w:t>NPS-UDC</w:t>
      </w:r>
      <w:r w:rsidR="00A373EE" w:rsidRPr="008C3E30">
        <w:t>.</w:t>
      </w:r>
      <w:r w:rsidR="00A373EE">
        <w:t xml:space="preserve"> Common responses included:</w:t>
      </w:r>
    </w:p>
    <w:p w:rsidR="00A373EE" w:rsidRPr="00423B88" w:rsidRDefault="00A373EE" w:rsidP="00A94F01">
      <w:pPr>
        <w:pStyle w:val="Bullet"/>
        <w:ind w:left="397" w:hanging="397"/>
        <w:rPr>
          <w:rFonts w:eastAsia="Calibri"/>
        </w:rPr>
      </w:pPr>
      <w:r w:rsidRPr="00423B88">
        <w:rPr>
          <w:rFonts w:eastAsia="Calibri"/>
        </w:rPr>
        <w:t xml:space="preserve">for the </w:t>
      </w:r>
      <w:r w:rsidR="002D0259" w:rsidRPr="00423B88">
        <w:rPr>
          <w:rFonts w:eastAsia="Calibri"/>
        </w:rPr>
        <w:t>NPS-UDC</w:t>
      </w:r>
      <w:r w:rsidRPr="00423B88">
        <w:rPr>
          <w:rFonts w:eastAsia="Calibri"/>
        </w:rPr>
        <w:t xml:space="preserve"> to adopt the definition of ‘infrastructure’ under the </w:t>
      </w:r>
      <w:r w:rsidR="00BE51FE" w:rsidRPr="00423B88">
        <w:rPr>
          <w:rFonts w:eastAsia="Calibri"/>
        </w:rPr>
        <w:t>Resource Management Act 1991 (</w:t>
      </w:r>
      <w:r w:rsidRPr="00423B88">
        <w:rPr>
          <w:rFonts w:eastAsia="Calibri"/>
        </w:rPr>
        <w:t>RMA</w:t>
      </w:r>
      <w:r w:rsidR="00BE51FE" w:rsidRPr="00423B88">
        <w:rPr>
          <w:rFonts w:eastAsia="Calibri"/>
        </w:rPr>
        <w:t>)</w:t>
      </w:r>
    </w:p>
    <w:p w:rsidR="00A373EE" w:rsidRPr="00423B88" w:rsidRDefault="00A373EE" w:rsidP="00A94F01">
      <w:pPr>
        <w:pStyle w:val="Bullet"/>
        <w:ind w:left="397" w:hanging="397"/>
        <w:rPr>
          <w:rFonts w:eastAsia="Calibri"/>
        </w:rPr>
      </w:pPr>
      <w:r w:rsidRPr="00423B88">
        <w:rPr>
          <w:rFonts w:eastAsia="Calibri"/>
        </w:rPr>
        <w:t>that the definition be broadened to include community and social infrastructure such as public open space</w:t>
      </w:r>
      <w:r w:rsidR="00FD7EF3" w:rsidRPr="00423B88">
        <w:rPr>
          <w:rFonts w:eastAsia="Calibri"/>
        </w:rPr>
        <w:t>.</w:t>
      </w:r>
    </w:p>
    <w:p w:rsidR="00202232" w:rsidRPr="00C70374" w:rsidRDefault="00A373EE" w:rsidP="00A94F01">
      <w:pPr>
        <w:pStyle w:val="Quote"/>
      </w:pPr>
      <w:r w:rsidRPr="00C70374">
        <w:t>“Infrastructure should include essential council and non-council infrastructure (social/community, open space, power, communication, health and education.” Whau Local Board</w:t>
      </w:r>
    </w:p>
    <w:p w:rsidR="0001327E" w:rsidRPr="00C70374" w:rsidRDefault="0001327E" w:rsidP="00C70374">
      <w:pPr>
        <w:pStyle w:val="Heading3"/>
      </w:pPr>
      <w:r w:rsidRPr="00C70374">
        <w:t>‘</w:t>
      </w:r>
      <w:r w:rsidR="0096629F" w:rsidRPr="00C70374">
        <w:t>Sufficient’</w:t>
      </w:r>
    </w:p>
    <w:p w:rsidR="00A373EE" w:rsidRDefault="00A373EE" w:rsidP="00C70374">
      <w:pPr>
        <w:pStyle w:val="BodyText"/>
        <w:rPr>
          <w:rFonts w:ascii="Arial Black" w:hAnsi="Arial Black"/>
          <w:b/>
          <w:i/>
        </w:rPr>
      </w:pPr>
      <w:r w:rsidRPr="00A33592">
        <w:t xml:space="preserve">Submitters queried </w:t>
      </w:r>
      <w:r w:rsidR="006D0A23">
        <w:t>how</w:t>
      </w:r>
      <w:r w:rsidRPr="00A33592">
        <w:t xml:space="preserve"> the margins</w:t>
      </w:r>
      <w:r>
        <w:t xml:space="preserve"> for sufficiency</w:t>
      </w:r>
      <w:r w:rsidR="006D0A23">
        <w:t xml:space="preserve"> were determined</w:t>
      </w:r>
      <w:r>
        <w:t xml:space="preserve">, with conflicting interests </w:t>
      </w:r>
      <w:r w:rsidR="00F12AA7">
        <w:t xml:space="preserve">received from </w:t>
      </w:r>
      <w:r w:rsidR="002E6519">
        <w:t>l</w:t>
      </w:r>
      <w:r>
        <w:t>o</w:t>
      </w:r>
      <w:r w:rsidR="00F12AA7">
        <w:t xml:space="preserve">cal </w:t>
      </w:r>
      <w:r w:rsidR="002E6519">
        <w:t>a</w:t>
      </w:r>
      <w:r w:rsidRPr="0049158C">
        <w:t xml:space="preserve">uthorities </w:t>
      </w:r>
      <w:r>
        <w:t xml:space="preserve">and the </w:t>
      </w:r>
      <w:r w:rsidR="002E6519">
        <w:t>d</w:t>
      </w:r>
      <w:r>
        <w:t xml:space="preserve">evelopment </w:t>
      </w:r>
      <w:r w:rsidR="002E6519">
        <w:t>s</w:t>
      </w:r>
      <w:r>
        <w:t>ector.</w:t>
      </w:r>
      <w:r w:rsidR="000A1CCC">
        <w:t xml:space="preserve"> </w:t>
      </w:r>
      <w:r w:rsidR="00F12AA7">
        <w:t xml:space="preserve">Some </w:t>
      </w:r>
      <w:r w:rsidR="002E6519">
        <w:t>l</w:t>
      </w:r>
      <w:r>
        <w:t xml:space="preserve">ocal </w:t>
      </w:r>
      <w:r w:rsidR="002E6519">
        <w:t>a</w:t>
      </w:r>
      <w:r>
        <w:t>uthority submissions</w:t>
      </w:r>
      <w:r w:rsidR="00F12AA7">
        <w:t xml:space="preserve">, particularly from those without either a </w:t>
      </w:r>
      <w:r w:rsidR="00923B22">
        <w:t>“medium or high growth urban a</w:t>
      </w:r>
      <w:r w:rsidR="00F12AA7">
        <w:t>rea</w:t>
      </w:r>
      <w:r w:rsidR="00923B22">
        <w:t>”</w:t>
      </w:r>
      <w:r w:rsidR="00F12AA7">
        <w:t>,</w:t>
      </w:r>
      <w:r>
        <w:t xml:space="preserve"> considered the requirement to over-provide development capacity inappropriate</w:t>
      </w:r>
      <w:r w:rsidR="00E05CAD">
        <w:t>,</w:t>
      </w:r>
      <w:r>
        <w:t xml:space="preserve"> particularly with regard to the cost to local communities/ratepayers to supply infrastructure to support that capacity.</w:t>
      </w:r>
      <w:r w:rsidR="000A1CCC">
        <w:t xml:space="preserve"> </w:t>
      </w:r>
      <w:r>
        <w:t xml:space="preserve">Many local authorities submitted that the margins were set too high and should not be applied to long-term development capacity. </w:t>
      </w:r>
    </w:p>
    <w:p w:rsidR="00A373EE" w:rsidRPr="00A373EE" w:rsidRDefault="00A373EE" w:rsidP="00C70374">
      <w:pPr>
        <w:pStyle w:val="BodyText"/>
        <w:rPr>
          <w:rFonts w:ascii="Arial Black" w:hAnsi="Arial Black"/>
          <w:b/>
          <w:i/>
        </w:rPr>
      </w:pPr>
      <w:r>
        <w:t xml:space="preserve">In contrast, the </w:t>
      </w:r>
      <w:r w:rsidR="00286E3D">
        <w:t>d</w:t>
      </w:r>
      <w:r>
        <w:t xml:space="preserve">evelopment </w:t>
      </w:r>
      <w:r w:rsidR="00286E3D">
        <w:t>s</w:t>
      </w:r>
      <w:r>
        <w:t xml:space="preserve">ector submitted that the margins should be increased, as the proposed buffer would not overcome the inherent </w:t>
      </w:r>
      <w:r w:rsidR="00286E3D">
        <w:t xml:space="preserve">inefficiency in the </w:t>
      </w:r>
      <w:r>
        <w:t>property market in bringing land to the market.</w:t>
      </w:r>
    </w:p>
    <w:p w:rsidR="00A373EE" w:rsidRPr="00C70374" w:rsidRDefault="00A373EE" w:rsidP="00A94F01">
      <w:pPr>
        <w:pStyle w:val="Quote"/>
      </w:pPr>
      <w:r w:rsidRPr="00C70374">
        <w:t>“…we support efforts in the Statement to require a proportion of development above and beyond short, medium and long term requirements.</w:t>
      </w:r>
      <w:r w:rsidR="000A1CCC">
        <w:t xml:space="preserve"> </w:t>
      </w:r>
      <w:r w:rsidRPr="00C70374">
        <w:t>Nevertheless, we are concerned requirements for 15</w:t>
      </w:r>
      <w:r w:rsidR="0004066E" w:rsidRPr="00C70374">
        <w:t>–</w:t>
      </w:r>
      <w:r w:rsidRPr="00C70374">
        <w:t>20 per cent beyond identified demand will not be sufficient to ensure efficient land markets can operate.” N</w:t>
      </w:r>
      <w:r w:rsidR="00BC56E9" w:rsidRPr="00C70374">
        <w:t xml:space="preserve">ew </w:t>
      </w:r>
      <w:r w:rsidRPr="00C70374">
        <w:t>Z</w:t>
      </w:r>
      <w:r w:rsidR="00BC56E9" w:rsidRPr="00C70374">
        <w:t>ealand</w:t>
      </w:r>
      <w:r w:rsidRPr="00C70374">
        <w:t xml:space="preserve"> Council for Infrastructure Development</w:t>
      </w:r>
    </w:p>
    <w:p w:rsidR="0001327E" w:rsidRPr="00C70374" w:rsidRDefault="00A373EE" w:rsidP="00A94F01">
      <w:pPr>
        <w:pStyle w:val="Quote"/>
      </w:pPr>
      <w:r w:rsidRPr="00C70374">
        <w:t>“Planning for the additional capacity margins increases the risk of over spending on infrastructure and has cost implications with debt levels increasing.” Tasman District Council</w:t>
      </w:r>
      <w:r w:rsidR="0001327E" w:rsidRPr="00C70374">
        <w:tab/>
      </w:r>
    </w:p>
    <w:p w:rsidR="0001327E" w:rsidRPr="00C70374" w:rsidRDefault="0001327E" w:rsidP="00C70374">
      <w:pPr>
        <w:pStyle w:val="Heading3"/>
      </w:pPr>
      <w:r w:rsidRPr="00C70374">
        <w:t>‘</w:t>
      </w:r>
      <w:r w:rsidR="0096629F" w:rsidRPr="00C70374">
        <w:t xml:space="preserve">Urban </w:t>
      </w:r>
      <w:r w:rsidRPr="00C70374">
        <w:t>area’</w:t>
      </w:r>
    </w:p>
    <w:p w:rsidR="00A373EE" w:rsidRPr="00F27B77" w:rsidRDefault="0096629F" w:rsidP="00C70374">
      <w:pPr>
        <w:pStyle w:val="BodyText"/>
        <w:rPr>
          <w:rFonts w:ascii="Arial Black" w:hAnsi="Arial Black"/>
          <w:b/>
          <w:i/>
        </w:rPr>
      </w:pPr>
      <w:r>
        <w:t>The NPS-UDC included its own definition of ‘urban area’</w:t>
      </w:r>
      <w:r w:rsidR="00F37DD2">
        <w:t xml:space="preserve"> (‘an area with urban characteristics’)</w:t>
      </w:r>
      <w:r>
        <w:t xml:space="preserve">, </w:t>
      </w:r>
      <w:r w:rsidR="00F37DD2">
        <w:t xml:space="preserve">which was different from the Statistics New Zealand Classification of </w:t>
      </w:r>
      <w:r w:rsidR="00E62C72">
        <w:t>u</w:t>
      </w:r>
      <w:r w:rsidR="00F37DD2">
        <w:t xml:space="preserve">rban </w:t>
      </w:r>
      <w:r w:rsidR="00F228EB">
        <w:t>a</w:t>
      </w:r>
      <w:r w:rsidR="00F37DD2">
        <w:t xml:space="preserve">rea used in the NPS-UDC’s </w:t>
      </w:r>
      <w:r w:rsidR="00084163">
        <w:t>‘</w:t>
      </w:r>
      <w:r w:rsidR="00923B22">
        <w:t>medium growth urban area</w:t>
      </w:r>
      <w:r w:rsidR="00BC56E9">
        <w:t>’</w:t>
      </w:r>
      <w:r w:rsidR="00F37DD2">
        <w:t xml:space="preserve"> and </w:t>
      </w:r>
      <w:r w:rsidR="00084163">
        <w:t>‘</w:t>
      </w:r>
      <w:r w:rsidR="005237F3">
        <w:t>h</w:t>
      </w:r>
      <w:r w:rsidR="00923B22">
        <w:t>igh growth urban area</w:t>
      </w:r>
      <w:r w:rsidR="00BC56E9">
        <w:t>’</w:t>
      </w:r>
      <w:r w:rsidR="00F37DD2">
        <w:t xml:space="preserve"> definitions. </w:t>
      </w:r>
      <w:r w:rsidR="00A373EE">
        <w:t xml:space="preserve">Submitters </w:t>
      </w:r>
      <w:r w:rsidR="00F37DD2">
        <w:t xml:space="preserve">highlighted the confusion that this creates. They also </w:t>
      </w:r>
      <w:r w:rsidR="00A373EE">
        <w:t xml:space="preserve">pointed to the circular nature of the definition and </w:t>
      </w:r>
      <w:r w:rsidR="00F37DD2">
        <w:t>its contradiction with the</w:t>
      </w:r>
      <w:r w:rsidR="00A373EE">
        <w:t xml:space="preserve"> </w:t>
      </w:r>
      <w:r w:rsidR="00BC56E9">
        <w:t>o</w:t>
      </w:r>
      <w:r w:rsidR="00A373EE">
        <w:t>bjectives</w:t>
      </w:r>
      <w:r w:rsidR="00F37DD2">
        <w:t>, which</w:t>
      </w:r>
      <w:r w:rsidR="00A373EE">
        <w:t xml:space="preserve"> imply an urban area can include greenfield</w:t>
      </w:r>
      <w:r w:rsidR="00F37DD2">
        <w:t xml:space="preserve"> land earmarked for future development</w:t>
      </w:r>
      <w:r w:rsidR="00A373EE">
        <w:t>.</w:t>
      </w:r>
    </w:p>
    <w:p w:rsidR="00A373EE" w:rsidRPr="00C70374" w:rsidRDefault="00A373EE" w:rsidP="00A94F01">
      <w:pPr>
        <w:pStyle w:val="Quote"/>
      </w:pPr>
      <w:r w:rsidRPr="00C70374">
        <w:t xml:space="preserve">“The definition as currently provided will enable local authorities to discount rezoning developable greenfield land on the basis that the land does not have </w:t>
      </w:r>
      <w:r w:rsidR="00BC56E9" w:rsidRPr="00C70374">
        <w:t>‘</w:t>
      </w:r>
      <w:r w:rsidRPr="00C70374">
        <w:t>urban characteristics</w:t>
      </w:r>
      <w:r w:rsidR="00BC56E9" w:rsidRPr="00C70374">
        <w:t>’</w:t>
      </w:r>
      <w:r w:rsidRPr="00C70374">
        <w:t xml:space="preserve"> and a ‘moderate to high concentration of population</w:t>
      </w:r>
      <w:r w:rsidR="00BC56E9" w:rsidRPr="00C70374">
        <w:t>’</w:t>
      </w:r>
      <w:r w:rsidRPr="00C70374">
        <w:t>.” Progressive Enterprises Limited</w:t>
      </w:r>
    </w:p>
    <w:p w:rsidR="00A94F01" w:rsidRDefault="00A94F01">
      <w:pPr>
        <w:spacing w:before="0" w:after="200" w:line="276" w:lineRule="auto"/>
        <w:jc w:val="left"/>
        <w:rPr>
          <w:rFonts w:cs="Arial"/>
          <w:i/>
          <w:sz w:val="20"/>
          <w:szCs w:val="20"/>
        </w:rPr>
      </w:pPr>
      <w:r>
        <w:rPr>
          <w:rFonts w:cs="Arial"/>
          <w:i/>
          <w:sz w:val="20"/>
          <w:szCs w:val="20"/>
        </w:rPr>
        <w:br w:type="page"/>
      </w:r>
    </w:p>
    <w:p w:rsidR="0001327E" w:rsidRPr="00C70374" w:rsidRDefault="0001327E" w:rsidP="00C70374">
      <w:pPr>
        <w:pStyle w:val="Heading1"/>
      </w:pPr>
      <w:bookmarkStart w:id="14" w:name="_Toc461185721"/>
      <w:r w:rsidRPr="00C70374">
        <w:t xml:space="preserve">Outcomes for </w:t>
      </w:r>
      <w:r w:rsidR="00BC56E9" w:rsidRPr="00C70374">
        <w:t>d</w:t>
      </w:r>
      <w:r w:rsidRPr="00C70374">
        <w:t>ecision-</w:t>
      </w:r>
      <w:r w:rsidR="00BC56E9" w:rsidRPr="00C70374">
        <w:t>m</w:t>
      </w:r>
      <w:r w:rsidRPr="00C70374">
        <w:t>aking (Objectives OA1</w:t>
      </w:r>
      <w:r w:rsidR="004D61A6" w:rsidRPr="00C70374">
        <w:t>–O</w:t>
      </w:r>
      <w:r w:rsidRPr="00C70374">
        <w:t>A3, Policies PA1</w:t>
      </w:r>
      <w:r w:rsidR="004D61A6" w:rsidRPr="00C70374">
        <w:t>–</w:t>
      </w:r>
      <w:r w:rsidR="00F228EB">
        <w:t>P</w:t>
      </w:r>
      <w:r w:rsidRPr="00C70374">
        <w:t>A3)</w:t>
      </w:r>
      <w:bookmarkEnd w:id="14"/>
      <w:r w:rsidRPr="00C70374">
        <w:t xml:space="preserve"> </w:t>
      </w:r>
    </w:p>
    <w:p w:rsidR="00A373EE" w:rsidRDefault="00A373EE" w:rsidP="00C70374">
      <w:pPr>
        <w:pStyle w:val="BodyText"/>
        <w:rPr>
          <w:rFonts w:eastAsia="Calibri"/>
        </w:rPr>
      </w:pPr>
      <w:r>
        <w:rPr>
          <w:rFonts w:eastAsia="Calibri"/>
        </w:rPr>
        <w:t>Just under half of all submissions (48</w:t>
      </w:r>
      <w:r w:rsidR="00BC56E9">
        <w:rPr>
          <w:rFonts w:eastAsia="Calibri"/>
        </w:rPr>
        <w:t xml:space="preserve"> per cent</w:t>
      </w:r>
      <w:r>
        <w:rPr>
          <w:rFonts w:eastAsia="Calibri"/>
        </w:rPr>
        <w:t>) commented on the ‘Objectives Group A – Outcomes for decision-making’ and the related Policies PA1 to PA3.</w:t>
      </w:r>
      <w:r w:rsidR="000A1CCC">
        <w:rPr>
          <w:rFonts w:eastAsia="Calibri"/>
        </w:rPr>
        <w:t xml:space="preserve"> </w:t>
      </w:r>
      <w:r>
        <w:rPr>
          <w:rFonts w:eastAsia="Calibri"/>
        </w:rPr>
        <w:t xml:space="preserve">Stakeholder groups with the most interest in </w:t>
      </w:r>
      <w:r w:rsidR="00932513">
        <w:rPr>
          <w:rFonts w:eastAsia="Calibri"/>
        </w:rPr>
        <w:t xml:space="preserve">this section of </w:t>
      </w:r>
      <w:r>
        <w:rPr>
          <w:rFonts w:eastAsia="Calibri"/>
        </w:rPr>
        <w:t xml:space="preserve">the </w:t>
      </w:r>
      <w:r w:rsidR="00BE51FE">
        <w:rPr>
          <w:rFonts w:eastAsia="Calibri"/>
        </w:rPr>
        <w:t xml:space="preserve">National Policy Statement on Urban Development Capacity (NPS-UDC) </w:t>
      </w:r>
      <w:r>
        <w:rPr>
          <w:rFonts w:eastAsia="Calibri"/>
        </w:rPr>
        <w:t xml:space="preserve">were </w:t>
      </w:r>
      <w:r w:rsidR="00BC56E9">
        <w:rPr>
          <w:rFonts w:eastAsia="Calibri"/>
        </w:rPr>
        <w:t>l</w:t>
      </w:r>
      <w:r>
        <w:rPr>
          <w:rFonts w:eastAsia="Calibri"/>
        </w:rPr>
        <w:t xml:space="preserve">ocal </w:t>
      </w:r>
      <w:r w:rsidR="00BC56E9">
        <w:rPr>
          <w:rFonts w:eastAsia="Calibri"/>
        </w:rPr>
        <w:t>a</w:t>
      </w:r>
      <w:r>
        <w:rPr>
          <w:rFonts w:eastAsia="Calibri"/>
        </w:rPr>
        <w:t xml:space="preserve">uthorities, </w:t>
      </w:r>
      <w:r w:rsidR="00932513">
        <w:rPr>
          <w:rFonts w:eastAsia="Calibri"/>
        </w:rPr>
        <w:t xml:space="preserve">the </w:t>
      </w:r>
      <w:r w:rsidR="00BE51FE">
        <w:rPr>
          <w:rFonts w:eastAsia="Calibri"/>
        </w:rPr>
        <w:t>d</w:t>
      </w:r>
      <w:r>
        <w:rPr>
          <w:rFonts w:eastAsia="Calibri"/>
        </w:rPr>
        <w:t xml:space="preserve">evelopment </w:t>
      </w:r>
      <w:r w:rsidR="00BE51FE">
        <w:rPr>
          <w:rFonts w:eastAsia="Calibri"/>
        </w:rPr>
        <w:t>s</w:t>
      </w:r>
      <w:r>
        <w:rPr>
          <w:rFonts w:eastAsia="Calibri"/>
        </w:rPr>
        <w:t xml:space="preserve">ector and </w:t>
      </w:r>
      <w:r w:rsidR="00BE51FE">
        <w:rPr>
          <w:rFonts w:eastAsia="Calibri"/>
        </w:rPr>
        <w:t>i</w:t>
      </w:r>
      <w:r>
        <w:rPr>
          <w:rFonts w:eastAsia="Calibri"/>
        </w:rPr>
        <w:t xml:space="preserve">nfrastructure </w:t>
      </w:r>
      <w:r w:rsidR="00BE51FE">
        <w:rPr>
          <w:rFonts w:eastAsia="Calibri"/>
        </w:rPr>
        <w:t>p</w:t>
      </w:r>
      <w:r>
        <w:rPr>
          <w:rFonts w:eastAsia="Calibri"/>
        </w:rPr>
        <w:t>roviders.</w:t>
      </w:r>
      <w:r w:rsidR="000A1CCC">
        <w:rPr>
          <w:rFonts w:eastAsia="Calibri"/>
        </w:rPr>
        <w:t xml:space="preserve"> </w:t>
      </w:r>
      <w:r>
        <w:rPr>
          <w:rFonts w:eastAsia="Calibri"/>
        </w:rPr>
        <w:t>Submissions showed general support for the intent behind these objectives and policies.</w:t>
      </w:r>
    </w:p>
    <w:p w:rsidR="00DB017F" w:rsidRDefault="00932513" w:rsidP="00C70374">
      <w:pPr>
        <w:pStyle w:val="BodyText"/>
        <w:rPr>
          <w:rFonts w:eastAsia="Calibri"/>
        </w:rPr>
      </w:pPr>
      <w:r>
        <w:rPr>
          <w:rFonts w:eastAsia="Calibri"/>
        </w:rPr>
        <w:t xml:space="preserve">A general theme was that </w:t>
      </w:r>
      <w:r w:rsidR="00DB017F">
        <w:rPr>
          <w:rFonts w:eastAsia="Calibri"/>
        </w:rPr>
        <w:t>there</w:t>
      </w:r>
      <w:r>
        <w:rPr>
          <w:rFonts w:eastAsia="Calibri"/>
        </w:rPr>
        <w:t xml:space="preserve"> needed</w:t>
      </w:r>
      <w:r w:rsidR="00A373EE">
        <w:rPr>
          <w:rFonts w:eastAsia="Calibri"/>
        </w:rPr>
        <w:t xml:space="preserve"> to </w:t>
      </w:r>
      <w:r w:rsidR="00DB017F">
        <w:rPr>
          <w:rFonts w:eastAsia="Calibri"/>
        </w:rPr>
        <w:t xml:space="preserve">be </w:t>
      </w:r>
      <w:r>
        <w:rPr>
          <w:rFonts w:eastAsia="Calibri"/>
        </w:rPr>
        <w:t>stronger links between the</w:t>
      </w:r>
      <w:r w:rsidR="00A373EE">
        <w:rPr>
          <w:rFonts w:eastAsia="Calibri"/>
        </w:rPr>
        <w:t xml:space="preserve"> objectives and policies</w:t>
      </w:r>
      <w:r>
        <w:rPr>
          <w:rFonts w:eastAsia="Calibri"/>
        </w:rPr>
        <w:t xml:space="preserve"> so that they</w:t>
      </w:r>
      <w:r w:rsidR="00A373EE">
        <w:rPr>
          <w:rFonts w:eastAsia="Calibri"/>
        </w:rPr>
        <w:t xml:space="preserve"> cascade down from each other</w:t>
      </w:r>
      <w:r w:rsidR="006441E2">
        <w:rPr>
          <w:rFonts w:eastAsia="Calibri"/>
        </w:rPr>
        <w:t>,</w:t>
      </w:r>
      <w:r w:rsidR="00A373EE">
        <w:rPr>
          <w:rFonts w:eastAsia="Calibri"/>
        </w:rPr>
        <w:t xml:space="preserve"> and that align appropriately with the </w:t>
      </w:r>
      <w:r w:rsidR="006441E2">
        <w:rPr>
          <w:rFonts w:eastAsia="Calibri"/>
        </w:rPr>
        <w:t>p</w:t>
      </w:r>
      <w:r w:rsidR="00A373EE">
        <w:rPr>
          <w:rFonts w:eastAsia="Calibri"/>
        </w:rPr>
        <w:t>reamble.</w:t>
      </w:r>
      <w:r w:rsidR="000A1CCC">
        <w:rPr>
          <w:rFonts w:eastAsia="Calibri"/>
        </w:rPr>
        <w:t xml:space="preserve"> </w:t>
      </w:r>
    </w:p>
    <w:p w:rsidR="00A373EE" w:rsidRPr="00A373EE" w:rsidRDefault="00A373EE" w:rsidP="00C70374">
      <w:pPr>
        <w:pStyle w:val="BodyText"/>
        <w:rPr>
          <w:rFonts w:eastAsia="Calibri"/>
        </w:rPr>
      </w:pPr>
      <w:r>
        <w:rPr>
          <w:rFonts w:eastAsia="Calibri"/>
        </w:rPr>
        <w:t>This section summarises common submission points against each of the individual objectives and policies</w:t>
      </w:r>
      <w:r w:rsidR="006441E2">
        <w:rPr>
          <w:rFonts w:eastAsia="Calibri"/>
        </w:rPr>
        <w:t>,</w:t>
      </w:r>
      <w:r w:rsidR="00763C59">
        <w:rPr>
          <w:rFonts w:eastAsia="Calibri"/>
        </w:rPr>
        <w:t xml:space="preserve"> noting</w:t>
      </w:r>
      <w:r w:rsidR="006441E2">
        <w:rPr>
          <w:rFonts w:eastAsia="Calibri"/>
        </w:rPr>
        <w:t xml:space="preserve"> that</w:t>
      </w:r>
      <w:r w:rsidR="00763C59">
        <w:rPr>
          <w:rFonts w:eastAsia="Calibri"/>
        </w:rPr>
        <w:t xml:space="preserve"> there was a limited response to </w:t>
      </w:r>
      <w:r w:rsidR="00D822C2">
        <w:rPr>
          <w:rFonts w:eastAsia="Calibri"/>
        </w:rPr>
        <w:t>O</w:t>
      </w:r>
      <w:r w:rsidR="00763C59">
        <w:rPr>
          <w:rFonts w:eastAsia="Calibri"/>
        </w:rPr>
        <w:t>bjective OA3 ‘to enable ongoing development and change in urban areas’.</w:t>
      </w:r>
    </w:p>
    <w:p w:rsidR="0001327E" w:rsidRDefault="0001327E" w:rsidP="00C70374">
      <w:pPr>
        <w:pStyle w:val="Heading3"/>
        <w:rPr>
          <w:rFonts w:eastAsia="Calibri" w:cs="Calibri"/>
        </w:rPr>
      </w:pPr>
      <w:r w:rsidRPr="0001327E">
        <w:t>Objective OA1</w:t>
      </w:r>
      <w:r w:rsidR="00D822C2">
        <w:t xml:space="preserve">: </w:t>
      </w:r>
      <w:r w:rsidR="00F001EA">
        <w:t>E</w:t>
      </w:r>
      <w:r w:rsidR="00763C59">
        <w:t>ffective and efficient urban areas</w:t>
      </w:r>
    </w:p>
    <w:p w:rsidR="00731A2C" w:rsidRPr="004826B7" w:rsidRDefault="00731A2C" w:rsidP="00C70374">
      <w:pPr>
        <w:pStyle w:val="BodyText"/>
        <w:rPr>
          <w:rFonts w:eastAsia="Calibri"/>
          <w:u w:val="single"/>
        </w:rPr>
      </w:pPr>
      <w:r>
        <w:rPr>
          <w:rFonts w:eastAsia="Calibri"/>
        </w:rPr>
        <w:t xml:space="preserve">Many </w:t>
      </w:r>
      <w:r w:rsidR="006441E2">
        <w:rPr>
          <w:rFonts w:eastAsia="Calibri"/>
        </w:rPr>
        <w:t>l</w:t>
      </w:r>
      <w:r>
        <w:rPr>
          <w:rFonts w:eastAsia="Calibri"/>
        </w:rPr>
        <w:t xml:space="preserve">ocal </w:t>
      </w:r>
      <w:r w:rsidR="006441E2">
        <w:rPr>
          <w:rFonts w:eastAsia="Calibri"/>
        </w:rPr>
        <w:t>a</w:t>
      </w:r>
      <w:r>
        <w:rPr>
          <w:rFonts w:eastAsia="Calibri"/>
        </w:rPr>
        <w:t xml:space="preserve">uthority submissions </w:t>
      </w:r>
      <w:r w:rsidR="006441E2">
        <w:rPr>
          <w:rFonts w:eastAsia="Calibri"/>
        </w:rPr>
        <w:t>stated that</w:t>
      </w:r>
      <w:r>
        <w:rPr>
          <w:rFonts w:eastAsia="Calibri"/>
        </w:rPr>
        <w:t xml:space="preserve"> the objective </w:t>
      </w:r>
      <w:r w:rsidR="006441E2">
        <w:rPr>
          <w:rFonts w:eastAsia="Calibri"/>
        </w:rPr>
        <w:t xml:space="preserve">should </w:t>
      </w:r>
      <w:r>
        <w:rPr>
          <w:rFonts w:eastAsia="Calibri"/>
        </w:rPr>
        <w:t>better recognise cultural and environmental wellbeing.</w:t>
      </w:r>
      <w:r w:rsidR="000A1CCC">
        <w:rPr>
          <w:rFonts w:eastAsia="Calibri"/>
        </w:rPr>
        <w:t xml:space="preserve"> </w:t>
      </w:r>
      <w:r>
        <w:rPr>
          <w:rFonts w:eastAsia="Calibri"/>
        </w:rPr>
        <w:t xml:space="preserve">In contrast, submissions from the </w:t>
      </w:r>
      <w:r w:rsidR="006441E2">
        <w:rPr>
          <w:rFonts w:eastAsia="Calibri"/>
        </w:rPr>
        <w:t>b</w:t>
      </w:r>
      <w:r>
        <w:rPr>
          <w:rFonts w:eastAsia="Calibri"/>
        </w:rPr>
        <w:t>usiness/</w:t>
      </w:r>
      <w:r w:rsidR="006441E2">
        <w:rPr>
          <w:rFonts w:eastAsia="Calibri"/>
        </w:rPr>
        <w:t>i</w:t>
      </w:r>
      <w:r>
        <w:rPr>
          <w:rFonts w:eastAsia="Calibri"/>
        </w:rPr>
        <w:t xml:space="preserve">ndustry and </w:t>
      </w:r>
      <w:r w:rsidR="006441E2">
        <w:rPr>
          <w:rFonts w:eastAsia="Calibri"/>
        </w:rPr>
        <w:t>d</w:t>
      </w:r>
      <w:r>
        <w:rPr>
          <w:rFonts w:eastAsia="Calibri"/>
        </w:rPr>
        <w:t xml:space="preserve">evelopment </w:t>
      </w:r>
      <w:r w:rsidR="006441E2">
        <w:rPr>
          <w:rFonts w:eastAsia="Calibri"/>
        </w:rPr>
        <w:t>s</w:t>
      </w:r>
      <w:r>
        <w:rPr>
          <w:rFonts w:eastAsia="Calibri"/>
        </w:rPr>
        <w:t>ector stakeholders asked for greater focus on the quantity of development.</w:t>
      </w:r>
    </w:p>
    <w:p w:rsidR="00731A2C" w:rsidRPr="00C70374" w:rsidRDefault="00731A2C" w:rsidP="00A94F01">
      <w:pPr>
        <w:pStyle w:val="Quote"/>
      </w:pPr>
      <w:r w:rsidRPr="00C70374">
        <w:t>“The focus of this objective is on supporting urban areas, as opposed to supporting development of urban areas.</w:t>
      </w:r>
      <w:r w:rsidR="000A1CCC">
        <w:t xml:space="preserve"> </w:t>
      </w:r>
      <w:r w:rsidRPr="00C70374">
        <w:t>NZCSC suggests that this objective should be to support the development of effective, efficient and sustainable urban areas.”</w:t>
      </w:r>
      <w:r w:rsidR="000A1CCC">
        <w:t xml:space="preserve"> </w:t>
      </w:r>
      <w:r w:rsidRPr="00C70374">
        <w:t>New Zealand Council of Shopping Centres</w:t>
      </w:r>
    </w:p>
    <w:p w:rsidR="0001327E" w:rsidRPr="00C70374" w:rsidRDefault="0001327E" w:rsidP="00C70374">
      <w:pPr>
        <w:pStyle w:val="Heading3"/>
      </w:pPr>
      <w:r w:rsidRPr="00C70374">
        <w:t>Objective OA2</w:t>
      </w:r>
      <w:r w:rsidR="00D822C2" w:rsidRPr="00C70374">
        <w:t>:</w:t>
      </w:r>
      <w:r w:rsidR="00763C59" w:rsidRPr="00C70374">
        <w:t xml:space="preserve"> </w:t>
      </w:r>
      <w:r w:rsidR="00F001EA" w:rsidRPr="00C70374">
        <w:t>S</w:t>
      </w:r>
      <w:r w:rsidR="00763C59" w:rsidRPr="00C70374">
        <w:t>ufficient development capacity</w:t>
      </w:r>
    </w:p>
    <w:p w:rsidR="00731A2C" w:rsidRPr="004826B7" w:rsidRDefault="00731A2C" w:rsidP="00C70374">
      <w:pPr>
        <w:pStyle w:val="BodyText"/>
        <w:rPr>
          <w:rFonts w:eastAsia="Calibri"/>
          <w:u w:val="single"/>
        </w:rPr>
      </w:pPr>
      <w:r>
        <w:rPr>
          <w:rFonts w:eastAsia="Calibri"/>
        </w:rPr>
        <w:t xml:space="preserve">Similar to OA1, Objective OA2 received contrasting responses between </w:t>
      </w:r>
      <w:r w:rsidR="006441E2">
        <w:rPr>
          <w:rFonts w:eastAsia="Calibri"/>
        </w:rPr>
        <w:t>l</w:t>
      </w:r>
      <w:r>
        <w:rPr>
          <w:rFonts w:eastAsia="Calibri"/>
        </w:rPr>
        <w:t xml:space="preserve">ocal </w:t>
      </w:r>
      <w:r w:rsidR="006441E2">
        <w:rPr>
          <w:rFonts w:eastAsia="Calibri"/>
        </w:rPr>
        <w:t>a</w:t>
      </w:r>
      <w:r>
        <w:rPr>
          <w:rFonts w:eastAsia="Calibri"/>
        </w:rPr>
        <w:t xml:space="preserve">uthority submissions and submissions from </w:t>
      </w:r>
      <w:r w:rsidR="006441E2">
        <w:rPr>
          <w:rFonts w:eastAsia="Calibri"/>
        </w:rPr>
        <w:t>b</w:t>
      </w:r>
      <w:r>
        <w:rPr>
          <w:rFonts w:eastAsia="Calibri"/>
        </w:rPr>
        <w:t>usiness/</w:t>
      </w:r>
      <w:r w:rsidR="006441E2">
        <w:rPr>
          <w:rFonts w:eastAsia="Calibri"/>
        </w:rPr>
        <w:t>i</w:t>
      </w:r>
      <w:r>
        <w:rPr>
          <w:rFonts w:eastAsia="Calibri"/>
        </w:rPr>
        <w:t xml:space="preserve">ndustry and </w:t>
      </w:r>
      <w:r w:rsidR="006441E2">
        <w:rPr>
          <w:rFonts w:eastAsia="Calibri"/>
        </w:rPr>
        <w:t>d</w:t>
      </w:r>
      <w:r>
        <w:rPr>
          <w:rFonts w:eastAsia="Calibri"/>
        </w:rPr>
        <w:t xml:space="preserve">evelopment </w:t>
      </w:r>
      <w:r w:rsidR="006441E2">
        <w:rPr>
          <w:rFonts w:eastAsia="Calibri"/>
        </w:rPr>
        <w:t>s</w:t>
      </w:r>
      <w:r>
        <w:rPr>
          <w:rFonts w:eastAsia="Calibri"/>
        </w:rPr>
        <w:t>ector stakeholders. The former stakeholder group submitted that OA2 duplicates</w:t>
      </w:r>
      <w:r w:rsidR="006441E2">
        <w:rPr>
          <w:rFonts w:eastAsia="Calibri"/>
        </w:rPr>
        <w:t>,</w:t>
      </w:r>
      <w:r>
        <w:rPr>
          <w:rFonts w:eastAsia="Calibri"/>
        </w:rPr>
        <w:t xml:space="preserve"> or is potentially in conflict with</w:t>
      </w:r>
      <w:r w:rsidR="006441E2">
        <w:rPr>
          <w:rFonts w:eastAsia="Calibri"/>
        </w:rPr>
        <w:t>,</w:t>
      </w:r>
      <w:r>
        <w:rPr>
          <w:rFonts w:eastAsia="Calibri"/>
        </w:rPr>
        <w:t xml:space="preserve"> responsibilities un</w:t>
      </w:r>
      <w:r w:rsidR="00305138">
        <w:rPr>
          <w:rFonts w:eastAsia="Calibri"/>
        </w:rPr>
        <w:t xml:space="preserve">der the </w:t>
      </w:r>
      <w:r w:rsidR="006441E2">
        <w:rPr>
          <w:rFonts w:eastAsia="Calibri"/>
        </w:rPr>
        <w:t>Resource Management Act 1991 (</w:t>
      </w:r>
      <w:r w:rsidR="00305138">
        <w:rPr>
          <w:rFonts w:eastAsia="Calibri"/>
        </w:rPr>
        <w:t>RMA</w:t>
      </w:r>
      <w:r w:rsidR="006441E2">
        <w:rPr>
          <w:rFonts w:eastAsia="Calibri"/>
        </w:rPr>
        <w:t>)</w:t>
      </w:r>
      <w:r w:rsidR="00305138">
        <w:rPr>
          <w:rFonts w:eastAsia="Calibri"/>
        </w:rPr>
        <w:t>, existing national direction</w:t>
      </w:r>
      <w:r w:rsidR="00B879E8">
        <w:rPr>
          <w:rFonts w:eastAsia="Calibri"/>
        </w:rPr>
        <w:t>,</w:t>
      </w:r>
      <w:r>
        <w:rPr>
          <w:rFonts w:eastAsia="Calibri"/>
        </w:rPr>
        <w:t xml:space="preserve"> or the Resource Management Legislation Bill.</w:t>
      </w:r>
      <w:r w:rsidR="000A1CCC">
        <w:rPr>
          <w:rFonts w:eastAsia="Calibri"/>
        </w:rPr>
        <w:t xml:space="preserve"> </w:t>
      </w:r>
      <w:r w:rsidR="00B879E8">
        <w:rPr>
          <w:rFonts w:eastAsia="Calibri"/>
        </w:rPr>
        <w:t xml:space="preserve">Business/industry and </w:t>
      </w:r>
      <w:r w:rsidR="00052B98">
        <w:rPr>
          <w:rFonts w:eastAsia="Calibri"/>
        </w:rPr>
        <w:t xml:space="preserve">the </w:t>
      </w:r>
      <w:r w:rsidR="00B879E8">
        <w:rPr>
          <w:rFonts w:eastAsia="Calibri"/>
        </w:rPr>
        <w:t xml:space="preserve">development sector </w:t>
      </w:r>
      <w:r>
        <w:rPr>
          <w:rFonts w:eastAsia="Calibri"/>
        </w:rPr>
        <w:t xml:space="preserve">were generally in support of the OA2 as worded. </w:t>
      </w:r>
    </w:p>
    <w:p w:rsidR="001D5551" w:rsidRPr="00C70374" w:rsidRDefault="00052B98" w:rsidP="00A94F01">
      <w:pPr>
        <w:pStyle w:val="Quote"/>
      </w:pPr>
      <w:r w:rsidRPr="00C70374">
        <w:t>“</w:t>
      </w:r>
      <w:r w:rsidR="008B52D1" w:rsidRPr="00C70374">
        <w:t>The consent authority must provide for the matters in PA1 and must, when considering resource consent applications relevant to urban development, provide sufficient development capacity. In the context of the King Salmon approach, it may be that resort to Part 2 of the Act will not be possible when considering those applications with such directive objectives.” Christchurch City Council</w:t>
      </w:r>
    </w:p>
    <w:p w:rsidR="0001327E" w:rsidRPr="0001327E" w:rsidRDefault="0001327E" w:rsidP="00C70374">
      <w:pPr>
        <w:pStyle w:val="Heading3"/>
        <w:rPr>
          <w:color w:val="0F7B7D"/>
          <w:sz w:val="36"/>
          <w:szCs w:val="26"/>
        </w:rPr>
      </w:pPr>
      <w:r>
        <w:t>Policy PA1</w:t>
      </w:r>
      <w:r w:rsidR="00D822C2">
        <w:t>:</w:t>
      </w:r>
      <w:r w:rsidR="00763C59">
        <w:t xml:space="preserve"> </w:t>
      </w:r>
      <w:r w:rsidR="00F001EA">
        <w:t>D</w:t>
      </w:r>
      <w:r w:rsidR="00763C59">
        <w:t>ecision-makers</w:t>
      </w:r>
    </w:p>
    <w:p w:rsidR="001D5551" w:rsidRPr="00DE59E5" w:rsidRDefault="001D5551" w:rsidP="00C70374">
      <w:pPr>
        <w:pStyle w:val="BodyText"/>
        <w:rPr>
          <w:rFonts w:eastAsia="Calibri"/>
          <w:u w:val="single"/>
        </w:rPr>
      </w:pPr>
      <w:r>
        <w:rPr>
          <w:rFonts w:eastAsia="Calibri"/>
        </w:rPr>
        <w:t xml:space="preserve">Some submissions sought clarification on the term </w:t>
      </w:r>
      <w:r w:rsidR="00DD25C8">
        <w:rPr>
          <w:rFonts w:eastAsia="Calibri"/>
        </w:rPr>
        <w:t>‘</w:t>
      </w:r>
      <w:r>
        <w:rPr>
          <w:rFonts w:eastAsia="Calibri"/>
        </w:rPr>
        <w:t>potential for social and economic exchange</w:t>
      </w:r>
      <w:r w:rsidR="00DD25C8">
        <w:rPr>
          <w:rFonts w:eastAsia="Calibri"/>
        </w:rPr>
        <w:t>’,</w:t>
      </w:r>
      <w:r>
        <w:rPr>
          <w:rFonts w:eastAsia="Calibri"/>
        </w:rPr>
        <w:t xml:space="preserve"> with submitters unsure of </w:t>
      </w:r>
      <w:r w:rsidR="00DD25C8">
        <w:rPr>
          <w:rFonts w:eastAsia="Calibri"/>
        </w:rPr>
        <w:t xml:space="preserve">either </w:t>
      </w:r>
      <w:r>
        <w:rPr>
          <w:rFonts w:eastAsia="Calibri"/>
        </w:rPr>
        <w:t>the meaning of social and economic exchange</w:t>
      </w:r>
      <w:r w:rsidR="00DD25C8">
        <w:rPr>
          <w:rFonts w:eastAsia="Calibri"/>
        </w:rPr>
        <w:t>,</w:t>
      </w:r>
      <w:r>
        <w:rPr>
          <w:rFonts w:eastAsia="Calibri"/>
        </w:rPr>
        <w:t xml:space="preserve"> or how urban form can realise the potential for that exchange.</w:t>
      </w:r>
      <w:r w:rsidR="000A1CCC">
        <w:rPr>
          <w:rFonts w:eastAsia="Calibri"/>
        </w:rPr>
        <w:t xml:space="preserve"> </w:t>
      </w:r>
      <w:r>
        <w:rPr>
          <w:rFonts w:eastAsia="Calibri"/>
        </w:rPr>
        <w:t>Submi</w:t>
      </w:r>
      <w:r w:rsidR="00F001EA">
        <w:rPr>
          <w:rFonts w:eastAsia="Calibri"/>
        </w:rPr>
        <w:t>tters</w:t>
      </w:r>
      <w:r>
        <w:rPr>
          <w:rFonts w:eastAsia="Calibri"/>
        </w:rPr>
        <w:t xml:space="preserve"> also sought clarification on the term ‘competitive operation of land and development markets’</w:t>
      </w:r>
      <w:r w:rsidR="00952260">
        <w:rPr>
          <w:rFonts w:eastAsia="Calibri"/>
        </w:rPr>
        <w:t>,</w:t>
      </w:r>
      <w:r>
        <w:rPr>
          <w:rFonts w:eastAsia="Calibri"/>
        </w:rPr>
        <w:t xml:space="preserve"> commenting that local government regulation is not the only influence on competition in the market.</w:t>
      </w:r>
    </w:p>
    <w:p w:rsidR="00731A2C" w:rsidRPr="00C70374" w:rsidRDefault="0097756D" w:rsidP="00A94F01">
      <w:pPr>
        <w:pStyle w:val="Quote"/>
        <w:rPr>
          <w:rFonts w:eastAsiaTheme="minorHAnsi"/>
          <w:lang w:eastAsia="en-US"/>
        </w:rPr>
      </w:pPr>
      <w:r w:rsidRPr="00C70374">
        <w:rPr>
          <w:rFonts w:eastAsiaTheme="minorHAnsi"/>
          <w:lang w:eastAsia="en-US"/>
        </w:rPr>
        <w:t xml:space="preserve">“Policy A1 is an important policy, and the first two points cover key considerations that should be addressed. The third point ‘enabling the competitive operation of land and development markets’ is also an aspect of urban economies, but it is not clear how a local authority can assess the ‘competitive operation’ or seek to achieve it. If the third point is </w:t>
      </w:r>
      <w:r w:rsidR="006B3741" w:rsidRPr="00C70374">
        <w:rPr>
          <w:rFonts w:eastAsiaTheme="minorHAnsi"/>
          <w:lang w:eastAsia="en-US"/>
        </w:rPr>
        <w:t>retained, it is important that these matters operate equally and that one sub-part is not elevated over the others.</w:t>
      </w:r>
      <w:r w:rsidRPr="00C70374">
        <w:rPr>
          <w:rFonts w:eastAsiaTheme="minorHAnsi"/>
          <w:lang w:eastAsia="en-US"/>
        </w:rPr>
        <w:t>” Resource Management Law Association of New Zealand Inc</w:t>
      </w:r>
    </w:p>
    <w:p w:rsidR="0001327E" w:rsidRPr="0001327E" w:rsidRDefault="0001327E" w:rsidP="00C70374">
      <w:pPr>
        <w:pStyle w:val="Heading3"/>
        <w:rPr>
          <w:color w:val="0F7B7D"/>
          <w:sz w:val="36"/>
          <w:szCs w:val="26"/>
        </w:rPr>
      </w:pPr>
      <w:r>
        <w:t>Policy PA2</w:t>
      </w:r>
      <w:r w:rsidR="00D822C2">
        <w:t xml:space="preserve">: </w:t>
      </w:r>
      <w:r w:rsidR="00F001EA">
        <w:t>S</w:t>
      </w:r>
      <w:r w:rsidR="00763C59">
        <w:t>hort</w:t>
      </w:r>
      <w:r w:rsidR="0043435F">
        <w:t>-</w:t>
      </w:r>
      <w:r w:rsidR="00763C59">
        <w:t>, medium</w:t>
      </w:r>
      <w:r w:rsidR="0043435F">
        <w:t>-</w:t>
      </w:r>
      <w:r w:rsidR="00763C59">
        <w:t xml:space="preserve"> and long-term provision</w:t>
      </w:r>
    </w:p>
    <w:p w:rsidR="001D5551" w:rsidRDefault="001D5551" w:rsidP="00C70374">
      <w:pPr>
        <w:pStyle w:val="BodyText"/>
        <w:rPr>
          <w:rFonts w:eastAsia="Calibri"/>
          <w:sz w:val="28"/>
          <w:szCs w:val="28"/>
        </w:rPr>
      </w:pPr>
      <w:r>
        <w:rPr>
          <w:rFonts w:eastAsia="Calibri"/>
        </w:rPr>
        <w:t>Policy PA2 drew comments on its application across the short, medium and long terms</w:t>
      </w:r>
      <w:r w:rsidR="0043435F">
        <w:rPr>
          <w:rFonts w:eastAsia="Calibri"/>
        </w:rPr>
        <w:t>,</w:t>
      </w:r>
      <w:r>
        <w:rPr>
          <w:rFonts w:eastAsia="Calibri"/>
        </w:rPr>
        <w:t xml:space="preserve"> with some </w:t>
      </w:r>
      <w:r w:rsidR="0043435F">
        <w:rPr>
          <w:rFonts w:eastAsia="Calibri"/>
        </w:rPr>
        <w:t>l</w:t>
      </w:r>
      <w:r>
        <w:rPr>
          <w:rFonts w:eastAsia="Calibri"/>
        </w:rPr>
        <w:t xml:space="preserve">ocal </w:t>
      </w:r>
      <w:r w:rsidR="0043435F">
        <w:rPr>
          <w:rFonts w:eastAsia="Calibri"/>
        </w:rPr>
        <w:t>a</w:t>
      </w:r>
      <w:r>
        <w:rPr>
          <w:rFonts w:eastAsia="Calibri"/>
        </w:rPr>
        <w:t xml:space="preserve">uthorities concerned </w:t>
      </w:r>
      <w:r w:rsidR="00F001EA">
        <w:rPr>
          <w:rFonts w:eastAsia="Calibri"/>
        </w:rPr>
        <w:t xml:space="preserve">about </w:t>
      </w:r>
      <w:r w:rsidR="00763C59">
        <w:rPr>
          <w:rFonts w:eastAsia="Calibri"/>
        </w:rPr>
        <w:t xml:space="preserve">the </w:t>
      </w:r>
      <w:r w:rsidR="0043435F">
        <w:rPr>
          <w:rFonts w:eastAsia="Calibri"/>
        </w:rPr>
        <w:t>cost</w:t>
      </w:r>
      <w:r w:rsidR="00763C59">
        <w:rPr>
          <w:rFonts w:eastAsia="Calibri"/>
        </w:rPr>
        <w:t xml:space="preserve"> of</w:t>
      </w:r>
      <w:r>
        <w:rPr>
          <w:rFonts w:eastAsia="Calibri"/>
        </w:rPr>
        <w:t xml:space="preserve"> </w:t>
      </w:r>
      <w:r w:rsidR="00763C59">
        <w:rPr>
          <w:rFonts w:eastAsia="Calibri"/>
        </w:rPr>
        <w:t>provid</w:t>
      </w:r>
      <w:r w:rsidR="00F001EA">
        <w:rPr>
          <w:rFonts w:eastAsia="Calibri"/>
        </w:rPr>
        <w:t>ing</w:t>
      </w:r>
      <w:r w:rsidR="00763C59">
        <w:rPr>
          <w:rFonts w:eastAsia="Calibri"/>
        </w:rPr>
        <w:t xml:space="preserve"> “sufficient” development capacity</w:t>
      </w:r>
      <w:r>
        <w:rPr>
          <w:rFonts w:eastAsia="Calibri"/>
        </w:rPr>
        <w:t xml:space="preserve"> over the long term</w:t>
      </w:r>
      <w:r w:rsidR="00763C59">
        <w:rPr>
          <w:rFonts w:eastAsia="Calibri"/>
        </w:rPr>
        <w:t>.</w:t>
      </w:r>
      <w:r w:rsidR="000A1CCC">
        <w:rPr>
          <w:rFonts w:eastAsia="Calibri"/>
        </w:rPr>
        <w:t xml:space="preserve"> </w:t>
      </w:r>
      <w:r w:rsidR="00763C59">
        <w:rPr>
          <w:rFonts w:eastAsia="Calibri"/>
        </w:rPr>
        <w:t>Given the definition of “sufficient” in the NPS-UDC</w:t>
      </w:r>
      <w:r w:rsidR="0043435F">
        <w:rPr>
          <w:rFonts w:eastAsia="Calibri"/>
        </w:rPr>
        <w:t>,</w:t>
      </w:r>
      <w:r w:rsidR="00763C59">
        <w:rPr>
          <w:rFonts w:eastAsia="Calibri"/>
        </w:rPr>
        <w:t xml:space="preserve"> submitters identified that the cost</w:t>
      </w:r>
      <w:r>
        <w:rPr>
          <w:rFonts w:eastAsia="Calibri"/>
        </w:rPr>
        <w:t xml:space="preserve"> would be significant</w:t>
      </w:r>
      <w:r w:rsidR="0043435F">
        <w:rPr>
          <w:rFonts w:eastAsia="Calibri"/>
        </w:rPr>
        <w:t>,</w:t>
      </w:r>
      <w:r>
        <w:rPr>
          <w:rFonts w:eastAsia="Calibri"/>
        </w:rPr>
        <w:t xml:space="preserve"> whil</w:t>
      </w:r>
      <w:r w:rsidR="0043435F">
        <w:rPr>
          <w:rFonts w:eastAsia="Calibri"/>
        </w:rPr>
        <w:t>e</w:t>
      </w:r>
      <w:r>
        <w:rPr>
          <w:rFonts w:eastAsia="Calibri"/>
        </w:rPr>
        <w:t xml:space="preserve"> any benefit would be negligible.</w:t>
      </w:r>
      <w:r w:rsidR="00763C59">
        <w:rPr>
          <w:rFonts w:eastAsia="Calibri"/>
        </w:rPr>
        <w:t xml:space="preserve"> </w:t>
      </w:r>
    </w:p>
    <w:p w:rsidR="0001327E" w:rsidRPr="00C70374" w:rsidRDefault="001D5551" w:rsidP="00A94F01">
      <w:pPr>
        <w:pStyle w:val="Quote"/>
      </w:pPr>
      <w:r w:rsidRPr="00C70374">
        <w:t>“While PNCC understands the intent of oversupplying land…</w:t>
      </w:r>
      <w:r w:rsidR="0043435F" w:rsidRPr="00C70374">
        <w:t xml:space="preserve"> </w:t>
      </w:r>
      <w:r w:rsidRPr="00C70374">
        <w:t>This will mean there is an increased likelihood councils will be forced to support providing for urban development capacity in locations where they either cannot afford or have not planned for supporting infrastructure.”</w:t>
      </w:r>
      <w:r w:rsidR="000A1CCC">
        <w:t xml:space="preserve"> </w:t>
      </w:r>
      <w:r w:rsidR="0001327E" w:rsidRPr="00C70374">
        <w:t>Palmerston North City Council</w:t>
      </w:r>
    </w:p>
    <w:p w:rsidR="0001327E" w:rsidRPr="0001327E" w:rsidRDefault="0001327E" w:rsidP="00C70374">
      <w:pPr>
        <w:pStyle w:val="Heading3"/>
        <w:rPr>
          <w:i/>
          <w:sz w:val="20"/>
          <w:szCs w:val="20"/>
        </w:rPr>
      </w:pPr>
      <w:r>
        <w:t>Policy PA3</w:t>
      </w:r>
      <w:r w:rsidR="00D822C2">
        <w:t xml:space="preserve">: </w:t>
      </w:r>
      <w:r w:rsidR="00F001EA">
        <w:t>C</w:t>
      </w:r>
      <w:r w:rsidR="00763C59">
        <w:t>onsideration of effects</w:t>
      </w:r>
    </w:p>
    <w:p w:rsidR="001D5551" w:rsidRDefault="001D5551" w:rsidP="00C70374">
      <w:pPr>
        <w:pStyle w:val="BodyText"/>
        <w:rPr>
          <w:rFonts w:eastAsia="Calibri"/>
          <w:sz w:val="28"/>
          <w:szCs w:val="28"/>
        </w:rPr>
      </w:pPr>
      <w:r>
        <w:rPr>
          <w:rFonts w:eastAsia="Calibri"/>
        </w:rPr>
        <w:t xml:space="preserve">Consistent with general comments on the </w:t>
      </w:r>
      <w:r w:rsidR="002D0259">
        <w:rPr>
          <w:rFonts w:eastAsia="Calibri"/>
        </w:rPr>
        <w:t>NPS-UDC</w:t>
      </w:r>
      <w:r>
        <w:rPr>
          <w:rFonts w:eastAsia="Calibri"/>
        </w:rPr>
        <w:t xml:space="preserve"> as a whole, submissions suggested that PA3 be reworded to ensure it is consistent with the </w:t>
      </w:r>
      <w:r w:rsidR="0043435F">
        <w:rPr>
          <w:rFonts w:eastAsia="Calibri"/>
        </w:rPr>
        <w:t>RMA,</w:t>
      </w:r>
      <w:r>
        <w:rPr>
          <w:rFonts w:eastAsia="Calibri"/>
        </w:rPr>
        <w:t xml:space="preserve"> </w:t>
      </w:r>
      <w:r w:rsidR="0043435F">
        <w:rPr>
          <w:rFonts w:eastAsia="Calibri"/>
        </w:rPr>
        <w:t xml:space="preserve">and </w:t>
      </w:r>
      <w:r>
        <w:rPr>
          <w:rFonts w:eastAsia="Calibri"/>
        </w:rPr>
        <w:t>some submitters view</w:t>
      </w:r>
      <w:r w:rsidR="0043435F">
        <w:rPr>
          <w:rFonts w:eastAsia="Calibri"/>
        </w:rPr>
        <w:t>ed</w:t>
      </w:r>
      <w:r>
        <w:rPr>
          <w:rFonts w:eastAsia="Calibri"/>
        </w:rPr>
        <w:t xml:space="preserve"> the provisions for urban development under PA3 as inconsistent with the overarching purpose of the RMA.</w:t>
      </w:r>
    </w:p>
    <w:p w:rsidR="001D5551" w:rsidRPr="00C70374" w:rsidRDefault="001D5551" w:rsidP="00A94F01">
      <w:pPr>
        <w:pStyle w:val="Quote"/>
      </w:pPr>
      <w:r w:rsidRPr="00C70374">
        <w:t>“As PA3 was specifically identified as relating to Part 2 of the RMA in this analysis (as noted above), the Canterbury Mayoral Forum submits that environmental wellbeing should be reinserted into this part of the policy.”</w:t>
      </w:r>
      <w:r w:rsidR="008B52D1" w:rsidRPr="00C70374">
        <w:t xml:space="preserve"> Canterbury Mayoral Forum</w:t>
      </w:r>
    </w:p>
    <w:p w:rsidR="001D5551" w:rsidRDefault="001D5551" w:rsidP="00A94F01">
      <w:pPr>
        <w:spacing w:before="0" w:after="200" w:line="276" w:lineRule="auto"/>
        <w:jc w:val="left"/>
        <w:rPr>
          <w:i/>
          <w:sz w:val="20"/>
          <w:szCs w:val="20"/>
        </w:rPr>
      </w:pPr>
      <w:r>
        <w:rPr>
          <w:i/>
          <w:sz w:val="20"/>
          <w:szCs w:val="20"/>
        </w:rPr>
        <w:br w:type="page"/>
      </w:r>
    </w:p>
    <w:p w:rsidR="00CF4D7E" w:rsidRPr="00202232" w:rsidRDefault="00CF4D7E" w:rsidP="00C70374">
      <w:pPr>
        <w:pStyle w:val="Heading1"/>
      </w:pPr>
      <w:bookmarkStart w:id="15" w:name="_Toc461185722"/>
      <w:r w:rsidRPr="0001327E">
        <w:t xml:space="preserve">Evidence and </w:t>
      </w:r>
      <w:r w:rsidR="000832FC">
        <w:t>m</w:t>
      </w:r>
      <w:r w:rsidRPr="0001327E">
        <w:t xml:space="preserve">onitoring to </w:t>
      </w:r>
      <w:r w:rsidR="000832FC">
        <w:t>s</w:t>
      </w:r>
      <w:r w:rsidRPr="0001327E">
        <w:t xml:space="preserve">upport </w:t>
      </w:r>
      <w:r w:rsidR="000832FC">
        <w:t>d</w:t>
      </w:r>
      <w:r w:rsidRPr="0001327E">
        <w:t>ecision-</w:t>
      </w:r>
      <w:r w:rsidR="000832FC">
        <w:t>m</w:t>
      </w:r>
      <w:r w:rsidRPr="0001327E">
        <w:t>aking (Objective OB1, Policies PB1</w:t>
      </w:r>
      <w:r w:rsidR="00F001EA">
        <w:t>–</w:t>
      </w:r>
      <w:r w:rsidR="004D61A6">
        <w:t>P</w:t>
      </w:r>
      <w:r w:rsidRPr="0001327E">
        <w:t>B5)</w:t>
      </w:r>
      <w:bookmarkEnd w:id="15"/>
      <w:r w:rsidRPr="00202232">
        <w:t xml:space="preserve"> </w:t>
      </w:r>
    </w:p>
    <w:p w:rsidR="00CF4D7E" w:rsidRDefault="00CF4D7E" w:rsidP="00E13D6B">
      <w:pPr>
        <w:pStyle w:val="BodyText"/>
        <w:rPr>
          <w:rFonts w:eastAsia="Calibri"/>
        </w:rPr>
      </w:pPr>
      <w:r>
        <w:rPr>
          <w:rFonts w:eastAsia="Calibri"/>
        </w:rPr>
        <w:t>Two-thirds of all submissions included comments on Objective Group B</w:t>
      </w:r>
      <w:r w:rsidR="00F001EA">
        <w:rPr>
          <w:rFonts w:eastAsia="Calibri"/>
        </w:rPr>
        <w:t>,</w:t>
      </w:r>
      <w:r>
        <w:rPr>
          <w:rFonts w:eastAsia="Calibri"/>
        </w:rPr>
        <w:t xml:space="preserve"> ‘Evidence and monitoring to support decision-making’ (OB1)</w:t>
      </w:r>
      <w:r w:rsidR="00F001EA">
        <w:rPr>
          <w:rFonts w:eastAsia="Calibri"/>
        </w:rPr>
        <w:t>,</w:t>
      </w:r>
      <w:r>
        <w:rPr>
          <w:rFonts w:eastAsia="Calibri"/>
        </w:rPr>
        <w:t xml:space="preserve"> and the data and monitoring requirements under the corresponding Policies PB1, PB2, PB3, PB4 and PB5.</w:t>
      </w:r>
      <w:r w:rsidR="000A1CCC">
        <w:rPr>
          <w:rFonts w:eastAsia="Calibri"/>
        </w:rPr>
        <w:t xml:space="preserve"> </w:t>
      </w:r>
    </w:p>
    <w:p w:rsidR="00CF4D7E" w:rsidRDefault="00CF4D7E" w:rsidP="00E13D6B">
      <w:pPr>
        <w:pStyle w:val="BodyText"/>
        <w:rPr>
          <w:rFonts w:eastAsia="Calibri"/>
        </w:rPr>
      </w:pPr>
      <w:r>
        <w:rPr>
          <w:rFonts w:eastAsia="Calibri"/>
        </w:rPr>
        <w:t>This section summarises submission points on these objectives and policies.</w:t>
      </w:r>
      <w:r w:rsidR="000A1CCC">
        <w:rPr>
          <w:rFonts w:eastAsia="Calibri"/>
        </w:rPr>
        <w:t xml:space="preserve"> </w:t>
      </w:r>
      <w:r>
        <w:rPr>
          <w:rFonts w:eastAsia="Calibri"/>
        </w:rPr>
        <w:t>Submissions abou</w:t>
      </w:r>
      <w:r w:rsidR="00F001EA">
        <w:rPr>
          <w:rFonts w:eastAsia="Calibri"/>
        </w:rPr>
        <w:t>t</w:t>
      </w:r>
      <w:r>
        <w:rPr>
          <w:rFonts w:eastAsia="Calibri"/>
        </w:rPr>
        <w:t xml:space="preserve"> central governme</w:t>
      </w:r>
      <w:r w:rsidR="00D822C2">
        <w:rPr>
          <w:rFonts w:eastAsia="Calibri"/>
        </w:rPr>
        <w:t>n</w:t>
      </w:r>
      <w:r>
        <w:rPr>
          <w:rFonts w:eastAsia="Calibri"/>
        </w:rPr>
        <w:t xml:space="preserve">t providing guidance and support for local authorities to meet the requirements of these objectives and policies are summarised </w:t>
      </w:r>
      <w:r w:rsidRPr="00D822C2">
        <w:rPr>
          <w:rFonts w:eastAsia="Calibri"/>
        </w:rPr>
        <w:t>later in th</w:t>
      </w:r>
      <w:r w:rsidR="00F001EA">
        <w:rPr>
          <w:rFonts w:eastAsia="Calibri"/>
        </w:rPr>
        <w:t>is</w:t>
      </w:r>
      <w:r w:rsidRPr="00D822C2">
        <w:rPr>
          <w:rFonts w:eastAsia="Calibri"/>
        </w:rPr>
        <w:t xml:space="preserve"> report</w:t>
      </w:r>
      <w:r w:rsidR="00F001EA">
        <w:rPr>
          <w:rFonts w:eastAsia="Calibri"/>
        </w:rPr>
        <w:t>,</w:t>
      </w:r>
      <w:r w:rsidRPr="00D822C2">
        <w:rPr>
          <w:rFonts w:eastAsia="Calibri"/>
        </w:rPr>
        <w:t xml:space="preserve"> under</w:t>
      </w:r>
      <w:r w:rsidRPr="001D042F">
        <w:rPr>
          <w:rFonts w:eastAsia="Calibri"/>
        </w:rPr>
        <w:t xml:space="preserve"> </w:t>
      </w:r>
      <w:r w:rsidR="001D042F" w:rsidRPr="001D042F">
        <w:rPr>
          <w:rFonts w:eastAsia="Calibri"/>
        </w:rPr>
        <w:t>Impl</w:t>
      </w:r>
      <w:r w:rsidR="001D042F">
        <w:rPr>
          <w:rFonts w:eastAsia="Calibri"/>
        </w:rPr>
        <w:t>ementation Programme</w:t>
      </w:r>
      <w:r>
        <w:rPr>
          <w:rFonts w:eastAsia="Calibri"/>
        </w:rPr>
        <w:t>.</w:t>
      </w:r>
    </w:p>
    <w:p w:rsidR="00CF4D7E" w:rsidRPr="0001327E" w:rsidRDefault="00CF4D7E" w:rsidP="00E13D6B">
      <w:pPr>
        <w:pStyle w:val="Heading3"/>
        <w:rPr>
          <w:i/>
          <w:sz w:val="20"/>
          <w:szCs w:val="20"/>
        </w:rPr>
      </w:pPr>
      <w:r>
        <w:t>Objective OB1</w:t>
      </w:r>
    </w:p>
    <w:p w:rsidR="00CF4D7E" w:rsidRDefault="00CF4D7E" w:rsidP="00E13D6B">
      <w:pPr>
        <w:pStyle w:val="BodyText"/>
        <w:rPr>
          <w:rFonts w:eastAsia="Calibri"/>
        </w:rPr>
      </w:pPr>
      <w:r w:rsidRPr="00C26A37">
        <w:rPr>
          <w:rFonts w:eastAsia="Calibri"/>
        </w:rPr>
        <w:t>Overall there was support for an objective to ensure plans and regional policy statements are based on robust evidence.</w:t>
      </w:r>
      <w:r>
        <w:rPr>
          <w:rFonts w:eastAsia="Calibri"/>
        </w:rPr>
        <w:t xml:space="preserve"> </w:t>
      </w:r>
    </w:p>
    <w:p w:rsidR="00CF4D7E" w:rsidRDefault="00CF4D7E" w:rsidP="00E13D6B">
      <w:pPr>
        <w:pStyle w:val="Heading3"/>
        <w:rPr>
          <w:rFonts w:eastAsia="Calibri" w:cs="Calibri"/>
        </w:rPr>
      </w:pPr>
      <w:r w:rsidRPr="00C22439">
        <w:t>Policies PB1</w:t>
      </w:r>
      <w:r w:rsidR="00F001EA">
        <w:t>–</w:t>
      </w:r>
      <w:r w:rsidRPr="00C22439">
        <w:t xml:space="preserve">PB3: Housing and </w:t>
      </w:r>
      <w:r w:rsidR="00F001EA">
        <w:t>b</w:t>
      </w:r>
      <w:r w:rsidRPr="00C22439">
        <w:t xml:space="preserve">usiness </w:t>
      </w:r>
      <w:r w:rsidR="00F001EA">
        <w:t>a</w:t>
      </w:r>
      <w:r w:rsidRPr="00C22439">
        <w:t>ssessments</w:t>
      </w:r>
    </w:p>
    <w:p w:rsidR="00CF4D7E" w:rsidRDefault="00CF4D7E" w:rsidP="00E13D6B">
      <w:pPr>
        <w:pStyle w:val="BodyText"/>
        <w:rPr>
          <w:rFonts w:eastAsia="Calibri"/>
        </w:rPr>
      </w:pPr>
      <w:r>
        <w:rPr>
          <w:rFonts w:eastAsia="Calibri"/>
        </w:rPr>
        <w:t xml:space="preserve">The requirements under Policies PB1 to PB3 were commented on primarily by </w:t>
      </w:r>
      <w:r w:rsidR="00F001EA">
        <w:rPr>
          <w:rFonts w:eastAsia="Calibri"/>
        </w:rPr>
        <w:t>l</w:t>
      </w:r>
      <w:r>
        <w:rPr>
          <w:rFonts w:eastAsia="Calibri"/>
        </w:rPr>
        <w:t xml:space="preserve">ocal </w:t>
      </w:r>
      <w:r w:rsidR="00F001EA">
        <w:rPr>
          <w:rFonts w:eastAsia="Calibri"/>
        </w:rPr>
        <w:t>a</w:t>
      </w:r>
      <w:r>
        <w:rPr>
          <w:rFonts w:eastAsia="Calibri"/>
        </w:rPr>
        <w:t xml:space="preserve">uthorities and </w:t>
      </w:r>
      <w:r w:rsidR="00F001EA">
        <w:rPr>
          <w:rFonts w:eastAsia="Calibri"/>
        </w:rPr>
        <w:t>d</w:t>
      </w:r>
      <w:r>
        <w:rPr>
          <w:rFonts w:eastAsia="Calibri"/>
        </w:rPr>
        <w:t>evelopers.</w:t>
      </w:r>
      <w:r w:rsidR="000A1CCC">
        <w:rPr>
          <w:rFonts w:eastAsia="Calibri"/>
        </w:rPr>
        <w:t xml:space="preserve"> </w:t>
      </w:r>
      <w:r>
        <w:rPr>
          <w:rFonts w:eastAsia="Calibri"/>
        </w:rPr>
        <w:t>Business/</w:t>
      </w:r>
      <w:r w:rsidR="00F001EA">
        <w:rPr>
          <w:rFonts w:eastAsia="Calibri"/>
        </w:rPr>
        <w:t>i</w:t>
      </w:r>
      <w:r>
        <w:rPr>
          <w:rFonts w:eastAsia="Calibri"/>
        </w:rPr>
        <w:t xml:space="preserve">ndustry submissions focused more on </w:t>
      </w:r>
      <w:r w:rsidR="00F001EA">
        <w:rPr>
          <w:rFonts w:eastAsia="Calibri"/>
        </w:rPr>
        <w:t>b</w:t>
      </w:r>
      <w:r>
        <w:rPr>
          <w:rFonts w:eastAsia="Calibri"/>
        </w:rPr>
        <w:t xml:space="preserve">usiness </w:t>
      </w:r>
      <w:r w:rsidR="00F001EA">
        <w:rPr>
          <w:rFonts w:eastAsia="Calibri"/>
        </w:rPr>
        <w:t>l</w:t>
      </w:r>
      <w:r>
        <w:rPr>
          <w:rFonts w:eastAsia="Calibri"/>
        </w:rPr>
        <w:t xml:space="preserve">and </w:t>
      </w:r>
      <w:r w:rsidR="00F001EA">
        <w:rPr>
          <w:rFonts w:eastAsia="Calibri"/>
        </w:rPr>
        <w:t>a</w:t>
      </w:r>
      <w:r>
        <w:rPr>
          <w:rFonts w:eastAsia="Calibri"/>
        </w:rPr>
        <w:t>ssessments</w:t>
      </w:r>
      <w:r w:rsidR="001D042F">
        <w:rPr>
          <w:rFonts w:eastAsia="Calibri"/>
        </w:rPr>
        <w:t>.</w:t>
      </w:r>
      <w:r w:rsidR="000A1CCC">
        <w:rPr>
          <w:rFonts w:eastAsia="Calibri"/>
        </w:rPr>
        <w:t xml:space="preserve"> </w:t>
      </w:r>
      <w:r w:rsidR="001D042F" w:rsidRPr="001D042F">
        <w:rPr>
          <w:rFonts w:eastAsia="Calibri"/>
        </w:rPr>
        <w:t>Where there is a distinction between submission points on housing assessments and business assessments, these have been highlighted below.</w:t>
      </w:r>
      <w:r w:rsidR="000A1CCC">
        <w:rPr>
          <w:rFonts w:eastAsia="Calibri"/>
        </w:rPr>
        <w:t xml:space="preserve"> </w:t>
      </w:r>
      <w:r w:rsidR="001D042F">
        <w:rPr>
          <w:rFonts w:eastAsia="Calibri"/>
        </w:rPr>
        <w:t>Submitters were largely supportive of this evidence-based approach to decision-making.</w:t>
      </w:r>
    </w:p>
    <w:p w:rsidR="001D042F" w:rsidRDefault="00CF4D7E" w:rsidP="00E13D6B">
      <w:pPr>
        <w:pStyle w:val="BodyText"/>
        <w:rPr>
          <w:rFonts w:eastAsia="Calibri"/>
        </w:rPr>
      </w:pPr>
      <w:r>
        <w:rPr>
          <w:rFonts w:eastAsia="Calibri"/>
        </w:rPr>
        <w:t>Overall, s</w:t>
      </w:r>
      <w:r w:rsidR="001D042F">
        <w:rPr>
          <w:rFonts w:eastAsia="Calibri"/>
        </w:rPr>
        <w:t>ubmissions expressed concern</w:t>
      </w:r>
      <w:r w:rsidRPr="00CE7B6C">
        <w:rPr>
          <w:rFonts w:eastAsia="Calibri"/>
        </w:rPr>
        <w:t xml:space="preserve"> </w:t>
      </w:r>
      <w:r>
        <w:rPr>
          <w:rFonts w:eastAsia="Calibri"/>
        </w:rPr>
        <w:t>with the</w:t>
      </w:r>
      <w:r w:rsidR="001D042F">
        <w:rPr>
          <w:rFonts w:eastAsia="Calibri"/>
        </w:rPr>
        <w:t>:</w:t>
      </w:r>
    </w:p>
    <w:p w:rsidR="001D042F" w:rsidRPr="00E13D6B" w:rsidRDefault="00CF4D7E" w:rsidP="00E13D6B">
      <w:pPr>
        <w:pStyle w:val="Bullet"/>
        <w:rPr>
          <w:rFonts w:eastAsia="Calibri"/>
        </w:rPr>
      </w:pPr>
      <w:r w:rsidRPr="00E13D6B">
        <w:rPr>
          <w:rFonts w:eastAsia="Calibri"/>
        </w:rPr>
        <w:t>content of assessments</w:t>
      </w:r>
    </w:p>
    <w:p w:rsidR="001D042F" w:rsidRPr="00E13D6B" w:rsidRDefault="00CF4D7E" w:rsidP="00E13D6B">
      <w:pPr>
        <w:pStyle w:val="Bullet"/>
        <w:rPr>
          <w:rFonts w:eastAsia="Calibri"/>
        </w:rPr>
      </w:pPr>
      <w:r w:rsidRPr="00E13D6B">
        <w:rPr>
          <w:rFonts w:eastAsia="Calibri"/>
        </w:rPr>
        <w:t xml:space="preserve">timeframe for preparing the first assessment and frequency of updates </w:t>
      </w:r>
      <w:r w:rsidR="00F001EA" w:rsidRPr="00E13D6B">
        <w:rPr>
          <w:rFonts w:eastAsia="Calibri"/>
        </w:rPr>
        <w:t>afterwards</w:t>
      </w:r>
    </w:p>
    <w:p w:rsidR="00CF4D7E" w:rsidRPr="00E13D6B" w:rsidRDefault="00CF4D7E" w:rsidP="00E13D6B">
      <w:pPr>
        <w:pStyle w:val="Bullet"/>
        <w:rPr>
          <w:rFonts w:eastAsia="Calibri"/>
        </w:rPr>
      </w:pPr>
      <w:r w:rsidRPr="00E13D6B">
        <w:rPr>
          <w:rFonts w:eastAsia="Calibri"/>
        </w:rPr>
        <w:t>public accessibility of the assessments.</w:t>
      </w:r>
      <w:r w:rsidR="000A1CCC">
        <w:rPr>
          <w:rFonts w:eastAsia="Calibri"/>
        </w:rPr>
        <w:t xml:space="preserve"> </w:t>
      </w:r>
    </w:p>
    <w:p w:rsidR="00CF4D7E" w:rsidRPr="00E13D6B" w:rsidRDefault="00CF4D7E" w:rsidP="00E13D6B">
      <w:pPr>
        <w:pStyle w:val="BodyText"/>
      </w:pPr>
      <w:r w:rsidRPr="00E13D6B">
        <w:t xml:space="preserve">Many submissions identified perceived omissions from the ‘estimates’ and other information local authorities ‘must have regard to’ when carrying out either a </w:t>
      </w:r>
      <w:r w:rsidR="00F001EA" w:rsidRPr="00E13D6B">
        <w:t>h</w:t>
      </w:r>
      <w:r w:rsidRPr="00E13D6B">
        <w:t xml:space="preserve">ousing or </w:t>
      </w:r>
      <w:r w:rsidR="00F001EA" w:rsidRPr="00E13D6B">
        <w:t>b</w:t>
      </w:r>
      <w:r w:rsidRPr="00E13D6B">
        <w:t xml:space="preserve">usiness </w:t>
      </w:r>
      <w:r w:rsidR="00F001EA" w:rsidRPr="00E13D6B">
        <w:t>l</w:t>
      </w:r>
      <w:r w:rsidRPr="00E13D6B">
        <w:t xml:space="preserve">and </w:t>
      </w:r>
      <w:r w:rsidR="00F001EA" w:rsidRPr="00E13D6B">
        <w:t>a</w:t>
      </w:r>
      <w:r w:rsidRPr="00E13D6B">
        <w:t xml:space="preserve">ssessment. </w:t>
      </w:r>
    </w:p>
    <w:p w:rsidR="00CF14E0" w:rsidRPr="00E13D6B" w:rsidRDefault="00CF4D7E" w:rsidP="00E13D6B">
      <w:pPr>
        <w:pStyle w:val="BodyText"/>
      </w:pPr>
      <w:r w:rsidRPr="00E13D6B">
        <w:t xml:space="preserve">For </w:t>
      </w:r>
      <w:r w:rsidR="00F25A9A" w:rsidRPr="00E13D6B">
        <w:t>h</w:t>
      </w:r>
      <w:r w:rsidRPr="00E13D6B">
        <w:t xml:space="preserve">ousing </w:t>
      </w:r>
      <w:r w:rsidR="00CF14E0" w:rsidRPr="00E13D6B">
        <w:t>a</w:t>
      </w:r>
      <w:r w:rsidRPr="00E13D6B">
        <w:t>ssessments</w:t>
      </w:r>
      <w:r w:rsidR="00CF14E0" w:rsidRPr="00E13D6B">
        <w:t>,</w:t>
      </w:r>
      <w:r w:rsidRPr="00E13D6B">
        <w:t xml:space="preserve"> suggestions </w:t>
      </w:r>
      <w:r w:rsidR="00CF14E0" w:rsidRPr="00E13D6B">
        <w:t>included</w:t>
      </w:r>
      <w:r w:rsidRPr="00E13D6B">
        <w:t xml:space="preserve">: </w:t>
      </w:r>
    </w:p>
    <w:p w:rsidR="00CF14E0" w:rsidRDefault="00CF4D7E" w:rsidP="009378EF">
      <w:pPr>
        <w:pStyle w:val="Bullet"/>
        <w:rPr>
          <w:rFonts w:eastAsia="Calibri"/>
        </w:rPr>
      </w:pPr>
      <w:r w:rsidRPr="00FA3F9A">
        <w:rPr>
          <w:rFonts w:eastAsia="Calibri"/>
        </w:rPr>
        <w:t>good urban design</w:t>
      </w:r>
    </w:p>
    <w:p w:rsidR="00CF14E0" w:rsidRDefault="00CF4D7E" w:rsidP="009378EF">
      <w:pPr>
        <w:pStyle w:val="Bullet"/>
        <w:rPr>
          <w:rFonts w:eastAsia="Calibri"/>
        </w:rPr>
      </w:pPr>
      <w:r w:rsidRPr="00FA3F9A">
        <w:rPr>
          <w:rFonts w:eastAsia="Calibri"/>
        </w:rPr>
        <w:t>affordability issues</w:t>
      </w:r>
    </w:p>
    <w:p w:rsidR="00CF14E0" w:rsidRDefault="00CF4D7E" w:rsidP="009378EF">
      <w:pPr>
        <w:pStyle w:val="Bullet"/>
        <w:rPr>
          <w:rFonts w:eastAsia="Calibri"/>
        </w:rPr>
      </w:pPr>
      <w:r w:rsidRPr="00FA3F9A">
        <w:rPr>
          <w:rFonts w:eastAsia="Calibri"/>
        </w:rPr>
        <w:t>visitor accommodation</w:t>
      </w:r>
    </w:p>
    <w:p w:rsidR="00CF4D7E" w:rsidRDefault="00CF4D7E" w:rsidP="009378EF">
      <w:pPr>
        <w:pStyle w:val="Bullet"/>
        <w:rPr>
          <w:rFonts w:eastAsia="Calibri"/>
        </w:rPr>
      </w:pPr>
      <w:r w:rsidRPr="00FA3F9A">
        <w:rPr>
          <w:rFonts w:eastAsia="Calibri"/>
        </w:rPr>
        <w:t>recognition of the interplay between residential and business land.</w:t>
      </w:r>
    </w:p>
    <w:p w:rsidR="00CF4D7E" w:rsidRPr="00FA3F9A" w:rsidRDefault="00CF4D7E" w:rsidP="00E13D6B">
      <w:pPr>
        <w:pStyle w:val="BodyText"/>
        <w:rPr>
          <w:rFonts w:eastAsia="Calibri"/>
        </w:rPr>
      </w:pPr>
      <w:r>
        <w:rPr>
          <w:rFonts w:eastAsia="Calibri"/>
        </w:rPr>
        <w:t xml:space="preserve">For </w:t>
      </w:r>
      <w:r w:rsidR="00CF14E0">
        <w:rPr>
          <w:rFonts w:eastAsia="Calibri"/>
        </w:rPr>
        <w:t>b</w:t>
      </w:r>
      <w:r>
        <w:rPr>
          <w:rFonts w:eastAsia="Calibri"/>
        </w:rPr>
        <w:t xml:space="preserve">usiness </w:t>
      </w:r>
      <w:r w:rsidR="00CF14E0">
        <w:rPr>
          <w:rFonts w:eastAsia="Calibri"/>
        </w:rPr>
        <w:t>l</w:t>
      </w:r>
      <w:r>
        <w:rPr>
          <w:rFonts w:eastAsia="Calibri"/>
        </w:rPr>
        <w:t xml:space="preserve">and </w:t>
      </w:r>
      <w:r w:rsidR="00CF14E0">
        <w:rPr>
          <w:rFonts w:eastAsia="Calibri"/>
        </w:rPr>
        <w:t>a</w:t>
      </w:r>
      <w:r>
        <w:rPr>
          <w:rFonts w:eastAsia="Calibri"/>
        </w:rPr>
        <w:t>ssessments a number of submissions commented that in order to provide for the functional and operational requirements of industrial activities</w:t>
      </w:r>
      <w:r w:rsidR="00CF14E0">
        <w:rPr>
          <w:rFonts w:eastAsia="Calibri"/>
        </w:rPr>
        <w:t>,</w:t>
      </w:r>
      <w:r>
        <w:rPr>
          <w:rFonts w:eastAsia="Calibri"/>
        </w:rPr>
        <w:t xml:space="preserve"> ‘lot size’ should form part of the assessment. </w:t>
      </w:r>
    </w:p>
    <w:p w:rsidR="00CF4D7E" w:rsidRPr="00E13D6B" w:rsidRDefault="00CF4D7E" w:rsidP="00B740F8">
      <w:pPr>
        <w:pStyle w:val="Quote"/>
      </w:pPr>
      <w:r w:rsidRPr="00E13D6B">
        <w:t>“TCC suggests that the Housing Assessments should also include analysis of the role that future development will play in providing access to community amenities and facilities, good urban design and integrated planning of social infrastructure (local and central government).” Tauranga City Council</w:t>
      </w:r>
    </w:p>
    <w:p w:rsidR="00CF4D7E" w:rsidRPr="00E13D6B" w:rsidRDefault="00CF4D7E" w:rsidP="00B740F8">
      <w:pPr>
        <w:pStyle w:val="Quote"/>
      </w:pPr>
      <w:r w:rsidRPr="00E13D6B">
        <w:t>“To further address functional and operational issues faced by businesses in developing land, local authorities should be required, in carrying out their Business Land Assessments under policy PB1, to estimate demand for different types and locations of lot sizes in addition to floor area.” Progressive Enterprises Limited</w:t>
      </w:r>
    </w:p>
    <w:p w:rsidR="00CF4D7E" w:rsidRDefault="00CF4D7E" w:rsidP="00E13D6B">
      <w:pPr>
        <w:pStyle w:val="BodyText"/>
        <w:rPr>
          <w:rFonts w:eastAsia="Calibri"/>
        </w:rPr>
      </w:pPr>
      <w:r w:rsidRPr="00A33592">
        <w:rPr>
          <w:rFonts w:eastAsia="Calibri"/>
        </w:rPr>
        <w:t xml:space="preserve">Submissions were divided on the </w:t>
      </w:r>
      <w:r w:rsidRPr="00B66C8B">
        <w:rPr>
          <w:rFonts w:eastAsia="Calibri"/>
          <w:b/>
        </w:rPr>
        <w:t>frequency for carrying out assessments</w:t>
      </w:r>
      <w:r>
        <w:rPr>
          <w:rFonts w:eastAsia="Calibri"/>
        </w:rPr>
        <w:t>.</w:t>
      </w:r>
      <w:r w:rsidR="000A1CCC">
        <w:rPr>
          <w:rFonts w:eastAsia="Calibri"/>
        </w:rPr>
        <w:t xml:space="preserve"> </w:t>
      </w:r>
      <w:r>
        <w:rPr>
          <w:rFonts w:eastAsia="Calibri"/>
        </w:rPr>
        <w:t xml:space="preserve">Some </w:t>
      </w:r>
      <w:r w:rsidR="00CF14E0">
        <w:rPr>
          <w:rFonts w:eastAsia="Calibri"/>
        </w:rPr>
        <w:t>l</w:t>
      </w:r>
      <w:r>
        <w:rPr>
          <w:rFonts w:eastAsia="Calibri"/>
        </w:rPr>
        <w:t xml:space="preserve">ocal </w:t>
      </w:r>
      <w:r w:rsidR="00CF14E0">
        <w:rPr>
          <w:rFonts w:eastAsia="Calibri"/>
        </w:rPr>
        <w:t>a</w:t>
      </w:r>
      <w:r>
        <w:rPr>
          <w:rFonts w:eastAsia="Calibri"/>
        </w:rPr>
        <w:t>uthorities supported the proposed three-year frequency</w:t>
      </w:r>
      <w:r w:rsidR="00CF14E0">
        <w:rPr>
          <w:rFonts w:eastAsia="Calibri"/>
        </w:rPr>
        <w:t>,</w:t>
      </w:r>
      <w:r>
        <w:rPr>
          <w:rFonts w:eastAsia="Calibri"/>
        </w:rPr>
        <w:t xml:space="preserve"> while other</w:t>
      </w:r>
      <w:r w:rsidR="009378EF">
        <w:rPr>
          <w:rFonts w:eastAsia="Calibri"/>
        </w:rPr>
        <w:t>s</w:t>
      </w:r>
      <w:r>
        <w:rPr>
          <w:rFonts w:eastAsia="Calibri"/>
        </w:rPr>
        <w:t xml:space="preserve"> suggested five years would be better. Other stakeholder groups also suggested different frequencies for producing the assessments, ranging </w:t>
      </w:r>
      <w:r w:rsidR="00CF14E0">
        <w:rPr>
          <w:rFonts w:eastAsia="Calibri"/>
        </w:rPr>
        <w:t xml:space="preserve">from </w:t>
      </w:r>
      <w:r>
        <w:rPr>
          <w:rFonts w:eastAsia="Calibri"/>
        </w:rPr>
        <w:t>18 months to three years.</w:t>
      </w:r>
      <w:r w:rsidR="000A1CCC">
        <w:rPr>
          <w:rFonts w:eastAsia="Calibri"/>
        </w:rPr>
        <w:t xml:space="preserve"> </w:t>
      </w:r>
    </w:p>
    <w:p w:rsidR="00CF4D7E" w:rsidRDefault="00CF14E0" w:rsidP="00E13D6B">
      <w:pPr>
        <w:pStyle w:val="BodyText"/>
        <w:rPr>
          <w:rFonts w:eastAsia="Calibri"/>
        </w:rPr>
      </w:pPr>
      <w:r>
        <w:rPr>
          <w:rFonts w:eastAsia="Calibri"/>
        </w:rPr>
        <w:t>Fewer</w:t>
      </w:r>
      <w:r w:rsidR="00CF4D7E">
        <w:rPr>
          <w:rFonts w:eastAsia="Calibri"/>
        </w:rPr>
        <w:t xml:space="preserve"> submissions commented on the </w:t>
      </w:r>
      <w:r w:rsidR="00CF4D7E" w:rsidRPr="00B66C8B">
        <w:rPr>
          <w:rFonts w:eastAsia="Calibri"/>
          <w:b/>
          <w:color w:val="000000" w:themeColor="text1"/>
        </w:rPr>
        <w:t>date for completing the first assessment</w:t>
      </w:r>
      <w:r w:rsidR="00CF4D7E">
        <w:rPr>
          <w:rFonts w:eastAsia="Calibri"/>
        </w:rPr>
        <w:t xml:space="preserve"> following enactment of the NPS-UDC.</w:t>
      </w:r>
      <w:r w:rsidR="000A1CCC">
        <w:rPr>
          <w:rFonts w:eastAsia="Calibri"/>
        </w:rPr>
        <w:t xml:space="preserve"> </w:t>
      </w:r>
      <w:r w:rsidR="00CF4D7E">
        <w:rPr>
          <w:rFonts w:eastAsia="Calibri"/>
        </w:rPr>
        <w:t xml:space="preserve">Some </w:t>
      </w:r>
      <w:r>
        <w:rPr>
          <w:rFonts w:eastAsia="Calibri"/>
        </w:rPr>
        <w:t>l</w:t>
      </w:r>
      <w:r w:rsidR="00CF4D7E">
        <w:rPr>
          <w:rFonts w:eastAsia="Calibri"/>
        </w:rPr>
        <w:t xml:space="preserve">ocal </w:t>
      </w:r>
      <w:r>
        <w:rPr>
          <w:rFonts w:eastAsia="Calibri"/>
        </w:rPr>
        <w:t>a</w:t>
      </w:r>
      <w:r w:rsidR="00CF4D7E">
        <w:rPr>
          <w:rFonts w:eastAsia="Calibri"/>
        </w:rPr>
        <w:t>uthorities suggested bringing the date forward to ensure that the assessment could inform the 2018 Long Term Plan, while others sought a later date.</w:t>
      </w:r>
    </w:p>
    <w:p w:rsidR="00CF4D7E" w:rsidRPr="00E13D6B" w:rsidRDefault="00CF4D7E" w:rsidP="00B740F8">
      <w:pPr>
        <w:pStyle w:val="Quote"/>
      </w:pPr>
      <w:r w:rsidRPr="00E13D6B">
        <w:t>“Nelson City Council is unlikely to have the resources to complete detailed assessments in the next year in time to inform the 2018 Long Term Plan but a requirement to complete the first detailed assessments by the end of 2019 would be practical.” Nelson City Council</w:t>
      </w:r>
    </w:p>
    <w:p w:rsidR="00CF4D7E" w:rsidRPr="00E13D6B" w:rsidRDefault="00CF4D7E" w:rsidP="00B740F8">
      <w:pPr>
        <w:pStyle w:val="Quote"/>
      </w:pPr>
      <w:r w:rsidRPr="00E13D6B">
        <w:t>“…in its current form, the timeframes for carrying out assessments are too long.</w:t>
      </w:r>
      <w:r w:rsidR="000A1CCC">
        <w:t xml:space="preserve"> </w:t>
      </w:r>
      <w:r w:rsidRPr="00E13D6B">
        <w:t xml:space="preserve">There is currently an urgent need for residential development in a number of regions across New Zealand…We propose that the first assessment must be carried out within 12 months of the NPS becoming operative...” Property Council </w:t>
      </w:r>
      <w:r w:rsidR="000832CE" w:rsidRPr="00E13D6B">
        <w:t>New Zealand</w:t>
      </w:r>
    </w:p>
    <w:p w:rsidR="00CF4D7E" w:rsidRPr="00814786" w:rsidRDefault="00CF4D7E" w:rsidP="00E13D6B">
      <w:pPr>
        <w:pStyle w:val="BodyText"/>
        <w:rPr>
          <w:rFonts w:eastAsia="Calibri"/>
        </w:rPr>
      </w:pPr>
      <w:r w:rsidRPr="00B66C8B">
        <w:rPr>
          <w:rFonts w:eastAsia="Calibri"/>
          <w:b/>
        </w:rPr>
        <w:t>Public availability and or independent scrutiny of the assessment</w:t>
      </w:r>
      <w:r w:rsidRPr="00A33592">
        <w:rPr>
          <w:rFonts w:eastAsia="Calibri"/>
        </w:rPr>
        <w:t xml:space="preserve"> was strongly supported.</w:t>
      </w:r>
      <w:r w:rsidR="000A1CCC">
        <w:rPr>
          <w:rFonts w:eastAsia="Calibri"/>
        </w:rPr>
        <w:t xml:space="preserve"> </w:t>
      </w:r>
      <w:r>
        <w:rPr>
          <w:rFonts w:eastAsia="Calibri"/>
        </w:rPr>
        <w:t>The majority of submissions supported scrutiny of the housing assessment</w:t>
      </w:r>
      <w:r w:rsidR="00CF14E0">
        <w:rPr>
          <w:rFonts w:eastAsia="Calibri"/>
        </w:rPr>
        <w:t>,</w:t>
      </w:r>
      <w:r>
        <w:rPr>
          <w:rFonts w:eastAsia="Calibri"/>
        </w:rPr>
        <w:t xml:space="preserve"> and </w:t>
      </w:r>
      <w:r w:rsidR="00CF14E0">
        <w:rPr>
          <w:rFonts w:eastAsia="Calibri"/>
        </w:rPr>
        <w:t>wanted</w:t>
      </w:r>
      <w:r>
        <w:rPr>
          <w:rFonts w:eastAsia="Calibri"/>
        </w:rPr>
        <w:t xml:space="preserve"> the NPS-UDC to use more direct terms requiring publication of any local authority housing assessment. The </w:t>
      </w:r>
      <w:r w:rsidR="00CF14E0">
        <w:rPr>
          <w:rFonts w:eastAsia="Calibri"/>
        </w:rPr>
        <w:t>d</w:t>
      </w:r>
      <w:r>
        <w:rPr>
          <w:rFonts w:eastAsia="Calibri"/>
        </w:rPr>
        <w:t xml:space="preserve">evelopment </w:t>
      </w:r>
      <w:r w:rsidR="00CF14E0">
        <w:rPr>
          <w:rFonts w:eastAsia="Calibri"/>
        </w:rPr>
        <w:t>s</w:t>
      </w:r>
      <w:r>
        <w:rPr>
          <w:rFonts w:eastAsia="Calibri"/>
        </w:rPr>
        <w:t>ector submissions suggested the use of independent peer review of assessments.</w:t>
      </w:r>
    </w:p>
    <w:p w:rsidR="00CF4D7E" w:rsidRPr="00E13D6B" w:rsidRDefault="00CF4D7E" w:rsidP="00B740F8">
      <w:pPr>
        <w:pStyle w:val="Quote"/>
      </w:pPr>
      <w:r w:rsidRPr="00E13D6B">
        <w:t>“We believe that local authorities should be directed to publish the assessments and to seek market feedback, particularly as to the commercial viability of areas identified as being available as development capable areas.” Ockham Residential</w:t>
      </w:r>
    </w:p>
    <w:p w:rsidR="00CF4D7E" w:rsidRPr="00C22439" w:rsidRDefault="00CF4D7E" w:rsidP="00E13D6B">
      <w:pPr>
        <w:pStyle w:val="Heading3"/>
        <w:rPr>
          <w:i/>
          <w:sz w:val="20"/>
          <w:szCs w:val="20"/>
        </w:rPr>
      </w:pPr>
      <w:r w:rsidRPr="00C22439">
        <w:t>Policy PB4: Consultation</w:t>
      </w:r>
      <w:r>
        <w:t xml:space="preserve"> in preparing the assessments</w:t>
      </w:r>
    </w:p>
    <w:p w:rsidR="00CF4D7E" w:rsidRDefault="00CF4D7E" w:rsidP="00E13D6B">
      <w:pPr>
        <w:pStyle w:val="BodyText"/>
        <w:rPr>
          <w:rFonts w:eastAsia="Calibri"/>
        </w:rPr>
      </w:pPr>
      <w:r>
        <w:rPr>
          <w:rFonts w:eastAsia="Calibri"/>
        </w:rPr>
        <w:t xml:space="preserve">Feedback, primarily from </w:t>
      </w:r>
      <w:r w:rsidR="008D1A18">
        <w:rPr>
          <w:rFonts w:eastAsia="Calibri"/>
        </w:rPr>
        <w:t>b</w:t>
      </w:r>
      <w:r>
        <w:rPr>
          <w:rFonts w:eastAsia="Calibri"/>
        </w:rPr>
        <w:t>usiness/</w:t>
      </w:r>
      <w:r w:rsidR="008D1A18">
        <w:rPr>
          <w:rFonts w:eastAsia="Calibri"/>
        </w:rPr>
        <w:t>i</w:t>
      </w:r>
      <w:r>
        <w:rPr>
          <w:rFonts w:eastAsia="Calibri"/>
        </w:rPr>
        <w:t xml:space="preserve">ndustry, </w:t>
      </w:r>
      <w:r w:rsidR="008D1A18">
        <w:rPr>
          <w:rFonts w:eastAsia="Calibri"/>
        </w:rPr>
        <w:t>i</w:t>
      </w:r>
      <w:r>
        <w:rPr>
          <w:rFonts w:eastAsia="Calibri"/>
        </w:rPr>
        <w:t xml:space="preserve">nfrastructure </w:t>
      </w:r>
      <w:r w:rsidR="008D1A18">
        <w:rPr>
          <w:rFonts w:eastAsia="Calibri"/>
        </w:rPr>
        <w:t>p</w:t>
      </w:r>
      <w:r>
        <w:rPr>
          <w:rFonts w:eastAsia="Calibri"/>
        </w:rPr>
        <w:t>roviders</w:t>
      </w:r>
      <w:r w:rsidR="008D1A18">
        <w:rPr>
          <w:rFonts w:eastAsia="Calibri"/>
        </w:rPr>
        <w:t>,</w:t>
      </w:r>
      <w:r>
        <w:rPr>
          <w:rFonts w:eastAsia="Calibri"/>
        </w:rPr>
        <w:t xml:space="preserve"> and </w:t>
      </w:r>
      <w:r w:rsidR="008D1A18">
        <w:rPr>
          <w:rFonts w:eastAsia="Calibri"/>
        </w:rPr>
        <w:t>d</w:t>
      </w:r>
      <w:r>
        <w:rPr>
          <w:rFonts w:eastAsia="Calibri"/>
        </w:rPr>
        <w:t xml:space="preserve">evelopment </w:t>
      </w:r>
      <w:r w:rsidR="008D1A18">
        <w:rPr>
          <w:rFonts w:eastAsia="Calibri"/>
        </w:rPr>
        <w:t>s</w:t>
      </w:r>
      <w:r>
        <w:rPr>
          <w:rFonts w:eastAsia="Calibri"/>
        </w:rPr>
        <w:t>ector</w:t>
      </w:r>
      <w:r w:rsidR="008D1A18">
        <w:rPr>
          <w:rFonts w:eastAsia="Calibri"/>
        </w:rPr>
        <w:t>s</w:t>
      </w:r>
      <w:r>
        <w:rPr>
          <w:rFonts w:eastAsia="Calibri"/>
        </w:rPr>
        <w:t>, called for a r</w:t>
      </w:r>
      <w:r w:rsidRPr="00A33592">
        <w:rPr>
          <w:rFonts w:eastAsia="Calibri"/>
        </w:rPr>
        <w:t xml:space="preserve">equirement to consult with a wider group of </w:t>
      </w:r>
      <w:r>
        <w:rPr>
          <w:rFonts w:eastAsia="Calibri"/>
        </w:rPr>
        <w:t xml:space="preserve">specified stakeholders than those </w:t>
      </w:r>
      <w:r w:rsidRPr="00A33592">
        <w:rPr>
          <w:rFonts w:eastAsia="Calibri"/>
        </w:rPr>
        <w:t>identified under PB4.</w:t>
      </w:r>
      <w:r w:rsidR="000A1CCC">
        <w:rPr>
          <w:rFonts w:eastAsia="Calibri"/>
        </w:rPr>
        <w:t xml:space="preserve"> </w:t>
      </w:r>
      <w:r>
        <w:rPr>
          <w:rFonts w:eastAsia="Calibri"/>
        </w:rPr>
        <w:t>Some submissions sought the inclusion of additional stakeholders such as iwi authorities, the business sector</w:t>
      </w:r>
      <w:r w:rsidR="008D1A18">
        <w:rPr>
          <w:rFonts w:eastAsia="Calibri"/>
        </w:rPr>
        <w:t>,</w:t>
      </w:r>
      <w:r>
        <w:rPr>
          <w:rFonts w:eastAsia="Calibri"/>
        </w:rPr>
        <w:t xml:space="preserve"> and electricity transmission providers.</w:t>
      </w:r>
      <w:r w:rsidR="000A1CCC">
        <w:rPr>
          <w:rFonts w:eastAsia="Calibri"/>
        </w:rPr>
        <w:t xml:space="preserve"> </w:t>
      </w:r>
    </w:p>
    <w:p w:rsidR="00CF4D7E" w:rsidRPr="0015717D" w:rsidRDefault="00CF4D7E" w:rsidP="00E13D6B">
      <w:pPr>
        <w:pStyle w:val="BodyText"/>
        <w:rPr>
          <w:rFonts w:eastAsia="Calibri"/>
        </w:rPr>
      </w:pPr>
      <w:r>
        <w:rPr>
          <w:rFonts w:eastAsia="Calibri"/>
        </w:rPr>
        <w:t>As well as submission points in relation to the list of stakeholders for consultation, feedback was received in relation to the term ‘as they see fit’</w:t>
      </w:r>
      <w:r w:rsidR="00F81B4F">
        <w:rPr>
          <w:rFonts w:eastAsia="Calibri"/>
        </w:rPr>
        <w:t>,</w:t>
      </w:r>
      <w:r>
        <w:rPr>
          <w:rFonts w:eastAsia="Calibri"/>
        </w:rPr>
        <w:t xml:space="preserve"> with submitters saying this was not a strong enough direction for local authorities to consult with key providers.</w:t>
      </w:r>
      <w:r w:rsidR="000A1CCC">
        <w:rPr>
          <w:rFonts w:eastAsia="Calibri"/>
        </w:rPr>
        <w:t xml:space="preserve"> </w:t>
      </w:r>
      <w:r>
        <w:rPr>
          <w:rFonts w:eastAsia="Calibri"/>
        </w:rPr>
        <w:t>Other comments included reference to the Local Government Act</w:t>
      </w:r>
      <w:r w:rsidR="009378EF">
        <w:rPr>
          <w:rFonts w:eastAsia="Calibri"/>
        </w:rPr>
        <w:t xml:space="preserve"> 2002</w:t>
      </w:r>
      <w:r w:rsidR="00F81B4F">
        <w:rPr>
          <w:rFonts w:eastAsia="Calibri"/>
        </w:rPr>
        <w:t>,</w:t>
      </w:r>
      <w:r>
        <w:rPr>
          <w:rFonts w:eastAsia="Calibri"/>
        </w:rPr>
        <w:t xml:space="preserve"> and queried whether Policy PB4 was consistent with </w:t>
      </w:r>
      <w:r w:rsidR="00F81B4F">
        <w:rPr>
          <w:rFonts w:eastAsia="Calibri"/>
        </w:rPr>
        <w:t xml:space="preserve">the </w:t>
      </w:r>
      <w:r>
        <w:rPr>
          <w:rFonts w:eastAsia="Calibri"/>
        </w:rPr>
        <w:t>principles of consultation under that Act.</w:t>
      </w:r>
    </w:p>
    <w:p w:rsidR="00CF4D7E" w:rsidRPr="00E13D6B" w:rsidRDefault="00CF4D7E" w:rsidP="00B740F8">
      <w:pPr>
        <w:pStyle w:val="Quote"/>
      </w:pPr>
      <w:r w:rsidRPr="00E13D6B">
        <w:rPr>
          <w:rFonts w:cs="Arial"/>
        </w:rPr>
        <w:t>“</w:t>
      </w:r>
      <w:r w:rsidRPr="00E13D6B">
        <w:t xml:space="preserve">We suspect that reference to ‘as they see fit’ was intended to apply only to the identification of stakeholders other than those listed, as opposed to the obligation to consult </w:t>
      </w:r>
      <w:r w:rsidRPr="00E13D6B">
        <w:rPr>
          <w:iCs/>
        </w:rPr>
        <w:t>per se</w:t>
      </w:r>
      <w:r w:rsidRPr="00E13D6B">
        <w:t>. The intent needs clarification.” N</w:t>
      </w:r>
      <w:r w:rsidR="00F81B4F" w:rsidRPr="00E13D6B">
        <w:t xml:space="preserve">ew </w:t>
      </w:r>
      <w:r w:rsidRPr="00E13D6B">
        <w:t>Z</w:t>
      </w:r>
      <w:r w:rsidR="00F81B4F" w:rsidRPr="00E13D6B">
        <w:t>ealand</w:t>
      </w:r>
      <w:r w:rsidRPr="00E13D6B">
        <w:t xml:space="preserve"> Society of Local Government Managers</w:t>
      </w:r>
    </w:p>
    <w:p w:rsidR="00CF4D7E" w:rsidRDefault="00CF4D7E" w:rsidP="00E13D6B">
      <w:pPr>
        <w:pStyle w:val="Heading3"/>
        <w:rPr>
          <w:color w:val="0F7B7D"/>
          <w:sz w:val="36"/>
          <w:szCs w:val="26"/>
        </w:rPr>
      </w:pPr>
      <w:r w:rsidRPr="00C22439">
        <w:t>Policy PB5: Monitoring</w:t>
      </w:r>
    </w:p>
    <w:p w:rsidR="00CF4D7E" w:rsidRPr="00A33592" w:rsidRDefault="00CF4D7E" w:rsidP="00E13D6B">
      <w:pPr>
        <w:pStyle w:val="BodyText"/>
        <w:rPr>
          <w:rFonts w:eastAsia="Calibri"/>
        </w:rPr>
      </w:pPr>
      <w:r w:rsidRPr="00A33592">
        <w:rPr>
          <w:rFonts w:eastAsia="Calibri"/>
        </w:rPr>
        <w:t>The cost and frequency of monitoring</w:t>
      </w:r>
      <w:r w:rsidR="00F81B4F">
        <w:rPr>
          <w:rFonts w:eastAsia="Calibri"/>
        </w:rPr>
        <w:t>,</w:t>
      </w:r>
      <w:r w:rsidRPr="00A33592">
        <w:rPr>
          <w:rFonts w:eastAsia="Calibri"/>
        </w:rPr>
        <w:t xml:space="preserve"> and</w:t>
      </w:r>
      <w:r>
        <w:rPr>
          <w:rFonts w:eastAsia="Calibri"/>
        </w:rPr>
        <w:t xml:space="preserve"> what was included in</w:t>
      </w:r>
      <w:r w:rsidRPr="00A33592">
        <w:rPr>
          <w:rFonts w:eastAsia="Calibri"/>
        </w:rPr>
        <w:t xml:space="preserve"> the comprehensive set </w:t>
      </w:r>
      <w:r>
        <w:rPr>
          <w:rFonts w:eastAsia="Calibri"/>
        </w:rPr>
        <w:t>of indicators</w:t>
      </w:r>
      <w:r w:rsidR="00F81B4F">
        <w:rPr>
          <w:rFonts w:eastAsia="Calibri"/>
        </w:rPr>
        <w:t>,</w:t>
      </w:r>
      <w:r>
        <w:rPr>
          <w:rFonts w:eastAsia="Calibri"/>
        </w:rPr>
        <w:t xml:space="preserve"> were the primary focus </w:t>
      </w:r>
      <w:r w:rsidRPr="00A33592">
        <w:rPr>
          <w:rFonts w:eastAsia="Calibri"/>
        </w:rPr>
        <w:t xml:space="preserve">of the </w:t>
      </w:r>
      <w:r>
        <w:rPr>
          <w:rFonts w:eastAsia="Calibri"/>
        </w:rPr>
        <w:t>submissions</w:t>
      </w:r>
      <w:r w:rsidRPr="00A33592">
        <w:rPr>
          <w:rFonts w:eastAsia="Calibri"/>
        </w:rPr>
        <w:t>.</w:t>
      </w:r>
      <w:r w:rsidR="000A1CCC">
        <w:rPr>
          <w:rFonts w:eastAsia="Calibri"/>
        </w:rPr>
        <w:t xml:space="preserve"> </w:t>
      </w:r>
    </w:p>
    <w:p w:rsidR="00CF4D7E" w:rsidRDefault="00CF4D7E" w:rsidP="00B740F8">
      <w:pPr>
        <w:pStyle w:val="Bullet"/>
        <w:ind w:left="397" w:hanging="397"/>
        <w:rPr>
          <w:rFonts w:eastAsia="Calibri"/>
        </w:rPr>
      </w:pPr>
      <w:r>
        <w:rPr>
          <w:rFonts w:eastAsia="Calibri"/>
        </w:rPr>
        <w:t xml:space="preserve">Local </w:t>
      </w:r>
      <w:r w:rsidR="00F81B4F">
        <w:rPr>
          <w:rFonts w:eastAsia="Calibri"/>
        </w:rPr>
        <w:t>a</w:t>
      </w:r>
      <w:r>
        <w:rPr>
          <w:rFonts w:eastAsia="Calibri"/>
        </w:rPr>
        <w:t>uthority submission</w:t>
      </w:r>
      <w:r w:rsidRPr="00FA57AA">
        <w:rPr>
          <w:rFonts w:eastAsia="Calibri"/>
        </w:rPr>
        <w:t xml:space="preserve">s </w:t>
      </w:r>
      <w:r>
        <w:rPr>
          <w:rFonts w:eastAsia="Calibri"/>
        </w:rPr>
        <w:t xml:space="preserve">raised </w:t>
      </w:r>
      <w:r w:rsidRPr="00FA57AA">
        <w:rPr>
          <w:rFonts w:eastAsia="Calibri"/>
        </w:rPr>
        <w:t>concern with the cost and capability issues of</w:t>
      </w:r>
      <w:r w:rsidR="00F81B4F">
        <w:rPr>
          <w:rFonts w:eastAsia="Calibri"/>
        </w:rPr>
        <w:t xml:space="preserve"> </w:t>
      </w:r>
      <w:r w:rsidR="00F81B4F" w:rsidRPr="00FA57AA">
        <w:rPr>
          <w:rFonts w:eastAsia="Calibri"/>
        </w:rPr>
        <w:t>quarterly</w:t>
      </w:r>
      <w:r w:rsidRPr="00FA57AA">
        <w:rPr>
          <w:rFonts w:eastAsia="Calibri"/>
        </w:rPr>
        <w:t xml:space="preserve"> reporting</w:t>
      </w:r>
      <w:r w:rsidR="00F81B4F">
        <w:rPr>
          <w:rFonts w:eastAsia="Calibri"/>
        </w:rPr>
        <w:t>,</w:t>
      </w:r>
      <w:r w:rsidRPr="00FA57AA">
        <w:rPr>
          <w:rFonts w:eastAsia="Calibri"/>
        </w:rPr>
        <w:t xml:space="preserve"> as well as concern </w:t>
      </w:r>
      <w:r w:rsidR="00F81B4F">
        <w:rPr>
          <w:rFonts w:eastAsia="Calibri"/>
        </w:rPr>
        <w:t xml:space="preserve">regarding </w:t>
      </w:r>
      <w:r w:rsidRPr="00FA57AA">
        <w:rPr>
          <w:rFonts w:eastAsia="Calibri"/>
        </w:rPr>
        <w:t>the availability and accuracy of data.</w:t>
      </w:r>
      <w:r w:rsidR="000A1CCC">
        <w:rPr>
          <w:rFonts w:eastAsia="Calibri"/>
        </w:rPr>
        <w:t xml:space="preserve"> </w:t>
      </w:r>
      <w:r>
        <w:rPr>
          <w:rFonts w:eastAsia="Calibri"/>
        </w:rPr>
        <w:t xml:space="preserve">Submissions </w:t>
      </w:r>
      <w:r w:rsidR="00F81B4F">
        <w:rPr>
          <w:rFonts w:eastAsia="Calibri"/>
        </w:rPr>
        <w:t>suggested</w:t>
      </w:r>
      <w:r>
        <w:rPr>
          <w:rFonts w:eastAsia="Calibri"/>
        </w:rPr>
        <w:t xml:space="preserve"> a range </w:t>
      </w:r>
      <w:r w:rsidRPr="00FA57AA">
        <w:rPr>
          <w:rFonts w:eastAsia="Calibri"/>
        </w:rPr>
        <w:t xml:space="preserve">of frequencies </w:t>
      </w:r>
      <w:r>
        <w:rPr>
          <w:rFonts w:eastAsia="Calibri"/>
        </w:rPr>
        <w:t>for reporting</w:t>
      </w:r>
      <w:r w:rsidR="00F81B4F">
        <w:rPr>
          <w:rFonts w:eastAsia="Calibri"/>
        </w:rPr>
        <w:t>,</w:t>
      </w:r>
      <w:r>
        <w:rPr>
          <w:rFonts w:eastAsia="Calibri"/>
        </w:rPr>
        <w:t xml:space="preserve"> including </w:t>
      </w:r>
      <w:r w:rsidRPr="00FA57AA">
        <w:rPr>
          <w:rFonts w:eastAsia="Calibri"/>
        </w:rPr>
        <w:t>six-monthly,</w:t>
      </w:r>
      <w:r>
        <w:rPr>
          <w:rFonts w:eastAsia="Calibri"/>
        </w:rPr>
        <w:t xml:space="preserve"> annually and </w:t>
      </w:r>
      <w:r w:rsidR="00A90318">
        <w:rPr>
          <w:rFonts w:eastAsia="Calibri"/>
        </w:rPr>
        <w:t>two-yearly.</w:t>
      </w:r>
      <w:r w:rsidR="000A1CCC">
        <w:rPr>
          <w:rFonts w:eastAsia="Calibri"/>
        </w:rPr>
        <w:t xml:space="preserve"> </w:t>
      </w:r>
      <w:r>
        <w:rPr>
          <w:rFonts w:eastAsia="Calibri"/>
        </w:rPr>
        <w:t>Councils</w:t>
      </w:r>
      <w:r w:rsidRPr="00FA57AA">
        <w:rPr>
          <w:rFonts w:eastAsia="Calibri"/>
        </w:rPr>
        <w:t xml:space="preserve"> also commented that the term “as frequently as possible” introduced confusion on how frequently monitoring should be undertaken.</w:t>
      </w:r>
    </w:p>
    <w:p w:rsidR="00CF4D7E" w:rsidRDefault="00CF4D7E" w:rsidP="00B740F8">
      <w:pPr>
        <w:pStyle w:val="Bullet"/>
        <w:ind w:left="397" w:hanging="397"/>
        <w:rPr>
          <w:rFonts w:eastAsia="Calibri"/>
        </w:rPr>
      </w:pPr>
      <w:r w:rsidRPr="00363BBE">
        <w:rPr>
          <w:rFonts w:eastAsia="Calibri"/>
        </w:rPr>
        <w:t>Submissions across all stakeholders commented on the indicators specified under Policy PB5.</w:t>
      </w:r>
      <w:r w:rsidR="000A1CCC">
        <w:rPr>
          <w:rFonts w:eastAsia="Calibri"/>
        </w:rPr>
        <w:t xml:space="preserve"> </w:t>
      </w:r>
      <w:r w:rsidRPr="00363BBE">
        <w:rPr>
          <w:rFonts w:eastAsia="Calibri"/>
        </w:rPr>
        <w:t>Most common was comment on the resource and building consent monitoring</w:t>
      </w:r>
      <w:r w:rsidR="00F20F95">
        <w:rPr>
          <w:rFonts w:eastAsia="Calibri"/>
        </w:rPr>
        <w:t>,</w:t>
      </w:r>
      <w:r w:rsidRPr="00363BBE">
        <w:rPr>
          <w:rFonts w:eastAsia="Calibri"/>
        </w:rPr>
        <w:t xml:space="preserve"> with submitters seeking clarification on what was being reported </w:t>
      </w:r>
      <w:r w:rsidR="00B740F8">
        <w:rPr>
          <w:rFonts w:eastAsia="Calibri"/>
        </w:rPr>
        <w:t>(</w:t>
      </w:r>
      <w:r w:rsidRPr="00363BBE">
        <w:rPr>
          <w:rFonts w:eastAsia="Calibri"/>
        </w:rPr>
        <w:t>eg</w:t>
      </w:r>
      <w:r w:rsidR="00F20F95">
        <w:rPr>
          <w:rFonts w:eastAsia="Calibri"/>
        </w:rPr>
        <w:t>,</w:t>
      </w:r>
      <w:r w:rsidRPr="00363BBE">
        <w:rPr>
          <w:rFonts w:eastAsia="Calibri"/>
        </w:rPr>
        <w:t xml:space="preserve"> whether it was at the point of granting a consent or at the point of issuing a code of compliance certificate</w:t>
      </w:r>
      <w:r w:rsidR="00B740F8">
        <w:rPr>
          <w:rFonts w:eastAsia="Calibri"/>
        </w:rPr>
        <w:t>)</w:t>
      </w:r>
      <w:r w:rsidRPr="00363BBE">
        <w:rPr>
          <w:rFonts w:eastAsia="Calibri"/>
        </w:rPr>
        <w:t>.</w:t>
      </w:r>
    </w:p>
    <w:p w:rsidR="00F20F95" w:rsidRDefault="00CF4D7E" w:rsidP="00E13D6B">
      <w:pPr>
        <w:pStyle w:val="BodyText"/>
        <w:rPr>
          <w:rFonts w:eastAsia="Calibri"/>
        </w:rPr>
      </w:pPr>
      <w:r w:rsidRPr="00C22439">
        <w:rPr>
          <w:rFonts w:eastAsia="Calibri"/>
        </w:rPr>
        <w:t xml:space="preserve">Local </w:t>
      </w:r>
      <w:r w:rsidR="00F20F95">
        <w:rPr>
          <w:rFonts w:eastAsia="Calibri"/>
        </w:rPr>
        <w:t>a</w:t>
      </w:r>
      <w:r w:rsidRPr="00C22439">
        <w:rPr>
          <w:rFonts w:eastAsia="Calibri"/>
        </w:rPr>
        <w:t xml:space="preserve">uthorities and other stakeholders suggested many additional indicators for monitoring including: </w:t>
      </w:r>
    </w:p>
    <w:p w:rsidR="00F20F95" w:rsidRPr="00E13D6B" w:rsidRDefault="00CF4D7E" w:rsidP="00E13D6B">
      <w:pPr>
        <w:pStyle w:val="Bullet"/>
        <w:rPr>
          <w:rFonts w:eastAsia="Calibri"/>
        </w:rPr>
      </w:pPr>
      <w:r w:rsidRPr="00E13D6B">
        <w:rPr>
          <w:rFonts w:eastAsia="Calibri"/>
        </w:rPr>
        <w:t>‘household size projections’</w:t>
      </w:r>
    </w:p>
    <w:p w:rsidR="00F20F95" w:rsidRPr="00E13D6B" w:rsidRDefault="00F20F95" w:rsidP="00E13D6B">
      <w:pPr>
        <w:pStyle w:val="Bullet"/>
        <w:rPr>
          <w:rFonts w:eastAsia="Calibri"/>
        </w:rPr>
      </w:pPr>
      <w:r w:rsidRPr="00E13D6B">
        <w:rPr>
          <w:rFonts w:eastAsia="Calibri"/>
        </w:rPr>
        <w:t>‘</w:t>
      </w:r>
      <w:r w:rsidR="00CF4D7E" w:rsidRPr="00E13D6B">
        <w:rPr>
          <w:rFonts w:eastAsia="Calibri"/>
        </w:rPr>
        <w:t>trip to work distance’</w:t>
      </w:r>
    </w:p>
    <w:p w:rsidR="00F20F95" w:rsidRPr="00E13D6B" w:rsidRDefault="00CF4D7E" w:rsidP="00E13D6B">
      <w:pPr>
        <w:pStyle w:val="Bullet"/>
        <w:rPr>
          <w:rFonts w:eastAsia="Calibri"/>
        </w:rPr>
      </w:pPr>
      <w:r w:rsidRPr="00E13D6B">
        <w:rPr>
          <w:rFonts w:eastAsia="Calibri"/>
        </w:rPr>
        <w:t>‘quality of housing’</w:t>
      </w:r>
    </w:p>
    <w:p w:rsidR="00CF4D7E" w:rsidRPr="00E13D6B" w:rsidRDefault="00CF4D7E" w:rsidP="00E13D6B">
      <w:pPr>
        <w:pStyle w:val="Bullet"/>
        <w:rPr>
          <w:rFonts w:eastAsia="Calibri"/>
        </w:rPr>
      </w:pPr>
      <w:r w:rsidRPr="00E13D6B">
        <w:rPr>
          <w:rFonts w:eastAsia="Calibri"/>
        </w:rPr>
        <w:t>‘greenfield and infill capacity’.</w:t>
      </w:r>
    </w:p>
    <w:p w:rsidR="00CF4D7E" w:rsidRPr="00E13D6B" w:rsidRDefault="00CF4D7E" w:rsidP="00B740F8">
      <w:pPr>
        <w:pStyle w:val="Quote"/>
        <w:rPr>
          <w:rFonts w:cs="Arial"/>
          <w:szCs w:val="20"/>
        </w:rPr>
      </w:pPr>
      <w:r w:rsidRPr="00E13D6B">
        <w:rPr>
          <w:rFonts w:cs="Arial"/>
        </w:rPr>
        <w:t>“</w:t>
      </w:r>
      <w:r w:rsidRPr="00E13D6B">
        <w:rPr>
          <w:lang w:val="en-US"/>
        </w:rPr>
        <w:t>The indicators required by the proposed NPS only measure a small part of what is happening on the ground, and need to be supplemented with indicators that record the quality of the development that is happening, not just the potential quantity of houses that might be built</w:t>
      </w:r>
      <w:r w:rsidRPr="00E13D6B">
        <w:t>.</w:t>
      </w:r>
      <w:r w:rsidRPr="00E13D6B">
        <w:rPr>
          <w:szCs w:val="20"/>
        </w:rPr>
        <w:t>” N</w:t>
      </w:r>
      <w:r w:rsidR="005F6E72" w:rsidRPr="00E13D6B">
        <w:rPr>
          <w:szCs w:val="20"/>
        </w:rPr>
        <w:t xml:space="preserve">ew </w:t>
      </w:r>
      <w:r w:rsidRPr="00E13D6B">
        <w:rPr>
          <w:szCs w:val="20"/>
        </w:rPr>
        <w:t>Z</w:t>
      </w:r>
      <w:r w:rsidR="005F6E72" w:rsidRPr="00E13D6B">
        <w:rPr>
          <w:szCs w:val="20"/>
        </w:rPr>
        <w:t>ealand</w:t>
      </w:r>
      <w:r w:rsidRPr="00E13D6B">
        <w:rPr>
          <w:szCs w:val="20"/>
        </w:rPr>
        <w:t xml:space="preserve"> Planning Institute</w:t>
      </w:r>
    </w:p>
    <w:p w:rsidR="00CF4D7E" w:rsidRDefault="00CF4D7E" w:rsidP="00CF4D7E">
      <w:pPr>
        <w:spacing w:before="0" w:after="200" w:line="276" w:lineRule="auto"/>
        <w:jc w:val="left"/>
        <w:rPr>
          <w:i/>
          <w:sz w:val="20"/>
          <w:szCs w:val="20"/>
        </w:rPr>
      </w:pPr>
    </w:p>
    <w:p w:rsidR="00E13D6B" w:rsidRDefault="00E13D6B">
      <w:pPr>
        <w:spacing w:before="0" w:after="200" w:line="276" w:lineRule="auto"/>
        <w:jc w:val="left"/>
        <w:rPr>
          <w:i/>
          <w:sz w:val="20"/>
          <w:szCs w:val="20"/>
        </w:rPr>
      </w:pPr>
      <w:r>
        <w:rPr>
          <w:i/>
          <w:sz w:val="20"/>
          <w:szCs w:val="20"/>
        </w:rPr>
        <w:br w:type="page"/>
      </w:r>
    </w:p>
    <w:p w:rsidR="00E13D6B" w:rsidRDefault="00E13D6B" w:rsidP="00CF4D7E">
      <w:pPr>
        <w:spacing w:before="0" w:after="200" w:line="276" w:lineRule="auto"/>
        <w:jc w:val="left"/>
        <w:rPr>
          <w:i/>
          <w:sz w:val="20"/>
          <w:szCs w:val="20"/>
        </w:rPr>
      </w:pPr>
    </w:p>
    <w:p w:rsidR="00CF4D7E" w:rsidRDefault="00CF4D7E" w:rsidP="00E13D6B">
      <w:pPr>
        <w:pStyle w:val="Heading1"/>
      </w:pPr>
      <w:bookmarkStart w:id="16" w:name="_Toc461185723"/>
      <w:r w:rsidRPr="00C22439">
        <w:t xml:space="preserve">Coordinated </w:t>
      </w:r>
      <w:r w:rsidR="005F6E72">
        <w:t>e</w:t>
      </w:r>
      <w:r w:rsidRPr="00C22439">
        <w:t xml:space="preserve">vidence and </w:t>
      </w:r>
      <w:r w:rsidR="005F6E72">
        <w:t>d</w:t>
      </w:r>
      <w:r w:rsidRPr="00C22439">
        <w:t>ecision-</w:t>
      </w:r>
      <w:r w:rsidR="005F6E72">
        <w:t>m</w:t>
      </w:r>
      <w:r w:rsidRPr="00C22439">
        <w:t>aking (Objective OC1, Policies PC1</w:t>
      </w:r>
      <w:r w:rsidR="004D61A6">
        <w:t>–P</w:t>
      </w:r>
      <w:r w:rsidRPr="00C22439">
        <w:t>C3)</w:t>
      </w:r>
      <w:bookmarkEnd w:id="16"/>
    </w:p>
    <w:p w:rsidR="00CF4D7E" w:rsidRDefault="00CF4D7E" w:rsidP="00E13D6B">
      <w:pPr>
        <w:pStyle w:val="BodyText"/>
        <w:rPr>
          <w:rFonts w:eastAsia="Calibri"/>
        </w:rPr>
      </w:pPr>
      <w:r w:rsidRPr="002A7289">
        <w:rPr>
          <w:rFonts w:eastAsia="Calibri"/>
        </w:rPr>
        <w:t>Over a third of all submissions included comments on Objective</w:t>
      </w:r>
      <w:r>
        <w:rPr>
          <w:rFonts w:eastAsia="Calibri"/>
        </w:rPr>
        <w:t xml:space="preserve"> Group C ‘Coordinated evidence and decision-making’</w:t>
      </w:r>
      <w:r w:rsidRPr="002A7289">
        <w:rPr>
          <w:rFonts w:eastAsia="Calibri"/>
        </w:rPr>
        <w:t xml:space="preserve"> OC1</w:t>
      </w:r>
      <w:r w:rsidR="004D61A6">
        <w:rPr>
          <w:rFonts w:eastAsia="Calibri"/>
        </w:rPr>
        <w:t>,</w:t>
      </w:r>
      <w:r w:rsidRPr="002A7289">
        <w:rPr>
          <w:rFonts w:eastAsia="Calibri"/>
        </w:rPr>
        <w:t xml:space="preserve"> and the requirements for consultation and coordination under</w:t>
      </w:r>
      <w:r>
        <w:rPr>
          <w:rFonts w:eastAsia="Calibri"/>
        </w:rPr>
        <w:t xml:space="preserve"> the corresponding</w:t>
      </w:r>
      <w:r w:rsidRPr="002A7289">
        <w:rPr>
          <w:rFonts w:eastAsia="Calibri"/>
        </w:rPr>
        <w:t xml:space="preserve"> Policies PC1, PC2 and PC3</w:t>
      </w:r>
      <w:r>
        <w:rPr>
          <w:rFonts w:eastAsia="Calibri"/>
        </w:rPr>
        <w:t>.</w:t>
      </w:r>
      <w:r w:rsidR="000A1CCC">
        <w:rPr>
          <w:rFonts w:eastAsia="Calibri"/>
        </w:rPr>
        <w:t xml:space="preserve"> </w:t>
      </w:r>
      <w:r>
        <w:rPr>
          <w:rFonts w:eastAsia="Calibri"/>
        </w:rPr>
        <w:t xml:space="preserve">The highest proportion of comments was received from local government bodies and the </w:t>
      </w:r>
      <w:r w:rsidR="004D61A6">
        <w:rPr>
          <w:rFonts w:eastAsia="Calibri"/>
        </w:rPr>
        <w:t>d</w:t>
      </w:r>
      <w:r>
        <w:rPr>
          <w:rFonts w:eastAsia="Calibri"/>
        </w:rPr>
        <w:t xml:space="preserve">evelopment </w:t>
      </w:r>
      <w:r w:rsidR="004D61A6">
        <w:rPr>
          <w:rFonts w:eastAsia="Calibri"/>
        </w:rPr>
        <w:t>s</w:t>
      </w:r>
      <w:r>
        <w:rPr>
          <w:rFonts w:eastAsia="Calibri"/>
        </w:rPr>
        <w:t>ector.</w:t>
      </w:r>
    </w:p>
    <w:p w:rsidR="00CF4D7E" w:rsidRDefault="00CF4D7E" w:rsidP="00E13D6B">
      <w:pPr>
        <w:pStyle w:val="BodyText"/>
        <w:rPr>
          <w:rFonts w:eastAsia="Calibri"/>
        </w:rPr>
      </w:pPr>
      <w:r>
        <w:rPr>
          <w:rFonts w:eastAsia="Calibri"/>
        </w:rPr>
        <w:t>Submission</w:t>
      </w:r>
      <w:r w:rsidR="004D61A6">
        <w:rPr>
          <w:rFonts w:eastAsia="Calibri"/>
        </w:rPr>
        <w:t>s</w:t>
      </w:r>
      <w:r>
        <w:rPr>
          <w:rFonts w:eastAsia="Calibri"/>
        </w:rPr>
        <w:t xml:space="preserve"> covered coordinated evidence and decision-making more generally</w:t>
      </w:r>
      <w:r w:rsidR="004D61A6">
        <w:rPr>
          <w:rFonts w:eastAsia="Calibri"/>
        </w:rPr>
        <w:t>,</w:t>
      </w:r>
      <w:r>
        <w:rPr>
          <w:rFonts w:eastAsia="Calibri"/>
        </w:rPr>
        <w:t xml:space="preserve"> and so the key comments have been summarised in one sub-section rather than for each individual objective and policy.</w:t>
      </w:r>
    </w:p>
    <w:p w:rsidR="00CF4D7E" w:rsidRDefault="00CF4D7E" w:rsidP="00E13D6B">
      <w:pPr>
        <w:pStyle w:val="Heading3"/>
        <w:rPr>
          <w:rFonts w:eastAsia="Calibri" w:cs="Calibri"/>
        </w:rPr>
      </w:pPr>
      <w:r w:rsidRPr="00C22439">
        <w:t xml:space="preserve">Objective OC1 and </w:t>
      </w:r>
      <w:r w:rsidR="004D61A6">
        <w:t>p</w:t>
      </w:r>
      <w:r w:rsidRPr="00C22439">
        <w:t>olicies PC1</w:t>
      </w:r>
      <w:r w:rsidR="004D61A6">
        <w:t>–</w:t>
      </w:r>
      <w:r w:rsidRPr="00C22439">
        <w:t>PC3</w:t>
      </w:r>
    </w:p>
    <w:p w:rsidR="00CF4D7E" w:rsidRDefault="00CF4D7E" w:rsidP="00E13D6B">
      <w:pPr>
        <w:pStyle w:val="BodyText"/>
        <w:rPr>
          <w:rFonts w:eastAsia="Calibri"/>
        </w:rPr>
      </w:pPr>
      <w:r w:rsidRPr="00A33592">
        <w:rPr>
          <w:rFonts w:eastAsia="Calibri"/>
        </w:rPr>
        <w:t>Submissions showed overall support for the intention behind the objective and associated policies</w:t>
      </w:r>
      <w:r>
        <w:rPr>
          <w:rFonts w:eastAsia="Calibri"/>
        </w:rPr>
        <w:t xml:space="preserve"> (for coordination across local authorities and with infrastructure providers)</w:t>
      </w:r>
      <w:r w:rsidRPr="00A33592">
        <w:rPr>
          <w:rFonts w:eastAsia="Calibri"/>
        </w:rPr>
        <w:t>.</w:t>
      </w:r>
      <w:r w:rsidR="000A1CCC">
        <w:rPr>
          <w:rFonts w:eastAsia="Calibri"/>
        </w:rPr>
        <w:t xml:space="preserve"> </w:t>
      </w:r>
      <w:r w:rsidR="0068010F">
        <w:rPr>
          <w:rFonts w:eastAsia="Calibri"/>
        </w:rPr>
        <w:t>T</w:t>
      </w:r>
      <w:r>
        <w:rPr>
          <w:rFonts w:eastAsia="Calibri"/>
        </w:rPr>
        <w:t>here wer</w:t>
      </w:r>
      <w:r w:rsidR="00B8015E">
        <w:rPr>
          <w:rFonts w:eastAsia="Calibri"/>
        </w:rPr>
        <w:t>e</w:t>
      </w:r>
      <w:r>
        <w:rPr>
          <w:rFonts w:eastAsia="Calibri"/>
        </w:rPr>
        <w:t xml:space="preserve"> comments about the details of this</w:t>
      </w:r>
      <w:r w:rsidR="0068010F">
        <w:rPr>
          <w:rFonts w:eastAsia="Calibri"/>
        </w:rPr>
        <w:t>, however</w:t>
      </w:r>
      <w:r>
        <w:rPr>
          <w:rFonts w:eastAsia="Calibri"/>
        </w:rPr>
        <w:t xml:space="preserve">. Local </w:t>
      </w:r>
      <w:r w:rsidR="0068010F">
        <w:rPr>
          <w:rFonts w:eastAsia="Calibri"/>
        </w:rPr>
        <w:t>a</w:t>
      </w:r>
      <w:r>
        <w:rPr>
          <w:rFonts w:eastAsia="Calibri"/>
        </w:rPr>
        <w:t>uthority submissions highlighted the realities of trying to achieve cross-boundary collaboration</w:t>
      </w:r>
      <w:r w:rsidR="00431F74">
        <w:rPr>
          <w:rFonts w:eastAsia="Calibri"/>
        </w:rPr>
        <w:t>,</w:t>
      </w:r>
      <w:r>
        <w:rPr>
          <w:rFonts w:eastAsia="Calibri"/>
        </w:rPr>
        <w:t xml:space="preserve"> or complications for existing partnership arrangements.</w:t>
      </w:r>
      <w:r w:rsidR="000A1CCC">
        <w:rPr>
          <w:rFonts w:eastAsia="Calibri"/>
        </w:rPr>
        <w:t xml:space="preserve"> </w:t>
      </w:r>
      <w:r>
        <w:rPr>
          <w:rFonts w:eastAsia="Calibri"/>
        </w:rPr>
        <w:t xml:space="preserve">The </w:t>
      </w:r>
      <w:r w:rsidR="00431F74">
        <w:rPr>
          <w:rFonts w:eastAsia="Calibri"/>
        </w:rPr>
        <w:t>d</w:t>
      </w:r>
      <w:r>
        <w:rPr>
          <w:rFonts w:eastAsia="Calibri"/>
        </w:rPr>
        <w:t xml:space="preserve">evelopment </w:t>
      </w:r>
      <w:r w:rsidR="00431F74">
        <w:rPr>
          <w:rFonts w:eastAsia="Calibri"/>
        </w:rPr>
        <w:t>s</w:t>
      </w:r>
      <w:r>
        <w:rPr>
          <w:rFonts w:eastAsia="Calibri"/>
        </w:rPr>
        <w:t xml:space="preserve">ector and other stakeholders suggested stronger direction in the </w:t>
      </w:r>
      <w:r w:rsidR="006C0066">
        <w:rPr>
          <w:rFonts w:eastAsia="Calibri"/>
        </w:rPr>
        <w:t>National Policy Statement on Urban Development Capacity (</w:t>
      </w:r>
      <w:r>
        <w:rPr>
          <w:rFonts w:eastAsia="Calibri"/>
        </w:rPr>
        <w:t>NPS-UDC</w:t>
      </w:r>
      <w:r w:rsidR="006C0066">
        <w:rPr>
          <w:rFonts w:eastAsia="Calibri"/>
        </w:rPr>
        <w:t>)</w:t>
      </w:r>
      <w:r w:rsidR="00665A3C">
        <w:rPr>
          <w:rFonts w:eastAsia="Calibri"/>
        </w:rPr>
        <w:t>,</w:t>
      </w:r>
      <w:r>
        <w:rPr>
          <w:rFonts w:eastAsia="Calibri"/>
        </w:rPr>
        <w:t xml:space="preserve"> and clear guidance on how local authorities should work with their stakeholders.</w:t>
      </w:r>
      <w:r w:rsidR="000A1CCC">
        <w:rPr>
          <w:rFonts w:eastAsia="Calibri"/>
        </w:rPr>
        <w:t xml:space="preserve"> </w:t>
      </w:r>
      <w:r>
        <w:rPr>
          <w:rFonts w:eastAsia="Calibri"/>
        </w:rPr>
        <w:t>Some submissions sought additional named stakeholder groups for inclusion in the policies.</w:t>
      </w:r>
      <w:r w:rsidR="000A1CCC">
        <w:rPr>
          <w:rFonts w:eastAsia="Calibri"/>
        </w:rPr>
        <w:t xml:space="preserve"> </w:t>
      </w:r>
    </w:p>
    <w:p w:rsidR="00CF4D7E" w:rsidRPr="00E964A5" w:rsidRDefault="00CF4D7E" w:rsidP="00E13D6B">
      <w:pPr>
        <w:pStyle w:val="BodyText"/>
        <w:rPr>
          <w:rFonts w:eastAsia="Calibri"/>
        </w:rPr>
      </w:pPr>
      <w:r>
        <w:rPr>
          <w:rFonts w:eastAsia="Calibri"/>
        </w:rPr>
        <w:t>The following bullets summarise common responses in relation to the objective and policies:</w:t>
      </w:r>
    </w:p>
    <w:p w:rsidR="00CF4D7E" w:rsidRDefault="00CF4D7E" w:rsidP="00B740F8">
      <w:pPr>
        <w:pStyle w:val="Bullet"/>
        <w:ind w:left="397" w:hanging="397"/>
        <w:rPr>
          <w:rFonts w:eastAsia="Calibri"/>
        </w:rPr>
      </w:pPr>
      <w:r w:rsidRPr="00E964A5">
        <w:rPr>
          <w:rFonts w:eastAsia="Calibri"/>
        </w:rPr>
        <w:t>The requirements for councils across urban areas to work together received a range of feedback.</w:t>
      </w:r>
      <w:r w:rsidR="000A1CCC">
        <w:rPr>
          <w:rFonts w:eastAsia="Calibri"/>
        </w:rPr>
        <w:t xml:space="preserve"> </w:t>
      </w:r>
      <w:r w:rsidRPr="00E964A5">
        <w:rPr>
          <w:rFonts w:eastAsia="Calibri"/>
        </w:rPr>
        <w:t>Some councils considered the requirements to collaborate with neighbouring councils, agree on data</w:t>
      </w:r>
      <w:r w:rsidR="006C0066">
        <w:rPr>
          <w:rFonts w:eastAsia="Calibri"/>
        </w:rPr>
        <w:t>,</w:t>
      </w:r>
      <w:r w:rsidRPr="00E964A5">
        <w:rPr>
          <w:rFonts w:eastAsia="Calibri"/>
        </w:rPr>
        <w:t xml:space="preserve"> and accommodate growth would be difficult to achieve</w:t>
      </w:r>
      <w:r>
        <w:rPr>
          <w:rFonts w:eastAsia="Calibri"/>
        </w:rPr>
        <w:t>.</w:t>
      </w:r>
      <w:r w:rsidR="000A1CCC">
        <w:rPr>
          <w:rFonts w:eastAsia="Calibri"/>
        </w:rPr>
        <w:t xml:space="preserve"> </w:t>
      </w:r>
      <w:r>
        <w:rPr>
          <w:rFonts w:eastAsia="Calibri"/>
        </w:rPr>
        <w:t>Other councils asked that the NPS-UDC more strongly reinforce existing growth management strategies.</w:t>
      </w:r>
    </w:p>
    <w:p w:rsidR="00CF4D7E" w:rsidRDefault="00CF4D7E" w:rsidP="00B740F8">
      <w:pPr>
        <w:pStyle w:val="Bullet"/>
        <w:ind w:left="397" w:hanging="397"/>
        <w:rPr>
          <w:rFonts w:eastAsia="Calibri"/>
        </w:rPr>
      </w:pPr>
      <w:r>
        <w:rPr>
          <w:rFonts w:eastAsia="Calibri"/>
        </w:rPr>
        <w:t xml:space="preserve">Some submissions sought stronger direction for local authorities to collaborate with stakeholders, commenting that language such as </w:t>
      </w:r>
      <w:r w:rsidR="006C0066">
        <w:rPr>
          <w:rFonts w:eastAsia="Calibri"/>
        </w:rPr>
        <w:t>“</w:t>
      </w:r>
      <w:r>
        <w:rPr>
          <w:rFonts w:eastAsia="Calibri"/>
        </w:rPr>
        <w:t>will work together to, as far as possible</w:t>
      </w:r>
      <w:r w:rsidR="006C0066">
        <w:rPr>
          <w:rFonts w:eastAsia="Calibri"/>
        </w:rPr>
        <w:t>”</w:t>
      </w:r>
      <w:r>
        <w:rPr>
          <w:rFonts w:eastAsia="Calibri"/>
        </w:rPr>
        <w:t xml:space="preserve"> weakened the requirement on councils to coordinate with infrastructure providers. </w:t>
      </w:r>
    </w:p>
    <w:p w:rsidR="00CF4D7E" w:rsidRDefault="00CF4D7E" w:rsidP="00B740F8">
      <w:pPr>
        <w:pStyle w:val="Bullet"/>
        <w:ind w:left="397" w:hanging="397"/>
        <w:rPr>
          <w:rFonts w:eastAsia="Calibri"/>
        </w:rPr>
      </w:pPr>
      <w:r>
        <w:rPr>
          <w:rFonts w:eastAsia="Calibri"/>
        </w:rPr>
        <w:t>Many of the submissions included support for widening the listed stakeholders to include</w:t>
      </w:r>
      <w:r w:rsidR="005E0833">
        <w:rPr>
          <w:rFonts w:eastAsia="Calibri"/>
        </w:rPr>
        <w:t>,</w:t>
      </w:r>
      <w:r>
        <w:rPr>
          <w:rFonts w:eastAsia="Calibri"/>
        </w:rPr>
        <w:t xml:space="preserve"> for example</w:t>
      </w:r>
      <w:r w:rsidR="005E0833">
        <w:rPr>
          <w:rFonts w:eastAsia="Calibri"/>
        </w:rPr>
        <w:t>,</w:t>
      </w:r>
      <w:r>
        <w:rPr>
          <w:rFonts w:eastAsia="Calibri"/>
        </w:rPr>
        <w:t xml:space="preserve"> social infrastructure providers, business sector, and developers.</w:t>
      </w:r>
    </w:p>
    <w:p w:rsidR="00CF4D7E" w:rsidRPr="00E13D6B" w:rsidRDefault="00CF4D7E" w:rsidP="00B740F8">
      <w:pPr>
        <w:pStyle w:val="Quote"/>
      </w:pPr>
      <w:r w:rsidRPr="00E13D6B">
        <w:rPr>
          <w:rFonts w:cs="Arial"/>
        </w:rPr>
        <w:t xml:space="preserve"> “</w:t>
      </w:r>
      <w:r w:rsidRPr="00E13D6B">
        <w:rPr>
          <w:lang w:val="en-US"/>
        </w:rPr>
        <w:t xml:space="preserve">Wellington </w:t>
      </w:r>
      <w:r w:rsidRPr="00E13D6B">
        <w:t>metropolitan councils are in a fortunate position in that we work closely in a number of areas including consulting with each other on plan-changes, holding joint plan changes, sharing socio-demographic data and agreeing on the base assumptions for population growth.</w:t>
      </w:r>
      <w:r w:rsidR="000A1CCC">
        <w:t xml:space="preserve"> </w:t>
      </w:r>
      <w:r w:rsidRPr="00E13D6B">
        <w:t>We will continue working together on an expanded set of metrics and assessments as required. Despite the current levels of co-operation and sharing we foresee that it may be difficult to “agree” on all data and projections.” Upper Hutt City Council</w:t>
      </w:r>
    </w:p>
    <w:p w:rsidR="00CF4D7E" w:rsidRPr="00E13D6B" w:rsidRDefault="00CF4D7E" w:rsidP="00B740F8">
      <w:pPr>
        <w:pStyle w:val="Quote"/>
        <w:rPr>
          <w:rFonts w:cs="Arial"/>
        </w:rPr>
      </w:pPr>
      <w:r w:rsidRPr="00E13D6B">
        <w:rPr>
          <w:rFonts w:cs="Arial"/>
        </w:rPr>
        <w:t>“Co-ordination of land development and infrastructure provision appears to be a “nice to have”…</w:t>
      </w:r>
      <w:r w:rsidR="00630F11" w:rsidRPr="00E13D6B">
        <w:rPr>
          <w:rFonts w:cs="Arial"/>
        </w:rPr>
        <w:t xml:space="preserve"> </w:t>
      </w:r>
      <w:r w:rsidRPr="00E13D6B">
        <w:rPr>
          <w:rFonts w:cs="Arial"/>
        </w:rPr>
        <w:t>Poorly co-ordinated infrastructure, or under-provision of key services, is highly undesirable and at odds with the NPS’s overarching theme.” International Centre for Infrastructure Futures</w:t>
      </w:r>
    </w:p>
    <w:p w:rsidR="00CF4D7E" w:rsidRPr="00E13D6B" w:rsidRDefault="00CF4D7E" w:rsidP="00B740F8">
      <w:pPr>
        <w:pStyle w:val="Quote"/>
        <w:rPr>
          <w:rFonts w:cs="Arial"/>
        </w:rPr>
      </w:pPr>
      <w:r w:rsidRPr="00E13D6B">
        <w:rPr>
          <w:rFonts w:cs="Arial"/>
        </w:rPr>
        <w:t>“</w:t>
      </w:r>
      <w:r w:rsidRPr="00E13D6B">
        <w:rPr>
          <w:lang w:val="en-US"/>
        </w:rPr>
        <w:t>The Ministry would support a NPS on urban development that requires territorial authorities to collaboratively plan physical and social infrastructure (such as schools, community centers and health facilities) as an integral component of urban development</w:t>
      </w:r>
      <w:r w:rsidRPr="00E13D6B">
        <w:t>.” Ministry of Education</w:t>
      </w:r>
    </w:p>
    <w:p w:rsidR="00CF4D7E" w:rsidRDefault="00CF4D7E" w:rsidP="00CF4D7E">
      <w:pPr>
        <w:spacing w:before="0" w:after="200" w:line="276" w:lineRule="auto"/>
        <w:jc w:val="left"/>
        <w:rPr>
          <w:i/>
          <w:sz w:val="20"/>
          <w:szCs w:val="20"/>
        </w:rPr>
      </w:pPr>
      <w:r>
        <w:rPr>
          <w:i/>
          <w:sz w:val="20"/>
          <w:szCs w:val="20"/>
        </w:rPr>
        <w:br w:type="page"/>
      </w:r>
      <w:r w:rsidR="001D03F8">
        <w:rPr>
          <w:i/>
          <w:sz w:val="20"/>
          <w:szCs w:val="20"/>
        </w:rPr>
        <w:t xml:space="preserve"> </w:t>
      </w:r>
    </w:p>
    <w:p w:rsidR="00CF4D7E" w:rsidRDefault="00CF4D7E" w:rsidP="00E13D6B">
      <w:pPr>
        <w:pStyle w:val="Heading1"/>
        <w:rPr>
          <w:rFonts w:ascii="Arial Black" w:hAnsi="Arial Black"/>
        </w:rPr>
      </w:pPr>
      <w:bookmarkStart w:id="17" w:name="_Toc461185724"/>
      <w:r w:rsidRPr="00C22439">
        <w:t xml:space="preserve">Enabling </w:t>
      </w:r>
      <w:r w:rsidR="00630F11">
        <w:t>r</w:t>
      </w:r>
      <w:r w:rsidRPr="00C22439">
        <w:t xml:space="preserve">esponsive </w:t>
      </w:r>
      <w:r w:rsidR="00630F11">
        <w:t>p</w:t>
      </w:r>
      <w:r w:rsidRPr="00C22439">
        <w:t>lanning (Objectives OD1 and OD2, Policies PD1</w:t>
      </w:r>
      <w:r w:rsidR="00630F11">
        <w:t>–P</w:t>
      </w:r>
      <w:r w:rsidRPr="00C22439">
        <w:t>D9)</w:t>
      </w:r>
      <w:bookmarkEnd w:id="17"/>
    </w:p>
    <w:p w:rsidR="00CF4D7E" w:rsidRPr="00CC59B4" w:rsidRDefault="00CF4D7E" w:rsidP="00E13D6B">
      <w:pPr>
        <w:pStyle w:val="BodyText"/>
        <w:rPr>
          <w:rFonts w:eastAsia="Calibri"/>
        </w:rPr>
      </w:pPr>
      <w:r w:rsidRPr="00CC59B4">
        <w:rPr>
          <w:rFonts w:eastAsia="Calibri"/>
        </w:rPr>
        <w:t>Just under half of all submissions provided feedback on the objectives</w:t>
      </w:r>
      <w:r>
        <w:rPr>
          <w:rFonts w:eastAsia="Calibri"/>
        </w:rPr>
        <w:t xml:space="preserve"> under Objective Group D ‘Responsive planning’</w:t>
      </w:r>
      <w:r w:rsidRPr="00CC59B4">
        <w:rPr>
          <w:rFonts w:eastAsia="Calibri"/>
        </w:rPr>
        <w:t xml:space="preserve"> </w:t>
      </w:r>
      <w:r>
        <w:rPr>
          <w:rFonts w:eastAsia="Calibri"/>
        </w:rPr>
        <w:t xml:space="preserve">(OD1 and OD2) </w:t>
      </w:r>
      <w:r w:rsidRPr="00CC59B4">
        <w:rPr>
          <w:rFonts w:eastAsia="Calibri"/>
        </w:rPr>
        <w:t xml:space="preserve">and </w:t>
      </w:r>
      <w:r>
        <w:rPr>
          <w:rFonts w:eastAsia="Calibri"/>
        </w:rPr>
        <w:t>the corresponding policies PD1</w:t>
      </w:r>
      <w:r w:rsidR="00005AC4">
        <w:rPr>
          <w:rFonts w:eastAsia="Calibri"/>
        </w:rPr>
        <w:t>–</w:t>
      </w:r>
      <w:r>
        <w:rPr>
          <w:rFonts w:eastAsia="Calibri"/>
        </w:rPr>
        <w:t>PD9</w:t>
      </w:r>
      <w:r w:rsidRPr="00CC59B4">
        <w:rPr>
          <w:rFonts w:eastAsia="Calibri"/>
        </w:rPr>
        <w:t>.</w:t>
      </w:r>
      <w:r w:rsidR="000A1CCC">
        <w:rPr>
          <w:rFonts w:eastAsia="Calibri"/>
        </w:rPr>
        <w:t xml:space="preserve"> </w:t>
      </w:r>
      <w:r>
        <w:rPr>
          <w:rFonts w:eastAsia="Calibri"/>
        </w:rPr>
        <w:t>The majority of submissions on responsive planning (74</w:t>
      </w:r>
      <w:r w:rsidR="00005AC4">
        <w:rPr>
          <w:rFonts w:eastAsia="Calibri"/>
        </w:rPr>
        <w:t xml:space="preserve"> per cent</w:t>
      </w:r>
      <w:r>
        <w:rPr>
          <w:rFonts w:eastAsia="Calibri"/>
        </w:rPr>
        <w:t xml:space="preserve">) were received from </w:t>
      </w:r>
      <w:r w:rsidR="00005AC4">
        <w:rPr>
          <w:rFonts w:eastAsia="Calibri"/>
        </w:rPr>
        <w:t>l</w:t>
      </w:r>
      <w:r>
        <w:rPr>
          <w:rFonts w:eastAsia="Calibri"/>
        </w:rPr>
        <w:t xml:space="preserve">ocal </w:t>
      </w:r>
      <w:r w:rsidR="00005AC4">
        <w:rPr>
          <w:rFonts w:eastAsia="Calibri"/>
        </w:rPr>
        <w:t>a</w:t>
      </w:r>
      <w:r>
        <w:rPr>
          <w:rFonts w:eastAsia="Calibri"/>
        </w:rPr>
        <w:t xml:space="preserve">uthorities, </w:t>
      </w:r>
      <w:r w:rsidR="00005AC4">
        <w:rPr>
          <w:rFonts w:eastAsia="Calibri"/>
        </w:rPr>
        <w:t>o</w:t>
      </w:r>
      <w:r>
        <w:rPr>
          <w:rFonts w:eastAsia="Calibri"/>
        </w:rPr>
        <w:t xml:space="preserve">ther </w:t>
      </w:r>
      <w:r w:rsidR="00005AC4">
        <w:rPr>
          <w:rFonts w:eastAsia="Calibri"/>
        </w:rPr>
        <w:t>l</w:t>
      </w:r>
      <w:r>
        <w:rPr>
          <w:rFonts w:eastAsia="Calibri"/>
        </w:rPr>
        <w:t xml:space="preserve">ocal </w:t>
      </w:r>
      <w:r w:rsidR="00005AC4">
        <w:rPr>
          <w:rFonts w:eastAsia="Calibri"/>
        </w:rPr>
        <w:t>g</w:t>
      </w:r>
      <w:r>
        <w:rPr>
          <w:rFonts w:eastAsia="Calibri"/>
        </w:rPr>
        <w:t xml:space="preserve">overnment, </w:t>
      </w:r>
      <w:r w:rsidR="00005AC4">
        <w:rPr>
          <w:rFonts w:eastAsia="Calibri"/>
        </w:rPr>
        <w:t>i</w:t>
      </w:r>
      <w:r>
        <w:rPr>
          <w:rFonts w:eastAsia="Calibri"/>
        </w:rPr>
        <w:t xml:space="preserve">nfrastructure </w:t>
      </w:r>
      <w:r w:rsidR="00005AC4">
        <w:rPr>
          <w:rFonts w:eastAsia="Calibri"/>
        </w:rPr>
        <w:t>p</w:t>
      </w:r>
      <w:r>
        <w:rPr>
          <w:rFonts w:eastAsia="Calibri"/>
        </w:rPr>
        <w:t xml:space="preserve">roviders and the </w:t>
      </w:r>
      <w:r w:rsidR="00005AC4">
        <w:rPr>
          <w:rFonts w:eastAsia="Calibri"/>
        </w:rPr>
        <w:t>d</w:t>
      </w:r>
      <w:r>
        <w:rPr>
          <w:rFonts w:eastAsia="Calibri"/>
        </w:rPr>
        <w:t xml:space="preserve">evelopment </w:t>
      </w:r>
      <w:r w:rsidR="00005AC4">
        <w:rPr>
          <w:rFonts w:eastAsia="Calibri"/>
        </w:rPr>
        <w:t>s</w:t>
      </w:r>
      <w:r>
        <w:rPr>
          <w:rFonts w:eastAsia="Calibri"/>
        </w:rPr>
        <w:t>ector.</w:t>
      </w:r>
    </w:p>
    <w:p w:rsidR="00CF4D7E" w:rsidRDefault="00CF4D7E" w:rsidP="00E13D6B">
      <w:pPr>
        <w:pStyle w:val="Heading3"/>
        <w:rPr>
          <w:rFonts w:ascii="Arial Black" w:hAnsi="Arial Black"/>
          <w:i/>
          <w:sz w:val="20"/>
          <w:szCs w:val="20"/>
        </w:rPr>
      </w:pPr>
      <w:r w:rsidRPr="00C22439">
        <w:t>Objectives OD1 and OD2</w:t>
      </w:r>
      <w:r w:rsidR="00173B4F">
        <w:t xml:space="preserve">: </w:t>
      </w:r>
      <w:r w:rsidR="00005AC4">
        <w:t>E</w:t>
      </w:r>
      <w:r w:rsidR="00173B4F">
        <w:t>nsuring planning responsiveness</w:t>
      </w:r>
    </w:p>
    <w:p w:rsidR="00022976" w:rsidRDefault="00CF4D7E" w:rsidP="00E13D6B">
      <w:pPr>
        <w:pStyle w:val="BodyText"/>
        <w:rPr>
          <w:rFonts w:eastAsia="Calibri"/>
        </w:rPr>
      </w:pPr>
      <w:r>
        <w:rPr>
          <w:rFonts w:eastAsia="Calibri"/>
        </w:rPr>
        <w:t xml:space="preserve">There was overall support </w:t>
      </w:r>
      <w:r w:rsidR="00C04054">
        <w:rPr>
          <w:rFonts w:eastAsia="Calibri"/>
        </w:rPr>
        <w:t xml:space="preserve">from </w:t>
      </w:r>
      <w:r>
        <w:rPr>
          <w:rFonts w:eastAsia="Calibri"/>
        </w:rPr>
        <w:t>all submitters for the intention of the objectives</w:t>
      </w:r>
      <w:r w:rsidR="00022976">
        <w:rPr>
          <w:rFonts w:eastAsia="Calibri"/>
        </w:rPr>
        <w:t xml:space="preserve"> </w:t>
      </w:r>
      <w:r w:rsidR="00C04054">
        <w:rPr>
          <w:rFonts w:eastAsia="Calibri"/>
        </w:rPr>
        <w:t>in</w:t>
      </w:r>
      <w:r w:rsidR="00022976">
        <w:rPr>
          <w:rFonts w:eastAsia="Calibri"/>
        </w:rPr>
        <w:t xml:space="preserve"> enabling urban development through planning decisions and planning responsiveness to market activity over the short, medium and long</w:t>
      </w:r>
      <w:r w:rsidR="00C04054">
        <w:rPr>
          <w:rFonts w:eastAsia="Calibri"/>
        </w:rPr>
        <w:t xml:space="preserve"> </w:t>
      </w:r>
      <w:r w:rsidR="00022976">
        <w:rPr>
          <w:rFonts w:eastAsia="Calibri"/>
        </w:rPr>
        <w:t>terms</w:t>
      </w:r>
      <w:r>
        <w:rPr>
          <w:rFonts w:eastAsia="Calibri"/>
        </w:rPr>
        <w:t>.</w:t>
      </w:r>
      <w:r w:rsidR="000A1CCC">
        <w:rPr>
          <w:rFonts w:eastAsia="Calibri"/>
        </w:rPr>
        <w:t xml:space="preserve"> </w:t>
      </w:r>
    </w:p>
    <w:p w:rsidR="00CF4D7E" w:rsidRDefault="00CF4D7E" w:rsidP="00E13D6B">
      <w:pPr>
        <w:pStyle w:val="BodyText"/>
        <w:rPr>
          <w:rFonts w:eastAsia="Calibri"/>
        </w:rPr>
      </w:pPr>
      <w:r>
        <w:rPr>
          <w:rFonts w:eastAsia="Calibri"/>
        </w:rPr>
        <w:t xml:space="preserve">Contrasts in opinion on how they might be amended were again evident between </w:t>
      </w:r>
      <w:r w:rsidR="00C04054">
        <w:rPr>
          <w:rFonts w:eastAsia="Calibri"/>
        </w:rPr>
        <w:t>l</w:t>
      </w:r>
      <w:r>
        <w:rPr>
          <w:rFonts w:eastAsia="Calibri"/>
        </w:rPr>
        <w:t xml:space="preserve">ocal </w:t>
      </w:r>
      <w:r w:rsidR="00C04054">
        <w:rPr>
          <w:rFonts w:eastAsia="Calibri"/>
        </w:rPr>
        <w:t>a</w:t>
      </w:r>
      <w:r>
        <w:rPr>
          <w:rFonts w:eastAsia="Calibri"/>
        </w:rPr>
        <w:t xml:space="preserve">uthorities and the </w:t>
      </w:r>
      <w:r w:rsidR="00C04054">
        <w:rPr>
          <w:rFonts w:eastAsia="Calibri"/>
        </w:rPr>
        <w:t>d</w:t>
      </w:r>
      <w:r>
        <w:rPr>
          <w:rFonts w:eastAsia="Calibri"/>
        </w:rPr>
        <w:t xml:space="preserve">evelopment </w:t>
      </w:r>
      <w:r w:rsidR="00C04054">
        <w:rPr>
          <w:rFonts w:eastAsia="Calibri"/>
        </w:rPr>
        <w:t>s</w:t>
      </w:r>
      <w:r>
        <w:rPr>
          <w:rFonts w:eastAsia="Calibri"/>
        </w:rPr>
        <w:t>ector, with councils generally seeking</w:t>
      </w:r>
      <w:r w:rsidRPr="004320DA">
        <w:rPr>
          <w:rFonts w:eastAsia="Calibri"/>
        </w:rPr>
        <w:t xml:space="preserve"> better alignment with the purpose of the </w:t>
      </w:r>
      <w:r w:rsidR="00C04054">
        <w:rPr>
          <w:rFonts w:eastAsia="Calibri"/>
        </w:rPr>
        <w:t>Resource Management Act 1991 (</w:t>
      </w:r>
      <w:r w:rsidRPr="004320DA">
        <w:rPr>
          <w:rFonts w:eastAsia="Calibri"/>
        </w:rPr>
        <w:t>RMA</w:t>
      </w:r>
      <w:r w:rsidR="00C04054">
        <w:rPr>
          <w:rFonts w:eastAsia="Calibri"/>
        </w:rPr>
        <w:t>)</w:t>
      </w:r>
      <w:r w:rsidRPr="004320DA">
        <w:rPr>
          <w:rFonts w:eastAsia="Calibri"/>
        </w:rPr>
        <w:t xml:space="preserve"> </w:t>
      </w:r>
      <w:r>
        <w:rPr>
          <w:rFonts w:eastAsia="Calibri"/>
        </w:rPr>
        <w:t>under OD1</w:t>
      </w:r>
      <w:r w:rsidR="00C04054">
        <w:rPr>
          <w:rFonts w:eastAsia="Calibri"/>
        </w:rPr>
        <w:t>,</w:t>
      </w:r>
      <w:r>
        <w:rPr>
          <w:rFonts w:eastAsia="Calibri"/>
        </w:rPr>
        <w:t xml:space="preserve"> while</w:t>
      </w:r>
      <w:r w:rsidRPr="004320DA">
        <w:rPr>
          <w:rFonts w:eastAsia="Calibri"/>
        </w:rPr>
        <w:t xml:space="preserve"> some developers submitt</w:t>
      </w:r>
      <w:r w:rsidR="00C04054">
        <w:rPr>
          <w:rFonts w:eastAsia="Calibri"/>
        </w:rPr>
        <w:t>ed</w:t>
      </w:r>
      <w:r w:rsidRPr="004320DA">
        <w:rPr>
          <w:rFonts w:eastAsia="Calibri"/>
        </w:rPr>
        <w:t xml:space="preserve"> that OD1 was irrelevant</w:t>
      </w:r>
      <w:r>
        <w:rPr>
          <w:rFonts w:eastAsia="Calibri"/>
        </w:rPr>
        <w:t xml:space="preserve"> or redundant given OA1 and OD2.</w:t>
      </w:r>
    </w:p>
    <w:p w:rsidR="00CF4D7E" w:rsidRPr="00E13D6B" w:rsidRDefault="00CF4D7E" w:rsidP="00B740F8">
      <w:pPr>
        <w:pStyle w:val="Quote"/>
      </w:pPr>
      <w:r w:rsidRPr="00E13D6B">
        <w:t>“Specifying different terms to cater to the market activity is difficult to achieve under current Schedule 1 RMA plan making provisions, let alone with the proposed streamlining or collaborative planning processes that may take even longer. Furthermore, the resource consent process is the tool available to allow for activity to be established where plan provisions do not allow it as a permitted activity. This tool has been used for more intensive development in rural areas of the Clutha District. Again the Council does not see the need for these objectives when other tools are available and where there is reliance on external matters for development to occur in certain timeframes.” Clutha District Council</w:t>
      </w:r>
    </w:p>
    <w:p w:rsidR="00CF4D7E" w:rsidRDefault="00CF4D7E" w:rsidP="00E13D6B">
      <w:pPr>
        <w:pStyle w:val="Heading3"/>
        <w:rPr>
          <w:rFonts w:ascii="Arial Black" w:hAnsi="Arial Black"/>
          <w:i/>
          <w:sz w:val="20"/>
          <w:szCs w:val="20"/>
        </w:rPr>
      </w:pPr>
      <w:r w:rsidRPr="00C22439">
        <w:t>Policies PD1</w:t>
      </w:r>
      <w:r w:rsidR="00C04054">
        <w:t>–</w:t>
      </w:r>
      <w:r w:rsidRPr="00C22439">
        <w:t xml:space="preserve">PD4: </w:t>
      </w:r>
      <w:r w:rsidR="00C04054">
        <w:t>R</w:t>
      </w:r>
      <w:r>
        <w:t>esponding to</w:t>
      </w:r>
      <w:r w:rsidRPr="00C22439">
        <w:t xml:space="preserve"> </w:t>
      </w:r>
      <w:r>
        <w:t>in</w:t>
      </w:r>
      <w:r w:rsidRPr="00C22439">
        <w:t>sufficient development capacity</w:t>
      </w:r>
    </w:p>
    <w:p w:rsidR="00CF4D7E" w:rsidRDefault="00CF4D7E" w:rsidP="00E13D6B">
      <w:pPr>
        <w:pStyle w:val="BodyText"/>
        <w:rPr>
          <w:rFonts w:eastAsia="Calibri"/>
        </w:rPr>
      </w:pPr>
      <w:r>
        <w:rPr>
          <w:rFonts w:eastAsia="Calibri"/>
        </w:rPr>
        <w:t xml:space="preserve">General comments on Policies PD1 to PD4 included feedback that the </w:t>
      </w:r>
      <w:r w:rsidR="00C04054">
        <w:rPr>
          <w:rFonts w:eastAsia="Calibri"/>
        </w:rPr>
        <w:t>National Policy Statement on Urban Development Capacity (NPS-UDC)</w:t>
      </w:r>
      <w:r>
        <w:rPr>
          <w:rFonts w:eastAsia="Calibri"/>
        </w:rPr>
        <w:t xml:space="preserve"> provides no incentive for local authorities to </w:t>
      </w:r>
      <w:r w:rsidR="00C04054">
        <w:rPr>
          <w:rFonts w:eastAsia="Calibri"/>
        </w:rPr>
        <w:t xml:space="preserve">respond </w:t>
      </w:r>
      <w:r>
        <w:rPr>
          <w:rFonts w:eastAsia="Calibri"/>
        </w:rPr>
        <w:t>quickly to insufficient capacity.</w:t>
      </w:r>
      <w:r w:rsidR="000A1CCC">
        <w:rPr>
          <w:rFonts w:eastAsia="Calibri"/>
        </w:rPr>
        <w:t xml:space="preserve"> </w:t>
      </w:r>
    </w:p>
    <w:p w:rsidR="00CF4D7E" w:rsidRDefault="00CF4D7E" w:rsidP="00E13D6B">
      <w:pPr>
        <w:pStyle w:val="BodyText"/>
        <w:rPr>
          <w:rFonts w:eastAsia="Calibri"/>
        </w:rPr>
      </w:pPr>
      <w:r>
        <w:rPr>
          <w:rFonts w:eastAsia="Calibri"/>
        </w:rPr>
        <w:t>Submissions were particularly interested in Policy PD2</w:t>
      </w:r>
      <w:r w:rsidR="00C04054">
        <w:rPr>
          <w:rFonts w:eastAsia="Calibri"/>
        </w:rPr>
        <w:t>,</w:t>
      </w:r>
      <w:r w:rsidR="00022976">
        <w:rPr>
          <w:rFonts w:eastAsia="Calibri"/>
        </w:rPr>
        <w:t xml:space="preserve"> </w:t>
      </w:r>
      <w:r w:rsidR="003D1809">
        <w:rPr>
          <w:rFonts w:eastAsia="Calibri"/>
        </w:rPr>
        <w:t xml:space="preserve">which requires local authorities to consider all options available to it under the </w:t>
      </w:r>
      <w:r w:rsidR="001D03F8">
        <w:rPr>
          <w:rFonts w:eastAsia="Calibri"/>
        </w:rPr>
        <w:t xml:space="preserve">Resource Management Act 1991 </w:t>
      </w:r>
      <w:r w:rsidR="003D1809">
        <w:rPr>
          <w:rFonts w:eastAsia="Calibri"/>
        </w:rPr>
        <w:t>to enable sufficient development capacity</w:t>
      </w:r>
      <w:r>
        <w:rPr>
          <w:rFonts w:eastAsia="Calibri"/>
        </w:rPr>
        <w:t>.</w:t>
      </w:r>
      <w:r w:rsidR="000A1CCC">
        <w:rPr>
          <w:rFonts w:eastAsia="Calibri"/>
        </w:rPr>
        <w:t xml:space="preserve"> </w:t>
      </w:r>
      <w:r>
        <w:rPr>
          <w:rFonts w:eastAsia="Calibri"/>
        </w:rPr>
        <w:t>Submission points on Policy PD2 included:</w:t>
      </w:r>
    </w:p>
    <w:p w:rsidR="00CF4D7E" w:rsidRDefault="00C04054" w:rsidP="00B740F8">
      <w:pPr>
        <w:pStyle w:val="Bullet"/>
        <w:ind w:left="397" w:hanging="397"/>
        <w:rPr>
          <w:rFonts w:eastAsia="Calibri"/>
        </w:rPr>
      </w:pPr>
      <w:r>
        <w:rPr>
          <w:rFonts w:eastAsia="Calibri"/>
        </w:rPr>
        <w:t>Both</w:t>
      </w:r>
      <w:r w:rsidR="00CF4D7E">
        <w:rPr>
          <w:rFonts w:eastAsia="Calibri"/>
        </w:rPr>
        <w:t xml:space="preserve"> support</w:t>
      </w:r>
      <w:r>
        <w:rPr>
          <w:rFonts w:eastAsia="Calibri"/>
        </w:rPr>
        <w:t xml:space="preserve"> for,</w:t>
      </w:r>
      <w:r w:rsidR="00CF4D7E">
        <w:rPr>
          <w:rFonts w:eastAsia="Calibri"/>
        </w:rPr>
        <w:t xml:space="preserve"> and opposition </w:t>
      </w:r>
      <w:r>
        <w:rPr>
          <w:rFonts w:eastAsia="Calibri"/>
        </w:rPr>
        <w:t xml:space="preserve">to, </w:t>
      </w:r>
      <w:r w:rsidR="00CF4D7E">
        <w:rPr>
          <w:rFonts w:eastAsia="Calibri"/>
        </w:rPr>
        <w:t xml:space="preserve">the ability </w:t>
      </w:r>
      <w:r>
        <w:rPr>
          <w:rFonts w:eastAsia="Calibri"/>
        </w:rPr>
        <w:t xml:space="preserve">for </w:t>
      </w:r>
      <w:r w:rsidR="00CF4D7E">
        <w:rPr>
          <w:rFonts w:eastAsia="Calibri"/>
        </w:rPr>
        <w:t xml:space="preserve">councils to </w:t>
      </w:r>
      <w:r w:rsidR="003D1809">
        <w:rPr>
          <w:rFonts w:eastAsia="Calibri"/>
        </w:rPr>
        <w:t xml:space="preserve">change provisions </w:t>
      </w:r>
      <w:r>
        <w:rPr>
          <w:rFonts w:eastAsia="Calibri"/>
        </w:rPr>
        <w:t>for</w:t>
      </w:r>
      <w:r w:rsidR="003D1809">
        <w:rPr>
          <w:rFonts w:eastAsia="Calibri"/>
        </w:rPr>
        <w:t xml:space="preserve"> notification of applications for resource consent</w:t>
      </w:r>
      <w:r w:rsidR="00CF4D7E">
        <w:rPr>
          <w:rFonts w:eastAsia="Calibri"/>
        </w:rPr>
        <w:t>.</w:t>
      </w:r>
      <w:r w:rsidR="000A1CCC">
        <w:rPr>
          <w:rFonts w:eastAsia="Calibri"/>
        </w:rPr>
        <w:t xml:space="preserve"> </w:t>
      </w:r>
      <w:r w:rsidR="00CF4D7E">
        <w:rPr>
          <w:rFonts w:eastAsia="Calibri"/>
        </w:rPr>
        <w:t>Whil</w:t>
      </w:r>
      <w:r>
        <w:rPr>
          <w:rFonts w:eastAsia="Calibri"/>
        </w:rPr>
        <w:t>e</w:t>
      </w:r>
      <w:r w:rsidR="00CF4D7E">
        <w:rPr>
          <w:rFonts w:eastAsia="Calibri"/>
        </w:rPr>
        <w:t xml:space="preserve"> councils welcomed this, </w:t>
      </w:r>
      <w:r>
        <w:rPr>
          <w:rFonts w:eastAsia="Calibri"/>
        </w:rPr>
        <w:t>i</w:t>
      </w:r>
      <w:r w:rsidR="00CF4D7E">
        <w:rPr>
          <w:rFonts w:eastAsia="Calibri"/>
        </w:rPr>
        <w:t xml:space="preserve">nfrastructure </w:t>
      </w:r>
      <w:r>
        <w:rPr>
          <w:rFonts w:eastAsia="Calibri"/>
        </w:rPr>
        <w:t>p</w:t>
      </w:r>
      <w:r w:rsidR="00CF4D7E">
        <w:rPr>
          <w:rFonts w:eastAsia="Calibri"/>
        </w:rPr>
        <w:t xml:space="preserve">roviders and developers were concerned </w:t>
      </w:r>
      <w:r>
        <w:rPr>
          <w:rFonts w:eastAsia="Calibri"/>
        </w:rPr>
        <w:t xml:space="preserve">about </w:t>
      </w:r>
      <w:r w:rsidR="00CF4D7E">
        <w:rPr>
          <w:rFonts w:eastAsia="Calibri"/>
        </w:rPr>
        <w:t>being excluded from</w:t>
      </w:r>
      <w:r w:rsidR="00022976">
        <w:rPr>
          <w:rFonts w:eastAsia="Calibri"/>
        </w:rPr>
        <w:t xml:space="preserve"> this</w:t>
      </w:r>
      <w:r w:rsidR="00DF2568">
        <w:rPr>
          <w:rFonts w:eastAsia="Calibri"/>
        </w:rPr>
        <w:t xml:space="preserve"> process</w:t>
      </w:r>
      <w:r w:rsidR="00CF4D7E">
        <w:rPr>
          <w:rFonts w:eastAsia="Calibri"/>
        </w:rPr>
        <w:t xml:space="preserve"> </w:t>
      </w:r>
      <w:r w:rsidR="00022976">
        <w:rPr>
          <w:rFonts w:eastAsia="Calibri"/>
        </w:rPr>
        <w:t>as potentially</w:t>
      </w:r>
      <w:r w:rsidR="00CF4D7E">
        <w:rPr>
          <w:rFonts w:eastAsia="Calibri"/>
        </w:rPr>
        <w:t xml:space="preserve"> affected part</w:t>
      </w:r>
      <w:r>
        <w:rPr>
          <w:rFonts w:eastAsia="Calibri"/>
        </w:rPr>
        <w:t>ies</w:t>
      </w:r>
      <w:r w:rsidR="00CF4D7E">
        <w:rPr>
          <w:rFonts w:eastAsia="Calibri"/>
        </w:rPr>
        <w:t>.</w:t>
      </w:r>
    </w:p>
    <w:p w:rsidR="00CF4D7E" w:rsidRDefault="00CF4D7E" w:rsidP="00B740F8">
      <w:pPr>
        <w:pStyle w:val="Bullet"/>
        <w:ind w:left="397" w:hanging="397"/>
        <w:rPr>
          <w:rFonts w:eastAsia="Calibri"/>
        </w:rPr>
      </w:pPr>
      <w:r>
        <w:rPr>
          <w:rFonts w:eastAsia="Calibri"/>
        </w:rPr>
        <w:t>Submi</w:t>
      </w:r>
      <w:r w:rsidR="004C3B11">
        <w:rPr>
          <w:rFonts w:eastAsia="Calibri"/>
        </w:rPr>
        <w:t>tter</w:t>
      </w:r>
      <w:r>
        <w:rPr>
          <w:rFonts w:eastAsia="Calibri"/>
        </w:rPr>
        <w:t>s also commented that the policy as drafted fails to recognise the importance of strategic planning documents under the Local Government Act</w:t>
      </w:r>
      <w:r w:rsidR="001D03F8">
        <w:rPr>
          <w:rFonts w:eastAsia="Calibri"/>
        </w:rPr>
        <w:t xml:space="preserve"> 2002</w:t>
      </w:r>
      <w:r>
        <w:rPr>
          <w:rFonts w:eastAsia="Calibri"/>
        </w:rPr>
        <w:t>, and the range of non-statutory mechanisms or options available under other acts</w:t>
      </w:r>
      <w:r w:rsidR="004C3B11">
        <w:rPr>
          <w:rFonts w:eastAsia="Calibri"/>
        </w:rPr>
        <w:t>,</w:t>
      </w:r>
      <w:r>
        <w:rPr>
          <w:rFonts w:eastAsia="Calibri"/>
        </w:rPr>
        <w:t xml:space="preserve"> such as the Canterbury Earthquake Recovery Act</w:t>
      </w:r>
      <w:r w:rsidR="001D03F8">
        <w:rPr>
          <w:rFonts w:eastAsia="Calibri"/>
        </w:rPr>
        <w:t xml:space="preserve"> 2011</w:t>
      </w:r>
      <w:r>
        <w:rPr>
          <w:rFonts w:eastAsia="Calibri"/>
        </w:rPr>
        <w:t>.</w:t>
      </w:r>
    </w:p>
    <w:p w:rsidR="00CF4D7E" w:rsidRPr="009B5F68" w:rsidRDefault="00CF4D7E" w:rsidP="00B740F8">
      <w:pPr>
        <w:pStyle w:val="Bullet"/>
        <w:ind w:left="397" w:hanging="397"/>
        <w:rPr>
          <w:rFonts w:eastAsia="Calibri"/>
        </w:rPr>
      </w:pPr>
      <w:r>
        <w:rPr>
          <w:rFonts w:eastAsia="Calibri"/>
        </w:rPr>
        <w:t>Submissions provided feedback on the</w:t>
      </w:r>
      <w:r w:rsidRPr="009B5F68">
        <w:rPr>
          <w:rFonts w:eastAsia="Calibri"/>
        </w:rPr>
        <w:t xml:space="preserve"> use of the words ‘customer-focused’</w:t>
      </w:r>
      <w:r w:rsidR="000F7E48">
        <w:rPr>
          <w:rFonts w:eastAsia="Calibri"/>
        </w:rPr>
        <w:t xml:space="preserve"> with regard to</w:t>
      </w:r>
      <w:r>
        <w:rPr>
          <w:rFonts w:eastAsia="Calibri"/>
        </w:rPr>
        <w:t xml:space="preserve"> consenting processes</w:t>
      </w:r>
      <w:r w:rsidR="000F7E48">
        <w:rPr>
          <w:rFonts w:eastAsia="Calibri"/>
        </w:rPr>
        <w:t>. S</w:t>
      </w:r>
      <w:r>
        <w:rPr>
          <w:rFonts w:eastAsia="Calibri"/>
        </w:rPr>
        <w:t>ome sought clarification on the intended meaning</w:t>
      </w:r>
      <w:r w:rsidR="000F7E48">
        <w:rPr>
          <w:rFonts w:eastAsia="Calibri"/>
        </w:rPr>
        <w:t>,</w:t>
      </w:r>
      <w:r>
        <w:rPr>
          <w:rFonts w:eastAsia="Calibri"/>
        </w:rPr>
        <w:t xml:space="preserve"> while other submitters felt that it would not impact on development capacity or change housing affordability. So</w:t>
      </w:r>
      <w:r w:rsidR="00022976">
        <w:rPr>
          <w:rFonts w:eastAsia="Calibri"/>
        </w:rPr>
        <w:t>m</w:t>
      </w:r>
      <w:r w:rsidR="003D1809">
        <w:rPr>
          <w:rFonts w:eastAsia="Calibri"/>
        </w:rPr>
        <w:t>e opposed the idea that develo</w:t>
      </w:r>
      <w:r>
        <w:rPr>
          <w:rFonts w:eastAsia="Calibri"/>
        </w:rPr>
        <w:t>p</w:t>
      </w:r>
      <w:r w:rsidR="003D1809">
        <w:rPr>
          <w:rFonts w:eastAsia="Calibri"/>
        </w:rPr>
        <w:t>e</w:t>
      </w:r>
      <w:r>
        <w:rPr>
          <w:rFonts w:eastAsia="Calibri"/>
        </w:rPr>
        <w:t xml:space="preserve">rs should be considered </w:t>
      </w:r>
      <w:r w:rsidR="000F7E48">
        <w:rPr>
          <w:rFonts w:eastAsia="Calibri"/>
        </w:rPr>
        <w:t>‘</w:t>
      </w:r>
      <w:r>
        <w:rPr>
          <w:rFonts w:eastAsia="Calibri"/>
        </w:rPr>
        <w:t>customers</w:t>
      </w:r>
      <w:r w:rsidR="000F7E48">
        <w:rPr>
          <w:rFonts w:eastAsia="Calibri"/>
        </w:rPr>
        <w:t>’</w:t>
      </w:r>
      <w:r>
        <w:rPr>
          <w:rFonts w:eastAsia="Calibri"/>
        </w:rPr>
        <w:t>.</w:t>
      </w:r>
    </w:p>
    <w:p w:rsidR="00CF4D7E" w:rsidRPr="00E13D6B" w:rsidRDefault="00CF4D7E" w:rsidP="00B740F8">
      <w:pPr>
        <w:pStyle w:val="Quote"/>
      </w:pPr>
      <w:r w:rsidRPr="00E13D6B">
        <w:rPr>
          <w:rFonts w:cs="Arial"/>
        </w:rPr>
        <w:t>“</w:t>
      </w:r>
      <w:r w:rsidRPr="00E13D6B">
        <w:rPr>
          <w:lang w:val="en-US"/>
        </w:rPr>
        <w:t>Changes to notification provisions of district plans and regional policy statements in order to enable sufficient development capacity, pursuant to policy PD2, may result in situations where parties who are affected by a proposal lose out on the opportunity to participate</w:t>
      </w:r>
      <w:r w:rsidRPr="00E13D6B">
        <w:t>.”</w:t>
      </w:r>
      <w:r w:rsidR="000A1CCC">
        <w:t xml:space="preserve"> </w:t>
      </w:r>
      <w:r w:rsidRPr="00E13D6B">
        <w:t>KiwiRail Holdings Limited</w:t>
      </w:r>
    </w:p>
    <w:p w:rsidR="00CF4D7E" w:rsidRPr="00E13D6B" w:rsidRDefault="00CF4D7E" w:rsidP="00B740F8">
      <w:pPr>
        <w:pStyle w:val="Quote"/>
      </w:pPr>
      <w:r w:rsidRPr="00E13D6B">
        <w:t>“It is not clear on what kinds of enabling options are envisaged, nor how such consent conditions would help enable development capacity.</w:t>
      </w:r>
      <w:r w:rsidR="000A1CCC">
        <w:t xml:space="preserve"> </w:t>
      </w:r>
      <w:r w:rsidRPr="00E13D6B">
        <w:t>Sections 108 and 220 RMA already provide for consent conditions and there is an established body of case law.”</w:t>
      </w:r>
      <w:r w:rsidR="000A1CCC">
        <w:t xml:space="preserve"> </w:t>
      </w:r>
      <w:r w:rsidRPr="00E13D6B">
        <w:t>Environment Canterbury</w:t>
      </w:r>
    </w:p>
    <w:p w:rsidR="00CF4D7E" w:rsidRDefault="00CF4D7E" w:rsidP="00E13D6B">
      <w:pPr>
        <w:pStyle w:val="Heading3"/>
      </w:pPr>
      <w:r w:rsidRPr="00C22439">
        <w:t>Policies PD5 and PD6:</w:t>
      </w:r>
      <w:r w:rsidR="000A1CCC">
        <w:t xml:space="preserve"> </w:t>
      </w:r>
      <w:r>
        <w:t xml:space="preserve">Setting </w:t>
      </w:r>
      <w:r w:rsidR="001D03F8">
        <w:t>regional policy statement</w:t>
      </w:r>
      <w:r w:rsidRPr="00C22439">
        <w:t xml:space="preserve"> targets</w:t>
      </w:r>
    </w:p>
    <w:p w:rsidR="00CF4D7E" w:rsidRPr="00B97488" w:rsidRDefault="00CF4D7E" w:rsidP="00E13D6B">
      <w:pPr>
        <w:pStyle w:val="BodyText"/>
        <w:rPr>
          <w:rFonts w:cs="Arial"/>
          <w:i/>
          <w:color w:val="333333"/>
          <w:sz w:val="20"/>
          <w:szCs w:val="20"/>
        </w:rPr>
      </w:pPr>
      <w:r>
        <w:rPr>
          <w:rFonts w:eastAsia="Calibri"/>
        </w:rPr>
        <w:t xml:space="preserve">Some submitters commented that the requirements should apply to </w:t>
      </w:r>
      <w:r w:rsidR="000F7E48">
        <w:rPr>
          <w:rFonts w:eastAsia="Calibri"/>
        </w:rPr>
        <w:t>b</w:t>
      </w:r>
      <w:r>
        <w:rPr>
          <w:rFonts w:eastAsia="Calibri"/>
        </w:rPr>
        <w:t xml:space="preserve">usiness </w:t>
      </w:r>
      <w:r w:rsidR="000F7E48">
        <w:rPr>
          <w:rFonts w:eastAsia="Calibri"/>
        </w:rPr>
        <w:t>l</w:t>
      </w:r>
      <w:r>
        <w:rPr>
          <w:rFonts w:eastAsia="Calibri"/>
        </w:rPr>
        <w:t xml:space="preserve">and as well </w:t>
      </w:r>
      <w:r w:rsidR="000F7E48">
        <w:rPr>
          <w:rFonts w:eastAsia="Calibri"/>
        </w:rPr>
        <w:t>as h</w:t>
      </w:r>
      <w:r>
        <w:rPr>
          <w:rFonts w:eastAsia="Calibri"/>
        </w:rPr>
        <w:t>ousing.</w:t>
      </w:r>
      <w:r w:rsidR="000A1CCC">
        <w:rPr>
          <w:rFonts w:eastAsia="Calibri"/>
        </w:rPr>
        <w:t xml:space="preserve"> </w:t>
      </w:r>
      <w:r>
        <w:rPr>
          <w:rFonts w:eastAsia="Calibri"/>
        </w:rPr>
        <w:t xml:space="preserve">Other submissions, particularly </w:t>
      </w:r>
      <w:r w:rsidR="000F7E48">
        <w:rPr>
          <w:rFonts w:eastAsia="Calibri"/>
        </w:rPr>
        <w:t xml:space="preserve">from </w:t>
      </w:r>
      <w:r>
        <w:rPr>
          <w:rFonts w:eastAsia="Calibri"/>
        </w:rPr>
        <w:t>local government bodies</w:t>
      </w:r>
      <w:r w:rsidR="000F7E48">
        <w:rPr>
          <w:rFonts w:eastAsia="Calibri"/>
        </w:rPr>
        <w:t>,</w:t>
      </w:r>
      <w:r>
        <w:rPr>
          <w:rFonts w:eastAsia="Calibri"/>
        </w:rPr>
        <w:t xml:space="preserve"> support</w:t>
      </w:r>
      <w:r w:rsidR="000F7E48">
        <w:rPr>
          <w:rFonts w:eastAsia="Calibri"/>
        </w:rPr>
        <w:t>ed</w:t>
      </w:r>
      <w:r>
        <w:rPr>
          <w:rFonts w:eastAsia="Calibri"/>
        </w:rPr>
        <w:t xml:space="preserve"> the targets and the approach of not using the RMA consultation process in Schedule 1 to set these targets and put them in regional policy statements. (</w:t>
      </w:r>
      <w:r w:rsidR="000F7E48">
        <w:rPr>
          <w:rFonts w:eastAsia="Calibri"/>
        </w:rPr>
        <w:t>S</w:t>
      </w:r>
      <w:r>
        <w:rPr>
          <w:rFonts w:eastAsia="Calibri"/>
        </w:rPr>
        <w:t>ome territorial authorities also wanted the ability to give effect to the RPS targets without going through the Schedule 1 process</w:t>
      </w:r>
      <w:r w:rsidR="000F7E48">
        <w:rPr>
          <w:rFonts w:eastAsia="Calibri"/>
        </w:rPr>
        <w:t>.</w:t>
      </w:r>
      <w:r>
        <w:rPr>
          <w:rFonts w:eastAsia="Calibri"/>
        </w:rPr>
        <w:t>)</w:t>
      </w:r>
    </w:p>
    <w:p w:rsidR="00CF4D7E" w:rsidRPr="00FD691A" w:rsidRDefault="00CF4D7E" w:rsidP="00E13D6B">
      <w:pPr>
        <w:pStyle w:val="BodyText"/>
        <w:rPr>
          <w:rFonts w:eastAsia="Calibri"/>
        </w:rPr>
      </w:pPr>
      <w:r w:rsidRPr="00FD691A">
        <w:rPr>
          <w:rFonts w:eastAsia="Calibri"/>
        </w:rPr>
        <w:t>“LGNZ supports the targets required in PD5 being incorporated into regional policy statements without using the RMA Schedule 1 process. LGNZ has consistently recommended the use of these provisions to expedite the planning process in relation to national policy instruments. Clearly the Housing Assessments and the targets would have to be set jointly with the local authorities having jurisdiction over a high growth area.”</w:t>
      </w:r>
      <w:r>
        <w:rPr>
          <w:rFonts w:eastAsia="Calibri"/>
        </w:rPr>
        <w:t xml:space="preserve"> Local Government New Zealand</w:t>
      </w:r>
    </w:p>
    <w:p w:rsidR="00CF4D7E" w:rsidRDefault="00CF4D7E" w:rsidP="00E13D6B">
      <w:pPr>
        <w:pStyle w:val="Heading3"/>
      </w:pPr>
      <w:r w:rsidRPr="00C22439">
        <w:t>Policies PD7</w:t>
      </w:r>
      <w:r w:rsidR="0059188C">
        <w:t>–</w:t>
      </w:r>
      <w:r w:rsidRPr="00C22439">
        <w:t>PD9:</w:t>
      </w:r>
      <w:r w:rsidR="000A1CCC">
        <w:t xml:space="preserve"> </w:t>
      </w:r>
      <w:r w:rsidR="0059188C">
        <w:t>F</w:t>
      </w:r>
      <w:r w:rsidRPr="00C22439">
        <w:t>uture land release and intensification strategy</w:t>
      </w:r>
    </w:p>
    <w:p w:rsidR="00CF4D7E" w:rsidRDefault="00442623" w:rsidP="00E13D6B">
      <w:pPr>
        <w:pStyle w:val="BodyText"/>
        <w:rPr>
          <w:rFonts w:eastAsia="Calibri"/>
        </w:rPr>
      </w:pPr>
      <w:r>
        <w:rPr>
          <w:rFonts w:eastAsia="Calibri"/>
        </w:rPr>
        <w:t>In relation to the requirements of a future land release and intensification strategy under Policies PD7–PD9, t</w:t>
      </w:r>
      <w:r w:rsidR="00D91564">
        <w:rPr>
          <w:rFonts w:eastAsia="Calibri"/>
        </w:rPr>
        <w:t>here was</w:t>
      </w:r>
      <w:r w:rsidR="00C07383">
        <w:rPr>
          <w:rFonts w:eastAsia="Calibri"/>
        </w:rPr>
        <w:t xml:space="preserve"> general support for authorities to identify develop</w:t>
      </w:r>
      <w:r w:rsidR="003D1809">
        <w:rPr>
          <w:rFonts w:eastAsia="Calibri"/>
        </w:rPr>
        <w:t>ment</w:t>
      </w:r>
      <w:r w:rsidR="00C07383">
        <w:rPr>
          <w:rFonts w:eastAsia="Calibri"/>
        </w:rPr>
        <w:t xml:space="preserve"> capacity over the long</w:t>
      </w:r>
      <w:r w:rsidR="00D91564">
        <w:rPr>
          <w:rFonts w:eastAsia="Calibri"/>
        </w:rPr>
        <w:t xml:space="preserve"> </w:t>
      </w:r>
      <w:r w:rsidR="00C07383">
        <w:rPr>
          <w:rFonts w:eastAsia="Calibri"/>
        </w:rPr>
        <w:t>term.</w:t>
      </w:r>
      <w:r w:rsidR="000A1CCC">
        <w:rPr>
          <w:rFonts w:eastAsia="Calibri"/>
        </w:rPr>
        <w:t xml:space="preserve"> </w:t>
      </w:r>
      <w:r>
        <w:rPr>
          <w:rFonts w:eastAsia="Calibri"/>
        </w:rPr>
        <w:t>C</w:t>
      </w:r>
      <w:r w:rsidR="00C07383">
        <w:rPr>
          <w:rFonts w:eastAsia="Calibri"/>
        </w:rPr>
        <w:t>omments</w:t>
      </w:r>
      <w:r w:rsidR="00CF4D7E">
        <w:rPr>
          <w:rFonts w:eastAsia="Calibri"/>
        </w:rPr>
        <w:t xml:space="preserve"> </w:t>
      </w:r>
      <w:r>
        <w:rPr>
          <w:rFonts w:eastAsia="Calibri"/>
        </w:rPr>
        <w:t xml:space="preserve">mainly </w:t>
      </w:r>
      <w:r w:rsidR="00CF4D7E">
        <w:rPr>
          <w:rFonts w:eastAsia="Calibri"/>
        </w:rPr>
        <w:t>focused on the status of such a strategy, the consultation process for its development</w:t>
      </w:r>
      <w:r>
        <w:rPr>
          <w:rFonts w:eastAsia="Calibri"/>
        </w:rPr>
        <w:t>,</w:t>
      </w:r>
      <w:r w:rsidR="00CF4D7E">
        <w:rPr>
          <w:rFonts w:eastAsia="Calibri"/>
        </w:rPr>
        <w:t xml:space="preserve"> and the ability of plan changes to give effect to the strategy.</w:t>
      </w:r>
    </w:p>
    <w:p w:rsidR="00CF4D7E" w:rsidRDefault="00CF4D7E" w:rsidP="00B740F8">
      <w:pPr>
        <w:pStyle w:val="Bullet"/>
        <w:ind w:left="397" w:hanging="397"/>
        <w:rPr>
          <w:rFonts w:eastAsia="Calibri"/>
        </w:rPr>
      </w:pPr>
      <w:r>
        <w:rPr>
          <w:rFonts w:eastAsia="Calibri"/>
        </w:rPr>
        <w:t>Submitters were unclear</w:t>
      </w:r>
      <w:r w:rsidRPr="00A33592">
        <w:rPr>
          <w:rFonts w:eastAsia="Calibri"/>
        </w:rPr>
        <w:t xml:space="preserve"> on the role of the strategy in the overall planning framework</w:t>
      </w:r>
      <w:r>
        <w:rPr>
          <w:rFonts w:eastAsia="Calibri"/>
        </w:rPr>
        <w:t>.</w:t>
      </w:r>
      <w:r w:rsidR="000A1CCC">
        <w:rPr>
          <w:rFonts w:eastAsia="Calibri"/>
        </w:rPr>
        <w:t xml:space="preserve"> </w:t>
      </w:r>
      <w:r>
        <w:rPr>
          <w:rFonts w:eastAsia="Calibri"/>
        </w:rPr>
        <w:t xml:space="preserve">Local </w:t>
      </w:r>
      <w:r w:rsidR="00695D51">
        <w:rPr>
          <w:rFonts w:eastAsia="Calibri"/>
        </w:rPr>
        <w:t>a</w:t>
      </w:r>
      <w:r>
        <w:rPr>
          <w:rFonts w:eastAsia="Calibri"/>
        </w:rPr>
        <w:t xml:space="preserve">uthorities asked for clarity on where responsibility for preparing the strategy rests – with either regional councils or with territorial local authorities </w:t>
      </w:r>
      <w:r w:rsidR="00695D51">
        <w:rPr>
          <w:rFonts w:eastAsia="Calibri"/>
        </w:rPr>
        <w:t>–</w:t>
      </w:r>
      <w:r>
        <w:rPr>
          <w:rFonts w:eastAsia="Calibri"/>
        </w:rPr>
        <w:t xml:space="preserve"> and whether the strategy is intended to sit alongside statutory RMA plans, the 30-year infrastructure plan</w:t>
      </w:r>
      <w:r w:rsidR="00085142">
        <w:rPr>
          <w:rFonts w:eastAsia="Calibri"/>
        </w:rPr>
        <w:t>,</w:t>
      </w:r>
      <w:r w:rsidR="009378EF">
        <w:rPr>
          <w:rFonts w:eastAsia="Calibri"/>
        </w:rPr>
        <w:t xml:space="preserve"> and long-term p</w:t>
      </w:r>
      <w:r>
        <w:rPr>
          <w:rFonts w:eastAsia="Calibri"/>
        </w:rPr>
        <w:t>lans.</w:t>
      </w:r>
    </w:p>
    <w:p w:rsidR="00CF4D7E" w:rsidRDefault="00CF4D7E" w:rsidP="00B740F8">
      <w:pPr>
        <w:pStyle w:val="Bullet"/>
        <w:ind w:left="397" w:hanging="397"/>
        <w:rPr>
          <w:rFonts w:eastAsia="Calibri"/>
        </w:rPr>
      </w:pPr>
      <w:r>
        <w:rPr>
          <w:rFonts w:eastAsia="Calibri"/>
        </w:rPr>
        <w:t xml:space="preserve">Some submissions, particularly from </w:t>
      </w:r>
      <w:r w:rsidR="00085142">
        <w:rPr>
          <w:rFonts w:eastAsia="Calibri"/>
        </w:rPr>
        <w:t>the d</w:t>
      </w:r>
      <w:r>
        <w:rPr>
          <w:rFonts w:eastAsia="Calibri"/>
        </w:rPr>
        <w:t xml:space="preserve">evelopment </w:t>
      </w:r>
      <w:r w:rsidR="00085142">
        <w:rPr>
          <w:rFonts w:eastAsia="Calibri"/>
        </w:rPr>
        <w:t>s</w:t>
      </w:r>
      <w:r>
        <w:rPr>
          <w:rFonts w:eastAsia="Calibri"/>
        </w:rPr>
        <w:t xml:space="preserve">ector and </w:t>
      </w:r>
      <w:r w:rsidR="00085142">
        <w:rPr>
          <w:rFonts w:eastAsia="Calibri"/>
        </w:rPr>
        <w:t>i</w:t>
      </w:r>
      <w:r>
        <w:rPr>
          <w:rFonts w:eastAsia="Calibri"/>
        </w:rPr>
        <w:t xml:space="preserve">nfrastructure </w:t>
      </w:r>
      <w:r w:rsidR="00085142">
        <w:rPr>
          <w:rFonts w:eastAsia="Calibri"/>
        </w:rPr>
        <w:t>p</w:t>
      </w:r>
      <w:r>
        <w:rPr>
          <w:rFonts w:eastAsia="Calibri"/>
        </w:rPr>
        <w:t>roviders</w:t>
      </w:r>
      <w:r w:rsidR="00085142">
        <w:rPr>
          <w:rFonts w:eastAsia="Calibri"/>
        </w:rPr>
        <w:t>’</w:t>
      </w:r>
      <w:r>
        <w:rPr>
          <w:rFonts w:eastAsia="Calibri"/>
        </w:rPr>
        <w:t xml:space="preserve"> responses, were concerned that PD9, the consultation process for preparing the future land release and intensification strategy, requires councils to ‘take into account the views’</w:t>
      </w:r>
      <w:r w:rsidR="00085142">
        <w:rPr>
          <w:rFonts w:eastAsia="Calibri"/>
        </w:rPr>
        <w:t>,</w:t>
      </w:r>
      <w:r>
        <w:rPr>
          <w:rFonts w:eastAsia="Calibri"/>
        </w:rPr>
        <w:t xml:space="preserve"> rather than requiring consultation with parties affected by the strategy.</w:t>
      </w:r>
    </w:p>
    <w:p w:rsidR="00CF4D7E" w:rsidRPr="00E13D6B" w:rsidRDefault="00CF4D7E" w:rsidP="00B740F8">
      <w:pPr>
        <w:pStyle w:val="Quote"/>
      </w:pPr>
      <w:r w:rsidRPr="00E13D6B">
        <w:t>”It is not clear if the land release and intensification strategy is a document prepared under the RMA or the LGA and if it is to be a strategy that is prepared by the regional council or local councils.</w:t>
      </w:r>
      <w:r w:rsidR="000A1CCC">
        <w:t xml:space="preserve"> </w:t>
      </w:r>
      <w:r w:rsidRPr="00E13D6B">
        <w:t>This strategy should be prepared under the LGA by local councils as part of the spatial planning requirement.” Hill Young Cooper Ltd</w:t>
      </w:r>
    </w:p>
    <w:p w:rsidR="00CF4D7E" w:rsidRPr="00E13D6B" w:rsidRDefault="00CF4D7E" w:rsidP="00B740F8">
      <w:pPr>
        <w:pStyle w:val="Quote"/>
      </w:pPr>
      <w:r w:rsidRPr="00E13D6B">
        <w:t>“Ngāi Tahu considers it is critically important that the views of relevant stakeholders, iwi authorities and those potentially affected by any change in use have an opportunity to be heard.</w:t>
      </w:r>
      <w:r w:rsidR="000A1CCC">
        <w:t xml:space="preserve"> </w:t>
      </w:r>
      <w:r w:rsidRPr="00E13D6B">
        <w:t>Consultation with affected parties is a key principle of the resource management framework and the NPS should be consistent with this framework.”</w:t>
      </w:r>
      <w:r w:rsidR="000A1CCC">
        <w:t xml:space="preserve"> </w:t>
      </w:r>
      <w:r w:rsidRPr="00E13D6B">
        <w:t>Ngāi Tahu Property Limited</w:t>
      </w:r>
    </w:p>
    <w:p w:rsidR="00CF4D7E" w:rsidRPr="00E13D6B" w:rsidRDefault="00CF4D7E" w:rsidP="00B740F8">
      <w:pPr>
        <w:pStyle w:val="Quote"/>
      </w:pPr>
      <w:r w:rsidRPr="00E13D6B">
        <w:t>“The council suggests the policy could be reworded under the second bullet point to state “Consider the views, supported by evidence from…”.</w:t>
      </w:r>
      <w:r w:rsidR="000A1CCC">
        <w:t xml:space="preserve"> </w:t>
      </w:r>
      <w:r w:rsidRPr="00E13D6B">
        <w:t>Robust evidence underpins many of the objectives in the proposed NPSUDC which should apply to all stakeholders implementing PDs 5-9.”</w:t>
      </w:r>
      <w:r w:rsidR="000A1CCC">
        <w:t xml:space="preserve"> </w:t>
      </w:r>
      <w:r w:rsidRPr="00E13D6B">
        <w:t>Auckland Council</w:t>
      </w:r>
    </w:p>
    <w:p w:rsidR="00CF4D7E" w:rsidRPr="008146BC" w:rsidRDefault="00CF4D7E" w:rsidP="00E13D6B">
      <w:pPr>
        <w:pStyle w:val="Heading2"/>
        <w:rPr>
          <w:rFonts w:eastAsia="Calibri" w:cs="Calibri"/>
        </w:rPr>
      </w:pPr>
      <w:bookmarkStart w:id="18" w:name="_Toc461185725"/>
      <w:r w:rsidRPr="00C22439">
        <w:t xml:space="preserve">Implementation </w:t>
      </w:r>
      <w:r w:rsidR="007C2ADC">
        <w:t>p</w:t>
      </w:r>
      <w:r w:rsidRPr="00C22439">
        <w:t>rogramme</w:t>
      </w:r>
      <w:bookmarkEnd w:id="18"/>
    </w:p>
    <w:p w:rsidR="00CF4D7E" w:rsidRDefault="00CF4D7E" w:rsidP="00E13D6B">
      <w:pPr>
        <w:pStyle w:val="BodyText"/>
        <w:rPr>
          <w:rFonts w:eastAsia="Calibri"/>
        </w:rPr>
      </w:pPr>
      <w:r>
        <w:rPr>
          <w:rFonts w:eastAsia="Calibri"/>
        </w:rPr>
        <w:t xml:space="preserve">The </w:t>
      </w:r>
      <w:r w:rsidR="001424B0">
        <w:rPr>
          <w:rFonts w:eastAsia="Calibri"/>
        </w:rPr>
        <w:t>c</w:t>
      </w:r>
      <w:r>
        <w:rPr>
          <w:rFonts w:eastAsia="Calibri"/>
        </w:rPr>
        <w:t xml:space="preserve">onsultation </w:t>
      </w:r>
      <w:r w:rsidR="001424B0">
        <w:rPr>
          <w:rFonts w:eastAsia="Calibri"/>
        </w:rPr>
        <w:t>d</w:t>
      </w:r>
      <w:r>
        <w:rPr>
          <w:rFonts w:eastAsia="Calibri"/>
        </w:rPr>
        <w:t>ocument included a proposed package of non-statutory guidance and other implementation support</w:t>
      </w:r>
      <w:r w:rsidR="007C2ADC">
        <w:rPr>
          <w:rFonts w:eastAsia="Calibri"/>
        </w:rPr>
        <w:t>,</w:t>
      </w:r>
      <w:r>
        <w:rPr>
          <w:rFonts w:eastAsia="Calibri"/>
        </w:rPr>
        <w:t xml:space="preserve"> and asked the public for feedback.</w:t>
      </w:r>
      <w:r w:rsidR="000A1CCC">
        <w:rPr>
          <w:rFonts w:eastAsia="Calibri"/>
        </w:rPr>
        <w:t xml:space="preserve"> </w:t>
      </w:r>
      <w:r w:rsidR="00C07383">
        <w:rPr>
          <w:rFonts w:eastAsia="Calibri"/>
        </w:rPr>
        <w:t xml:space="preserve">Over </w:t>
      </w:r>
      <w:r w:rsidR="007C2ADC">
        <w:rPr>
          <w:rFonts w:eastAsia="Calibri"/>
        </w:rPr>
        <w:t xml:space="preserve">60 </w:t>
      </w:r>
      <w:r w:rsidR="00C07383">
        <w:rPr>
          <w:rFonts w:eastAsia="Calibri"/>
        </w:rPr>
        <w:t xml:space="preserve">submissions covered the </w:t>
      </w:r>
      <w:r w:rsidR="007C2ADC">
        <w:rPr>
          <w:rFonts w:eastAsia="Calibri"/>
        </w:rPr>
        <w:t>i</w:t>
      </w:r>
      <w:r w:rsidR="00C07383">
        <w:rPr>
          <w:rFonts w:eastAsia="Calibri"/>
        </w:rPr>
        <w:t xml:space="preserve">mplementation </w:t>
      </w:r>
      <w:r w:rsidR="007C2ADC">
        <w:rPr>
          <w:rFonts w:eastAsia="Calibri"/>
        </w:rPr>
        <w:t>p</w:t>
      </w:r>
      <w:r w:rsidR="00C07383">
        <w:rPr>
          <w:rFonts w:eastAsia="Calibri"/>
        </w:rPr>
        <w:t>rogramme in their response</w:t>
      </w:r>
      <w:r w:rsidR="007C2ADC">
        <w:rPr>
          <w:rFonts w:eastAsia="Calibri"/>
        </w:rPr>
        <w:t>,</w:t>
      </w:r>
      <w:r w:rsidR="00C07383">
        <w:rPr>
          <w:rFonts w:eastAsia="Calibri"/>
        </w:rPr>
        <w:t xml:space="preserve"> with l</w:t>
      </w:r>
      <w:r>
        <w:rPr>
          <w:rFonts w:eastAsia="Calibri"/>
        </w:rPr>
        <w:t>ocal government bodies and developers the most inclined to refer to guidance and implementation in their submission</w:t>
      </w:r>
      <w:r w:rsidR="007C2ADC">
        <w:rPr>
          <w:rFonts w:eastAsia="Calibri"/>
        </w:rPr>
        <w:t>s</w:t>
      </w:r>
      <w:r>
        <w:rPr>
          <w:rFonts w:eastAsia="Calibri"/>
        </w:rPr>
        <w:t>.</w:t>
      </w:r>
    </w:p>
    <w:p w:rsidR="007C2ADC" w:rsidRDefault="00CF4D7E" w:rsidP="00E13D6B">
      <w:pPr>
        <w:pStyle w:val="BodyText"/>
        <w:rPr>
          <w:rFonts w:eastAsia="Calibri"/>
        </w:rPr>
      </w:pPr>
      <w:r>
        <w:rPr>
          <w:rFonts w:eastAsia="Calibri"/>
        </w:rPr>
        <w:t xml:space="preserve">The key themes </w:t>
      </w:r>
      <w:r w:rsidR="007C2ADC">
        <w:rPr>
          <w:rFonts w:eastAsia="Calibri"/>
        </w:rPr>
        <w:t xml:space="preserve">that </w:t>
      </w:r>
      <w:r>
        <w:rPr>
          <w:rFonts w:eastAsia="Calibri"/>
        </w:rPr>
        <w:t xml:space="preserve">arose in responses </w:t>
      </w:r>
      <w:r w:rsidR="007C2ADC">
        <w:rPr>
          <w:rFonts w:eastAsia="Calibri"/>
        </w:rPr>
        <w:t>included the</w:t>
      </w:r>
      <w:r>
        <w:rPr>
          <w:rFonts w:eastAsia="Calibri"/>
        </w:rPr>
        <w:t xml:space="preserve">: </w:t>
      </w:r>
    </w:p>
    <w:p w:rsidR="007C2ADC" w:rsidRPr="00E13D6B" w:rsidRDefault="007C2ADC" w:rsidP="00B740F8">
      <w:pPr>
        <w:pStyle w:val="Bullet"/>
        <w:ind w:left="397" w:hanging="397"/>
        <w:rPr>
          <w:rFonts w:eastAsia="Calibri"/>
        </w:rPr>
      </w:pPr>
      <w:r w:rsidRPr="00E13D6B">
        <w:rPr>
          <w:rFonts w:eastAsia="Calibri"/>
        </w:rPr>
        <w:t xml:space="preserve">need </w:t>
      </w:r>
      <w:r w:rsidR="00CF4D7E" w:rsidRPr="00E13D6B">
        <w:rPr>
          <w:rFonts w:eastAsia="Calibri"/>
        </w:rPr>
        <w:t>for guidance for assessments and monitoring under the</w:t>
      </w:r>
      <w:r w:rsidR="00CB6BC7" w:rsidRPr="00E13D6B">
        <w:rPr>
          <w:rFonts w:eastAsia="Calibri"/>
        </w:rPr>
        <w:t xml:space="preserve"> policies PB1 and PB5</w:t>
      </w:r>
    </w:p>
    <w:p w:rsidR="007C2ADC" w:rsidRPr="00E13D6B" w:rsidRDefault="00CF4D7E" w:rsidP="00B740F8">
      <w:pPr>
        <w:pStyle w:val="Bullet"/>
        <w:ind w:left="397" w:hanging="397"/>
        <w:rPr>
          <w:rFonts w:eastAsia="Calibri"/>
        </w:rPr>
      </w:pPr>
      <w:r w:rsidRPr="00E13D6B">
        <w:rPr>
          <w:rFonts w:eastAsia="Calibri"/>
        </w:rPr>
        <w:t>need for government to provide data</w:t>
      </w:r>
    </w:p>
    <w:p w:rsidR="00CF4D7E" w:rsidRPr="00E13D6B" w:rsidRDefault="00CF4D7E" w:rsidP="00B740F8">
      <w:pPr>
        <w:pStyle w:val="Bullet"/>
        <w:ind w:left="397" w:hanging="397"/>
        <w:rPr>
          <w:rFonts w:eastAsia="Calibri"/>
        </w:rPr>
      </w:pPr>
      <w:r w:rsidRPr="00E13D6B">
        <w:rPr>
          <w:rFonts w:eastAsia="Calibri"/>
        </w:rPr>
        <w:t xml:space="preserve">broader role of central government in implementation of the </w:t>
      </w:r>
      <w:r w:rsidR="007C2ADC" w:rsidRPr="00E13D6B">
        <w:rPr>
          <w:rFonts w:eastAsia="Calibri"/>
        </w:rPr>
        <w:t>National Policy Statement on Urban Development Capacity (</w:t>
      </w:r>
      <w:r w:rsidRPr="00E13D6B">
        <w:rPr>
          <w:rFonts w:eastAsia="Calibri"/>
        </w:rPr>
        <w:t>NPS-UDC</w:t>
      </w:r>
      <w:r w:rsidR="007C2ADC" w:rsidRPr="00E13D6B">
        <w:rPr>
          <w:rFonts w:eastAsia="Calibri"/>
        </w:rPr>
        <w:t>)</w:t>
      </w:r>
      <w:r w:rsidRPr="00E13D6B">
        <w:rPr>
          <w:rFonts w:eastAsia="Calibri"/>
        </w:rPr>
        <w:t>.</w:t>
      </w:r>
    </w:p>
    <w:p w:rsidR="00CF4D7E" w:rsidRDefault="00CF4D7E" w:rsidP="00E13D6B">
      <w:pPr>
        <w:pStyle w:val="Heading3"/>
      </w:pPr>
      <w:r w:rsidRPr="00C22439">
        <w:t xml:space="preserve">General </w:t>
      </w:r>
      <w:r>
        <w:t>guidance and skills development</w:t>
      </w:r>
    </w:p>
    <w:p w:rsidR="00CF4D7E" w:rsidRDefault="00CF4D7E" w:rsidP="00E13D6B">
      <w:pPr>
        <w:pStyle w:val="BodyText"/>
        <w:rPr>
          <w:rFonts w:eastAsia="Calibri"/>
        </w:rPr>
      </w:pPr>
      <w:r>
        <w:rPr>
          <w:rFonts w:eastAsia="Calibri"/>
        </w:rPr>
        <w:t xml:space="preserve">Submissions called for guidance on a number of matters in the NPS-UDC, </w:t>
      </w:r>
      <w:r w:rsidR="00F75754">
        <w:rPr>
          <w:rFonts w:eastAsia="Calibri"/>
        </w:rPr>
        <w:t>specifically around</w:t>
      </w:r>
      <w:r>
        <w:rPr>
          <w:rFonts w:eastAsia="Calibri"/>
        </w:rPr>
        <w:t>:</w:t>
      </w:r>
    </w:p>
    <w:p w:rsidR="00CF4D7E" w:rsidRDefault="00CF4D7E" w:rsidP="00B740F8">
      <w:pPr>
        <w:pStyle w:val="Bullet"/>
        <w:ind w:left="397" w:hanging="397"/>
        <w:rPr>
          <w:rFonts w:eastAsia="Calibri"/>
        </w:rPr>
      </w:pPr>
      <w:r>
        <w:rPr>
          <w:rFonts w:eastAsia="Calibri"/>
        </w:rPr>
        <w:t xml:space="preserve">responsibilities of local </w:t>
      </w:r>
      <w:r w:rsidR="00923B22">
        <w:rPr>
          <w:rFonts w:eastAsia="Calibri"/>
        </w:rPr>
        <w:t>authorities that do not have a m</w:t>
      </w:r>
      <w:r>
        <w:rPr>
          <w:rFonts w:eastAsia="Calibri"/>
        </w:rPr>
        <w:t xml:space="preserve">edium or </w:t>
      </w:r>
      <w:r w:rsidR="00923B22">
        <w:rPr>
          <w:rFonts w:eastAsia="Calibri"/>
        </w:rPr>
        <w:t>high growth urban area</w:t>
      </w:r>
      <w:r>
        <w:rPr>
          <w:rFonts w:eastAsia="Calibri"/>
        </w:rPr>
        <w:t xml:space="preserve"> within their jurisdiction;</w:t>
      </w:r>
    </w:p>
    <w:p w:rsidR="00CF4D7E" w:rsidRDefault="00CF4D7E" w:rsidP="00B740F8">
      <w:pPr>
        <w:pStyle w:val="Bullet"/>
        <w:ind w:left="397" w:hanging="397"/>
        <w:rPr>
          <w:rFonts w:eastAsia="Calibri"/>
        </w:rPr>
      </w:pPr>
      <w:r>
        <w:rPr>
          <w:rFonts w:eastAsia="Calibri"/>
        </w:rPr>
        <w:t>The land release and intensification strategy, particularly around its legal weight, the process for achieving the required “flexible implementation”,</w:t>
      </w:r>
      <w:r w:rsidR="000A1CCC">
        <w:rPr>
          <w:rFonts w:eastAsia="Calibri"/>
        </w:rPr>
        <w:t xml:space="preserve"> </w:t>
      </w:r>
      <w:r>
        <w:rPr>
          <w:rFonts w:eastAsia="Calibri"/>
        </w:rPr>
        <w:t>and the process for determining sequencing of urban development;</w:t>
      </w:r>
    </w:p>
    <w:p w:rsidR="00CF4D7E" w:rsidRDefault="00CF4D7E" w:rsidP="00B740F8">
      <w:pPr>
        <w:pStyle w:val="Bullet"/>
        <w:ind w:left="397" w:hanging="397"/>
        <w:rPr>
          <w:rFonts w:eastAsia="Calibri"/>
        </w:rPr>
      </w:pPr>
      <w:r>
        <w:rPr>
          <w:rFonts w:eastAsia="Calibri"/>
        </w:rPr>
        <w:t xml:space="preserve">Coordination and consultation, in particular </w:t>
      </w:r>
      <w:r w:rsidR="00B633ED">
        <w:rPr>
          <w:rFonts w:eastAsia="Calibri"/>
        </w:rPr>
        <w:t>what coordination and consultation is required</w:t>
      </w:r>
      <w:r>
        <w:rPr>
          <w:rFonts w:eastAsia="Calibri"/>
        </w:rPr>
        <w:t xml:space="preserve"> to implement PB4 (the process for developing the assessments) and P</w:t>
      </w:r>
      <w:r w:rsidR="00C07383">
        <w:rPr>
          <w:rFonts w:eastAsia="Calibri"/>
        </w:rPr>
        <w:t>olicy P</w:t>
      </w:r>
      <w:r>
        <w:rPr>
          <w:rFonts w:eastAsia="Calibri"/>
        </w:rPr>
        <w:t>D9</w:t>
      </w:r>
      <w:r w:rsidR="003D1809">
        <w:rPr>
          <w:rFonts w:eastAsia="Calibri"/>
        </w:rPr>
        <w:t xml:space="preserve"> </w:t>
      </w:r>
      <w:r w:rsidR="00F75754">
        <w:rPr>
          <w:rFonts w:eastAsia="Calibri"/>
        </w:rPr>
        <w:t>(</w:t>
      </w:r>
      <w:r w:rsidR="003D1809">
        <w:rPr>
          <w:rFonts w:eastAsia="Calibri"/>
        </w:rPr>
        <w:t xml:space="preserve">which relates to </w:t>
      </w:r>
      <w:r w:rsidR="00C07383">
        <w:rPr>
          <w:rFonts w:eastAsia="Calibri"/>
        </w:rPr>
        <w:t>the production of a future land release and intensification strategy).</w:t>
      </w:r>
    </w:p>
    <w:p w:rsidR="00CF4D7E" w:rsidRPr="002C0A9C" w:rsidRDefault="00CF4D7E" w:rsidP="00E13D6B">
      <w:pPr>
        <w:pStyle w:val="BodyText"/>
        <w:rPr>
          <w:rFonts w:eastAsia="Calibri"/>
        </w:rPr>
      </w:pPr>
      <w:r w:rsidRPr="00BB7D18">
        <w:rPr>
          <w:rFonts w:eastAsia="Calibri"/>
        </w:rPr>
        <w:t>A number of submissions also requested</w:t>
      </w:r>
      <w:r w:rsidR="00B633ED">
        <w:rPr>
          <w:rFonts w:eastAsia="Calibri"/>
        </w:rPr>
        <w:t xml:space="preserve"> that</w:t>
      </w:r>
      <w:r w:rsidRPr="00BB7D18">
        <w:rPr>
          <w:rFonts w:eastAsia="Calibri"/>
        </w:rPr>
        <w:t xml:space="preserve"> central government help address any skills and capability gaps for local authorities to successfully deliver the </w:t>
      </w:r>
      <w:r>
        <w:rPr>
          <w:rFonts w:eastAsia="Calibri"/>
        </w:rPr>
        <w:t>NPS-UDC</w:t>
      </w:r>
      <w:r w:rsidRPr="00BB7D18">
        <w:rPr>
          <w:rFonts w:eastAsia="Calibri"/>
        </w:rPr>
        <w:t>.</w:t>
      </w:r>
    </w:p>
    <w:p w:rsidR="00CF4D7E" w:rsidRPr="00E13D6B" w:rsidRDefault="00CF4D7E" w:rsidP="00E13D6B">
      <w:pPr>
        <w:pStyle w:val="Quote"/>
      </w:pPr>
      <w:r w:rsidRPr="00E13D6B">
        <w:t>“Successful implementation of the NPS-UDC will require a specific level of capacity, coordination, skills, resources and expertise among local authorities…</w:t>
      </w:r>
      <w:r w:rsidR="00B633ED" w:rsidRPr="00E13D6B">
        <w:t xml:space="preserve"> </w:t>
      </w:r>
      <w:r w:rsidRPr="00E13D6B">
        <w:t>NZAIA, therefore, welcomes the idea of developing a package of non-statutory guidance to help council implement the proposed NPS.”</w:t>
      </w:r>
      <w:r w:rsidR="000A1CCC">
        <w:t xml:space="preserve"> </w:t>
      </w:r>
      <w:r w:rsidRPr="00E13D6B">
        <w:t>New Zealand Association for Impact Assessment</w:t>
      </w:r>
    </w:p>
    <w:p w:rsidR="00CF4D7E" w:rsidRPr="00E13D6B" w:rsidRDefault="00CF4D7E" w:rsidP="00E13D6B">
      <w:pPr>
        <w:pStyle w:val="Quote"/>
      </w:pPr>
      <w:r w:rsidRPr="00E13D6B">
        <w:t>“Provide detailed direction in a Ministry for the Environment guidance document on how local authorities should carry out consultation under policies PB4 and PD9.”</w:t>
      </w:r>
      <w:r w:rsidR="000A1CCC">
        <w:t xml:space="preserve"> </w:t>
      </w:r>
      <w:r w:rsidRPr="00E13D6B">
        <w:t>New Zealand Airports Association</w:t>
      </w:r>
    </w:p>
    <w:p w:rsidR="00CF4D7E" w:rsidRDefault="00CF4D7E" w:rsidP="00E13D6B">
      <w:pPr>
        <w:pStyle w:val="Heading3"/>
      </w:pPr>
      <w:r w:rsidRPr="00F72E99">
        <w:t xml:space="preserve">Guidance on </w:t>
      </w:r>
      <w:r w:rsidR="00B633ED" w:rsidRPr="00F72E99">
        <w:t>a</w:t>
      </w:r>
      <w:r w:rsidRPr="00F72E99">
        <w:t>ssessments</w:t>
      </w:r>
      <w:r w:rsidRPr="00C22439">
        <w:t xml:space="preserve"> </w:t>
      </w:r>
    </w:p>
    <w:p w:rsidR="00CF4D7E" w:rsidRDefault="00C07383" w:rsidP="00E13D6B">
      <w:pPr>
        <w:pStyle w:val="BodyText"/>
        <w:rPr>
          <w:rFonts w:eastAsia="Calibri"/>
        </w:rPr>
      </w:pPr>
      <w:r>
        <w:rPr>
          <w:rFonts w:eastAsia="Calibri"/>
        </w:rPr>
        <w:t>Developers and local government bodies were most inclined to refer to</w:t>
      </w:r>
      <w:r w:rsidR="00F72E99">
        <w:rPr>
          <w:rFonts w:eastAsia="Calibri"/>
        </w:rPr>
        <w:t>,</w:t>
      </w:r>
      <w:r>
        <w:rPr>
          <w:rFonts w:eastAsia="Calibri"/>
        </w:rPr>
        <w:t xml:space="preserve"> and support</w:t>
      </w:r>
      <w:r w:rsidR="00F72E99">
        <w:rPr>
          <w:rFonts w:eastAsia="Calibri"/>
        </w:rPr>
        <w:t>,</w:t>
      </w:r>
      <w:r>
        <w:rPr>
          <w:rFonts w:eastAsia="Calibri"/>
        </w:rPr>
        <w:t xml:space="preserve"> the need for guidance on preparin</w:t>
      </w:r>
      <w:r w:rsidR="00F72E99">
        <w:rPr>
          <w:rFonts w:eastAsia="Calibri"/>
        </w:rPr>
        <w:t>g</w:t>
      </w:r>
      <w:r>
        <w:rPr>
          <w:rFonts w:eastAsia="Calibri"/>
        </w:rPr>
        <w:t xml:space="preserve"> a housing assessment.</w:t>
      </w:r>
      <w:r w:rsidR="000A1CCC">
        <w:rPr>
          <w:rFonts w:eastAsia="Calibri"/>
        </w:rPr>
        <w:t xml:space="preserve"> </w:t>
      </w:r>
      <w:r>
        <w:rPr>
          <w:rFonts w:eastAsia="Calibri"/>
        </w:rPr>
        <w:t xml:space="preserve">The largest proportion of support for and comment on business land assessment guidance was received from local government bodies and </w:t>
      </w:r>
      <w:r w:rsidR="00F72E99">
        <w:rPr>
          <w:rFonts w:eastAsia="Calibri"/>
        </w:rPr>
        <w:t>b</w:t>
      </w:r>
      <w:r>
        <w:rPr>
          <w:rFonts w:eastAsia="Calibri"/>
        </w:rPr>
        <w:t>usiness/</w:t>
      </w:r>
      <w:r w:rsidR="00F72E99">
        <w:rPr>
          <w:rFonts w:eastAsia="Calibri"/>
        </w:rPr>
        <w:t>i</w:t>
      </w:r>
      <w:r>
        <w:rPr>
          <w:rFonts w:eastAsia="Calibri"/>
        </w:rPr>
        <w:t>ndustry submissions</w:t>
      </w:r>
      <w:r w:rsidR="003D1809">
        <w:rPr>
          <w:rFonts w:eastAsia="Calibri"/>
        </w:rPr>
        <w:t>.</w:t>
      </w:r>
      <w:r>
        <w:rPr>
          <w:rFonts w:eastAsia="Calibri"/>
        </w:rPr>
        <w:t xml:space="preserve"> </w:t>
      </w:r>
      <w:r w:rsidR="00F72E99">
        <w:rPr>
          <w:rFonts w:eastAsia="Calibri"/>
        </w:rPr>
        <w:t>R</w:t>
      </w:r>
      <w:r w:rsidR="003D1809">
        <w:rPr>
          <w:rFonts w:eastAsia="Calibri"/>
        </w:rPr>
        <w:t>equest</w:t>
      </w:r>
      <w:r w:rsidR="00F72E99">
        <w:rPr>
          <w:rFonts w:eastAsia="Calibri"/>
        </w:rPr>
        <w:t>s for</w:t>
      </w:r>
      <w:r w:rsidR="00CF4D7E">
        <w:rPr>
          <w:rFonts w:eastAsia="Calibri"/>
        </w:rPr>
        <w:t xml:space="preserve"> guidance </w:t>
      </w:r>
      <w:r w:rsidR="00F72E99">
        <w:rPr>
          <w:rFonts w:eastAsia="Calibri"/>
        </w:rPr>
        <w:t>on</w:t>
      </w:r>
      <w:r w:rsidR="00CF4D7E">
        <w:rPr>
          <w:rFonts w:eastAsia="Calibri"/>
        </w:rPr>
        <w:t xml:space="preserve"> the requirements under Policies PB1</w:t>
      </w:r>
      <w:r w:rsidR="00F72E99">
        <w:rPr>
          <w:rFonts w:eastAsia="Calibri"/>
        </w:rPr>
        <w:t>–</w:t>
      </w:r>
      <w:r w:rsidR="00CF4D7E">
        <w:rPr>
          <w:rFonts w:eastAsia="Calibri"/>
        </w:rPr>
        <w:t xml:space="preserve">PB4 for </w:t>
      </w:r>
      <w:r w:rsidR="00F72E99">
        <w:rPr>
          <w:rFonts w:eastAsia="Calibri"/>
        </w:rPr>
        <w:t>h</w:t>
      </w:r>
      <w:r w:rsidR="00CF4D7E">
        <w:rPr>
          <w:rFonts w:eastAsia="Calibri"/>
        </w:rPr>
        <w:t xml:space="preserve">ousing </w:t>
      </w:r>
      <w:r w:rsidR="00F72E99">
        <w:rPr>
          <w:rFonts w:eastAsia="Calibri"/>
        </w:rPr>
        <w:t>a</w:t>
      </w:r>
      <w:r w:rsidR="00CF4D7E">
        <w:rPr>
          <w:rFonts w:eastAsia="Calibri"/>
        </w:rPr>
        <w:t xml:space="preserve">ssessment and </w:t>
      </w:r>
      <w:r w:rsidR="00F72E99">
        <w:rPr>
          <w:rFonts w:eastAsia="Calibri"/>
        </w:rPr>
        <w:t>b</w:t>
      </w:r>
      <w:r w:rsidR="00CF4D7E">
        <w:rPr>
          <w:rFonts w:eastAsia="Calibri"/>
        </w:rPr>
        <w:t xml:space="preserve">usiness </w:t>
      </w:r>
      <w:r w:rsidR="00F72E99">
        <w:rPr>
          <w:rFonts w:eastAsia="Calibri"/>
        </w:rPr>
        <w:t>l</w:t>
      </w:r>
      <w:r w:rsidR="00CF4D7E">
        <w:rPr>
          <w:rFonts w:eastAsia="Calibri"/>
        </w:rPr>
        <w:t xml:space="preserve">and </w:t>
      </w:r>
      <w:r w:rsidR="00F72E99">
        <w:rPr>
          <w:rFonts w:eastAsia="Calibri"/>
        </w:rPr>
        <w:t>a</w:t>
      </w:r>
      <w:r w:rsidR="00CF4D7E">
        <w:rPr>
          <w:rFonts w:eastAsia="Calibri"/>
        </w:rPr>
        <w:t>ssessment included:</w:t>
      </w:r>
    </w:p>
    <w:p w:rsidR="00CF4D7E" w:rsidRDefault="00F72E99" w:rsidP="00B740F8">
      <w:pPr>
        <w:pStyle w:val="Bullet"/>
        <w:ind w:left="397" w:hanging="397"/>
        <w:rPr>
          <w:rFonts w:eastAsia="Calibri"/>
        </w:rPr>
      </w:pPr>
      <w:r>
        <w:rPr>
          <w:rFonts w:eastAsia="Calibri"/>
        </w:rPr>
        <w:t>a consistent</w:t>
      </w:r>
      <w:r w:rsidR="00CF4D7E">
        <w:rPr>
          <w:rFonts w:eastAsia="Calibri"/>
        </w:rPr>
        <w:t xml:space="preserve"> approach across all authorities</w:t>
      </w:r>
      <w:r>
        <w:rPr>
          <w:rFonts w:eastAsia="Calibri"/>
        </w:rPr>
        <w:t>,</w:t>
      </w:r>
      <w:r w:rsidR="00CF4D7E">
        <w:rPr>
          <w:rFonts w:eastAsia="Calibri"/>
        </w:rPr>
        <w:t xml:space="preserve"> with suggestions including templates and established methodologies for preparing the assessments</w:t>
      </w:r>
    </w:p>
    <w:p w:rsidR="00CF4D7E" w:rsidRDefault="00CF4D7E" w:rsidP="00B740F8">
      <w:pPr>
        <w:pStyle w:val="Bullet"/>
        <w:ind w:left="397" w:hanging="397"/>
        <w:rPr>
          <w:rFonts w:eastAsia="Calibri"/>
        </w:rPr>
      </w:pPr>
      <w:r>
        <w:rPr>
          <w:rFonts w:eastAsia="Calibri"/>
        </w:rPr>
        <w:t xml:space="preserve">technical guidance to be provided </w:t>
      </w:r>
      <w:r w:rsidR="00F72E99">
        <w:rPr>
          <w:rFonts w:eastAsia="Calibri"/>
        </w:rPr>
        <w:t>at the same time</w:t>
      </w:r>
      <w:r>
        <w:rPr>
          <w:rFonts w:eastAsia="Calibri"/>
        </w:rPr>
        <w:t xml:space="preserve"> the NPS-UDC becom</w:t>
      </w:r>
      <w:r w:rsidR="00F72E99">
        <w:rPr>
          <w:rFonts w:eastAsia="Calibri"/>
        </w:rPr>
        <w:t>es</w:t>
      </w:r>
      <w:r>
        <w:rPr>
          <w:rFonts w:eastAsia="Calibri"/>
        </w:rPr>
        <w:t xml:space="preserve"> operative.</w:t>
      </w:r>
    </w:p>
    <w:p w:rsidR="00CF4D7E" w:rsidRPr="00E13D6B" w:rsidRDefault="00CF4D7E" w:rsidP="00896A60">
      <w:pPr>
        <w:pStyle w:val="Quote"/>
      </w:pPr>
      <w:r w:rsidRPr="00E13D6B">
        <w:t>“Scope for legal challenge could be reduced where the NPS provides consistent sources of data, methodology for capacity models, and a consistent format for Housing and Business land assessments.”</w:t>
      </w:r>
      <w:r w:rsidR="000A1CCC">
        <w:t xml:space="preserve"> </w:t>
      </w:r>
      <w:r w:rsidRPr="00E13D6B">
        <w:t>Queenstown Lakes District Council</w:t>
      </w:r>
    </w:p>
    <w:p w:rsidR="00CF4D7E" w:rsidRDefault="00CF4D7E" w:rsidP="00896A60">
      <w:pPr>
        <w:pStyle w:val="Heading3"/>
      </w:pPr>
      <w:r>
        <w:t>Data and g</w:t>
      </w:r>
      <w:r w:rsidRPr="00C22439">
        <w:t xml:space="preserve">uidance on monitoring </w:t>
      </w:r>
    </w:p>
    <w:p w:rsidR="00CF4D7E" w:rsidRDefault="00CF4D7E" w:rsidP="00896A60">
      <w:pPr>
        <w:pStyle w:val="BodyText"/>
        <w:rPr>
          <w:rFonts w:eastAsia="Calibri"/>
        </w:rPr>
      </w:pPr>
      <w:r>
        <w:rPr>
          <w:rFonts w:eastAsia="Calibri"/>
        </w:rPr>
        <w:t xml:space="preserve">Local </w:t>
      </w:r>
      <w:r w:rsidR="0038049E">
        <w:rPr>
          <w:rFonts w:eastAsia="Calibri"/>
        </w:rPr>
        <w:t>a</w:t>
      </w:r>
      <w:r>
        <w:rPr>
          <w:rFonts w:eastAsia="Calibri"/>
        </w:rPr>
        <w:t xml:space="preserve">uthorities noted that the NPS-UDC would require them to source a number of datasets for monitoring </w:t>
      </w:r>
      <w:r w:rsidR="00534A73">
        <w:rPr>
          <w:rFonts w:eastAsia="Calibri"/>
        </w:rPr>
        <w:t xml:space="preserve">that </w:t>
      </w:r>
      <w:r>
        <w:rPr>
          <w:rFonts w:eastAsia="Calibri"/>
        </w:rPr>
        <w:t xml:space="preserve">they </w:t>
      </w:r>
      <w:r w:rsidR="00534A73">
        <w:rPr>
          <w:rFonts w:eastAsia="Calibri"/>
        </w:rPr>
        <w:t xml:space="preserve">do not </w:t>
      </w:r>
      <w:r>
        <w:rPr>
          <w:rFonts w:eastAsia="Calibri"/>
        </w:rPr>
        <w:t>currently have access to.</w:t>
      </w:r>
      <w:r w:rsidR="000A1CCC">
        <w:rPr>
          <w:rFonts w:eastAsia="Calibri"/>
        </w:rPr>
        <w:t xml:space="preserve"> </w:t>
      </w:r>
      <w:r>
        <w:rPr>
          <w:rFonts w:eastAsia="Calibri"/>
        </w:rPr>
        <w:t xml:space="preserve">Many of the comments relating to data for carrying out assessments and monitoring included a request for </w:t>
      </w:r>
      <w:r w:rsidR="00534A73">
        <w:rPr>
          <w:rFonts w:eastAsia="Calibri"/>
        </w:rPr>
        <w:t>G</w:t>
      </w:r>
      <w:r>
        <w:rPr>
          <w:rFonts w:eastAsia="Calibri"/>
        </w:rPr>
        <w:t xml:space="preserve">overnment to source those datasets centrally and provide it to local authorities at an appropriate disaggregated level. Other </w:t>
      </w:r>
      <w:r w:rsidR="00534A73">
        <w:rPr>
          <w:rFonts w:eastAsia="Calibri"/>
        </w:rPr>
        <w:t>requests</w:t>
      </w:r>
      <w:r w:rsidRPr="00AA4339">
        <w:rPr>
          <w:rFonts w:eastAsia="Calibri"/>
        </w:rPr>
        <w:t xml:space="preserve"> </w:t>
      </w:r>
      <w:r>
        <w:rPr>
          <w:rFonts w:eastAsia="Calibri"/>
        </w:rPr>
        <w:t>for</w:t>
      </w:r>
      <w:r w:rsidRPr="00AA4339">
        <w:rPr>
          <w:rFonts w:eastAsia="Calibri"/>
        </w:rPr>
        <w:t xml:space="preserve"> guidance relating to </w:t>
      </w:r>
      <w:r>
        <w:rPr>
          <w:rFonts w:eastAsia="Calibri"/>
        </w:rPr>
        <w:t>the monitoring</w:t>
      </w:r>
      <w:r w:rsidRPr="00AA4339">
        <w:rPr>
          <w:rFonts w:eastAsia="Calibri"/>
        </w:rPr>
        <w:t xml:space="preserve"> </w:t>
      </w:r>
      <w:r>
        <w:rPr>
          <w:rFonts w:eastAsia="Calibri"/>
        </w:rPr>
        <w:t xml:space="preserve">requirements under Policy PB5 </w:t>
      </w:r>
      <w:r w:rsidRPr="00AA4339">
        <w:rPr>
          <w:rFonts w:eastAsia="Calibri"/>
        </w:rPr>
        <w:t>included:</w:t>
      </w:r>
    </w:p>
    <w:p w:rsidR="00CF4D7E" w:rsidRDefault="00534A73" w:rsidP="00B740F8">
      <w:pPr>
        <w:pStyle w:val="Bullet"/>
        <w:ind w:left="397" w:hanging="397"/>
        <w:rPr>
          <w:rFonts w:eastAsia="Calibri"/>
        </w:rPr>
      </w:pPr>
      <w:r>
        <w:rPr>
          <w:rFonts w:eastAsia="Calibri"/>
        </w:rPr>
        <w:t>t</w:t>
      </w:r>
      <w:r w:rsidR="00CF4D7E">
        <w:rPr>
          <w:rFonts w:eastAsia="Calibri"/>
        </w:rPr>
        <w:t>hat central government provide access to the relevant data sources as a priority</w:t>
      </w:r>
      <w:r>
        <w:rPr>
          <w:rFonts w:eastAsia="Calibri"/>
        </w:rPr>
        <w:t>,</w:t>
      </w:r>
      <w:r w:rsidR="00CF4D7E">
        <w:rPr>
          <w:rFonts w:eastAsia="Calibri"/>
        </w:rPr>
        <w:t xml:space="preserve"> to ensure consistent data across local authorities and level access</w:t>
      </w:r>
    </w:p>
    <w:p w:rsidR="00CF4D7E" w:rsidRPr="00667717" w:rsidRDefault="00534A73" w:rsidP="00B740F8">
      <w:pPr>
        <w:pStyle w:val="Bullet"/>
        <w:ind w:left="397" w:hanging="397"/>
        <w:rPr>
          <w:rFonts w:eastAsia="Calibri"/>
        </w:rPr>
      </w:pPr>
      <w:r>
        <w:rPr>
          <w:rFonts w:eastAsia="Calibri"/>
        </w:rPr>
        <w:t>g</w:t>
      </w:r>
      <w:r w:rsidR="00CF4D7E">
        <w:rPr>
          <w:rFonts w:eastAsia="Calibri"/>
        </w:rPr>
        <w:t>uidance on how to interpret the data, in particular how to interpret price signals.</w:t>
      </w:r>
    </w:p>
    <w:p w:rsidR="00CF4D7E" w:rsidRDefault="00CF4D7E" w:rsidP="00896A60">
      <w:pPr>
        <w:pStyle w:val="Quote"/>
      </w:pPr>
      <w:r>
        <w:t>“Whilst not particular to a guidance document, the Council submits that consideration should also be given to the creation of common data sources on key measures for councils to access, or a data portal providing access to a range of data that can be provided centrally.” Wellington City Council</w:t>
      </w:r>
    </w:p>
    <w:p w:rsidR="00CF4D7E" w:rsidRPr="00EA6A30" w:rsidRDefault="00CF4D7E" w:rsidP="00896A60">
      <w:pPr>
        <w:pStyle w:val="Quote"/>
      </w:pPr>
      <w:r w:rsidRPr="00EA6A30">
        <w:t>“</w:t>
      </w:r>
      <w:r>
        <w:t>The Council submit that it would be more efficient for the Government to access and collate this data itself in the format that it wants and to distribute it to the relevant local authorities to analyse and make decisions</w:t>
      </w:r>
      <w:r w:rsidRPr="00EA6A30">
        <w:t>.”</w:t>
      </w:r>
      <w:r w:rsidR="000A1CCC">
        <w:t xml:space="preserve"> </w:t>
      </w:r>
      <w:r>
        <w:t>New Plymouth District Council</w:t>
      </w:r>
    </w:p>
    <w:p w:rsidR="00CF4D7E" w:rsidRDefault="00CF4D7E" w:rsidP="00896A60">
      <w:pPr>
        <w:pStyle w:val="Heading3"/>
      </w:pPr>
      <w:r w:rsidRPr="00C22439">
        <w:t>The role of central government in implementation</w:t>
      </w:r>
    </w:p>
    <w:p w:rsidR="00CF4D7E" w:rsidRDefault="00CF4D7E" w:rsidP="00896A60">
      <w:pPr>
        <w:pStyle w:val="BodyText"/>
        <w:rPr>
          <w:rFonts w:eastAsia="Calibri"/>
        </w:rPr>
      </w:pPr>
      <w:r>
        <w:rPr>
          <w:rFonts w:eastAsia="Calibri"/>
        </w:rPr>
        <w:t>Submissions viewed the role of central government in a number of ways.</w:t>
      </w:r>
      <w:r w:rsidR="000A1CCC">
        <w:rPr>
          <w:rFonts w:eastAsia="Calibri"/>
        </w:rPr>
        <w:t xml:space="preserve"> </w:t>
      </w:r>
      <w:r>
        <w:rPr>
          <w:rFonts w:eastAsia="Calibri"/>
        </w:rPr>
        <w:t>Submitters asked that central government interact with the local government sector and other stakeholders in preparing the above guidance.</w:t>
      </w:r>
      <w:r w:rsidR="000A1CCC">
        <w:rPr>
          <w:rFonts w:eastAsia="Calibri"/>
        </w:rPr>
        <w:t xml:space="preserve"> </w:t>
      </w:r>
      <w:r>
        <w:rPr>
          <w:rFonts w:eastAsia="Calibri"/>
        </w:rPr>
        <w:t>In addition, submissions across stakeholder groups recognised</w:t>
      </w:r>
      <w:r w:rsidRPr="006A6A63">
        <w:rPr>
          <w:rFonts w:eastAsia="Calibri"/>
        </w:rPr>
        <w:t xml:space="preserve"> </w:t>
      </w:r>
      <w:r w:rsidRPr="00126499">
        <w:rPr>
          <w:rFonts w:eastAsia="Calibri"/>
        </w:rPr>
        <w:t xml:space="preserve">a role for </w:t>
      </w:r>
      <w:r w:rsidR="00534A73">
        <w:rPr>
          <w:rFonts w:eastAsia="Calibri"/>
        </w:rPr>
        <w:t>G</w:t>
      </w:r>
      <w:r w:rsidRPr="00126499">
        <w:rPr>
          <w:rFonts w:eastAsia="Calibri"/>
        </w:rPr>
        <w:t>overnment</w:t>
      </w:r>
      <w:r>
        <w:rPr>
          <w:rFonts w:eastAsia="Calibri"/>
        </w:rPr>
        <w:t xml:space="preserve"> i</w:t>
      </w:r>
      <w:r w:rsidRPr="00126499">
        <w:rPr>
          <w:rFonts w:eastAsia="Calibri"/>
        </w:rPr>
        <w:t>n</w:t>
      </w:r>
      <w:r>
        <w:rPr>
          <w:rFonts w:eastAsia="Calibri"/>
        </w:rPr>
        <w:t>:</w:t>
      </w:r>
    </w:p>
    <w:p w:rsidR="00CF4D7E" w:rsidRPr="00B66C8B" w:rsidRDefault="00CF4D7E" w:rsidP="004C6343">
      <w:pPr>
        <w:pStyle w:val="Bullet"/>
        <w:rPr>
          <w:rFonts w:eastAsia="Calibri"/>
        </w:rPr>
      </w:pPr>
      <w:r w:rsidRPr="00B66C8B">
        <w:rPr>
          <w:rFonts w:eastAsia="Calibri"/>
        </w:rPr>
        <w:t xml:space="preserve">providing scrutiny and oversight of implementation </w:t>
      </w:r>
    </w:p>
    <w:p w:rsidR="00CF4D7E" w:rsidRPr="00B66C8B" w:rsidRDefault="00CF4D7E" w:rsidP="004C6343">
      <w:pPr>
        <w:pStyle w:val="Bullet"/>
        <w:rPr>
          <w:rFonts w:eastAsia="Calibri"/>
        </w:rPr>
      </w:pPr>
      <w:r w:rsidRPr="00B66C8B">
        <w:rPr>
          <w:rFonts w:eastAsia="Calibri"/>
        </w:rPr>
        <w:t>coordinating cross-agency collaboration.</w:t>
      </w:r>
      <w:r w:rsidR="000A1CCC">
        <w:rPr>
          <w:rFonts w:eastAsia="Calibri"/>
        </w:rPr>
        <w:t xml:space="preserve"> </w:t>
      </w:r>
    </w:p>
    <w:p w:rsidR="00CF4D7E" w:rsidRDefault="00CF4D7E" w:rsidP="00023C1D">
      <w:pPr>
        <w:pStyle w:val="Quote"/>
      </w:pPr>
      <w:r>
        <w:t>“In the event councils fail to provide sufficient capacity (eg fail to pursue a plan change) there are remedies under the RMA (for example, the Minister intervening under s24A-25A).</w:t>
      </w:r>
      <w:r w:rsidR="000A1CCC">
        <w:t xml:space="preserve"> </w:t>
      </w:r>
      <w:r>
        <w:t>Todd Property considers these should be expressly provided for in the NPS.</w:t>
      </w:r>
      <w:r w:rsidR="000A1CCC">
        <w:t xml:space="preserve"> </w:t>
      </w:r>
      <w:r>
        <w:t xml:space="preserve">This would ensure a level of accountability and clearly signal the options that are available (and that may be used) in the event that development capacity is not appropriately </w:t>
      </w:r>
      <w:r w:rsidR="00023C1D">
        <w:t>addressed.” Todd Property Group</w:t>
      </w:r>
    </w:p>
    <w:p w:rsidR="00CF4D7E" w:rsidRDefault="00CF4D7E" w:rsidP="00896A60">
      <w:pPr>
        <w:pStyle w:val="Heading2"/>
        <w:rPr>
          <w:rFonts w:ascii="Arial Black" w:hAnsi="Arial Black"/>
        </w:rPr>
      </w:pPr>
      <w:bookmarkStart w:id="19" w:name="_Toc461185726"/>
      <w:r w:rsidRPr="00C22439">
        <w:t xml:space="preserve">Matters outside the </w:t>
      </w:r>
      <w:r>
        <w:t>NPS-UDC</w:t>
      </w:r>
      <w:bookmarkEnd w:id="19"/>
    </w:p>
    <w:p w:rsidR="00CF4D7E" w:rsidRDefault="00CF4D7E" w:rsidP="00896A60">
      <w:pPr>
        <w:pStyle w:val="BodyText"/>
        <w:rPr>
          <w:rFonts w:eastAsia="Calibri"/>
        </w:rPr>
      </w:pPr>
      <w:r>
        <w:rPr>
          <w:rFonts w:eastAsia="Calibri"/>
        </w:rPr>
        <w:t xml:space="preserve">Approximately half </w:t>
      </w:r>
      <w:r w:rsidR="00534A73">
        <w:rPr>
          <w:rFonts w:eastAsia="Calibri"/>
        </w:rPr>
        <w:t>the</w:t>
      </w:r>
      <w:r>
        <w:rPr>
          <w:rFonts w:eastAsia="Calibri"/>
        </w:rPr>
        <w:t xml:space="preserve"> submissions commented on non-</w:t>
      </w:r>
      <w:r w:rsidR="00534A73">
        <w:rPr>
          <w:rFonts w:eastAsia="Calibri"/>
        </w:rPr>
        <w:t>National Policy Statement (</w:t>
      </w:r>
      <w:r>
        <w:rPr>
          <w:rFonts w:eastAsia="Calibri"/>
        </w:rPr>
        <w:t>NPS</w:t>
      </w:r>
      <w:r w:rsidR="00534A73">
        <w:rPr>
          <w:rFonts w:eastAsia="Calibri"/>
        </w:rPr>
        <w:t>)</w:t>
      </w:r>
      <w:r>
        <w:rPr>
          <w:rFonts w:eastAsia="Calibri"/>
        </w:rPr>
        <w:t xml:space="preserve"> matters; that is</w:t>
      </w:r>
      <w:r w:rsidR="00534A73">
        <w:rPr>
          <w:rFonts w:eastAsia="Calibri"/>
        </w:rPr>
        <w:t>,</w:t>
      </w:r>
      <w:r>
        <w:rPr>
          <w:rFonts w:eastAsia="Calibri"/>
        </w:rPr>
        <w:t xml:space="preserve"> matters </w:t>
      </w:r>
      <w:r w:rsidR="00534A73">
        <w:rPr>
          <w:rFonts w:eastAsia="Calibri"/>
        </w:rPr>
        <w:t xml:space="preserve">that </w:t>
      </w:r>
      <w:r>
        <w:rPr>
          <w:rFonts w:eastAsia="Calibri"/>
        </w:rPr>
        <w:t xml:space="preserve">are either outside the intended scope of the proposed </w:t>
      </w:r>
      <w:r w:rsidR="00534A73">
        <w:rPr>
          <w:rFonts w:eastAsia="Calibri"/>
        </w:rPr>
        <w:t>National Policy Statement on Urban Development Capacity (</w:t>
      </w:r>
      <w:r>
        <w:rPr>
          <w:rFonts w:eastAsia="Calibri"/>
        </w:rPr>
        <w:t>NPS-UDC</w:t>
      </w:r>
      <w:r w:rsidR="00534A73">
        <w:rPr>
          <w:rFonts w:eastAsia="Calibri"/>
        </w:rPr>
        <w:t>)</w:t>
      </w:r>
      <w:r>
        <w:rPr>
          <w:rFonts w:eastAsia="Calibri"/>
        </w:rPr>
        <w:t xml:space="preserve"> and/or matters </w:t>
      </w:r>
      <w:r w:rsidR="00636F33">
        <w:rPr>
          <w:rFonts w:eastAsia="Calibri"/>
        </w:rPr>
        <w:t xml:space="preserve">that </w:t>
      </w:r>
      <w:r>
        <w:rPr>
          <w:rFonts w:eastAsia="Calibri"/>
        </w:rPr>
        <w:t xml:space="preserve">are more appropriately addressed outside of the </w:t>
      </w:r>
      <w:r w:rsidR="00636F33">
        <w:rPr>
          <w:rFonts w:eastAsia="Calibri"/>
        </w:rPr>
        <w:t>Resource Management Act 1991 (</w:t>
      </w:r>
      <w:r>
        <w:rPr>
          <w:rFonts w:eastAsia="Calibri"/>
        </w:rPr>
        <w:t>RMA</w:t>
      </w:r>
      <w:r w:rsidR="00636F33">
        <w:rPr>
          <w:rFonts w:eastAsia="Calibri"/>
        </w:rPr>
        <w:t>)</w:t>
      </w:r>
      <w:r>
        <w:rPr>
          <w:rFonts w:eastAsia="Calibri"/>
        </w:rPr>
        <w:t xml:space="preserve">. </w:t>
      </w:r>
    </w:p>
    <w:p w:rsidR="004F7760" w:rsidRDefault="00CF4D7E" w:rsidP="00896A60">
      <w:pPr>
        <w:pStyle w:val="BodyText"/>
      </w:pPr>
      <w:r>
        <w:t xml:space="preserve">Broadly, the common themes identified by respondents to the </w:t>
      </w:r>
      <w:r w:rsidR="0000653B">
        <w:t>c</w:t>
      </w:r>
      <w:r>
        <w:t xml:space="preserve">onsultation </w:t>
      </w:r>
      <w:r w:rsidR="0000653B">
        <w:t>d</w:t>
      </w:r>
      <w:r>
        <w:t>ocument</w:t>
      </w:r>
      <w:r w:rsidR="0000653B">
        <w:rPr>
          <w:rStyle w:val="FootnoteReference"/>
        </w:rPr>
        <w:footnoteReference w:id="3"/>
      </w:r>
      <w:r>
        <w:t xml:space="preserve"> included: </w:t>
      </w:r>
    </w:p>
    <w:p w:rsidR="004F7760" w:rsidRPr="004C6343" w:rsidRDefault="00CF4D7E" w:rsidP="004C6343">
      <w:pPr>
        <w:pStyle w:val="Bullet"/>
        <w:rPr>
          <w:rFonts w:eastAsia="Calibri" w:cs="Calibri"/>
        </w:rPr>
      </w:pPr>
      <w:r>
        <w:t>integration of planning statu</w:t>
      </w:r>
      <w:r w:rsidR="009216E6">
        <w:t>t</w:t>
      </w:r>
      <w:r>
        <w:t>es and spatial planning</w:t>
      </w:r>
    </w:p>
    <w:p w:rsidR="009216E6" w:rsidRPr="004C6343" w:rsidRDefault="00CF4D7E" w:rsidP="004C6343">
      <w:pPr>
        <w:pStyle w:val="Bullet"/>
        <w:rPr>
          <w:rFonts w:eastAsia="Calibri" w:cs="Calibri"/>
        </w:rPr>
      </w:pPr>
      <w:r>
        <w:t>addressing the demand side of housing affordability</w:t>
      </w:r>
    </w:p>
    <w:p w:rsidR="009216E6" w:rsidRPr="004C6343" w:rsidRDefault="00CF4D7E" w:rsidP="004C6343">
      <w:pPr>
        <w:pStyle w:val="Bullet"/>
        <w:rPr>
          <w:rFonts w:eastAsia="Calibri" w:cs="Calibri"/>
        </w:rPr>
      </w:pPr>
      <w:r>
        <w:t>land</w:t>
      </w:r>
      <w:r w:rsidR="004C6343">
        <w:t xml:space="preserve"> </w:t>
      </w:r>
      <w:r>
        <w:t>banking</w:t>
      </w:r>
    </w:p>
    <w:p w:rsidR="009216E6" w:rsidRPr="004C6343" w:rsidRDefault="00CF4D7E" w:rsidP="004C6343">
      <w:pPr>
        <w:pStyle w:val="Bullet"/>
        <w:rPr>
          <w:rFonts w:eastAsia="Calibri" w:cs="Calibri"/>
        </w:rPr>
      </w:pPr>
      <w:r>
        <w:t>other supply considerations</w:t>
      </w:r>
    </w:p>
    <w:p w:rsidR="009216E6" w:rsidRPr="004C6343" w:rsidRDefault="00CF4D7E" w:rsidP="004C6343">
      <w:pPr>
        <w:pStyle w:val="Bullet"/>
        <w:rPr>
          <w:rFonts w:eastAsia="Calibri" w:cs="Calibri"/>
        </w:rPr>
      </w:pPr>
      <w:r>
        <w:t>infrastructure</w:t>
      </w:r>
    </w:p>
    <w:p w:rsidR="009216E6" w:rsidRPr="004C6343" w:rsidRDefault="00CF4D7E" w:rsidP="004C6343">
      <w:pPr>
        <w:pStyle w:val="Bullet"/>
        <w:rPr>
          <w:rFonts w:eastAsia="Calibri" w:cs="Calibri"/>
        </w:rPr>
      </w:pPr>
      <w:r>
        <w:t>reverse sensitivity.</w:t>
      </w:r>
      <w:r w:rsidR="000A1CCC">
        <w:t xml:space="preserve"> </w:t>
      </w:r>
    </w:p>
    <w:p w:rsidR="00CF4D7E" w:rsidRPr="00C22439" w:rsidRDefault="00CF4D7E" w:rsidP="00896A60">
      <w:pPr>
        <w:pStyle w:val="BodyText"/>
        <w:rPr>
          <w:rFonts w:eastAsia="Calibri" w:cs="Calibri"/>
        </w:rPr>
      </w:pPr>
      <w:r>
        <w:t>This section provides a short summary of key submission points against each of these themes.</w:t>
      </w:r>
    </w:p>
    <w:p w:rsidR="00CF4D7E" w:rsidRDefault="00CF4D7E" w:rsidP="00621939">
      <w:pPr>
        <w:pStyle w:val="Heading3"/>
      </w:pPr>
      <w:r w:rsidRPr="00E00683">
        <w:t>Integration with planning statutes and spatial planning</w:t>
      </w:r>
    </w:p>
    <w:p w:rsidR="00CF4D7E" w:rsidRPr="00E00683" w:rsidRDefault="00411D44" w:rsidP="00621939">
      <w:pPr>
        <w:pStyle w:val="BodyText"/>
        <w:rPr>
          <w:rFonts w:eastAsia="Calibri" w:cs="Calibri"/>
          <w:sz w:val="25"/>
          <w:szCs w:val="25"/>
        </w:rPr>
      </w:pPr>
      <w:r>
        <w:t>Some submitters viewed r</w:t>
      </w:r>
      <w:r w:rsidR="00CF4D7E">
        <w:t>egional spatial planning as the best mechanism to plan for growth across a region</w:t>
      </w:r>
      <w:r>
        <w:t>,</w:t>
      </w:r>
      <w:r w:rsidR="00CF4D7E">
        <w:t xml:space="preserve"> and coordinate</w:t>
      </w:r>
      <w:r>
        <w:t xml:space="preserve"> the</w:t>
      </w:r>
      <w:r w:rsidR="00CF4D7E">
        <w:t xml:space="preserve"> release of land</w:t>
      </w:r>
      <w:r>
        <w:t>. The same submitters felt</w:t>
      </w:r>
      <w:r w:rsidR="00CF4D7E">
        <w:t xml:space="preserve"> that the NPS-UDC should not remove the flexibility for councils to take an approach suitable for their local context.</w:t>
      </w:r>
    </w:p>
    <w:p w:rsidR="00CF4D7E" w:rsidRPr="00E00683" w:rsidRDefault="00CF4D7E" w:rsidP="00621939">
      <w:pPr>
        <w:pStyle w:val="BodyText"/>
        <w:rPr>
          <w:rFonts w:eastAsia="Calibri" w:cs="Calibri"/>
          <w:sz w:val="25"/>
          <w:szCs w:val="25"/>
        </w:rPr>
      </w:pPr>
      <w:r w:rsidRPr="00E00683">
        <w:t>Some submissions called for a revision o</w:t>
      </w:r>
      <w:r>
        <w:t>f the Local Government Act 2002 and the</w:t>
      </w:r>
      <w:r w:rsidRPr="00E00683">
        <w:t xml:space="preserve"> Land Transport Management Act 2005</w:t>
      </w:r>
      <w:r w:rsidR="00411D44">
        <w:t>,</w:t>
      </w:r>
      <w:r w:rsidRPr="00E00683">
        <w:t xml:space="preserve"> to ensure projects providing for growth are prioritised.</w:t>
      </w:r>
    </w:p>
    <w:p w:rsidR="00CF4D7E" w:rsidRDefault="00CF4D7E" w:rsidP="00621939">
      <w:pPr>
        <w:pStyle w:val="Quote"/>
      </w:pPr>
      <w:r w:rsidRPr="00331A3A">
        <w:t>“</w:t>
      </w:r>
      <w:r>
        <w:t>LGNZ urges the Government to work with local government on the legislative changes needed to enable spatial planning with necessary statutory weight.</w:t>
      </w:r>
      <w:r w:rsidR="000A1CCC">
        <w:t xml:space="preserve"> </w:t>
      </w:r>
      <w:r>
        <w:t>This points to the need to look at the relationship between the core planning statutes: Resource Management Act, Local Government Act and Land Transport Management Act</w:t>
      </w:r>
      <w:r w:rsidRPr="00331A3A">
        <w:t xml:space="preserve">.” </w:t>
      </w:r>
      <w:r>
        <w:t>Local Government New Zealand</w:t>
      </w:r>
    </w:p>
    <w:p w:rsidR="00CF4D7E" w:rsidRDefault="00CF4D7E" w:rsidP="00621939">
      <w:pPr>
        <w:pStyle w:val="Heading3"/>
      </w:pPr>
      <w:r w:rsidRPr="00E00683">
        <w:t>Demand</w:t>
      </w:r>
    </w:p>
    <w:p w:rsidR="00CF4D7E" w:rsidRPr="00EA2043" w:rsidRDefault="00CF4D7E" w:rsidP="00621939">
      <w:pPr>
        <w:pStyle w:val="BodyText"/>
        <w:rPr>
          <w:rFonts w:cs="Arial"/>
          <w:i/>
          <w:color w:val="333333"/>
          <w:sz w:val="20"/>
          <w:szCs w:val="20"/>
        </w:rPr>
      </w:pPr>
      <w:r>
        <w:t>A number of submi</w:t>
      </w:r>
      <w:r w:rsidR="005C1000">
        <w:t>tters</w:t>
      </w:r>
      <w:r>
        <w:t xml:space="preserve"> commented that development capacity or the supply of land for development on its own would not address the affordability issue</w:t>
      </w:r>
      <w:r w:rsidR="005C1000">
        <w:t>,</w:t>
      </w:r>
      <w:r>
        <w:t xml:space="preserve"> and that policies to address demand are also necessary.</w:t>
      </w:r>
    </w:p>
    <w:p w:rsidR="00CF4D7E" w:rsidRDefault="00CF4D7E" w:rsidP="00621939">
      <w:pPr>
        <w:pStyle w:val="Quote"/>
      </w:pPr>
      <w:r w:rsidRPr="00EA2043">
        <w:t xml:space="preserve"> “</w:t>
      </w:r>
      <w:r>
        <w:t>Although well intentioned, Government should focus on demand side measures (e.g. population, lending, taxation and regional policy) which have a proportionately stronger influence on housing than supply side measures such as land supply and house numbers.” Whanganui District Council</w:t>
      </w:r>
    </w:p>
    <w:p w:rsidR="00CF4D7E" w:rsidRDefault="00CF4D7E" w:rsidP="00621939">
      <w:pPr>
        <w:pStyle w:val="Heading3"/>
      </w:pPr>
      <w:r w:rsidRPr="00E00683">
        <w:t xml:space="preserve">Supply </w:t>
      </w:r>
    </w:p>
    <w:p w:rsidR="00CF4D7E" w:rsidRDefault="00CF4D7E" w:rsidP="00621939">
      <w:pPr>
        <w:pStyle w:val="BodyText"/>
      </w:pPr>
      <w:r>
        <w:t xml:space="preserve">Submissions, particularly from local authorities, were concerned that the NPS-UDC focuses on development capacity without recognising the constraints on supply </w:t>
      </w:r>
      <w:r w:rsidR="00047F55">
        <w:t xml:space="preserve">caused by </w:t>
      </w:r>
      <w:r>
        <w:t>land banking by a few large landowners.</w:t>
      </w:r>
      <w:r w:rsidR="000A1CCC">
        <w:t xml:space="preserve"> </w:t>
      </w:r>
      <w:r>
        <w:t>Submitters commented that there is difficulty in compelling developers to bring land to market and that land banking is an undermining factor in maintaining land affordability.</w:t>
      </w:r>
      <w:r w:rsidR="000A1CCC">
        <w:t xml:space="preserve"> </w:t>
      </w:r>
      <w:r>
        <w:t>Some submissions asked for the NPS-UDC to consider incentives for developers to bring land to market.</w:t>
      </w:r>
    </w:p>
    <w:p w:rsidR="00047F55" w:rsidRDefault="00CF4D7E" w:rsidP="00621939">
      <w:pPr>
        <w:pStyle w:val="BodyText"/>
      </w:pPr>
      <w:r>
        <w:t>Aside from land banking, submissions recognised a number of other supply factors</w:t>
      </w:r>
      <w:r w:rsidR="00047F55">
        <w:t>,</w:t>
      </w:r>
      <w:r>
        <w:t xml:space="preserve"> including: </w:t>
      </w:r>
    </w:p>
    <w:p w:rsidR="00047F55" w:rsidRPr="00541AE3" w:rsidRDefault="00CF4D7E" w:rsidP="004C6343">
      <w:pPr>
        <w:pStyle w:val="Bullet"/>
        <w:rPr>
          <w:rFonts w:cs="Arial"/>
          <w:i/>
          <w:color w:val="333333"/>
          <w:sz w:val="20"/>
        </w:rPr>
      </w:pPr>
      <w:r>
        <w:t>infrastructure funding</w:t>
      </w:r>
    </w:p>
    <w:p w:rsidR="00047F55" w:rsidRPr="00541AE3" w:rsidRDefault="00CF4D7E" w:rsidP="004C6343">
      <w:pPr>
        <w:pStyle w:val="Bullet"/>
        <w:rPr>
          <w:rFonts w:cs="Arial"/>
          <w:i/>
          <w:color w:val="333333"/>
          <w:sz w:val="20"/>
        </w:rPr>
      </w:pPr>
      <w:r>
        <w:t>skills and capacity in the building and construction sector</w:t>
      </w:r>
    </w:p>
    <w:p w:rsidR="00CF4D7E" w:rsidRPr="00EA2043" w:rsidRDefault="00CF4D7E" w:rsidP="004C6343">
      <w:pPr>
        <w:pStyle w:val="Bullet"/>
        <w:rPr>
          <w:rFonts w:cs="Arial"/>
          <w:i/>
          <w:color w:val="333333"/>
          <w:sz w:val="20"/>
        </w:rPr>
      </w:pPr>
      <w:r>
        <w:t>restrictive covenants.</w:t>
      </w:r>
    </w:p>
    <w:p w:rsidR="00CF4D7E" w:rsidRDefault="00CF4D7E" w:rsidP="00621939">
      <w:pPr>
        <w:pStyle w:val="Quote"/>
      </w:pPr>
      <w:r w:rsidRPr="00EA3415">
        <w:t>“Land banking needs to be tackled as part of any strategy.</w:t>
      </w:r>
      <w:r w:rsidR="000A1CCC">
        <w:t xml:space="preserve"> </w:t>
      </w:r>
      <w:r w:rsidRPr="00EA3415">
        <w:t>There is not much point creating extra supply if the landowners are unwilling to release that land…</w:t>
      </w:r>
      <w:r w:rsidR="00047F55">
        <w:t xml:space="preserve"> </w:t>
      </w:r>
      <w:r w:rsidRPr="00EA3415">
        <w:t>If landowners remain unwilling to release that land the Council is forced to identify additional land, which can be less ideal in terms of location and sequencing leading to poorer, less efficient outcomes.”</w:t>
      </w:r>
      <w:r>
        <w:t xml:space="preserve"> </w:t>
      </w:r>
      <w:r w:rsidRPr="00EA3415">
        <w:t>Rotorua Lakes Council</w:t>
      </w:r>
    </w:p>
    <w:p w:rsidR="00CF4D7E" w:rsidRPr="00EA3415" w:rsidRDefault="00CF4D7E" w:rsidP="00621939">
      <w:pPr>
        <w:pStyle w:val="Quote"/>
      </w:pPr>
      <w:r>
        <w:t>“Other economic drivers not addressed by the NPS, which affect the availability and price of housing at a given point in time could be explored by Central government to assist local government to ensure enough land is supplied for urban development.</w:t>
      </w:r>
      <w:r w:rsidR="000A1CCC">
        <w:t xml:space="preserve"> </w:t>
      </w:r>
      <w:r>
        <w:t>For example…</w:t>
      </w:r>
      <w:r w:rsidR="00047F55">
        <w:t xml:space="preserve"> </w:t>
      </w:r>
      <w:r>
        <w:t>impact of the second home or investor market, the effect high building costs and the structure of the building industry has on housing production, the impact of restrictive covenants which prevent intensification or require greater restrictions than what Council requires, and the role of housing speculation, low interest rates, and tax free gains on investment in terms of impacting supply.” Hamilton City Council</w:t>
      </w:r>
    </w:p>
    <w:p w:rsidR="00CF4D7E" w:rsidRDefault="00CF4D7E" w:rsidP="00621939">
      <w:pPr>
        <w:pStyle w:val="Heading3"/>
      </w:pPr>
      <w:r w:rsidRPr="00E00683">
        <w:t>Infrastructure</w:t>
      </w:r>
    </w:p>
    <w:p w:rsidR="00CF4D7E" w:rsidRDefault="00CF4D7E" w:rsidP="00621939">
      <w:pPr>
        <w:pStyle w:val="BodyText"/>
      </w:pPr>
      <w:r>
        <w:t>The most commonly referenced out-of-scope theme was infrastructure, in particular funding for infrastructure and a lack of coordination across relevant agencies.</w:t>
      </w:r>
      <w:r w:rsidR="000A1CCC">
        <w:t xml:space="preserve"> </w:t>
      </w:r>
      <w:r>
        <w:t xml:space="preserve">Local </w:t>
      </w:r>
      <w:r w:rsidR="00047F55">
        <w:t>a</w:t>
      </w:r>
      <w:r>
        <w:t>uthorities identified that the provision of infrastructure is often out of their control</w:t>
      </w:r>
      <w:r w:rsidR="0042642F">
        <w:t>,</w:t>
      </w:r>
      <w:r>
        <w:t xml:space="preserve"> and without investment in those areas in parallel to policy direction through the NPS-UDC</w:t>
      </w:r>
      <w:r w:rsidR="0042642F">
        <w:t>,</w:t>
      </w:r>
      <w:r>
        <w:t xml:space="preserve"> increases in development capacity would not have the intended effect.</w:t>
      </w:r>
      <w:r w:rsidR="000A1CCC">
        <w:t xml:space="preserve"> </w:t>
      </w:r>
      <w:r>
        <w:t>Comments included that the NPS-UDC would add pressure in situations where a local authority may be approaching funding limits or capacity limits of infrastructure assets</w:t>
      </w:r>
      <w:r w:rsidR="0042642F">
        <w:t>,</w:t>
      </w:r>
      <w:r>
        <w:t xml:space="preserve"> and that alternative funding mechanisms should be investigated by central government.</w:t>
      </w:r>
      <w:r w:rsidR="000A1CCC">
        <w:t xml:space="preserve"> </w:t>
      </w:r>
      <w:r>
        <w:t>For example</w:t>
      </w:r>
      <w:r w:rsidR="0042642F">
        <w:t>:</w:t>
      </w:r>
    </w:p>
    <w:p w:rsidR="00CF4D7E" w:rsidRDefault="00CF4D7E" w:rsidP="00621939">
      <w:pPr>
        <w:pStyle w:val="Quote"/>
      </w:pPr>
      <w:r>
        <w:t xml:space="preserve"> “To ensure that the NPS UDC meets its aims, Water NZ considers that alternative funding arrangements for infrastructure, such as a contribution from central government to regionally significant infrastructure should be investigated.”</w:t>
      </w:r>
      <w:r w:rsidR="000A1CCC">
        <w:t xml:space="preserve"> </w:t>
      </w:r>
      <w:r>
        <w:t>Water New Zealand</w:t>
      </w:r>
    </w:p>
    <w:p w:rsidR="00CF4D7E" w:rsidRPr="00747912" w:rsidRDefault="00CF4D7E" w:rsidP="00621939">
      <w:pPr>
        <w:pStyle w:val="BodyText"/>
      </w:pPr>
      <w:r w:rsidRPr="00747912">
        <w:t>Developers also noted an issue where proposals to provide infrastructure at their cost is declined when the site identified for development does not align with the consenting local authority’s growth strategy.</w:t>
      </w:r>
    </w:p>
    <w:p w:rsidR="00CF4D7E" w:rsidRDefault="00CF4D7E" w:rsidP="00621939">
      <w:pPr>
        <w:pStyle w:val="Heading3"/>
      </w:pPr>
      <w:r w:rsidRPr="00E00683">
        <w:t>Reverse sensitivity</w:t>
      </w:r>
    </w:p>
    <w:p w:rsidR="00CF4D7E" w:rsidRDefault="00CF4D7E" w:rsidP="00621939">
      <w:pPr>
        <w:pStyle w:val="BodyText"/>
      </w:pPr>
      <w:r>
        <w:t xml:space="preserve">Eighteen submissions, primarily from </w:t>
      </w:r>
      <w:r w:rsidR="0042642F">
        <w:t>b</w:t>
      </w:r>
      <w:r>
        <w:t>usiness/</w:t>
      </w:r>
      <w:r w:rsidR="0042642F">
        <w:t>i</w:t>
      </w:r>
      <w:r>
        <w:t xml:space="preserve">ndustry, </w:t>
      </w:r>
      <w:r w:rsidR="0042642F">
        <w:t>d</w:t>
      </w:r>
      <w:r>
        <w:t xml:space="preserve">evelopment </w:t>
      </w:r>
      <w:r w:rsidR="0042642F">
        <w:t>s</w:t>
      </w:r>
      <w:r>
        <w:t>ector</w:t>
      </w:r>
      <w:r w:rsidR="0042642F">
        <w:t>,</w:t>
      </w:r>
      <w:r>
        <w:t xml:space="preserve"> and </w:t>
      </w:r>
      <w:r w:rsidR="0042642F">
        <w:t>i</w:t>
      </w:r>
      <w:r>
        <w:t xml:space="preserve">nfrastructure </w:t>
      </w:r>
      <w:r w:rsidR="0042642F">
        <w:t>p</w:t>
      </w:r>
      <w:r>
        <w:t>roviders submitter groups</w:t>
      </w:r>
      <w:r w:rsidR="0042642F">
        <w:t>,</w:t>
      </w:r>
      <w:r>
        <w:t xml:space="preserve"> expressed concern that the NPS-UDC does not specifically address reverse sensitivity issues.</w:t>
      </w:r>
      <w:r w:rsidR="000A1CCC">
        <w:t xml:space="preserve"> </w:t>
      </w:r>
      <w:r>
        <w:t>Their concerns stemmed from an interpretation that the requirements under the NPS-UDC would likely create incompatible land uses in proximity to existing or future operations such as farming activities, utility network assets and manufacturing.</w:t>
      </w:r>
    </w:p>
    <w:p w:rsidR="00CF4D7E" w:rsidRDefault="00CF4D7E" w:rsidP="00621939">
      <w:pPr>
        <w:pStyle w:val="Quote"/>
      </w:pPr>
      <w:r>
        <w:t>“ENA concerns that it would be helpful for development of national direction on this issue, particularly where the proposed RMA reforms and NPS are effectively promoting fast planning and consenting processes with few limitations.</w:t>
      </w:r>
      <w:r w:rsidR="000A1CCC">
        <w:t xml:space="preserve"> </w:t>
      </w:r>
      <w:r>
        <w:t>ENA expect that conflict between existing infrastructure assets and new housing development is more likely to occur in those circumstances.” Electricity Networks Association</w:t>
      </w:r>
    </w:p>
    <w:p w:rsidR="00CF4D7E" w:rsidRPr="00874D2C" w:rsidRDefault="00CF4D7E" w:rsidP="00621939">
      <w:pPr>
        <w:pStyle w:val="Quote"/>
        <w:rPr>
          <w:rFonts w:eastAsiaTheme="majorEastAsia" w:cstheme="majorBidi"/>
          <w:b/>
          <w:bCs/>
          <w:color w:val="1C556C"/>
          <w:sz w:val="48"/>
          <w:szCs w:val="28"/>
        </w:rPr>
      </w:pPr>
      <w:r>
        <w:t>“In providing land for Development Capacity, it is important to consider how adjoining land is zoned, or how it has been developed and how it will be impacted by development of the subject land.</w:t>
      </w:r>
      <w:r w:rsidR="000A1CCC">
        <w:t xml:space="preserve"> </w:t>
      </w:r>
      <w:r>
        <w:t>This is important to overall urban form, and will ensure integrated urban development.”</w:t>
      </w:r>
      <w:r w:rsidR="000A1CCC">
        <w:t xml:space="preserve"> </w:t>
      </w:r>
      <w:r>
        <w:t>Property Council New Zealand.</w:t>
      </w:r>
      <w:r>
        <w:br w:type="page"/>
      </w:r>
    </w:p>
    <w:p w:rsidR="00F93431" w:rsidRDefault="00F93431" w:rsidP="00BF1B2F">
      <w:pPr>
        <w:pStyle w:val="Heading1"/>
        <w:ind w:left="284"/>
      </w:pPr>
      <w:bookmarkStart w:id="20" w:name="_Toc461185727"/>
      <w:bookmarkEnd w:id="3"/>
      <w:r w:rsidRPr="006B77BB">
        <w:t>Appendix</w:t>
      </w:r>
      <w:r w:rsidR="00044DDB">
        <w:t xml:space="preserve"> 1 – Stakeholder </w:t>
      </w:r>
      <w:r w:rsidR="006D7723">
        <w:t>c</w:t>
      </w:r>
      <w:r w:rsidR="00044DDB">
        <w:t>ategories</w:t>
      </w:r>
      <w:bookmarkEnd w:id="20"/>
    </w:p>
    <w:tbl>
      <w:tblPr>
        <w:tblStyle w:val="TableGrid"/>
        <w:tblW w:w="8607"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1555"/>
        <w:gridCol w:w="7052"/>
      </w:tblGrid>
      <w:tr w:rsidR="00044DDB" w:rsidRPr="00356C3D" w:rsidTr="00D822C2">
        <w:trPr>
          <w:tblHeader/>
        </w:trPr>
        <w:tc>
          <w:tcPr>
            <w:tcW w:w="1555" w:type="dxa"/>
            <w:shd w:val="clear" w:color="auto" w:fill="1C556C"/>
          </w:tcPr>
          <w:p w:rsidR="00044DDB" w:rsidRPr="00621939" w:rsidRDefault="00044DDB" w:rsidP="00621939">
            <w:pPr>
              <w:pStyle w:val="TableText"/>
              <w:rPr>
                <w:b/>
                <w:color w:val="FFFFFF" w:themeColor="background1"/>
              </w:rPr>
            </w:pPr>
            <w:r w:rsidRPr="00621939">
              <w:rPr>
                <w:b/>
                <w:color w:val="FFFFFF" w:themeColor="background1"/>
              </w:rPr>
              <w:t xml:space="preserve">Stakeholder </w:t>
            </w:r>
            <w:r w:rsidR="007F1CB1" w:rsidRPr="00621939">
              <w:rPr>
                <w:b/>
                <w:color w:val="FFFFFF" w:themeColor="background1"/>
              </w:rPr>
              <w:t>c</w:t>
            </w:r>
            <w:r w:rsidRPr="00621939">
              <w:rPr>
                <w:b/>
                <w:color w:val="FFFFFF" w:themeColor="background1"/>
              </w:rPr>
              <w:t>ategory</w:t>
            </w:r>
          </w:p>
        </w:tc>
        <w:tc>
          <w:tcPr>
            <w:tcW w:w="7052" w:type="dxa"/>
            <w:shd w:val="clear" w:color="auto" w:fill="1C556C"/>
          </w:tcPr>
          <w:p w:rsidR="00044DDB" w:rsidRPr="00621939" w:rsidRDefault="00044DDB" w:rsidP="00621939">
            <w:pPr>
              <w:pStyle w:val="TableText"/>
              <w:rPr>
                <w:b/>
                <w:color w:val="FFFFFF" w:themeColor="background1"/>
              </w:rPr>
            </w:pPr>
            <w:r w:rsidRPr="00621939">
              <w:rPr>
                <w:b/>
                <w:color w:val="FFFFFF" w:themeColor="background1"/>
              </w:rPr>
              <w:t xml:space="preserve">List of </w:t>
            </w:r>
            <w:r w:rsidR="006D7723" w:rsidRPr="00621939">
              <w:rPr>
                <w:b/>
                <w:color w:val="FFFFFF" w:themeColor="background1"/>
              </w:rPr>
              <w:t>s</w:t>
            </w:r>
            <w:r w:rsidRPr="00621939">
              <w:rPr>
                <w:b/>
                <w:color w:val="FFFFFF" w:themeColor="background1"/>
              </w:rPr>
              <w:t>ubmitters</w:t>
            </w:r>
          </w:p>
        </w:tc>
      </w:tr>
      <w:tr w:rsidR="00044DDB" w:rsidRPr="00356C3D" w:rsidTr="00D822C2">
        <w:tc>
          <w:tcPr>
            <w:tcW w:w="1555" w:type="dxa"/>
            <w:shd w:val="clear" w:color="auto" w:fill="auto"/>
          </w:tcPr>
          <w:p w:rsidR="00044DDB" w:rsidRPr="00356C3D" w:rsidRDefault="00DA6360" w:rsidP="001E19C1">
            <w:pPr>
              <w:pStyle w:val="TableText"/>
              <w:ind w:left="284"/>
            </w:pPr>
            <w:r>
              <w:t>Advocacy</w:t>
            </w:r>
          </w:p>
        </w:tc>
        <w:tc>
          <w:tcPr>
            <w:tcW w:w="7052" w:type="dxa"/>
            <w:shd w:val="clear" w:color="auto" w:fill="auto"/>
          </w:tcPr>
          <w:tbl>
            <w:tblPr>
              <w:tblW w:w="5982" w:type="dxa"/>
              <w:tblLayout w:type="fixed"/>
              <w:tblLook w:val="04A0" w:firstRow="1" w:lastRow="0" w:firstColumn="1" w:lastColumn="0" w:noHBand="0" w:noVBand="1"/>
            </w:tblPr>
            <w:tblGrid>
              <w:gridCol w:w="5982"/>
            </w:tblGrid>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C641C4">
                  <w:pPr>
                    <w:pStyle w:val="TableText"/>
                    <w:rPr>
                      <w:rFonts w:eastAsia="Times New Roman"/>
                    </w:rPr>
                  </w:pPr>
                  <w:r w:rsidRPr="00DA6360">
                    <w:rPr>
                      <w:rFonts w:eastAsia="Times New Roman"/>
                    </w:rPr>
                    <w:t>A</w:t>
                  </w:r>
                  <w:r w:rsidR="00C641C4">
                    <w:rPr>
                      <w:rFonts w:eastAsia="Times New Roman"/>
                    </w:rPr>
                    <w:t>nonymous</w:t>
                  </w:r>
                </w:p>
              </w:tc>
            </w:tr>
            <w:tr w:rsidR="00C641C4" w:rsidRPr="00DA6360" w:rsidTr="004C6343">
              <w:trPr>
                <w:trHeight w:val="240"/>
              </w:trPr>
              <w:tc>
                <w:tcPr>
                  <w:tcW w:w="5982" w:type="dxa"/>
                  <w:tcBorders>
                    <w:top w:val="nil"/>
                    <w:left w:val="nil"/>
                    <w:bottom w:val="nil"/>
                    <w:right w:val="nil"/>
                  </w:tcBorders>
                  <w:shd w:val="clear" w:color="auto" w:fill="auto"/>
                  <w:noWrap/>
                  <w:vAlign w:val="bottom"/>
                  <w:hideMark/>
                </w:tcPr>
                <w:p w:rsidR="00C641C4" w:rsidRPr="00DA6360" w:rsidRDefault="00C641C4" w:rsidP="003B4817">
                  <w:pPr>
                    <w:pStyle w:val="TableText"/>
                    <w:rPr>
                      <w:rFonts w:eastAsia="Times New Roman"/>
                    </w:rPr>
                  </w:pPr>
                  <w:r w:rsidRPr="00DA6360">
                    <w:rPr>
                      <w:rFonts w:eastAsia="Times New Roman"/>
                    </w:rPr>
                    <w:t>Architectural Centre</w:t>
                  </w:r>
                </w:p>
              </w:tc>
            </w:tr>
            <w:tr w:rsidR="00C641C4" w:rsidRPr="00DA6360" w:rsidTr="004C6343">
              <w:trPr>
                <w:trHeight w:val="240"/>
              </w:trPr>
              <w:tc>
                <w:tcPr>
                  <w:tcW w:w="5982" w:type="dxa"/>
                  <w:tcBorders>
                    <w:top w:val="nil"/>
                    <w:left w:val="nil"/>
                    <w:bottom w:val="nil"/>
                    <w:right w:val="nil"/>
                  </w:tcBorders>
                  <w:shd w:val="clear" w:color="auto" w:fill="auto"/>
                  <w:noWrap/>
                  <w:vAlign w:val="bottom"/>
                  <w:hideMark/>
                </w:tcPr>
                <w:p w:rsidR="00C641C4" w:rsidRPr="00DA6360" w:rsidRDefault="00C641C4" w:rsidP="003B4817">
                  <w:pPr>
                    <w:pStyle w:val="TableText"/>
                    <w:rPr>
                      <w:rFonts w:eastAsia="Times New Roman"/>
                    </w:rPr>
                  </w:pPr>
                  <w:r w:rsidRPr="00DA6360">
                    <w:rPr>
                      <w:rFonts w:eastAsia="Times New Roman"/>
                    </w:rPr>
                    <w:t>Community Housing Aotearoa</w:t>
                  </w:r>
                </w:p>
              </w:tc>
            </w:tr>
            <w:tr w:rsidR="00C641C4" w:rsidRPr="00DA6360" w:rsidTr="004C6343">
              <w:trPr>
                <w:trHeight w:val="240"/>
              </w:trPr>
              <w:tc>
                <w:tcPr>
                  <w:tcW w:w="5982" w:type="dxa"/>
                  <w:tcBorders>
                    <w:top w:val="nil"/>
                    <w:left w:val="nil"/>
                    <w:bottom w:val="nil"/>
                    <w:right w:val="nil"/>
                  </w:tcBorders>
                  <w:shd w:val="clear" w:color="auto" w:fill="auto"/>
                  <w:noWrap/>
                  <w:vAlign w:val="bottom"/>
                  <w:hideMark/>
                </w:tcPr>
                <w:p w:rsidR="00C641C4" w:rsidRPr="00DA6360" w:rsidRDefault="00C641C4" w:rsidP="003B4817">
                  <w:pPr>
                    <w:pStyle w:val="TableText"/>
                    <w:rPr>
                      <w:rFonts w:eastAsia="Times New Roman"/>
                    </w:rPr>
                  </w:pPr>
                  <w:r w:rsidRPr="00DA6360">
                    <w:rPr>
                      <w:rFonts w:eastAsia="Times New Roman"/>
                    </w:rPr>
                    <w:t>Environment and Conservation Organisations of N</w:t>
                  </w:r>
                  <w:r>
                    <w:rPr>
                      <w:rFonts w:eastAsia="Times New Roman"/>
                    </w:rPr>
                    <w:t xml:space="preserve">ew </w:t>
                  </w:r>
                  <w:r w:rsidRPr="00DA6360">
                    <w:rPr>
                      <w:rFonts w:eastAsia="Times New Roman"/>
                    </w:rPr>
                    <w:t>Z</w:t>
                  </w:r>
                  <w:r>
                    <w:rPr>
                      <w:rFonts w:eastAsia="Times New Roman"/>
                    </w:rPr>
                    <w:t>ealand</w:t>
                  </w:r>
                </w:p>
              </w:tc>
            </w:tr>
            <w:tr w:rsidR="00C641C4" w:rsidRPr="00DA6360" w:rsidTr="004C6343">
              <w:trPr>
                <w:trHeight w:val="240"/>
              </w:trPr>
              <w:tc>
                <w:tcPr>
                  <w:tcW w:w="5982" w:type="dxa"/>
                  <w:tcBorders>
                    <w:top w:val="nil"/>
                    <w:left w:val="nil"/>
                    <w:bottom w:val="nil"/>
                    <w:right w:val="nil"/>
                  </w:tcBorders>
                  <w:shd w:val="clear" w:color="auto" w:fill="auto"/>
                  <w:noWrap/>
                  <w:vAlign w:val="bottom"/>
                  <w:hideMark/>
                </w:tcPr>
                <w:p w:rsidR="00C641C4" w:rsidRPr="00DA6360" w:rsidRDefault="00C641C4" w:rsidP="003B4817">
                  <w:pPr>
                    <w:pStyle w:val="TableText"/>
                    <w:rPr>
                      <w:rFonts w:eastAsia="Times New Roman"/>
                    </w:rPr>
                  </w:pPr>
                  <w:r w:rsidRPr="00DA6360">
                    <w:rPr>
                      <w:rFonts w:eastAsia="Times New Roman"/>
                    </w:rPr>
                    <w:t>ICOMOS N</w:t>
                  </w:r>
                  <w:r>
                    <w:rPr>
                      <w:rFonts w:eastAsia="Times New Roman"/>
                    </w:rPr>
                    <w:t>ew Zealand</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Mt Victoria Residents’ Association Inc</w:t>
                  </w:r>
                  <w:r w:rsidR="00902440">
                    <w:rPr>
                      <w:rFonts w:eastAsia="Times New Roman"/>
                    </w:rPr>
                    <w:t>.</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New Zealand Association for Impact Assessment</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New Zealand Automobile Association</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Default="00DA6360" w:rsidP="00621939">
                  <w:pPr>
                    <w:pStyle w:val="TableText"/>
                    <w:rPr>
                      <w:rFonts w:eastAsia="Times New Roman"/>
                    </w:rPr>
                  </w:pPr>
                  <w:r w:rsidRPr="00DA6360">
                    <w:rPr>
                      <w:rFonts w:eastAsia="Times New Roman"/>
                    </w:rPr>
                    <w:t>Royal Astronomical Society of New Zealand</w:t>
                  </w:r>
                </w:p>
                <w:p w:rsidR="00E158A3" w:rsidRPr="00DA6360" w:rsidRDefault="00E158A3" w:rsidP="00621939">
                  <w:pPr>
                    <w:pStyle w:val="TableText"/>
                    <w:rPr>
                      <w:rFonts w:eastAsia="Times New Roman"/>
                    </w:rPr>
                  </w:pPr>
                  <w:r>
                    <w:rPr>
                      <w:rFonts w:eastAsia="Times New Roman"/>
                    </w:rPr>
                    <w:t>Save our Hills</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Temple View Project The Church of Jesus Christ of Latter-day Saints</w:t>
                  </w:r>
                </w:p>
              </w:tc>
            </w:tr>
            <w:tr w:rsidR="00DA6360" w:rsidRPr="00DA6360" w:rsidTr="004C6343">
              <w:trPr>
                <w:trHeight w:val="240"/>
              </w:trPr>
              <w:tc>
                <w:tcPr>
                  <w:tcW w:w="59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Water New Zealand</w:t>
                  </w:r>
                </w:p>
              </w:tc>
            </w:tr>
          </w:tbl>
          <w:p w:rsidR="00044DDB" w:rsidRPr="00356C3D" w:rsidRDefault="00044DDB" w:rsidP="001E19C1">
            <w:pPr>
              <w:pStyle w:val="TableText"/>
              <w:ind w:left="284"/>
            </w:pPr>
          </w:p>
        </w:tc>
      </w:tr>
      <w:tr w:rsidR="00044DDB" w:rsidRPr="009B05BA" w:rsidTr="00D822C2">
        <w:tc>
          <w:tcPr>
            <w:tcW w:w="1555" w:type="dxa"/>
            <w:shd w:val="clear" w:color="auto" w:fill="auto"/>
          </w:tcPr>
          <w:p w:rsidR="00044DDB" w:rsidRPr="009B05BA" w:rsidRDefault="00DA6360" w:rsidP="006D7723">
            <w:pPr>
              <w:pStyle w:val="TableText"/>
              <w:ind w:left="284"/>
            </w:pPr>
            <w:r>
              <w:t xml:space="preserve">Business/ </w:t>
            </w:r>
            <w:r w:rsidR="006D7723">
              <w:t>i</w:t>
            </w:r>
            <w:r>
              <w:t>ndustry</w:t>
            </w:r>
          </w:p>
        </w:tc>
        <w:tc>
          <w:tcPr>
            <w:tcW w:w="7052" w:type="dxa"/>
            <w:shd w:val="clear" w:color="auto" w:fill="auto"/>
          </w:tcPr>
          <w:tbl>
            <w:tblPr>
              <w:tblW w:w="8195" w:type="dxa"/>
              <w:tblLayout w:type="fixed"/>
              <w:tblLook w:val="04A0" w:firstRow="1" w:lastRow="0" w:firstColumn="1" w:lastColumn="0" w:noHBand="0" w:noVBand="1"/>
            </w:tblPr>
            <w:tblGrid>
              <w:gridCol w:w="8195"/>
            </w:tblGrid>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Brookdale Limited</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902440">
                  <w:pPr>
                    <w:pStyle w:val="TableText"/>
                    <w:rPr>
                      <w:rFonts w:eastAsia="Times New Roman"/>
                    </w:rPr>
                  </w:pPr>
                  <w:r w:rsidRPr="00DA6360">
                    <w:rPr>
                      <w:rFonts w:eastAsia="Times New Roman"/>
                    </w:rPr>
                    <w:t>B</w:t>
                  </w:r>
                  <w:r w:rsidR="00902440">
                    <w:rPr>
                      <w:rFonts w:eastAsia="Times New Roman"/>
                    </w:rPr>
                    <w:t xml:space="preserve">usiness </w:t>
                  </w:r>
                  <w:r w:rsidRPr="00DA6360">
                    <w:rPr>
                      <w:rFonts w:eastAsia="Times New Roman"/>
                    </w:rPr>
                    <w:t>NZ</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Federated Farmers of New Zealand (Auckland Province)</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Fonterra Co-operative Group Limited</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Foodstuffs (NZ) Limited, Foodstuffs North Island Limited and Foodstuffs South Island</w:t>
                  </w:r>
                  <w:r w:rsidR="006D7723">
                    <w:rPr>
                      <w:rFonts w:eastAsia="Times New Roman"/>
                    </w:rPr>
                    <w:br/>
                  </w:r>
                  <w:r w:rsidRPr="00DA6360">
                    <w:rPr>
                      <w:rFonts w:eastAsia="Times New Roman"/>
                    </w:rPr>
                    <w:t>Limited</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Greater East Tamaki Business Association Inc</w:t>
                  </w:r>
                  <w:r w:rsidR="00902440">
                    <w:rPr>
                      <w:rFonts w:eastAsia="Times New Roman"/>
                    </w:rPr>
                    <w:t>.</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Horticulture New Zealand</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A15D5C" w:rsidP="00621939">
                  <w:pPr>
                    <w:pStyle w:val="TableText"/>
                    <w:rPr>
                      <w:rFonts w:eastAsia="Times New Roman"/>
                    </w:rPr>
                  </w:pPr>
                  <w:r>
                    <w:rPr>
                      <w:rFonts w:eastAsia="Times New Roman"/>
                    </w:rPr>
                    <w:t>Advanced Management Systems Limited (</w:t>
                  </w:r>
                  <w:r w:rsidR="00DA6360" w:rsidRPr="00DA6360">
                    <w:rPr>
                      <w:rFonts w:eastAsia="Times New Roman"/>
                    </w:rPr>
                    <w:t>Noel Reid</w:t>
                  </w:r>
                  <w:r>
                    <w:rPr>
                      <w:rFonts w:eastAsia="Times New Roman"/>
                    </w:rPr>
                    <w:t>)</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 xml:space="preserve">Poultry Industry Association of </w:t>
                  </w:r>
                  <w:r>
                    <w:rPr>
                      <w:rFonts w:eastAsia="Times New Roman"/>
                    </w:rPr>
                    <w:t>N</w:t>
                  </w:r>
                  <w:r w:rsidR="006D7723">
                    <w:rPr>
                      <w:rFonts w:eastAsia="Times New Roman"/>
                    </w:rPr>
                    <w:t xml:space="preserve">ew </w:t>
                  </w:r>
                  <w:r>
                    <w:rPr>
                      <w:rFonts w:eastAsia="Times New Roman"/>
                    </w:rPr>
                    <w:t>Z</w:t>
                  </w:r>
                  <w:r w:rsidR="006D7723">
                    <w:rPr>
                      <w:rFonts w:eastAsia="Times New Roman"/>
                    </w:rPr>
                    <w:t>ealand</w:t>
                  </w:r>
                  <w:r>
                    <w:rPr>
                      <w:rFonts w:eastAsia="Times New Roman"/>
                    </w:rPr>
                    <w:t xml:space="preserve"> </w:t>
                  </w:r>
                  <w:r w:rsidRPr="00DA6360">
                    <w:rPr>
                      <w:rFonts w:eastAsia="Times New Roman"/>
                    </w:rPr>
                    <w:t>(PIANZ) and The Egg Producers Federation of</w:t>
                  </w:r>
                  <w:r w:rsidR="006D7723">
                    <w:rPr>
                      <w:rFonts w:eastAsia="Times New Roman"/>
                    </w:rPr>
                    <w:br/>
                  </w:r>
                  <w:r>
                    <w:rPr>
                      <w:rFonts w:eastAsia="Times New Roman"/>
                    </w:rPr>
                    <w:t>N</w:t>
                  </w:r>
                  <w:r w:rsidR="006D7723">
                    <w:rPr>
                      <w:rFonts w:eastAsia="Times New Roman"/>
                    </w:rPr>
                    <w:t xml:space="preserve">ew </w:t>
                  </w:r>
                  <w:r>
                    <w:rPr>
                      <w:rFonts w:eastAsia="Times New Roman"/>
                    </w:rPr>
                    <w:t>Z</w:t>
                  </w:r>
                  <w:r w:rsidR="006D7723">
                    <w:rPr>
                      <w:rFonts w:eastAsia="Times New Roman"/>
                    </w:rPr>
                    <w:t>ealand</w:t>
                  </w:r>
                  <w:r w:rsidRPr="00DA6360">
                    <w:rPr>
                      <w:rFonts w:eastAsia="Times New Roman"/>
                    </w:rPr>
                    <w:t xml:space="preserve"> (EPFNZ)</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Progressive Enterprises Limited</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Pr>
                      <w:rFonts w:eastAsia="Times New Roman"/>
                    </w:rPr>
                    <w:t>Tourism Industry Aotearoa</w:t>
                  </w:r>
                </w:p>
              </w:tc>
            </w:tr>
            <w:tr w:rsidR="00DA6360" w:rsidRPr="00DA6360" w:rsidTr="00DA6360">
              <w:trPr>
                <w:trHeight w:val="240"/>
              </w:trPr>
              <w:tc>
                <w:tcPr>
                  <w:tcW w:w="8195" w:type="dxa"/>
                  <w:tcBorders>
                    <w:top w:val="nil"/>
                    <w:left w:val="nil"/>
                    <w:bottom w:val="nil"/>
                    <w:right w:val="nil"/>
                  </w:tcBorders>
                  <w:shd w:val="clear" w:color="auto" w:fill="auto"/>
                  <w:noWrap/>
                  <w:vAlign w:val="bottom"/>
                  <w:hideMark/>
                </w:tcPr>
                <w:p w:rsidR="00DA6360" w:rsidRPr="00DA6360" w:rsidRDefault="00DA6360" w:rsidP="00902440">
                  <w:pPr>
                    <w:pStyle w:val="TableText"/>
                    <w:rPr>
                      <w:rFonts w:eastAsia="Times New Roman"/>
                    </w:rPr>
                  </w:pPr>
                  <w:r w:rsidRPr="00DA6360">
                    <w:rPr>
                      <w:rFonts w:eastAsia="Times New Roman"/>
                    </w:rPr>
                    <w:t>Wellington Chamber of Commerce</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6D7723">
            <w:pPr>
              <w:pStyle w:val="TableText"/>
              <w:ind w:left="284"/>
            </w:pPr>
            <w:r>
              <w:t xml:space="preserve">Central </w:t>
            </w:r>
            <w:r w:rsidR="006D7723">
              <w:t>g</w:t>
            </w:r>
            <w:r>
              <w:t xml:space="preserve">overnment </w:t>
            </w:r>
            <w:r w:rsidR="006D7723">
              <w:t>a</w:t>
            </w:r>
            <w:r>
              <w:t>gencies</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Canterbury District Health Board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Institute of Geological and Nuclear Sciences Limited</w:t>
                  </w:r>
                  <w:r w:rsidR="00902440">
                    <w:rPr>
                      <w:rFonts w:eastAsia="Times New Roman"/>
                    </w:rPr>
                    <w:t xml:space="preserve"> (GNS Science)</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Ministry of Education</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1E19C1">
            <w:pPr>
              <w:pStyle w:val="TableText"/>
              <w:ind w:left="284"/>
            </w:pPr>
            <w:r>
              <w:t xml:space="preserve">Development </w:t>
            </w:r>
            <w:r w:rsidR="006D7723">
              <w:t>s</w:t>
            </w:r>
            <w:r>
              <w:t>ector</w:t>
            </w:r>
          </w:p>
        </w:tc>
        <w:tc>
          <w:tcPr>
            <w:tcW w:w="7052" w:type="dxa"/>
          </w:tcPr>
          <w:tbl>
            <w:tblPr>
              <w:tblW w:w="8082" w:type="dxa"/>
              <w:tblLayout w:type="fixed"/>
              <w:tblLook w:val="04A0" w:firstRow="1" w:lastRow="0" w:firstColumn="1" w:lastColumn="0" w:noHBand="0" w:noVBand="1"/>
            </w:tblPr>
            <w:tblGrid>
              <w:gridCol w:w="8082"/>
            </w:tblGrid>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Pr>
                      <w:rFonts w:eastAsia="Times New Roman"/>
                    </w:rPr>
                    <w:t>Aggregate and Quarry Association of N</w:t>
                  </w:r>
                  <w:r w:rsidR="006D7723">
                    <w:rPr>
                      <w:rFonts w:eastAsia="Times New Roman"/>
                    </w:rPr>
                    <w:t xml:space="preserve">ew </w:t>
                  </w:r>
                  <w:r>
                    <w:rPr>
                      <w:rFonts w:eastAsia="Times New Roman"/>
                    </w:rPr>
                    <w:t>Z</w:t>
                  </w:r>
                  <w:r w:rsidR="006D7723">
                    <w:rPr>
                      <w:rFonts w:eastAsia="Times New Roman"/>
                    </w:rPr>
                    <w:t>ealand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Auranga (Karaka and Drury Ltd)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Boffa Miskell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CDL Land N</w:t>
                  </w:r>
                  <w:r w:rsidR="006D7723">
                    <w:rPr>
                      <w:rFonts w:eastAsia="Times New Roman"/>
                    </w:rPr>
                    <w:t xml:space="preserve">ew </w:t>
                  </w:r>
                  <w:r w:rsidRPr="00DA6360">
                    <w:rPr>
                      <w:rFonts w:eastAsia="Times New Roman"/>
                    </w:rPr>
                    <w:t>Z</w:t>
                  </w:r>
                  <w:r w:rsidR="006D7723">
                    <w:rPr>
                      <w:rFonts w:eastAsia="Times New Roman"/>
                    </w:rPr>
                    <w:t>ealand</w:t>
                  </w:r>
                  <w:r w:rsidRPr="00DA6360">
                    <w:rPr>
                      <w:rFonts w:eastAsia="Times New Roman"/>
                    </w:rPr>
                    <w:t xml:space="preserve">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Fulton Hogan Residential Land</w:t>
                  </w:r>
                  <w:r>
                    <w:rPr>
                      <w:rFonts w:eastAsia="Times New Roman"/>
                    </w:rPr>
                    <w:t xml:space="preserve"> </w:t>
                  </w:r>
                  <w:r w:rsidRPr="00DA6360">
                    <w:rPr>
                      <w:rFonts w:eastAsia="Times New Roman"/>
                    </w:rPr>
                    <w:t>Development</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Goodman (NZ)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Heritage Estates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Jon Mapes Land Solutions Ltd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 xml:space="preserve">Karaka Centre Limited, Karaka Lakes Limited, Karaka Harbourside Estate Limited and </w:t>
                  </w:r>
                  <w:r w:rsidR="006D7723">
                    <w:rPr>
                      <w:rFonts w:eastAsia="Times New Roman"/>
                    </w:rPr>
                    <w:br/>
                  </w:r>
                  <w:r w:rsidRPr="00DA6360">
                    <w:rPr>
                      <w:rFonts w:eastAsia="Times New Roman"/>
                    </w:rPr>
                    <w:t>Frank and Juliet Reynolds</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Kiwi Property Group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Landlink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Pr>
                      <w:rFonts w:eastAsia="Times New Roman"/>
                    </w:rPr>
                    <w:t>N</w:t>
                  </w:r>
                  <w:r w:rsidR="006D7723">
                    <w:rPr>
                      <w:rFonts w:eastAsia="Times New Roman"/>
                    </w:rPr>
                    <w:t xml:space="preserve">ew </w:t>
                  </w:r>
                  <w:r>
                    <w:rPr>
                      <w:rFonts w:eastAsia="Times New Roman"/>
                    </w:rPr>
                    <w:t>Z</w:t>
                  </w:r>
                  <w:r w:rsidR="006D7723">
                    <w:rPr>
                      <w:rFonts w:eastAsia="Times New Roman"/>
                    </w:rPr>
                    <w:t>ealand</w:t>
                  </w:r>
                  <w:r>
                    <w:rPr>
                      <w:rFonts w:eastAsia="Times New Roman"/>
                    </w:rPr>
                    <w:t xml:space="preserve"> Council of Shopping Centres</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Ngāi Tahu Property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Ockham Residential</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P</w:t>
                  </w:r>
                  <w:r>
                    <w:rPr>
                      <w:rFonts w:eastAsia="Times New Roman"/>
                    </w:rPr>
                    <w:t>roperty Council of N</w:t>
                  </w:r>
                  <w:r w:rsidR="006D7723">
                    <w:rPr>
                      <w:rFonts w:eastAsia="Times New Roman"/>
                    </w:rPr>
                    <w:t xml:space="preserve">ew </w:t>
                  </w:r>
                  <w:r>
                    <w:rPr>
                      <w:rFonts w:eastAsia="Times New Roman"/>
                    </w:rPr>
                    <w:t>Z</w:t>
                  </w:r>
                  <w:r w:rsidR="006D7723">
                    <w:rPr>
                      <w:rFonts w:eastAsia="Times New Roman"/>
                    </w:rPr>
                    <w:t>ealand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902440">
                  <w:pPr>
                    <w:pStyle w:val="TableText"/>
                    <w:rPr>
                      <w:rFonts w:eastAsia="Times New Roman"/>
                    </w:rPr>
                  </w:pPr>
                  <w:r w:rsidRPr="00DA6360">
                    <w:rPr>
                      <w:rFonts w:eastAsia="Times New Roman"/>
                    </w:rPr>
                    <w:t>Retirement Villages Association of New Zealand Incorporated</w:t>
                  </w:r>
                  <w:r w:rsidR="00AA6A06">
                    <w:rPr>
                      <w:rFonts w:eastAsia="Times New Roman"/>
                    </w:rPr>
                    <w:t xml:space="preserve"> and Ryman Healthcare L</w:t>
                  </w:r>
                  <w:r w:rsidR="00902440">
                    <w:rPr>
                      <w:rFonts w:eastAsia="Times New Roman"/>
                    </w:rPr>
                    <w:t>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Rural Contractors New Zealand Inc.</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SmartGrowth Property Developers Forum</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Summerset Group Holdings Limited</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Todd Property Group</w:t>
                  </w:r>
                </w:p>
              </w:tc>
            </w:tr>
            <w:tr w:rsidR="00DA6360" w:rsidRPr="00DA6360" w:rsidTr="00DA6360">
              <w:trPr>
                <w:trHeight w:val="240"/>
              </w:trPr>
              <w:tc>
                <w:tcPr>
                  <w:tcW w:w="8082" w:type="dxa"/>
                  <w:tcBorders>
                    <w:top w:val="nil"/>
                    <w:left w:val="nil"/>
                    <w:bottom w:val="nil"/>
                    <w:right w:val="nil"/>
                  </w:tcBorders>
                  <w:shd w:val="clear" w:color="auto" w:fill="auto"/>
                  <w:noWrap/>
                  <w:vAlign w:val="bottom"/>
                  <w:hideMark/>
                </w:tcPr>
                <w:p w:rsidR="00DA6360" w:rsidRPr="00DA6360" w:rsidRDefault="00DA6360" w:rsidP="00E158A3">
                  <w:pPr>
                    <w:pStyle w:val="TableText"/>
                    <w:rPr>
                      <w:rFonts w:eastAsia="Times New Roman"/>
                    </w:rPr>
                  </w:pPr>
                  <w:r w:rsidRPr="00DA6360">
                    <w:rPr>
                      <w:rFonts w:eastAsia="Times New Roman"/>
                    </w:rPr>
                    <w:t>U</w:t>
                  </w:r>
                  <w:r w:rsidR="00E158A3">
                    <w:rPr>
                      <w:rFonts w:eastAsia="Times New Roman"/>
                    </w:rPr>
                    <w:t>rban Economics</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1E19C1">
            <w:pPr>
              <w:pStyle w:val="TableText"/>
              <w:ind w:left="284"/>
            </w:pPr>
            <w:r>
              <w:t>Individual</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Allison Tindale</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2323B2">
                  <w:pPr>
                    <w:pStyle w:val="TableText"/>
                    <w:rPr>
                      <w:rFonts w:eastAsia="Times New Roman"/>
                    </w:rPr>
                  </w:pPr>
                  <w:r w:rsidRPr="00DA6360">
                    <w:rPr>
                      <w:rFonts w:eastAsia="Times New Roman"/>
                    </w:rPr>
                    <w:t>A</w:t>
                  </w:r>
                  <w:r>
                    <w:rPr>
                      <w:rFonts w:eastAsia="Times New Roman"/>
                    </w:rPr>
                    <w:t>nonymous</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3B4817">
                  <w:pPr>
                    <w:pStyle w:val="TableText"/>
                    <w:rPr>
                      <w:rFonts w:eastAsia="Times New Roman"/>
                    </w:rPr>
                  </w:pPr>
                  <w:r w:rsidRPr="00DA6360">
                    <w:rPr>
                      <w:rFonts w:eastAsia="Times New Roman"/>
                    </w:rPr>
                    <w:t>Benjamin Ormsby</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3B4817">
                  <w:pPr>
                    <w:pStyle w:val="TableText"/>
                    <w:rPr>
                      <w:rFonts w:eastAsia="Times New Roman"/>
                    </w:rPr>
                  </w:pPr>
                  <w:r w:rsidRPr="00DA6360">
                    <w:rPr>
                      <w:rFonts w:eastAsia="Times New Roman"/>
                    </w:rPr>
                    <w:t>Benjamin van den Eykel</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3B4817">
                  <w:pPr>
                    <w:pStyle w:val="TableText"/>
                    <w:rPr>
                      <w:rFonts w:eastAsia="Times New Roman"/>
                    </w:rPr>
                  </w:pPr>
                  <w:r w:rsidRPr="00DA6360">
                    <w:rPr>
                      <w:rFonts w:eastAsia="Times New Roman"/>
                    </w:rPr>
                    <w:t>Colin Jones</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3B4817">
                  <w:pPr>
                    <w:pStyle w:val="TableText"/>
                    <w:rPr>
                      <w:rFonts w:eastAsia="Times New Roman"/>
                    </w:rPr>
                  </w:pPr>
                  <w:r w:rsidRPr="00DA6360">
                    <w:rPr>
                      <w:rFonts w:eastAsia="Times New Roman"/>
                    </w:rPr>
                    <w:t>David L</w:t>
                  </w:r>
                  <w:r>
                    <w:rPr>
                      <w:rFonts w:eastAsia="Times New Roman"/>
                    </w:rPr>
                    <w:t>awry</w:t>
                  </w:r>
                </w:p>
              </w:tc>
            </w:tr>
            <w:tr w:rsidR="002323B2" w:rsidRPr="00DA6360" w:rsidTr="00DA6360">
              <w:trPr>
                <w:trHeight w:val="240"/>
              </w:trPr>
              <w:tc>
                <w:tcPr>
                  <w:tcW w:w="5160" w:type="dxa"/>
                  <w:tcBorders>
                    <w:top w:val="nil"/>
                    <w:left w:val="nil"/>
                    <w:bottom w:val="nil"/>
                    <w:right w:val="nil"/>
                  </w:tcBorders>
                  <w:shd w:val="clear" w:color="auto" w:fill="auto"/>
                  <w:noWrap/>
                  <w:vAlign w:val="bottom"/>
                  <w:hideMark/>
                </w:tcPr>
                <w:p w:rsidR="002323B2" w:rsidRPr="00DA6360" w:rsidRDefault="002323B2" w:rsidP="003B4817">
                  <w:pPr>
                    <w:pStyle w:val="TableText"/>
                    <w:rPr>
                      <w:rFonts w:eastAsia="Times New Roman"/>
                    </w:rPr>
                  </w:pPr>
                  <w:r w:rsidRPr="00DA6360">
                    <w:rPr>
                      <w:rFonts w:eastAsia="Times New Roman"/>
                    </w:rPr>
                    <w:t>John Dare</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Keith Maddison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Linda Conning</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Malcolm Hunt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Matthew Paetz</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Pr>
                      <w:rFonts w:eastAsia="Times New Roman"/>
                    </w:rPr>
                    <w:t>Mr Paul Douglas</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Ms Noelene Buckland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Nicola J Vryenhoek</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Noel Williams</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Peter Findlay</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621939">
                  <w:pPr>
                    <w:pStyle w:val="TableText"/>
                    <w:rPr>
                      <w:rFonts w:eastAsia="Times New Roman"/>
                    </w:rPr>
                  </w:pPr>
                  <w:r w:rsidRPr="00DA6360">
                    <w:rPr>
                      <w:rFonts w:eastAsia="Times New Roman"/>
                    </w:rPr>
                    <w:t>Y</w:t>
                  </w:r>
                  <w:r>
                    <w:rPr>
                      <w:rFonts w:eastAsia="Times New Roman"/>
                    </w:rPr>
                    <w:t>vonne Weeber</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443143">
            <w:pPr>
              <w:pStyle w:val="TableText"/>
              <w:ind w:left="284"/>
            </w:pPr>
            <w:r>
              <w:t xml:space="preserve">Infrastructure </w:t>
            </w:r>
            <w:r w:rsidR="00443143">
              <w:t>p</w:t>
            </w:r>
            <w:r>
              <w:t>roviders</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Electricity Networks Association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Fulton Hogan Limited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Genesis Energy</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KiwiRail Holdings Limited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Airports Association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Council for Infrastructure Development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Fire Service Commission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Telecommunications Forum</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Ports of Auckland Limited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P</w:t>
                  </w:r>
                  <w:r w:rsidR="00443143">
                    <w:rPr>
                      <w:rFonts w:eastAsia="Times New Roman"/>
                    </w:rPr>
                    <w:t xml:space="preserve">owerco Limited </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Queenstown Airport Corporation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Transpower New Zealand Limited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Wellington Electricity Lines Limited</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1E19C1">
            <w:pPr>
              <w:pStyle w:val="TableText"/>
              <w:ind w:left="284"/>
            </w:pPr>
            <w:r>
              <w:t>Iwi</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Maungaharuru-Tangit</w:t>
                  </w:r>
                  <w:r w:rsidR="005E0623">
                    <w:rPr>
                      <w:rFonts w:eastAsia="Times New Roman"/>
                    </w:rPr>
                    <w:t>ū</w:t>
                  </w:r>
                  <w:r w:rsidRPr="00DA6360">
                    <w:rPr>
                      <w:rFonts w:eastAsia="Times New Roman"/>
                    </w:rPr>
                    <w:t xml:space="preserve"> Trust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Te R</w:t>
                  </w:r>
                  <w:r w:rsidR="005E0623">
                    <w:rPr>
                      <w:rFonts w:eastAsia="Times New Roman"/>
                    </w:rPr>
                    <w:t>ū</w:t>
                  </w:r>
                  <w:r w:rsidRPr="00DA6360">
                    <w:rPr>
                      <w:rFonts w:eastAsia="Times New Roman"/>
                    </w:rPr>
                    <w:t xml:space="preserve">nanga </w:t>
                  </w:r>
                  <w:r w:rsidR="00443143">
                    <w:rPr>
                      <w:rFonts w:eastAsia="Times New Roman"/>
                    </w:rPr>
                    <w:t>o</w:t>
                  </w:r>
                  <w:r w:rsidRPr="00DA6360">
                    <w:rPr>
                      <w:rFonts w:eastAsia="Times New Roman"/>
                    </w:rPr>
                    <w:t xml:space="preserve"> Ng</w:t>
                  </w:r>
                  <w:r w:rsidR="005E0623">
                    <w:rPr>
                      <w:rFonts w:eastAsia="Times New Roman"/>
                    </w:rPr>
                    <w:t>ā</w:t>
                  </w:r>
                  <w:r w:rsidRPr="00DA6360">
                    <w:rPr>
                      <w:rFonts w:eastAsia="Times New Roman"/>
                    </w:rPr>
                    <w:t>ti Wh</w:t>
                  </w:r>
                  <w:r w:rsidR="005E0623">
                    <w:rPr>
                      <w:rFonts w:eastAsia="Times New Roman"/>
                    </w:rPr>
                    <w:t>ā</w:t>
                  </w:r>
                  <w:r w:rsidRPr="00DA6360">
                    <w:rPr>
                      <w:rFonts w:eastAsia="Times New Roman"/>
                    </w:rPr>
                    <w:t>tua</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Te Rūnanga o Ngāi Tahu</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1E19C1">
            <w:pPr>
              <w:pStyle w:val="TableText"/>
              <w:ind w:left="284"/>
            </w:pPr>
            <w:r>
              <w:t xml:space="preserve">Local </w:t>
            </w:r>
            <w:r w:rsidR="00443143">
              <w:t>a</w:t>
            </w:r>
            <w:r>
              <w:t>uthorities (joint submitters colour coded)</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Auckland Council</w:t>
                  </w:r>
                  <w:r w:rsidR="001709F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E158A3">
                  <w:pPr>
                    <w:pStyle w:val="TableText"/>
                    <w:rPr>
                      <w:rFonts w:eastAsia="Times New Roman"/>
                    </w:rPr>
                  </w:pPr>
                  <w:r w:rsidRPr="00DA6360">
                    <w:rPr>
                      <w:rFonts w:eastAsia="Times New Roman"/>
                    </w:rPr>
                    <w:t>B</w:t>
                  </w:r>
                  <w:r w:rsidR="00E158A3">
                    <w:rPr>
                      <w:rFonts w:eastAsia="Times New Roman"/>
                    </w:rPr>
                    <w:t>ay of Plenty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Christchurch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C</w:t>
                  </w:r>
                  <w:r w:rsidR="00443143">
                    <w:rPr>
                      <w:rFonts w:eastAsia="Times New Roman"/>
                    </w:rPr>
                    <w:t>lutha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Dunedin City Council</w:t>
                  </w:r>
                </w:p>
              </w:tc>
            </w:tr>
            <w:tr w:rsidR="00DA6360" w:rsidRPr="00DA6360" w:rsidTr="00DA6360">
              <w:trPr>
                <w:trHeight w:val="240"/>
              </w:trPr>
              <w:tc>
                <w:tcPr>
                  <w:tcW w:w="5160" w:type="dxa"/>
                  <w:tcBorders>
                    <w:top w:val="nil"/>
                    <w:left w:val="nil"/>
                    <w:bottom w:val="nil"/>
                    <w:right w:val="nil"/>
                  </w:tcBorders>
                  <w:shd w:val="clear" w:color="000000" w:fill="FFFFFF"/>
                  <w:noWrap/>
                  <w:vAlign w:val="bottom"/>
                  <w:hideMark/>
                </w:tcPr>
                <w:p w:rsidR="00DA6360" w:rsidRPr="00DA6360" w:rsidRDefault="00DA6360" w:rsidP="00AE5CF1">
                  <w:pPr>
                    <w:pStyle w:val="TableText"/>
                    <w:rPr>
                      <w:rFonts w:eastAsia="Times New Roman"/>
                    </w:rPr>
                  </w:pPr>
                  <w:r w:rsidRPr="00DA6360">
                    <w:rPr>
                      <w:rFonts w:eastAsia="Times New Roman"/>
                    </w:rPr>
                    <w:t>Environment Canterbury</w:t>
                  </w:r>
                </w:p>
              </w:tc>
            </w:tr>
            <w:tr w:rsidR="00DA6360" w:rsidRPr="00DA6360" w:rsidTr="00DA6360">
              <w:trPr>
                <w:trHeight w:val="240"/>
              </w:trPr>
              <w:tc>
                <w:tcPr>
                  <w:tcW w:w="5160" w:type="dxa"/>
                  <w:tcBorders>
                    <w:top w:val="nil"/>
                    <w:left w:val="nil"/>
                    <w:bottom w:val="nil"/>
                    <w:right w:val="nil"/>
                  </w:tcBorders>
                  <w:shd w:val="clear" w:color="000000" w:fill="FDE9D9"/>
                  <w:noWrap/>
                  <w:vAlign w:val="bottom"/>
                  <w:hideMark/>
                </w:tcPr>
                <w:p w:rsidR="00DA6360" w:rsidRPr="00DA6360" w:rsidRDefault="00DA6360" w:rsidP="00AE5CF1">
                  <w:pPr>
                    <w:pStyle w:val="TableText"/>
                    <w:rPr>
                      <w:rFonts w:eastAsia="Times New Roman"/>
                    </w:rPr>
                  </w:pPr>
                  <w:r w:rsidRPr="00DA6360">
                    <w:rPr>
                      <w:rFonts w:eastAsia="Times New Roman"/>
                    </w:rPr>
                    <w:t>Southland District Council</w:t>
                  </w:r>
                </w:p>
              </w:tc>
            </w:tr>
            <w:tr w:rsidR="00DA6360" w:rsidRPr="00DA6360" w:rsidTr="00DA6360">
              <w:trPr>
                <w:trHeight w:val="240"/>
              </w:trPr>
              <w:tc>
                <w:tcPr>
                  <w:tcW w:w="5160" w:type="dxa"/>
                  <w:tcBorders>
                    <w:top w:val="nil"/>
                    <w:left w:val="nil"/>
                    <w:bottom w:val="nil"/>
                    <w:right w:val="nil"/>
                  </w:tcBorders>
                  <w:shd w:val="clear" w:color="000000" w:fill="FDE9D9"/>
                  <w:noWrap/>
                  <w:vAlign w:val="bottom"/>
                  <w:hideMark/>
                </w:tcPr>
                <w:p w:rsidR="00DA6360" w:rsidRPr="00DA6360" w:rsidRDefault="00DA6360" w:rsidP="00AE5CF1">
                  <w:pPr>
                    <w:pStyle w:val="TableText"/>
                    <w:rPr>
                      <w:rFonts w:eastAsia="Times New Roman"/>
                    </w:rPr>
                  </w:pPr>
                  <w:r w:rsidRPr="00DA6360">
                    <w:rPr>
                      <w:rFonts w:eastAsia="Times New Roman"/>
                    </w:rPr>
                    <w:t xml:space="preserve">Environment Southland </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F</w:t>
                  </w:r>
                  <w:r w:rsidR="00443143">
                    <w:rPr>
                      <w:rFonts w:eastAsia="Times New Roman"/>
                    </w:rPr>
                    <w:t>ar North District Council</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Napier City Council</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Hastings District Council</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Wairoa District Council</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Central Hawke's Bay District Council</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Hawke's Bay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Greater Wellington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Hamilton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Horowhenua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Hutt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Kapiti Coast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Marlborough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Nelson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Plymouth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Otago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Palmerston North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Porirua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Queenstown Lakes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R</w:t>
                  </w:r>
                  <w:r w:rsidR="007F1CB1">
                    <w:rPr>
                      <w:rFonts w:eastAsia="Times New Roman"/>
                    </w:rPr>
                    <w:t>otorua Lakes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Selwyn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Taranaki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Tasman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w:t>
                  </w:r>
                  <w:r w:rsidR="007F1CB1">
                    <w:rPr>
                      <w:rFonts w:eastAsia="Times New Roman"/>
                    </w:rPr>
                    <w:t xml:space="preserve">aupo District Council </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Tauranga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Upper Hutt City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Waikato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Waikato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Waipa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Waitomo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Wellington City Council</w:t>
                  </w:r>
                </w:p>
              </w:tc>
            </w:tr>
            <w:tr w:rsidR="00DA6360" w:rsidRPr="00DA6360" w:rsidTr="00DA6360">
              <w:trPr>
                <w:trHeight w:val="240"/>
              </w:trPr>
              <w:tc>
                <w:tcPr>
                  <w:tcW w:w="5160" w:type="dxa"/>
                  <w:tcBorders>
                    <w:top w:val="nil"/>
                    <w:left w:val="nil"/>
                    <w:bottom w:val="nil"/>
                    <w:right w:val="nil"/>
                  </w:tcBorders>
                  <w:shd w:val="clear" w:color="000000" w:fill="EBF1DE"/>
                  <w:noWrap/>
                  <w:vAlign w:val="bottom"/>
                  <w:hideMark/>
                </w:tcPr>
                <w:p w:rsidR="00DA6360" w:rsidRPr="00DA6360" w:rsidRDefault="00DA6360" w:rsidP="00AE5CF1">
                  <w:pPr>
                    <w:pStyle w:val="TableText"/>
                    <w:rPr>
                      <w:rFonts w:eastAsia="Times New Roman"/>
                    </w:rPr>
                  </w:pPr>
                  <w:r w:rsidRPr="00DA6360">
                    <w:rPr>
                      <w:rFonts w:eastAsia="Times New Roman"/>
                    </w:rPr>
                    <w:t>Buller District Council</w:t>
                  </w:r>
                </w:p>
              </w:tc>
            </w:tr>
            <w:tr w:rsidR="00DA6360" w:rsidRPr="00DA6360" w:rsidTr="00DA6360">
              <w:trPr>
                <w:trHeight w:val="240"/>
              </w:trPr>
              <w:tc>
                <w:tcPr>
                  <w:tcW w:w="5160" w:type="dxa"/>
                  <w:tcBorders>
                    <w:top w:val="nil"/>
                    <w:left w:val="nil"/>
                    <w:bottom w:val="nil"/>
                    <w:right w:val="nil"/>
                  </w:tcBorders>
                  <w:shd w:val="clear" w:color="000000" w:fill="EBF1DE"/>
                  <w:noWrap/>
                  <w:vAlign w:val="bottom"/>
                  <w:hideMark/>
                </w:tcPr>
                <w:p w:rsidR="00DA6360" w:rsidRPr="00DA6360" w:rsidRDefault="00DA6360" w:rsidP="00AE5CF1">
                  <w:pPr>
                    <w:pStyle w:val="TableText"/>
                    <w:rPr>
                      <w:rFonts w:eastAsia="Times New Roman"/>
                    </w:rPr>
                  </w:pPr>
                  <w:r w:rsidRPr="00DA6360">
                    <w:rPr>
                      <w:rFonts w:eastAsia="Times New Roman"/>
                    </w:rPr>
                    <w:t>Grey District Council</w:t>
                  </w:r>
                </w:p>
              </w:tc>
            </w:tr>
            <w:tr w:rsidR="00DA6360" w:rsidRPr="00DA6360" w:rsidTr="00DA6360">
              <w:trPr>
                <w:trHeight w:val="240"/>
              </w:trPr>
              <w:tc>
                <w:tcPr>
                  <w:tcW w:w="5160" w:type="dxa"/>
                  <w:tcBorders>
                    <w:top w:val="nil"/>
                    <w:left w:val="nil"/>
                    <w:bottom w:val="nil"/>
                    <w:right w:val="nil"/>
                  </w:tcBorders>
                  <w:shd w:val="clear" w:color="000000" w:fill="EBF1DE"/>
                  <w:noWrap/>
                  <w:vAlign w:val="bottom"/>
                  <w:hideMark/>
                </w:tcPr>
                <w:p w:rsidR="00DA6360" w:rsidRPr="00DA6360" w:rsidRDefault="00DA6360" w:rsidP="00AE5CF1">
                  <w:pPr>
                    <w:pStyle w:val="TableText"/>
                    <w:rPr>
                      <w:rFonts w:eastAsia="Times New Roman"/>
                    </w:rPr>
                  </w:pPr>
                  <w:r w:rsidRPr="00DA6360">
                    <w:rPr>
                      <w:rFonts w:eastAsia="Times New Roman"/>
                    </w:rPr>
                    <w:t>West Coast Regional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Western Bay of Plenty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Westland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Whanganui District Council</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Whangarei District Council</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B56DDD">
            <w:pPr>
              <w:pStyle w:val="TableText"/>
              <w:ind w:left="284"/>
            </w:pPr>
            <w:r>
              <w:t xml:space="preserve">Other </w:t>
            </w:r>
            <w:r w:rsidR="00B56DDD">
              <w:t>l</w:t>
            </w:r>
            <w:r>
              <w:t xml:space="preserve">ocal </w:t>
            </w:r>
            <w:r w:rsidR="00B56DDD">
              <w:t>g</w:t>
            </w:r>
            <w:r>
              <w:t>overnment (joint submitters colour coded)</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Canterbury Mayoral Forum</w:t>
                  </w:r>
                </w:p>
              </w:tc>
            </w:tr>
            <w:tr w:rsidR="00DA6360" w:rsidRPr="00DA6360" w:rsidTr="00DA6360">
              <w:trPr>
                <w:trHeight w:val="240"/>
              </w:trPr>
              <w:tc>
                <w:tcPr>
                  <w:tcW w:w="5160" w:type="dxa"/>
                  <w:tcBorders>
                    <w:top w:val="nil"/>
                    <w:left w:val="nil"/>
                    <w:bottom w:val="nil"/>
                    <w:right w:val="nil"/>
                  </w:tcBorders>
                  <w:shd w:val="clear" w:color="000000" w:fill="C5D9F1"/>
                  <w:noWrap/>
                  <w:vAlign w:val="bottom"/>
                  <w:hideMark/>
                </w:tcPr>
                <w:p w:rsidR="00DA6360" w:rsidRPr="00DA6360" w:rsidRDefault="00DA6360" w:rsidP="00AE5CF1">
                  <w:pPr>
                    <w:pStyle w:val="TableText"/>
                    <w:rPr>
                      <w:rFonts w:eastAsia="Times New Roman"/>
                    </w:rPr>
                  </w:pPr>
                  <w:r w:rsidRPr="00DA6360">
                    <w:rPr>
                      <w:rFonts w:eastAsia="Times New Roman"/>
                    </w:rPr>
                    <w:t>Heretaunga Plains UDS</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Future Proof Implementation Committee</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Greater Christchurch Urban Development Strategy Partnership</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Hibiscus and Bays Local Board</w:t>
                  </w:r>
                  <w:r w:rsidR="001709F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Land Monitoring Forum</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Local Government New Zealand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Society of Local Government Managers</w:t>
                  </w:r>
                  <w:r w:rsidR="00902440">
                    <w:rPr>
                      <w:rFonts w:eastAsia="Times New Roman"/>
                    </w:rPr>
                    <w:t xml:space="preserve"> (SOLGM)</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1A0DEC" w:rsidP="00AE5CF1">
                  <w:pPr>
                    <w:pStyle w:val="TableText"/>
                    <w:rPr>
                      <w:rFonts w:eastAsia="Times New Roman"/>
                    </w:rPr>
                  </w:pPr>
                  <w:r>
                    <w:rPr>
                      <w:rFonts w:eastAsia="Times New Roman"/>
                    </w:rPr>
                    <w:t>Ōrākei Local Board</w:t>
                  </w:r>
                  <w:r w:rsidR="001709F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SmartGrowth</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1A0DEC" w:rsidP="00AE5CF1">
                  <w:pPr>
                    <w:pStyle w:val="TableText"/>
                    <w:rPr>
                      <w:rFonts w:eastAsia="Times New Roman"/>
                    </w:rPr>
                  </w:pPr>
                  <w:r>
                    <w:rPr>
                      <w:rFonts w:eastAsia="Times New Roman"/>
                    </w:rPr>
                    <w:t>Waiheke Local Board</w:t>
                  </w:r>
                  <w:r w:rsidR="001709F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1A0DEC" w:rsidP="00AE5CF1">
                  <w:pPr>
                    <w:pStyle w:val="TableText"/>
                    <w:rPr>
                      <w:rFonts w:eastAsia="Times New Roman"/>
                    </w:rPr>
                  </w:pPr>
                  <w:r>
                    <w:rPr>
                      <w:rFonts w:eastAsia="Times New Roman"/>
                    </w:rPr>
                    <w:t>Whau Local Board</w:t>
                  </w:r>
                  <w:r w:rsidR="001709F0">
                    <w:rPr>
                      <w:rFonts w:eastAsia="Times New Roman"/>
                    </w:rPr>
                    <w:t>*^</w:t>
                  </w:r>
                </w:p>
              </w:tc>
            </w:tr>
          </w:tbl>
          <w:p w:rsidR="00044DDB" w:rsidRPr="009B05BA" w:rsidRDefault="00044DDB" w:rsidP="001E19C1">
            <w:pPr>
              <w:pStyle w:val="TableText"/>
              <w:ind w:left="284"/>
            </w:pPr>
          </w:p>
        </w:tc>
      </w:tr>
      <w:tr w:rsidR="00044DDB" w:rsidRPr="009B05BA" w:rsidTr="00D822C2">
        <w:tc>
          <w:tcPr>
            <w:tcW w:w="1555" w:type="dxa"/>
          </w:tcPr>
          <w:p w:rsidR="00044DDB" w:rsidRPr="009B05BA" w:rsidRDefault="00DA6360" w:rsidP="00B56DDD">
            <w:pPr>
              <w:pStyle w:val="TableText"/>
              <w:ind w:left="284"/>
            </w:pPr>
            <w:r>
              <w:t xml:space="preserve">Professional </w:t>
            </w:r>
            <w:r w:rsidR="00B56DDD">
              <w:t>b</w:t>
            </w:r>
            <w:r>
              <w:t>odies</w:t>
            </w:r>
          </w:p>
        </w:tc>
        <w:tc>
          <w:tcPr>
            <w:tcW w:w="7052" w:type="dxa"/>
          </w:tcPr>
          <w:tbl>
            <w:tblPr>
              <w:tblW w:w="5160" w:type="dxa"/>
              <w:tblLayout w:type="fixed"/>
              <w:tblLook w:val="04A0" w:firstRow="1" w:lastRow="0" w:firstColumn="1" w:lastColumn="0" w:noHBand="0" w:noVBand="1"/>
            </w:tblPr>
            <w:tblGrid>
              <w:gridCol w:w="5160"/>
            </w:tblGrid>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Auckland District Law Society Inc</w:t>
                  </w:r>
                  <w:r w:rsidR="0090244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Hill Young Cooper Ltd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Morgan Foundation</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Institute of Landscape Architects Inc</w:t>
                  </w:r>
                  <w:r w:rsidR="00902440">
                    <w:rPr>
                      <w:rFonts w:eastAsia="Times New Roman"/>
                    </w:rPr>
                    <w:t>.</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Law Society</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Planning Institute</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New Zealand Society of Soil Science</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N</w:t>
                  </w:r>
                  <w:r w:rsidR="00564DEF">
                    <w:rPr>
                      <w:rFonts w:eastAsia="Times New Roman"/>
                    </w:rPr>
                    <w:t xml:space="preserve">ew </w:t>
                  </w:r>
                  <w:r w:rsidRPr="00DA6360">
                    <w:rPr>
                      <w:rFonts w:eastAsia="Times New Roman"/>
                    </w:rPr>
                    <w:t>Z</w:t>
                  </w:r>
                  <w:r w:rsidR="00564DEF">
                    <w:rPr>
                      <w:rFonts w:eastAsia="Times New Roman"/>
                    </w:rPr>
                    <w:t>ealand</w:t>
                  </w:r>
                  <w:r w:rsidRPr="00DA6360">
                    <w:rPr>
                      <w:rFonts w:eastAsia="Times New Roman"/>
                    </w:rPr>
                    <w:t xml:space="preserve"> Centre for Sustainable Cities</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Park Legal Limited</w:t>
                  </w:r>
                </w:p>
              </w:tc>
            </w:tr>
            <w:tr w:rsidR="00DA6360" w:rsidRPr="00DA6360" w:rsidTr="00DA6360">
              <w:trPr>
                <w:trHeight w:val="240"/>
              </w:trPr>
              <w:tc>
                <w:tcPr>
                  <w:tcW w:w="5160" w:type="dxa"/>
                  <w:tcBorders>
                    <w:top w:val="nil"/>
                    <w:left w:val="nil"/>
                    <w:bottom w:val="nil"/>
                    <w:right w:val="nil"/>
                  </w:tcBorders>
                  <w:shd w:val="clear" w:color="auto" w:fill="auto"/>
                  <w:noWrap/>
                  <w:vAlign w:val="bottom"/>
                  <w:hideMark/>
                </w:tcPr>
                <w:p w:rsidR="00DA6360" w:rsidRPr="00DA6360" w:rsidRDefault="00DA6360" w:rsidP="00AE5CF1">
                  <w:pPr>
                    <w:pStyle w:val="TableText"/>
                    <w:rPr>
                      <w:rFonts w:eastAsia="Times New Roman"/>
                    </w:rPr>
                  </w:pPr>
                  <w:r w:rsidRPr="00DA6360">
                    <w:rPr>
                      <w:rFonts w:eastAsia="Times New Roman"/>
                    </w:rPr>
                    <w:t>Resource Management Law Association of New Zealand Inc</w:t>
                  </w:r>
                  <w:r w:rsidR="00902440">
                    <w:rPr>
                      <w:rFonts w:eastAsia="Times New Roman"/>
                    </w:rPr>
                    <w:t>.</w:t>
                  </w:r>
                </w:p>
              </w:tc>
            </w:tr>
          </w:tbl>
          <w:p w:rsidR="00044DDB" w:rsidRPr="009B05BA" w:rsidRDefault="00044DDB" w:rsidP="001E19C1">
            <w:pPr>
              <w:pStyle w:val="TableText"/>
              <w:ind w:left="284"/>
            </w:pPr>
          </w:p>
        </w:tc>
      </w:tr>
    </w:tbl>
    <w:p w:rsidR="002B3D2D" w:rsidRPr="00E158A3" w:rsidRDefault="001709F0" w:rsidP="00E158A3">
      <w:pPr>
        <w:pStyle w:val="BodyText"/>
        <w:ind w:left="284"/>
      </w:pPr>
      <w:r>
        <w:t>*^ as requested in the covering note to the Auckland Council submission, the four local board submissions were counted and considered as separate submissions.</w:t>
      </w:r>
      <w:r w:rsidR="00D51469" w:rsidRPr="006B77BB">
        <w:br w:type="page"/>
      </w:r>
    </w:p>
    <w:p w:rsidR="002B3D2D" w:rsidRDefault="002B3D2D" w:rsidP="002B3D2D">
      <w:pPr>
        <w:pStyle w:val="Heading1"/>
      </w:pPr>
      <w:bookmarkStart w:id="21" w:name="_Toc461185728"/>
      <w:r w:rsidRPr="006B77BB">
        <w:t>Appendix</w:t>
      </w:r>
      <w:r>
        <w:t xml:space="preserve"> 2 – Statistics N</w:t>
      </w:r>
      <w:r w:rsidR="00564DEF">
        <w:t xml:space="preserve">ew </w:t>
      </w:r>
      <w:r>
        <w:t>Z</w:t>
      </w:r>
      <w:r w:rsidR="00564DEF">
        <w:t>ealand</w:t>
      </w:r>
      <w:r>
        <w:t xml:space="preserve"> Classifications by </w:t>
      </w:r>
      <w:r w:rsidR="00564DEF">
        <w:t>l</w:t>
      </w:r>
      <w:r>
        <w:t xml:space="preserve">ocal </w:t>
      </w:r>
      <w:r w:rsidR="00564DEF">
        <w:t>a</w:t>
      </w:r>
      <w:r>
        <w:t>uthority</w:t>
      </w:r>
      <w:bookmarkEnd w:id="21"/>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06"/>
        <w:gridCol w:w="6099"/>
      </w:tblGrid>
      <w:tr w:rsidR="002B3D2D" w:rsidRPr="00356C3D" w:rsidTr="002B3D2D">
        <w:trPr>
          <w:tblHeader/>
        </w:trPr>
        <w:tc>
          <w:tcPr>
            <w:tcW w:w="2406" w:type="dxa"/>
            <w:shd w:val="clear" w:color="auto" w:fill="1C556C"/>
          </w:tcPr>
          <w:p w:rsidR="002B3D2D" w:rsidRPr="00356C3D" w:rsidRDefault="002B3D2D" w:rsidP="00564DEF">
            <w:pPr>
              <w:pStyle w:val="TableTextbold"/>
              <w:rPr>
                <w:color w:val="FFFFFF" w:themeColor="background1"/>
              </w:rPr>
            </w:pPr>
            <w:r>
              <w:rPr>
                <w:color w:val="FFFFFF" w:themeColor="background1"/>
              </w:rPr>
              <w:t>Urban Area Classification</w:t>
            </w:r>
          </w:p>
        </w:tc>
        <w:tc>
          <w:tcPr>
            <w:tcW w:w="6099" w:type="dxa"/>
            <w:shd w:val="clear" w:color="auto" w:fill="1C556C"/>
          </w:tcPr>
          <w:p w:rsidR="002B3D2D" w:rsidRPr="00356C3D" w:rsidRDefault="002B3D2D" w:rsidP="00564DEF">
            <w:pPr>
              <w:pStyle w:val="TableTextbold"/>
              <w:rPr>
                <w:color w:val="FFFFFF" w:themeColor="background1"/>
              </w:rPr>
            </w:pPr>
            <w:r>
              <w:rPr>
                <w:color w:val="FFFFFF" w:themeColor="background1"/>
              </w:rPr>
              <w:t xml:space="preserve">Local </w:t>
            </w:r>
            <w:r w:rsidR="00564DEF">
              <w:rPr>
                <w:color w:val="FFFFFF" w:themeColor="background1"/>
              </w:rPr>
              <w:t>a</w:t>
            </w:r>
            <w:r>
              <w:rPr>
                <w:color w:val="FFFFFF" w:themeColor="background1"/>
              </w:rPr>
              <w:t>uthorities (including councils that did not lodge a submission)</w:t>
            </w:r>
          </w:p>
        </w:tc>
      </w:tr>
      <w:tr w:rsidR="002B3D2D" w:rsidRPr="00356C3D" w:rsidTr="002B3D2D">
        <w:tc>
          <w:tcPr>
            <w:tcW w:w="2406" w:type="dxa"/>
            <w:shd w:val="clear" w:color="auto" w:fill="auto"/>
          </w:tcPr>
          <w:p w:rsidR="002B3D2D" w:rsidRPr="00356C3D" w:rsidRDefault="002B3D2D" w:rsidP="00923B22">
            <w:pPr>
              <w:pStyle w:val="TableText"/>
            </w:pPr>
            <w:r>
              <w:t xml:space="preserve">High </w:t>
            </w:r>
            <w:r w:rsidR="00923B22">
              <w:t>g</w:t>
            </w:r>
            <w:r>
              <w:t xml:space="preserve">rowth </w:t>
            </w:r>
          </w:p>
        </w:tc>
        <w:tc>
          <w:tcPr>
            <w:tcW w:w="6099" w:type="dxa"/>
            <w:shd w:val="clear" w:color="auto" w:fill="auto"/>
          </w:tcPr>
          <w:p w:rsidR="002B3D2D" w:rsidRPr="00AE5CF1" w:rsidRDefault="002B3D2D" w:rsidP="00AE5CF1">
            <w:pPr>
              <w:pStyle w:val="TableText"/>
            </w:pPr>
            <w:r w:rsidRPr="00AE5CF1">
              <w:t>Auckland Council</w:t>
            </w:r>
          </w:p>
          <w:p w:rsidR="002B3D2D" w:rsidRPr="00AE5CF1" w:rsidRDefault="002B3D2D" w:rsidP="00AE5CF1">
            <w:pPr>
              <w:pStyle w:val="TableText"/>
            </w:pPr>
            <w:r w:rsidRPr="00AE5CF1">
              <w:t>Bay of Plenty Regional Council</w:t>
            </w:r>
          </w:p>
          <w:p w:rsidR="002B3D2D" w:rsidRPr="00AE5CF1" w:rsidRDefault="002B3D2D" w:rsidP="00AE5CF1">
            <w:pPr>
              <w:pStyle w:val="TableText"/>
            </w:pPr>
            <w:r w:rsidRPr="00AE5CF1">
              <w:t>Christchurch City Council</w:t>
            </w:r>
          </w:p>
          <w:p w:rsidR="002B3D2D" w:rsidRPr="00AE5CF1" w:rsidRDefault="002B3D2D" w:rsidP="00AE5CF1">
            <w:pPr>
              <w:pStyle w:val="TableText"/>
            </w:pPr>
            <w:r w:rsidRPr="00AE5CF1">
              <w:t>Environment Canterbury (Regional Council)</w:t>
            </w:r>
          </w:p>
          <w:p w:rsidR="002B3D2D" w:rsidRPr="00AE5CF1" w:rsidRDefault="002B3D2D" w:rsidP="00AE5CF1">
            <w:pPr>
              <w:pStyle w:val="TableText"/>
            </w:pPr>
            <w:r w:rsidRPr="00AE5CF1">
              <w:t>Hamilton City Council</w:t>
            </w:r>
          </w:p>
          <w:p w:rsidR="002B3D2D" w:rsidRPr="00AE5CF1" w:rsidRDefault="002B3D2D" w:rsidP="00AE5CF1">
            <w:pPr>
              <w:pStyle w:val="TableText"/>
            </w:pPr>
            <w:r w:rsidRPr="00AE5CF1">
              <w:t>Otago Regional Council</w:t>
            </w:r>
          </w:p>
          <w:p w:rsidR="002B3D2D" w:rsidRPr="00AE5CF1" w:rsidRDefault="002B3D2D" w:rsidP="00AE5CF1">
            <w:pPr>
              <w:pStyle w:val="TableText"/>
            </w:pPr>
            <w:r w:rsidRPr="00AE5CF1">
              <w:t>Queenstown</w:t>
            </w:r>
            <w:r w:rsidR="00564DEF" w:rsidRPr="00AE5CF1">
              <w:t xml:space="preserve"> </w:t>
            </w:r>
            <w:r w:rsidRPr="00AE5CF1">
              <w:t>Lakes District Council</w:t>
            </w:r>
          </w:p>
          <w:p w:rsidR="002B3D2D" w:rsidRPr="00AE5CF1" w:rsidRDefault="002B3D2D" w:rsidP="00AE5CF1">
            <w:pPr>
              <w:pStyle w:val="TableText"/>
            </w:pPr>
            <w:r w:rsidRPr="00AE5CF1">
              <w:t>Selwyn District Council</w:t>
            </w:r>
          </w:p>
          <w:p w:rsidR="002B3D2D" w:rsidRPr="00AE5CF1" w:rsidRDefault="002B3D2D" w:rsidP="00AE5CF1">
            <w:pPr>
              <w:pStyle w:val="TableText"/>
            </w:pPr>
            <w:r w:rsidRPr="00AE5CF1">
              <w:t>Tauranga City Council</w:t>
            </w:r>
          </w:p>
          <w:p w:rsidR="002B3D2D" w:rsidRPr="00AE5CF1" w:rsidRDefault="002B3D2D" w:rsidP="00AE5CF1">
            <w:pPr>
              <w:pStyle w:val="TableText"/>
            </w:pPr>
            <w:r w:rsidRPr="00AE5CF1">
              <w:t>Waikato District Council</w:t>
            </w:r>
          </w:p>
          <w:p w:rsidR="002B3D2D" w:rsidRPr="00AE5CF1" w:rsidRDefault="002B3D2D" w:rsidP="00AE5CF1">
            <w:pPr>
              <w:pStyle w:val="TableText"/>
            </w:pPr>
            <w:r w:rsidRPr="00AE5CF1">
              <w:t>Waikato Regional Council</w:t>
            </w:r>
          </w:p>
          <w:p w:rsidR="002B3D2D" w:rsidRPr="00AE5CF1" w:rsidRDefault="002B3D2D" w:rsidP="00AE5CF1">
            <w:pPr>
              <w:pStyle w:val="TableText"/>
            </w:pPr>
            <w:r w:rsidRPr="00AE5CF1">
              <w:t>Waimakariri District Council</w:t>
            </w:r>
          </w:p>
          <w:p w:rsidR="002B3D2D" w:rsidRPr="00AE5CF1" w:rsidRDefault="002B3D2D" w:rsidP="00AE5CF1">
            <w:pPr>
              <w:pStyle w:val="TableText"/>
            </w:pPr>
            <w:r w:rsidRPr="00AE5CF1">
              <w:t>Waipa District Council</w:t>
            </w:r>
          </w:p>
          <w:p w:rsidR="002B3D2D" w:rsidRPr="00356C3D" w:rsidRDefault="002B3D2D" w:rsidP="00AE5CF1">
            <w:pPr>
              <w:pStyle w:val="TableText"/>
            </w:pPr>
            <w:r w:rsidRPr="00AE5CF1">
              <w:t>Western Bay of Plenty District Council</w:t>
            </w:r>
          </w:p>
        </w:tc>
      </w:tr>
      <w:tr w:rsidR="002B3D2D" w:rsidRPr="009B05BA" w:rsidTr="002B3D2D">
        <w:tc>
          <w:tcPr>
            <w:tcW w:w="2406" w:type="dxa"/>
            <w:shd w:val="clear" w:color="auto" w:fill="auto"/>
          </w:tcPr>
          <w:p w:rsidR="002B3D2D" w:rsidRPr="009B05BA" w:rsidRDefault="00923B22" w:rsidP="009B05BA">
            <w:pPr>
              <w:pStyle w:val="TableText"/>
            </w:pPr>
            <w:r>
              <w:t>Medium g</w:t>
            </w:r>
            <w:r w:rsidR="002B3D2D">
              <w:t>rowth</w:t>
            </w:r>
          </w:p>
        </w:tc>
        <w:tc>
          <w:tcPr>
            <w:tcW w:w="6099" w:type="dxa"/>
            <w:shd w:val="clear" w:color="auto" w:fill="auto"/>
          </w:tcPr>
          <w:p w:rsidR="00872C84" w:rsidRDefault="00872C84" w:rsidP="009B05BA">
            <w:pPr>
              <w:pStyle w:val="TableText"/>
            </w:pPr>
            <w:r>
              <w:t>Greater Wellington Regional Council</w:t>
            </w:r>
          </w:p>
          <w:p w:rsidR="00872C84" w:rsidRDefault="00872C84" w:rsidP="009B05BA">
            <w:pPr>
              <w:pStyle w:val="TableText"/>
            </w:pPr>
            <w:r>
              <w:t>Horizons Regional Council</w:t>
            </w:r>
          </w:p>
          <w:p w:rsidR="00872C84" w:rsidRDefault="00872C84" w:rsidP="009B05BA">
            <w:pPr>
              <w:pStyle w:val="TableText"/>
            </w:pPr>
            <w:r>
              <w:t>Kapiti Coast District Council</w:t>
            </w:r>
          </w:p>
          <w:p w:rsidR="00872C84" w:rsidRDefault="00872C84" w:rsidP="009B05BA">
            <w:pPr>
              <w:pStyle w:val="TableText"/>
            </w:pPr>
            <w:r>
              <w:t>Lower Hutt City Council</w:t>
            </w:r>
          </w:p>
          <w:p w:rsidR="00872C84" w:rsidRDefault="00872C84" w:rsidP="009B05BA">
            <w:pPr>
              <w:pStyle w:val="TableText"/>
            </w:pPr>
            <w:r>
              <w:t>Manawatu District Council</w:t>
            </w:r>
          </w:p>
          <w:p w:rsidR="00872C84" w:rsidRDefault="00872C84" w:rsidP="009B05BA">
            <w:pPr>
              <w:pStyle w:val="TableText"/>
            </w:pPr>
            <w:r>
              <w:t>Nelson City Council</w:t>
            </w:r>
          </w:p>
          <w:p w:rsidR="00872C84" w:rsidRDefault="00872C84" w:rsidP="009B05BA">
            <w:pPr>
              <w:pStyle w:val="TableText"/>
            </w:pPr>
            <w:r>
              <w:t>New Plymouth District Council</w:t>
            </w:r>
          </w:p>
          <w:p w:rsidR="00872C84" w:rsidRDefault="00872C84" w:rsidP="009B05BA">
            <w:pPr>
              <w:pStyle w:val="TableText"/>
            </w:pPr>
            <w:r>
              <w:t>Palmerston North City Council</w:t>
            </w:r>
          </w:p>
          <w:p w:rsidR="00872C84" w:rsidRDefault="00872C84" w:rsidP="009B05BA">
            <w:pPr>
              <w:pStyle w:val="TableText"/>
            </w:pPr>
            <w:r>
              <w:t>Porirua City Council</w:t>
            </w:r>
          </w:p>
          <w:p w:rsidR="00872C84" w:rsidRDefault="00872C84" w:rsidP="009B05BA">
            <w:pPr>
              <w:pStyle w:val="TableText"/>
            </w:pPr>
            <w:r>
              <w:t>Taranaki Regional Council</w:t>
            </w:r>
          </w:p>
          <w:p w:rsidR="00872C84" w:rsidRDefault="00872C84" w:rsidP="009B05BA">
            <w:pPr>
              <w:pStyle w:val="TableText"/>
            </w:pPr>
            <w:r>
              <w:t>Tasman District Council</w:t>
            </w:r>
          </w:p>
          <w:p w:rsidR="00872C84" w:rsidRDefault="00872C84" w:rsidP="009B05BA">
            <w:pPr>
              <w:pStyle w:val="TableText"/>
            </w:pPr>
            <w:r>
              <w:t>Upper Hutt City Council</w:t>
            </w:r>
          </w:p>
          <w:p w:rsidR="002B3D2D" w:rsidRPr="009B05BA" w:rsidRDefault="00872C84" w:rsidP="009B05BA">
            <w:pPr>
              <w:pStyle w:val="TableText"/>
            </w:pPr>
            <w:r>
              <w:t>Wellington City Council</w:t>
            </w:r>
          </w:p>
        </w:tc>
      </w:tr>
      <w:tr w:rsidR="002B3D2D" w:rsidRPr="009B05BA" w:rsidTr="002B3D2D">
        <w:tc>
          <w:tcPr>
            <w:tcW w:w="2406" w:type="dxa"/>
          </w:tcPr>
          <w:p w:rsidR="002B3D2D" w:rsidRPr="009B05BA" w:rsidRDefault="004356AE" w:rsidP="001A0DEC">
            <w:pPr>
              <w:pStyle w:val="TableText"/>
            </w:pPr>
            <w:r>
              <w:t>Other councils</w:t>
            </w:r>
            <w:r w:rsidR="000A1CCC">
              <w:t xml:space="preserve"> </w:t>
            </w:r>
            <w:r>
              <w:t xml:space="preserve">(including those identified as </w:t>
            </w:r>
            <w:r w:rsidR="001A0DEC">
              <w:t>“o</w:t>
            </w:r>
            <w:r>
              <w:t>ther Main Urban Areas</w:t>
            </w:r>
            <w:r w:rsidR="00564DEF">
              <w:t>”</w:t>
            </w:r>
            <w:r>
              <w:t>)</w:t>
            </w:r>
          </w:p>
        </w:tc>
        <w:tc>
          <w:tcPr>
            <w:tcW w:w="6099" w:type="dxa"/>
          </w:tcPr>
          <w:p w:rsidR="004356AE" w:rsidRPr="009B05BA" w:rsidRDefault="004356AE" w:rsidP="004356AE">
            <w:pPr>
              <w:pStyle w:val="TableText"/>
            </w:pPr>
            <w:r>
              <w:t>All other New Zealand local authorities</w:t>
            </w:r>
          </w:p>
        </w:tc>
      </w:tr>
    </w:tbl>
    <w:p w:rsidR="002B3D2D" w:rsidRPr="002B3D2D" w:rsidRDefault="002B3D2D" w:rsidP="002B3D2D">
      <w:pPr>
        <w:pStyle w:val="BodyText"/>
      </w:pPr>
    </w:p>
    <w:p w:rsidR="002B3D2D" w:rsidRDefault="002B3D2D">
      <w:pPr>
        <w:spacing w:before="0" w:after="200" w:line="276" w:lineRule="auto"/>
        <w:jc w:val="left"/>
        <w:rPr>
          <w:rFonts w:eastAsiaTheme="majorEastAsia" w:cstheme="majorBidi"/>
          <w:b/>
          <w:bCs/>
          <w:color w:val="1C556C"/>
          <w:sz w:val="48"/>
          <w:szCs w:val="28"/>
        </w:rPr>
      </w:pPr>
      <w:r>
        <w:br w:type="page"/>
      </w:r>
    </w:p>
    <w:p w:rsidR="00B51610" w:rsidRPr="006B77BB" w:rsidRDefault="00B51610" w:rsidP="00B41FD8">
      <w:pPr>
        <w:pStyle w:val="Heading1"/>
        <w:tabs>
          <w:tab w:val="clear" w:pos="851"/>
        </w:tabs>
      </w:pPr>
      <w:bookmarkStart w:id="22" w:name="_Toc461185729"/>
      <w:r w:rsidRPr="006B77BB">
        <w:t>References</w:t>
      </w:r>
      <w:bookmarkEnd w:id="22"/>
    </w:p>
    <w:p w:rsidR="001617E0" w:rsidRDefault="001617E0" w:rsidP="00B41FD8">
      <w:pPr>
        <w:pStyle w:val="BodyText"/>
      </w:pPr>
      <w:r>
        <w:t>Ministry for the Environment. 2016</w:t>
      </w:r>
      <w:r w:rsidR="0097736A">
        <w:t>a</w:t>
      </w:r>
      <w:r>
        <w:t xml:space="preserve">. </w:t>
      </w:r>
      <w:r w:rsidRPr="001A0DEC">
        <w:rPr>
          <w:i/>
        </w:rPr>
        <w:t>Regulatory Impact Statement for the Proposed National Policy Statement on Urban Development Capacity under the Resource Management Act 1991</w:t>
      </w:r>
      <w:r>
        <w:t>. Wellington: Ministry for the Environment.</w:t>
      </w:r>
      <w:r w:rsidR="0097736A">
        <w:t xml:space="preserve"> Retrieved from </w:t>
      </w:r>
      <w:hyperlink r:id="rId19" w:history="1">
        <w:r w:rsidR="0097736A" w:rsidRPr="0097736A">
          <w:rPr>
            <w:rStyle w:val="Hyperlink"/>
          </w:rPr>
          <w:t>www.mfe.govt.nz/more/cabinet-papers-and-related-material-search/regulatory-impact-statements/ris-proposed-national-7</w:t>
        </w:r>
      </w:hyperlink>
      <w:r w:rsidR="0097736A">
        <w:t xml:space="preserve"> </w:t>
      </w:r>
    </w:p>
    <w:p w:rsidR="0097736A" w:rsidRPr="00465AB6" w:rsidRDefault="0097736A" w:rsidP="00465AB6">
      <w:pPr>
        <w:pStyle w:val="BodyText"/>
      </w:pPr>
      <w:r w:rsidRPr="00465AB6">
        <w:t xml:space="preserve">Ministry for the Environment. 2016b. </w:t>
      </w:r>
      <w:r w:rsidRPr="001A0DEC">
        <w:rPr>
          <w:i/>
        </w:rPr>
        <w:t>Cost benefit analysis of policy options for a National Policy Statement on Urban Development Capacity</w:t>
      </w:r>
      <w:r w:rsidRPr="00465AB6">
        <w:t xml:space="preserve">. Wellington: Ministry for the Environment. Retrieved from </w:t>
      </w:r>
      <w:hyperlink r:id="rId20" w:history="1">
        <w:r w:rsidRPr="00465AB6">
          <w:rPr>
            <w:rStyle w:val="Hyperlink"/>
          </w:rPr>
          <w:t>www.mfe.govt.nz/publications/towns-and-cities/cost-benefit-analysis-policy-options-national-policy-statement-urban</w:t>
        </w:r>
      </w:hyperlink>
      <w:r w:rsidRPr="00465AB6">
        <w:t xml:space="preserve"> </w:t>
      </w:r>
    </w:p>
    <w:p w:rsidR="009507A5" w:rsidRDefault="00CE61C3" w:rsidP="001A0DEC">
      <w:pPr>
        <w:pStyle w:val="BodyText"/>
      </w:pPr>
      <w:r w:rsidRPr="00465AB6">
        <w:t xml:space="preserve">Ministry for the Environment. 2016c. </w:t>
      </w:r>
      <w:r w:rsidRPr="001A0DEC">
        <w:rPr>
          <w:i/>
        </w:rPr>
        <w:t xml:space="preserve">National Policy Statement on Urban Development Capacity </w:t>
      </w:r>
      <w:r w:rsidR="00564DEF">
        <w:rPr>
          <w:i/>
        </w:rPr>
        <w:t>–</w:t>
      </w:r>
      <w:r w:rsidRPr="001A0DEC">
        <w:rPr>
          <w:i/>
        </w:rPr>
        <w:t xml:space="preserve"> Report on section 46(a) consultation submissions</w:t>
      </w:r>
      <w:r>
        <w:t xml:space="preserve">. Wellington: Ministry for the Environment. Retrieved from </w:t>
      </w:r>
      <w:hyperlink r:id="rId21" w:history="1">
        <w:r w:rsidRPr="00CE61C3">
          <w:rPr>
            <w:rStyle w:val="Hyperlink"/>
          </w:rPr>
          <w:t>www.mfe.govt.nz/publications/towns-and-cities/national-policy-statement-urban-development-capacity-report-section</w:t>
        </w:r>
      </w:hyperlink>
      <w:r>
        <w:t xml:space="preserve"> </w:t>
      </w:r>
    </w:p>
    <w:p w:rsidR="007275C0" w:rsidRDefault="007275C0" w:rsidP="001A0DEC">
      <w:pPr>
        <w:pStyle w:val="BodyText"/>
      </w:pPr>
      <w:r>
        <w:t xml:space="preserve">Ministry for the Environment. 2016d. </w:t>
      </w:r>
      <w:r w:rsidRPr="001A0DEC">
        <w:rPr>
          <w:i/>
        </w:rPr>
        <w:t>International approaches to providing for business and housing needs</w:t>
      </w:r>
      <w:r>
        <w:t xml:space="preserve">. Wellington: Ministry for the Environment. Retrieved from </w:t>
      </w:r>
      <w:hyperlink r:id="rId22" w:history="1">
        <w:r w:rsidRPr="007275C0">
          <w:rPr>
            <w:rStyle w:val="Hyperlink"/>
          </w:rPr>
          <w:t>www.mfe.govt.nz/publications/towns-and-cities/international-approaches-providing-business-and-housing-needs</w:t>
        </w:r>
      </w:hyperlink>
      <w:r>
        <w:t xml:space="preserve"> </w:t>
      </w:r>
    </w:p>
    <w:p w:rsidR="00B20AB1" w:rsidRPr="00B20AB1" w:rsidRDefault="00B20AB1" w:rsidP="001A0DEC">
      <w:pPr>
        <w:pStyle w:val="BodyText"/>
      </w:pPr>
      <w:r w:rsidRPr="009B3120">
        <w:t xml:space="preserve">Ministry for the Environment. 2016e. </w:t>
      </w:r>
      <w:r w:rsidRPr="009B3120">
        <w:rPr>
          <w:i/>
        </w:rPr>
        <w:t xml:space="preserve">Approval for public consultation on a proposed National Policy Statement on Urban Development Capacity. </w:t>
      </w:r>
      <w:r w:rsidRPr="009B3120">
        <w:t xml:space="preserve">Wellington: Ministry for the Environment. Retrieved from </w:t>
      </w:r>
      <w:hyperlink r:id="rId23" w:history="1">
        <w:r w:rsidRPr="009B3120">
          <w:rPr>
            <w:rStyle w:val="Hyperlink"/>
          </w:rPr>
          <w:t>https://www.mfe.govt.nz/more/cabinet-papers-and-related-material-search/approval-public-consultation-proposed-national</w:t>
        </w:r>
      </w:hyperlink>
    </w:p>
    <w:p w:rsidR="0035495E" w:rsidRPr="006B77BB" w:rsidRDefault="0035495E" w:rsidP="00B41FD8">
      <w:pPr>
        <w:pStyle w:val="BodyText"/>
      </w:pPr>
      <w:r>
        <w:t xml:space="preserve">Ministry for the Environment and Ministry of Business, Innovation and Employment. 2016. </w:t>
      </w:r>
      <w:r w:rsidRPr="001A0DEC">
        <w:rPr>
          <w:i/>
        </w:rPr>
        <w:t>Proposed National Policy Statement on Urban Development Capacity: Consultation Document</w:t>
      </w:r>
      <w:r>
        <w:t xml:space="preserve">. Wellington: Ministry for the Environment. Retrieved from </w:t>
      </w:r>
      <w:hyperlink r:id="rId24" w:history="1">
        <w:r w:rsidRPr="0035495E">
          <w:rPr>
            <w:rStyle w:val="Hyperlink"/>
          </w:rPr>
          <w:t>www.mfe.govt.nz/publications/towns-and-cities/proposed-national-policy-statement-urban-development-capacity</w:t>
        </w:r>
      </w:hyperlink>
      <w:r>
        <w:t xml:space="preserve"> </w:t>
      </w:r>
    </w:p>
    <w:p w:rsidR="00D009D8" w:rsidRDefault="00CC0441" w:rsidP="00E1702C">
      <w:pPr>
        <w:pStyle w:val="BodyText"/>
      </w:pPr>
      <w:r>
        <w:t xml:space="preserve">Productivity Commission. 2015. </w:t>
      </w:r>
      <w:r>
        <w:rPr>
          <w:i/>
        </w:rPr>
        <w:t>Using Land for Housing</w:t>
      </w:r>
      <w:r>
        <w:t xml:space="preserve">. Wellington: Productivity Commission. Retrieved from </w:t>
      </w:r>
      <w:hyperlink r:id="rId25" w:history="1">
        <w:r w:rsidR="00C20A17" w:rsidRPr="00C20A17">
          <w:rPr>
            <w:rStyle w:val="Hyperlink"/>
          </w:rPr>
          <w:t>www.productivity.govt.nz/inquiry-content/2060?stage=4</w:t>
        </w:r>
      </w:hyperlink>
      <w:r>
        <w:t xml:space="preserve"> </w:t>
      </w:r>
    </w:p>
    <w:p w:rsidR="001E5CD5" w:rsidRDefault="001E5CD5" w:rsidP="00E1702C">
      <w:pPr>
        <w:pStyle w:val="BodyText"/>
      </w:pPr>
      <w:r>
        <w:t xml:space="preserve">Sanderson K, Stokes F, Dixon H, Fareti N, Williamson J. 2016. </w:t>
      </w:r>
      <w:r w:rsidRPr="00CA1729">
        <w:rPr>
          <w:i/>
        </w:rPr>
        <w:t xml:space="preserve">Business land: problems and causes </w:t>
      </w:r>
      <w:r w:rsidR="00564DEF">
        <w:rPr>
          <w:i/>
        </w:rPr>
        <w:t>–</w:t>
      </w:r>
      <w:r w:rsidRPr="00CA1729">
        <w:rPr>
          <w:i/>
        </w:rPr>
        <w:t xml:space="preserve"> Research to support a proposed NPS on urban planning</w:t>
      </w:r>
      <w:r>
        <w:t xml:space="preserve">. </w:t>
      </w:r>
      <w:r w:rsidR="009F418A">
        <w:t xml:space="preserve">Prepared for the Ministry of Business, Innovation and Employment. </w:t>
      </w:r>
      <w:r w:rsidR="0046263D">
        <w:t xml:space="preserve">Wellington: BERL. </w:t>
      </w:r>
      <w:r>
        <w:t xml:space="preserve">Retrieved from </w:t>
      </w:r>
      <w:hyperlink r:id="rId26" w:history="1">
        <w:r w:rsidRPr="001E5CD5">
          <w:rPr>
            <w:rStyle w:val="Hyperlink"/>
          </w:rPr>
          <w:t>www.mfe.govt.nz/publications/towns-and-cities/business-land-problems-and-causes-research-support-proposed-nps-urban</w:t>
        </w:r>
      </w:hyperlink>
      <w:r>
        <w:t xml:space="preserve"> </w:t>
      </w:r>
    </w:p>
    <w:p w:rsidR="0046263D" w:rsidRPr="001E5CD5" w:rsidRDefault="0046263D" w:rsidP="00E1702C">
      <w:pPr>
        <w:pStyle w:val="BodyText"/>
      </w:pPr>
      <w:r w:rsidRPr="00C1654F">
        <w:rPr>
          <w:lang w:val="en-GB"/>
        </w:rPr>
        <w:t xml:space="preserve">Statistics New Zealand. 2016a. </w:t>
      </w:r>
      <w:r w:rsidRPr="00C1654F">
        <w:rPr>
          <w:i/>
          <w:lang w:val="en-GB"/>
        </w:rPr>
        <w:t>Defining Urban and Rural New Zealand</w:t>
      </w:r>
      <w:r w:rsidRPr="00C1654F">
        <w:rPr>
          <w:lang w:val="en-GB"/>
        </w:rPr>
        <w:t xml:space="preserve">. Retrieved from </w:t>
      </w:r>
      <w:hyperlink r:id="rId27" w:history="1">
        <w:r w:rsidRPr="00541AE3">
          <w:rPr>
            <w:rStyle w:val="Hyperlink"/>
            <w:lang w:val="en-GB"/>
          </w:rPr>
          <w:t>http://www.stats.govt.nz/browse_for_stats/Maps_and_geography/Geographic-areas/urban-rural-profile/defining-urban-rural-nz.aspx</w:t>
        </w:r>
      </w:hyperlink>
    </w:p>
    <w:p w:rsidR="001C5E55" w:rsidRPr="00CC0441" w:rsidRDefault="001C5E55" w:rsidP="00E1702C">
      <w:pPr>
        <w:pStyle w:val="BodyText"/>
      </w:pPr>
      <w:r>
        <w:t>Statistics New Zealand. 2016</w:t>
      </w:r>
      <w:r w:rsidR="0046263D">
        <w:t>b</w:t>
      </w:r>
      <w:r>
        <w:t xml:space="preserve">. </w:t>
      </w:r>
      <w:r>
        <w:rPr>
          <w:i/>
        </w:rPr>
        <w:t xml:space="preserve">Subnational Population Estimates – information </w:t>
      </w:r>
      <w:r w:rsidRPr="001C5E55">
        <w:rPr>
          <w:i/>
        </w:rPr>
        <w:t>releases</w:t>
      </w:r>
      <w:r>
        <w:t xml:space="preserve">. </w:t>
      </w:r>
      <w:r w:rsidRPr="001C5E55">
        <w:t>Retrieved</w:t>
      </w:r>
      <w:r>
        <w:t xml:space="preserve"> from </w:t>
      </w:r>
      <w:hyperlink r:id="rId28" w:history="1">
        <w:r w:rsidRPr="001C5E55">
          <w:rPr>
            <w:rStyle w:val="Hyperlink"/>
          </w:rPr>
          <w:t>www.stats.govt.nz/browse_for_stats/population/estimates_and_projections/subnational-population-estimates-info-releases.aspx</w:t>
        </w:r>
      </w:hyperlink>
      <w:r>
        <w:t xml:space="preserve"> (1 September 2016)</w:t>
      </w:r>
    </w:p>
    <w:sectPr w:rsidR="001C5E55" w:rsidRPr="00CC0441" w:rsidSect="00E158A3">
      <w:footerReference w:type="even" r:id="rId29"/>
      <w:footerReference w:type="default" r:id="rId30"/>
      <w:pgSz w:w="11907" w:h="16840" w:code="9"/>
      <w:pgMar w:top="709" w:right="1418" w:bottom="993"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3D0" w:rsidRDefault="007073D0" w:rsidP="0080531E">
      <w:pPr>
        <w:spacing w:before="0" w:after="0" w:line="240" w:lineRule="auto"/>
      </w:pPr>
      <w:r>
        <w:separator/>
      </w:r>
    </w:p>
    <w:p w:rsidR="007073D0" w:rsidRDefault="007073D0"/>
  </w:endnote>
  <w:endnote w:type="continuationSeparator" w:id="0">
    <w:p w:rsidR="007073D0" w:rsidRDefault="007073D0" w:rsidP="0080531E">
      <w:pPr>
        <w:spacing w:before="0" w:after="0" w:line="240" w:lineRule="auto"/>
      </w:pPr>
      <w:r>
        <w:continuationSeparator/>
      </w:r>
    </w:p>
    <w:p w:rsidR="007073D0" w:rsidRDefault="00707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rsidP="00734B9A">
    <w:pPr>
      <w:spacing w:before="0" w:after="0" w:line="240" w:lineRule="auto"/>
      <w:ind w:left="-57"/>
      <w:jc w:val="left"/>
    </w:pPr>
    <w:r>
      <w:rPr>
        <w:noProof/>
      </w:rPr>
      <w:drawing>
        <wp:inline distT="0" distB="0" distL="0" distR="0">
          <wp:extent cx="2498785" cy="535459"/>
          <wp:effectExtent l="0" t="0" r="0" b="0"/>
          <wp:docPr id="7"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rsidP="00CD25E1">
    <w:pPr>
      <w:pStyle w:val="Footereven"/>
    </w:pPr>
    <w:r w:rsidRPr="004F458A">
      <w:rPr>
        <w:b/>
      </w:rPr>
      <w:fldChar w:fldCharType="begin"/>
    </w:r>
    <w:r w:rsidRPr="004F458A">
      <w:instrText xml:space="preserve"> PAGE </w:instrText>
    </w:r>
    <w:r w:rsidRPr="004F458A">
      <w:rPr>
        <w:b/>
      </w:rPr>
      <w:fldChar w:fldCharType="separate"/>
    </w:r>
    <w:r w:rsidR="00697F33">
      <w:rPr>
        <w:noProof/>
      </w:rPr>
      <w:t>6</w:t>
    </w:r>
    <w:r w:rsidRPr="004F458A">
      <w:rPr>
        <w:b/>
      </w:rPr>
      <w:fldChar w:fldCharType="end"/>
    </w:r>
    <w:r>
      <w:tab/>
    </w:r>
    <w:r w:rsidRPr="00796F1A">
      <w:t>Summary of submissions to the Proposed National Policy Statement on Urban Development Capacity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rsidP="00CD25E1">
    <w:pPr>
      <w:pStyle w:val="Footerodd"/>
    </w:pPr>
    <w:r>
      <w:tab/>
    </w:r>
    <w:r w:rsidRPr="00796F1A">
      <w:t>Summary of submissions to the Proposed National Policy Statement on Urban Development Capacity</w:t>
    </w:r>
    <w:r>
      <w:tab/>
    </w:r>
    <w:r>
      <w:fldChar w:fldCharType="begin"/>
    </w:r>
    <w:r>
      <w:instrText xml:space="preserve"> PAGE   \* MERGEFORMAT </w:instrText>
    </w:r>
    <w:r>
      <w:fldChar w:fldCharType="separate"/>
    </w:r>
    <w:r w:rsidR="00697F33">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3D0" w:rsidRDefault="007073D0" w:rsidP="00CB5C5F">
      <w:pPr>
        <w:spacing w:before="0" w:after="80" w:line="240" w:lineRule="auto"/>
      </w:pPr>
      <w:r>
        <w:separator/>
      </w:r>
    </w:p>
  </w:footnote>
  <w:footnote w:type="continuationSeparator" w:id="0">
    <w:p w:rsidR="007073D0" w:rsidRDefault="007073D0" w:rsidP="0080531E">
      <w:pPr>
        <w:spacing w:before="0" w:after="0" w:line="240" w:lineRule="auto"/>
      </w:pPr>
      <w:r>
        <w:continuationSeparator/>
      </w:r>
    </w:p>
    <w:p w:rsidR="007073D0" w:rsidRDefault="007073D0"/>
  </w:footnote>
  <w:footnote w:id="1">
    <w:p w:rsidR="00820EFA" w:rsidRDefault="00820EFA" w:rsidP="00820EFA">
      <w:pPr>
        <w:pStyle w:val="References"/>
      </w:pPr>
      <w:r>
        <w:rPr>
          <w:rStyle w:val="FootnoteReference"/>
        </w:rPr>
        <w:footnoteRef/>
      </w:r>
      <w:r>
        <w:t xml:space="preserve"> A number of joint submissions were received from local authority stakeholders. The data labels in Figure 2 therefore total to 45 rather than the 38 submissions received from local authorities.</w:t>
      </w:r>
    </w:p>
  </w:footnote>
  <w:footnote w:id="2">
    <w:p w:rsidR="00796F1A" w:rsidRPr="003F6481" w:rsidRDefault="00796F1A" w:rsidP="00187666">
      <w:pPr>
        <w:pStyle w:val="References"/>
        <w:rPr>
          <w:lang w:val="en-GB"/>
        </w:rPr>
      </w:pPr>
      <w:r>
        <w:rPr>
          <w:rStyle w:val="FootnoteReference"/>
        </w:rPr>
        <w:footnoteRef/>
      </w:r>
      <w:r>
        <w:t xml:space="preserve"> Statistics New Zealand, 2016</w:t>
      </w:r>
    </w:p>
  </w:footnote>
  <w:footnote w:id="3">
    <w:p w:rsidR="00796F1A" w:rsidRPr="00796F1A" w:rsidRDefault="00796F1A">
      <w:pPr>
        <w:pStyle w:val="FootnoteText"/>
        <w:rPr>
          <w:lang w:val="en-GB"/>
        </w:rPr>
      </w:pPr>
      <w:r>
        <w:rPr>
          <w:rStyle w:val="FootnoteReference"/>
        </w:rPr>
        <w:footnoteRef/>
      </w:r>
      <w:r>
        <w:t xml:space="preserve"> Ministry for the Environment and Ministry of Business, Innovation and Employment,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Pr="00DE7BF8" w:rsidRDefault="00796F1A" w:rsidP="00CB341C">
    <w:pPr>
      <w:pStyle w:val="Header"/>
      <w:tabs>
        <w:tab w:val="left" w:pos="4820"/>
      </w:tabs>
      <w:ind w:left="-57"/>
      <w:jc w:val="left"/>
      <w:rPr>
        <w:rFonts w:ascii="Calibri" w:hAnsi="Calibri"/>
      </w:rPr>
    </w:pPr>
    <w:r>
      <w:rPr>
        <w:rFonts w:ascii="Calibri" w:hAnsi="Calibri"/>
        <w:noProof/>
      </w:rPr>
      <w:drawing>
        <wp:inline distT="0" distB="0" distL="0" distR="0" wp14:anchorId="274C76C0" wp14:editId="3B7471C0">
          <wp:extent cx="21636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r w:rsidR="00CB341C">
      <w:rPr>
        <w:rFonts w:ascii="Calibri" w:hAnsi="Calibri"/>
      </w:rPr>
      <w:tab/>
    </w:r>
    <w:r w:rsidR="00CB341C">
      <w:rPr>
        <w:noProof/>
      </w:rPr>
      <w:drawing>
        <wp:inline distT="0" distB="0" distL="0" distR="0" wp14:anchorId="1C3748B6" wp14:editId="0FED2797">
          <wp:extent cx="2635885" cy="7645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635885" cy="7645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1A" w:rsidRDefault="00796F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4128"/>
    <w:multiLevelType w:val="hybridMultilevel"/>
    <w:tmpl w:val="DA207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nsid w:val="0D62164A"/>
    <w:multiLevelType w:val="hybridMultilevel"/>
    <w:tmpl w:val="C14E6A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D9678D8"/>
    <w:multiLevelType w:val="hybridMultilevel"/>
    <w:tmpl w:val="B4ACD638"/>
    <w:lvl w:ilvl="0" w:tplc="1409000F">
      <w:start w:val="1"/>
      <w:numFmt w:val="decimal"/>
      <w:lvlText w:val="%1."/>
      <w:lvlJc w:val="left"/>
      <w:pPr>
        <w:ind w:left="773" w:hanging="360"/>
      </w:pPr>
    </w:lvl>
    <w:lvl w:ilvl="1" w:tplc="14090019" w:tentative="1">
      <w:start w:val="1"/>
      <w:numFmt w:val="lowerLetter"/>
      <w:lvlText w:val="%2."/>
      <w:lvlJc w:val="left"/>
      <w:pPr>
        <w:ind w:left="1493" w:hanging="360"/>
      </w:pPr>
    </w:lvl>
    <w:lvl w:ilvl="2" w:tplc="1409001B" w:tentative="1">
      <w:start w:val="1"/>
      <w:numFmt w:val="lowerRoman"/>
      <w:lvlText w:val="%3."/>
      <w:lvlJc w:val="right"/>
      <w:pPr>
        <w:ind w:left="2213" w:hanging="180"/>
      </w:pPr>
    </w:lvl>
    <w:lvl w:ilvl="3" w:tplc="1409000F" w:tentative="1">
      <w:start w:val="1"/>
      <w:numFmt w:val="decimal"/>
      <w:lvlText w:val="%4."/>
      <w:lvlJc w:val="left"/>
      <w:pPr>
        <w:ind w:left="2933" w:hanging="360"/>
      </w:pPr>
    </w:lvl>
    <w:lvl w:ilvl="4" w:tplc="14090019" w:tentative="1">
      <w:start w:val="1"/>
      <w:numFmt w:val="lowerLetter"/>
      <w:lvlText w:val="%5."/>
      <w:lvlJc w:val="left"/>
      <w:pPr>
        <w:ind w:left="3653" w:hanging="360"/>
      </w:pPr>
    </w:lvl>
    <w:lvl w:ilvl="5" w:tplc="1409001B" w:tentative="1">
      <w:start w:val="1"/>
      <w:numFmt w:val="lowerRoman"/>
      <w:lvlText w:val="%6."/>
      <w:lvlJc w:val="right"/>
      <w:pPr>
        <w:ind w:left="4373" w:hanging="180"/>
      </w:pPr>
    </w:lvl>
    <w:lvl w:ilvl="6" w:tplc="1409000F" w:tentative="1">
      <w:start w:val="1"/>
      <w:numFmt w:val="decimal"/>
      <w:lvlText w:val="%7."/>
      <w:lvlJc w:val="left"/>
      <w:pPr>
        <w:ind w:left="5093" w:hanging="360"/>
      </w:pPr>
    </w:lvl>
    <w:lvl w:ilvl="7" w:tplc="14090019" w:tentative="1">
      <w:start w:val="1"/>
      <w:numFmt w:val="lowerLetter"/>
      <w:lvlText w:val="%8."/>
      <w:lvlJc w:val="left"/>
      <w:pPr>
        <w:ind w:left="5813" w:hanging="360"/>
      </w:pPr>
    </w:lvl>
    <w:lvl w:ilvl="8" w:tplc="1409001B" w:tentative="1">
      <w:start w:val="1"/>
      <w:numFmt w:val="lowerRoman"/>
      <w:lvlText w:val="%9."/>
      <w:lvlJc w:val="right"/>
      <w:pPr>
        <w:ind w:left="6533" w:hanging="180"/>
      </w:pPr>
    </w:lvl>
  </w:abstractNum>
  <w:abstractNum w:abstractNumId="5">
    <w:nsid w:val="0E29755F"/>
    <w:multiLevelType w:val="hybridMultilevel"/>
    <w:tmpl w:val="08A28C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B96F98"/>
    <w:multiLevelType w:val="hybridMultilevel"/>
    <w:tmpl w:val="BCC69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5215078"/>
    <w:multiLevelType w:val="hybridMultilevel"/>
    <w:tmpl w:val="81D08C0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nsid w:val="22060B8E"/>
    <w:multiLevelType w:val="hybridMultilevel"/>
    <w:tmpl w:val="ED58FE0E"/>
    <w:lvl w:ilvl="0" w:tplc="1409000F">
      <w:start w:val="1"/>
      <w:numFmt w:val="decimal"/>
      <w:lvlText w:val="%1."/>
      <w:lvlJc w:val="left"/>
      <w:pPr>
        <w:ind w:left="153" w:hanging="360"/>
      </w:pPr>
    </w:lvl>
    <w:lvl w:ilvl="1" w:tplc="14090019" w:tentative="1">
      <w:start w:val="1"/>
      <w:numFmt w:val="lowerLetter"/>
      <w:lvlText w:val="%2."/>
      <w:lvlJc w:val="left"/>
      <w:pPr>
        <w:ind w:left="873" w:hanging="360"/>
      </w:pPr>
    </w:lvl>
    <w:lvl w:ilvl="2" w:tplc="1409001B" w:tentative="1">
      <w:start w:val="1"/>
      <w:numFmt w:val="lowerRoman"/>
      <w:lvlText w:val="%3."/>
      <w:lvlJc w:val="right"/>
      <w:pPr>
        <w:ind w:left="1593" w:hanging="180"/>
      </w:pPr>
    </w:lvl>
    <w:lvl w:ilvl="3" w:tplc="1409000F" w:tentative="1">
      <w:start w:val="1"/>
      <w:numFmt w:val="decimal"/>
      <w:lvlText w:val="%4."/>
      <w:lvlJc w:val="left"/>
      <w:pPr>
        <w:ind w:left="2313" w:hanging="360"/>
      </w:pPr>
    </w:lvl>
    <w:lvl w:ilvl="4" w:tplc="14090019" w:tentative="1">
      <w:start w:val="1"/>
      <w:numFmt w:val="lowerLetter"/>
      <w:lvlText w:val="%5."/>
      <w:lvlJc w:val="left"/>
      <w:pPr>
        <w:ind w:left="3033" w:hanging="360"/>
      </w:pPr>
    </w:lvl>
    <w:lvl w:ilvl="5" w:tplc="1409001B" w:tentative="1">
      <w:start w:val="1"/>
      <w:numFmt w:val="lowerRoman"/>
      <w:lvlText w:val="%6."/>
      <w:lvlJc w:val="right"/>
      <w:pPr>
        <w:ind w:left="3753" w:hanging="180"/>
      </w:pPr>
    </w:lvl>
    <w:lvl w:ilvl="6" w:tplc="1409000F" w:tentative="1">
      <w:start w:val="1"/>
      <w:numFmt w:val="decimal"/>
      <w:lvlText w:val="%7."/>
      <w:lvlJc w:val="left"/>
      <w:pPr>
        <w:ind w:left="4473" w:hanging="360"/>
      </w:pPr>
    </w:lvl>
    <w:lvl w:ilvl="7" w:tplc="14090019" w:tentative="1">
      <w:start w:val="1"/>
      <w:numFmt w:val="lowerLetter"/>
      <w:lvlText w:val="%8."/>
      <w:lvlJc w:val="left"/>
      <w:pPr>
        <w:ind w:left="5193" w:hanging="360"/>
      </w:pPr>
    </w:lvl>
    <w:lvl w:ilvl="8" w:tplc="1409001B" w:tentative="1">
      <w:start w:val="1"/>
      <w:numFmt w:val="lowerRoman"/>
      <w:lvlText w:val="%9."/>
      <w:lvlJc w:val="right"/>
      <w:pPr>
        <w:ind w:left="5913" w:hanging="180"/>
      </w:pPr>
    </w:lvl>
  </w:abstractNum>
  <w:abstractNum w:abstractNumId="10">
    <w:nsid w:val="230F34A3"/>
    <w:multiLevelType w:val="hybridMultilevel"/>
    <w:tmpl w:val="D9CE4A7E"/>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65831FF"/>
    <w:multiLevelType w:val="hybridMultilevel"/>
    <w:tmpl w:val="7E1C8F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AAC30FB"/>
    <w:multiLevelType w:val="hybridMultilevel"/>
    <w:tmpl w:val="638EA1C4"/>
    <w:lvl w:ilvl="0" w:tplc="14090001">
      <w:start w:val="1"/>
      <w:numFmt w:val="bullet"/>
      <w:lvlText w:val=""/>
      <w:lvlJc w:val="left"/>
      <w:pPr>
        <w:ind w:left="1145" w:hanging="360"/>
      </w:pPr>
      <w:rPr>
        <w:rFonts w:ascii="Symbol" w:hAnsi="Symbol" w:hint="default"/>
      </w:rPr>
    </w:lvl>
    <w:lvl w:ilvl="1" w:tplc="14090001">
      <w:start w:val="1"/>
      <w:numFmt w:val="bullet"/>
      <w:lvlText w:val=""/>
      <w:lvlJc w:val="left"/>
      <w:pPr>
        <w:ind w:left="1865" w:hanging="360"/>
      </w:pPr>
      <w:rPr>
        <w:rFonts w:ascii="Symbol" w:hAnsi="Symbol"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nsid w:val="2C92233D"/>
    <w:multiLevelType w:val="hybridMultilevel"/>
    <w:tmpl w:val="44D2AE3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nsid w:val="360C20FA"/>
    <w:multiLevelType w:val="hybridMultilevel"/>
    <w:tmpl w:val="85BC00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nsid w:val="367C00E5"/>
    <w:multiLevelType w:val="hybridMultilevel"/>
    <w:tmpl w:val="5B3C81FC"/>
    <w:lvl w:ilvl="0" w:tplc="50460436">
      <w:start w:val="1"/>
      <w:numFmt w:val="decimal"/>
      <w:lvlText w:val="%1."/>
      <w:lvlJc w:val="left"/>
      <w:pPr>
        <w:ind w:left="1080" w:hanging="720"/>
      </w:pPr>
      <w:rPr>
        <w:rFonts w:hint="default"/>
      </w:rPr>
    </w:lvl>
    <w:lvl w:ilvl="1" w:tplc="317A9108">
      <w:start w:val="1"/>
      <w:numFmt w:val="lowerLetter"/>
      <w:lvlText w:val="%2."/>
      <w:lvlJc w:val="left"/>
      <w:pPr>
        <w:ind w:left="1800" w:hanging="72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E741A45"/>
    <w:multiLevelType w:val="hybridMultilevel"/>
    <w:tmpl w:val="032C30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F3B07BA"/>
    <w:multiLevelType w:val="hybridMultilevel"/>
    <w:tmpl w:val="200E2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0664E99"/>
    <w:multiLevelType w:val="hybridMultilevel"/>
    <w:tmpl w:val="286299E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nsid w:val="57022967"/>
    <w:multiLevelType w:val="hybridMultilevel"/>
    <w:tmpl w:val="2E8E4B1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nsid w:val="57AE6F20"/>
    <w:multiLevelType w:val="hybridMultilevel"/>
    <w:tmpl w:val="EF9CB6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82C6B44"/>
    <w:multiLevelType w:val="hybridMultilevel"/>
    <w:tmpl w:val="E04EC8D0"/>
    <w:lvl w:ilvl="0" w:tplc="14090001">
      <w:start w:val="1"/>
      <w:numFmt w:val="bullet"/>
      <w:lvlText w:val=""/>
      <w:lvlJc w:val="left"/>
      <w:pPr>
        <w:ind w:left="153" w:hanging="360"/>
      </w:pPr>
      <w:rPr>
        <w:rFonts w:ascii="Symbol" w:hAnsi="Symbol" w:hint="default"/>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30">
    <w:nsid w:val="5C3B0F0D"/>
    <w:multiLevelType w:val="hybridMultilevel"/>
    <w:tmpl w:val="52F02F7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1">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53B4243"/>
    <w:multiLevelType w:val="hybridMultilevel"/>
    <w:tmpl w:val="1F14B63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6C734A1"/>
    <w:multiLevelType w:val="hybridMultilevel"/>
    <w:tmpl w:val="90DE41C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nsid w:val="67B66BDB"/>
    <w:multiLevelType w:val="hybridMultilevel"/>
    <w:tmpl w:val="36245FCA"/>
    <w:lvl w:ilvl="0" w:tplc="8B5A8824">
      <w:start w:val="1"/>
      <w:numFmt w:val="lowerLetter"/>
      <w:lvlText w:val="%1)"/>
      <w:lvlJc w:val="left"/>
      <w:pPr>
        <w:ind w:left="-207" w:hanging="360"/>
      </w:pPr>
      <w:rPr>
        <w:rFonts w:hint="default"/>
        <w:u w:val="none"/>
      </w:rPr>
    </w:lvl>
    <w:lvl w:ilvl="1" w:tplc="14090019">
      <w:start w:val="1"/>
      <w:numFmt w:val="lowerLetter"/>
      <w:lvlText w:val="%2."/>
      <w:lvlJc w:val="left"/>
      <w:pPr>
        <w:ind w:left="513" w:hanging="360"/>
      </w:pPr>
    </w:lvl>
    <w:lvl w:ilvl="2" w:tplc="1409001B">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35">
    <w:nsid w:val="682A6067"/>
    <w:multiLevelType w:val="hybridMultilevel"/>
    <w:tmpl w:val="C6E6F02A"/>
    <w:lvl w:ilvl="0" w:tplc="1CFC35D4">
      <w:start w:val="1"/>
      <w:numFmt w:val="decimal"/>
      <w:pStyle w:val="NoSpacing"/>
      <w:lvlText w:val="%1."/>
      <w:lvlJc w:val="left"/>
      <w:pPr>
        <w:ind w:left="720" w:hanging="360"/>
      </w:pPr>
      <w:rPr>
        <w:b w:val="0"/>
        <w:color w:val="auto"/>
      </w:rPr>
    </w:lvl>
    <w:lvl w:ilvl="1" w:tplc="1D965834">
      <w:start w:val="1"/>
      <w:numFmt w:val="lowerLetter"/>
      <w:lvlText w:val="%2."/>
      <w:lvlJc w:val="left"/>
      <w:pPr>
        <w:ind w:left="1443" w:hanging="360"/>
      </w:pPr>
      <w:rPr>
        <w:b w:val="0"/>
      </w:rPr>
    </w:lvl>
    <w:lvl w:ilvl="2" w:tplc="1409001B">
      <w:start w:val="1"/>
      <w:numFmt w:val="lowerRoman"/>
      <w:lvlText w:val="%3."/>
      <w:lvlJc w:val="right"/>
      <w:pPr>
        <w:ind w:left="2163" w:hanging="180"/>
      </w:pPr>
    </w:lvl>
    <w:lvl w:ilvl="3" w:tplc="1409000F" w:tentative="1">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36">
    <w:nsid w:val="6DB9291A"/>
    <w:multiLevelType w:val="hybridMultilevel"/>
    <w:tmpl w:val="E5C8C096"/>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nsid w:val="6ECE212E"/>
    <w:multiLevelType w:val="hybridMultilevel"/>
    <w:tmpl w:val="EC9804EE"/>
    <w:lvl w:ilvl="0" w:tplc="2FAADC96">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8">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nsid w:val="79E937F2"/>
    <w:multiLevelType w:val="hybridMultilevel"/>
    <w:tmpl w:val="0F269A84"/>
    <w:lvl w:ilvl="0" w:tplc="14090003">
      <w:start w:val="1"/>
      <w:numFmt w:val="bullet"/>
      <w:lvlText w:val="o"/>
      <w:lvlJc w:val="left"/>
      <w:pPr>
        <w:ind w:left="1146" w:hanging="360"/>
      </w:pPr>
      <w:rPr>
        <w:rFonts w:ascii="Courier New" w:hAnsi="Courier New" w:cs="Courier New"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1">
    <w:nsid w:val="7B5B1EE9"/>
    <w:multiLevelType w:val="hybridMultilevel"/>
    <w:tmpl w:val="5B5C67F8"/>
    <w:lvl w:ilvl="0" w:tplc="8B5A8824">
      <w:start w:val="1"/>
      <w:numFmt w:val="lowerLetter"/>
      <w:lvlText w:val="%1)"/>
      <w:lvlJc w:val="left"/>
      <w:pPr>
        <w:ind w:left="-207" w:hanging="360"/>
      </w:pPr>
      <w:rPr>
        <w:rFonts w:hint="default"/>
        <w:u w:val="none"/>
      </w:rPr>
    </w:lvl>
    <w:lvl w:ilvl="1" w:tplc="14090019">
      <w:start w:val="1"/>
      <w:numFmt w:val="lowerLetter"/>
      <w:lvlText w:val="%2."/>
      <w:lvlJc w:val="left"/>
      <w:pPr>
        <w:ind w:left="513" w:hanging="360"/>
      </w:pPr>
    </w:lvl>
    <w:lvl w:ilvl="2" w:tplc="1409001B">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42">
    <w:nsid w:val="7E030B13"/>
    <w:multiLevelType w:val="hybridMultilevel"/>
    <w:tmpl w:val="0540D6CC"/>
    <w:lvl w:ilvl="0" w:tplc="8B5A8824">
      <w:start w:val="1"/>
      <w:numFmt w:val="lowerLetter"/>
      <w:lvlText w:val="%1)"/>
      <w:lvlJc w:val="left"/>
      <w:pPr>
        <w:ind w:left="-207" w:hanging="360"/>
      </w:pPr>
      <w:rPr>
        <w:rFonts w:hint="default"/>
        <w:u w:val="none"/>
      </w:rPr>
    </w:lvl>
    <w:lvl w:ilvl="1" w:tplc="14090019">
      <w:start w:val="1"/>
      <w:numFmt w:val="lowerLetter"/>
      <w:lvlText w:val="%2."/>
      <w:lvlJc w:val="left"/>
      <w:pPr>
        <w:ind w:left="513" w:hanging="360"/>
      </w:pPr>
    </w:lvl>
    <w:lvl w:ilvl="2" w:tplc="317A9108">
      <w:start w:val="1"/>
      <w:numFmt w:val="lowerLetter"/>
      <w:lvlText w:val="%3."/>
      <w:lvlJc w:val="left"/>
      <w:pPr>
        <w:ind w:left="1233" w:hanging="180"/>
      </w:pPr>
      <w:rPr>
        <w:rFonts w:hint="default"/>
      </w:rPr>
    </w:lvl>
    <w:lvl w:ilvl="3" w:tplc="1409000F">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43">
    <w:nsid w:val="7E4D254A"/>
    <w:multiLevelType w:val="singleLevel"/>
    <w:tmpl w:val="4BDCAC5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abstractNum w:abstractNumId="44">
    <w:nsid w:val="7F4E1664"/>
    <w:multiLevelType w:val="hybridMultilevel"/>
    <w:tmpl w:val="6B2CD322"/>
    <w:lvl w:ilvl="0" w:tplc="14090003">
      <w:start w:val="1"/>
      <w:numFmt w:val="bullet"/>
      <w:lvlText w:val="o"/>
      <w:lvlJc w:val="left"/>
      <w:pPr>
        <w:ind w:left="1429" w:hanging="360"/>
      </w:pPr>
      <w:rPr>
        <w:rFonts w:ascii="Courier New" w:hAnsi="Courier New" w:cs="Courier New"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5">
    <w:nsid w:val="7FF9437F"/>
    <w:multiLevelType w:val="hybridMultilevel"/>
    <w:tmpl w:val="881CF9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6"/>
  </w:num>
  <w:num w:numId="2">
    <w:abstractNumId w:val="26"/>
  </w:num>
  <w:num w:numId="3">
    <w:abstractNumId w:val="43"/>
  </w:num>
  <w:num w:numId="4">
    <w:abstractNumId w:val="22"/>
  </w:num>
  <w:num w:numId="5">
    <w:abstractNumId w:val="15"/>
  </w:num>
  <w:num w:numId="6">
    <w:abstractNumId w:val="8"/>
  </w:num>
  <w:num w:numId="7">
    <w:abstractNumId w:val="24"/>
  </w:num>
  <w:num w:numId="8">
    <w:abstractNumId w:val="23"/>
  </w:num>
  <w:num w:numId="9">
    <w:abstractNumId w:val="3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38"/>
  </w:num>
  <w:num w:numId="14">
    <w:abstractNumId w:val="31"/>
  </w:num>
  <w:num w:numId="15">
    <w:abstractNumId w:val="2"/>
  </w:num>
  <w:num w:numId="16">
    <w:abstractNumId w:val="35"/>
  </w:num>
  <w:num w:numId="17">
    <w:abstractNumId w:val="40"/>
  </w:num>
  <w:num w:numId="18">
    <w:abstractNumId w:val="30"/>
  </w:num>
  <w:num w:numId="19">
    <w:abstractNumId w:val="3"/>
  </w:num>
  <w:num w:numId="20">
    <w:abstractNumId w:val="44"/>
  </w:num>
  <w:num w:numId="21">
    <w:abstractNumId w:val="10"/>
  </w:num>
  <w:num w:numId="22">
    <w:abstractNumId w:val="0"/>
  </w:num>
  <w:num w:numId="23">
    <w:abstractNumId w:val="7"/>
  </w:num>
  <w:num w:numId="24">
    <w:abstractNumId w:val="27"/>
  </w:num>
  <w:num w:numId="25">
    <w:abstractNumId w:val="12"/>
  </w:num>
  <w:num w:numId="26">
    <w:abstractNumId w:val="20"/>
  </w:num>
  <w:num w:numId="27">
    <w:abstractNumId w:val="18"/>
  </w:num>
  <w:num w:numId="28">
    <w:abstractNumId w:val="21"/>
  </w:num>
  <w:num w:numId="29">
    <w:abstractNumId w:val="28"/>
  </w:num>
  <w:num w:numId="30">
    <w:abstractNumId w:val="11"/>
  </w:num>
  <w:num w:numId="31">
    <w:abstractNumId w:val="6"/>
  </w:num>
  <w:num w:numId="32">
    <w:abstractNumId w:val="17"/>
  </w:num>
  <w:num w:numId="33">
    <w:abstractNumId w:val="1"/>
  </w:num>
  <w:num w:numId="34">
    <w:abstractNumId w:val="34"/>
  </w:num>
  <w:num w:numId="35">
    <w:abstractNumId w:val="42"/>
  </w:num>
  <w:num w:numId="36">
    <w:abstractNumId w:val="5"/>
  </w:num>
  <w:num w:numId="37">
    <w:abstractNumId w:val="45"/>
  </w:num>
  <w:num w:numId="38">
    <w:abstractNumId w:val="32"/>
  </w:num>
  <w:num w:numId="39">
    <w:abstractNumId w:val="41"/>
  </w:num>
  <w:num w:numId="40">
    <w:abstractNumId w:val="29"/>
  </w:num>
  <w:num w:numId="41">
    <w:abstractNumId w:val="9"/>
  </w:num>
  <w:num w:numId="42">
    <w:abstractNumId w:val="37"/>
  </w:num>
  <w:num w:numId="43">
    <w:abstractNumId w:val="4"/>
  </w:num>
  <w:num w:numId="44">
    <w:abstractNumId w:val="19"/>
  </w:num>
  <w:num w:numId="45">
    <w:abstractNumId w:val="43"/>
  </w:num>
  <w:num w:numId="46">
    <w:abstractNumId w:val="33"/>
  </w:num>
  <w:num w:numId="47">
    <w:abstractNumId w:val="13"/>
  </w:num>
  <w:num w:numId="48">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920"/>
    <w:rsid w:val="00000792"/>
    <w:rsid w:val="00000F04"/>
    <w:rsid w:val="000035D9"/>
    <w:rsid w:val="00003C4F"/>
    <w:rsid w:val="00004E0A"/>
    <w:rsid w:val="00004FD3"/>
    <w:rsid w:val="00005AC4"/>
    <w:rsid w:val="0000653B"/>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873"/>
    <w:rsid w:val="0001327E"/>
    <w:rsid w:val="00014236"/>
    <w:rsid w:val="000148F6"/>
    <w:rsid w:val="00015217"/>
    <w:rsid w:val="000159D2"/>
    <w:rsid w:val="00016264"/>
    <w:rsid w:val="00016993"/>
    <w:rsid w:val="00016CAB"/>
    <w:rsid w:val="00016E5B"/>
    <w:rsid w:val="0001749B"/>
    <w:rsid w:val="00017D75"/>
    <w:rsid w:val="00017FE5"/>
    <w:rsid w:val="00020846"/>
    <w:rsid w:val="00021910"/>
    <w:rsid w:val="00022976"/>
    <w:rsid w:val="00022E8D"/>
    <w:rsid w:val="0002348A"/>
    <w:rsid w:val="00023C1D"/>
    <w:rsid w:val="00024708"/>
    <w:rsid w:val="00024EE7"/>
    <w:rsid w:val="00025F96"/>
    <w:rsid w:val="00025FAB"/>
    <w:rsid w:val="00026E89"/>
    <w:rsid w:val="000275A3"/>
    <w:rsid w:val="00030558"/>
    <w:rsid w:val="00030699"/>
    <w:rsid w:val="00030725"/>
    <w:rsid w:val="00030DB8"/>
    <w:rsid w:val="00031A83"/>
    <w:rsid w:val="0003213A"/>
    <w:rsid w:val="00032A81"/>
    <w:rsid w:val="00033A3C"/>
    <w:rsid w:val="000340D8"/>
    <w:rsid w:val="0003427D"/>
    <w:rsid w:val="00034DFA"/>
    <w:rsid w:val="000357ED"/>
    <w:rsid w:val="00035E15"/>
    <w:rsid w:val="0003640E"/>
    <w:rsid w:val="0003688A"/>
    <w:rsid w:val="000368FC"/>
    <w:rsid w:val="00036DA3"/>
    <w:rsid w:val="000379AD"/>
    <w:rsid w:val="000379BF"/>
    <w:rsid w:val="00037BEC"/>
    <w:rsid w:val="000400D9"/>
    <w:rsid w:val="0004035C"/>
    <w:rsid w:val="0004066E"/>
    <w:rsid w:val="00040860"/>
    <w:rsid w:val="00040BFE"/>
    <w:rsid w:val="00040CED"/>
    <w:rsid w:val="00040EA1"/>
    <w:rsid w:val="0004205F"/>
    <w:rsid w:val="000423C6"/>
    <w:rsid w:val="00042EDB"/>
    <w:rsid w:val="00044A50"/>
    <w:rsid w:val="00044C65"/>
    <w:rsid w:val="00044DDB"/>
    <w:rsid w:val="000458C7"/>
    <w:rsid w:val="00045991"/>
    <w:rsid w:val="00045E5C"/>
    <w:rsid w:val="00046288"/>
    <w:rsid w:val="00047941"/>
    <w:rsid w:val="00047F55"/>
    <w:rsid w:val="00050A22"/>
    <w:rsid w:val="0005144F"/>
    <w:rsid w:val="00051D42"/>
    <w:rsid w:val="00052B98"/>
    <w:rsid w:val="000538A1"/>
    <w:rsid w:val="00055375"/>
    <w:rsid w:val="000562CB"/>
    <w:rsid w:val="00056319"/>
    <w:rsid w:val="000564E7"/>
    <w:rsid w:val="00056770"/>
    <w:rsid w:val="00057386"/>
    <w:rsid w:val="00057EEF"/>
    <w:rsid w:val="0006067B"/>
    <w:rsid w:val="000619CB"/>
    <w:rsid w:val="00062387"/>
    <w:rsid w:val="000640F0"/>
    <w:rsid w:val="0006434D"/>
    <w:rsid w:val="000643A1"/>
    <w:rsid w:val="00064679"/>
    <w:rsid w:val="00064A13"/>
    <w:rsid w:val="00064AF4"/>
    <w:rsid w:val="00064DB1"/>
    <w:rsid w:val="00065BA3"/>
    <w:rsid w:val="00065D3B"/>
    <w:rsid w:val="000667E9"/>
    <w:rsid w:val="00066EA5"/>
    <w:rsid w:val="00067128"/>
    <w:rsid w:val="000675CD"/>
    <w:rsid w:val="00067872"/>
    <w:rsid w:val="000678AC"/>
    <w:rsid w:val="000703B2"/>
    <w:rsid w:val="000709BE"/>
    <w:rsid w:val="00070FBF"/>
    <w:rsid w:val="000711EE"/>
    <w:rsid w:val="0007180E"/>
    <w:rsid w:val="00071AE4"/>
    <w:rsid w:val="00071CB5"/>
    <w:rsid w:val="00071CCB"/>
    <w:rsid w:val="00071D03"/>
    <w:rsid w:val="0007232B"/>
    <w:rsid w:val="000735A2"/>
    <w:rsid w:val="00074668"/>
    <w:rsid w:val="0007517E"/>
    <w:rsid w:val="00075FE1"/>
    <w:rsid w:val="00076667"/>
    <w:rsid w:val="00077473"/>
    <w:rsid w:val="00077481"/>
    <w:rsid w:val="000776F9"/>
    <w:rsid w:val="00077EE0"/>
    <w:rsid w:val="000802F9"/>
    <w:rsid w:val="0008145A"/>
    <w:rsid w:val="0008162D"/>
    <w:rsid w:val="000831C8"/>
    <w:rsid w:val="000832CE"/>
    <w:rsid w:val="000832FC"/>
    <w:rsid w:val="00083F5E"/>
    <w:rsid w:val="00084163"/>
    <w:rsid w:val="00084FDB"/>
    <w:rsid w:val="0008505C"/>
    <w:rsid w:val="00085142"/>
    <w:rsid w:val="000856CD"/>
    <w:rsid w:val="00085C46"/>
    <w:rsid w:val="0008686A"/>
    <w:rsid w:val="00087175"/>
    <w:rsid w:val="000875F4"/>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1CCC"/>
    <w:rsid w:val="000A2345"/>
    <w:rsid w:val="000A2394"/>
    <w:rsid w:val="000A31C1"/>
    <w:rsid w:val="000A32C5"/>
    <w:rsid w:val="000A3411"/>
    <w:rsid w:val="000A34CA"/>
    <w:rsid w:val="000A40C6"/>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6F8"/>
    <w:rsid w:val="000B1942"/>
    <w:rsid w:val="000B1BED"/>
    <w:rsid w:val="000B2240"/>
    <w:rsid w:val="000B2477"/>
    <w:rsid w:val="000B2600"/>
    <w:rsid w:val="000B36F9"/>
    <w:rsid w:val="000B3E47"/>
    <w:rsid w:val="000B4074"/>
    <w:rsid w:val="000B4732"/>
    <w:rsid w:val="000B4BCD"/>
    <w:rsid w:val="000B55E5"/>
    <w:rsid w:val="000B66DC"/>
    <w:rsid w:val="000B6D1F"/>
    <w:rsid w:val="000B7AF5"/>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1E2"/>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0F7E48"/>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14F"/>
    <w:rsid w:val="001302C1"/>
    <w:rsid w:val="001306D3"/>
    <w:rsid w:val="001310BF"/>
    <w:rsid w:val="00133E73"/>
    <w:rsid w:val="00133FDB"/>
    <w:rsid w:val="001340EA"/>
    <w:rsid w:val="00134F4A"/>
    <w:rsid w:val="00135E4E"/>
    <w:rsid w:val="00136246"/>
    <w:rsid w:val="001364D4"/>
    <w:rsid w:val="001371C8"/>
    <w:rsid w:val="001372ED"/>
    <w:rsid w:val="001424B0"/>
    <w:rsid w:val="00142B50"/>
    <w:rsid w:val="00143873"/>
    <w:rsid w:val="001439E9"/>
    <w:rsid w:val="00143C55"/>
    <w:rsid w:val="00144A06"/>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7E0"/>
    <w:rsid w:val="00161B24"/>
    <w:rsid w:val="00161C05"/>
    <w:rsid w:val="00161C41"/>
    <w:rsid w:val="00161DD5"/>
    <w:rsid w:val="001633A4"/>
    <w:rsid w:val="001634D6"/>
    <w:rsid w:val="001648DD"/>
    <w:rsid w:val="00164C97"/>
    <w:rsid w:val="00165705"/>
    <w:rsid w:val="00166389"/>
    <w:rsid w:val="00166E03"/>
    <w:rsid w:val="00167E4C"/>
    <w:rsid w:val="001709F0"/>
    <w:rsid w:val="001711EC"/>
    <w:rsid w:val="00171449"/>
    <w:rsid w:val="0017199C"/>
    <w:rsid w:val="00171C7E"/>
    <w:rsid w:val="00171F35"/>
    <w:rsid w:val="00172552"/>
    <w:rsid w:val="00172873"/>
    <w:rsid w:val="00172CF7"/>
    <w:rsid w:val="0017319E"/>
    <w:rsid w:val="00173935"/>
    <w:rsid w:val="00173A1F"/>
    <w:rsid w:val="00173B4F"/>
    <w:rsid w:val="00173BC3"/>
    <w:rsid w:val="00174128"/>
    <w:rsid w:val="00175646"/>
    <w:rsid w:val="00175C34"/>
    <w:rsid w:val="00175F9A"/>
    <w:rsid w:val="00176E98"/>
    <w:rsid w:val="00177996"/>
    <w:rsid w:val="00180B3F"/>
    <w:rsid w:val="00180C83"/>
    <w:rsid w:val="00180CE5"/>
    <w:rsid w:val="0018175B"/>
    <w:rsid w:val="001820A3"/>
    <w:rsid w:val="0018332A"/>
    <w:rsid w:val="00183D80"/>
    <w:rsid w:val="001842C8"/>
    <w:rsid w:val="0018488C"/>
    <w:rsid w:val="00184E29"/>
    <w:rsid w:val="00185044"/>
    <w:rsid w:val="001850DB"/>
    <w:rsid w:val="0018599C"/>
    <w:rsid w:val="001869EE"/>
    <w:rsid w:val="00186D00"/>
    <w:rsid w:val="0018743A"/>
    <w:rsid w:val="00187666"/>
    <w:rsid w:val="00190A57"/>
    <w:rsid w:val="00190B3F"/>
    <w:rsid w:val="0019122C"/>
    <w:rsid w:val="00191908"/>
    <w:rsid w:val="00192AB8"/>
    <w:rsid w:val="00192DF3"/>
    <w:rsid w:val="0019301F"/>
    <w:rsid w:val="00193286"/>
    <w:rsid w:val="00193545"/>
    <w:rsid w:val="001937B8"/>
    <w:rsid w:val="00194BB7"/>
    <w:rsid w:val="00194CC5"/>
    <w:rsid w:val="001951B2"/>
    <w:rsid w:val="00197564"/>
    <w:rsid w:val="00197EC2"/>
    <w:rsid w:val="00197ECE"/>
    <w:rsid w:val="001A0DEC"/>
    <w:rsid w:val="001A1CED"/>
    <w:rsid w:val="001A279B"/>
    <w:rsid w:val="001A29BD"/>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4FC8"/>
    <w:rsid w:val="001B5AF9"/>
    <w:rsid w:val="001B5F8F"/>
    <w:rsid w:val="001B6600"/>
    <w:rsid w:val="001B6B9B"/>
    <w:rsid w:val="001B6C27"/>
    <w:rsid w:val="001B7144"/>
    <w:rsid w:val="001B7E91"/>
    <w:rsid w:val="001C147E"/>
    <w:rsid w:val="001C151B"/>
    <w:rsid w:val="001C19E5"/>
    <w:rsid w:val="001C3800"/>
    <w:rsid w:val="001C3C7B"/>
    <w:rsid w:val="001C5E55"/>
    <w:rsid w:val="001C6122"/>
    <w:rsid w:val="001C6587"/>
    <w:rsid w:val="001C69BE"/>
    <w:rsid w:val="001C6C30"/>
    <w:rsid w:val="001C6DB5"/>
    <w:rsid w:val="001C71AC"/>
    <w:rsid w:val="001C7316"/>
    <w:rsid w:val="001C7E5C"/>
    <w:rsid w:val="001D00CC"/>
    <w:rsid w:val="001D03F8"/>
    <w:rsid w:val="001D042F"/>
    <w:rsid w:val="001D0494"/>
    <w:rsid w:val="001D07B7"/>
    <w:rsid w:val="001D1719"/>
    <w:rsid w:val="001D171B"/>
    <w:rsid w:val="001D1732"/>
    <w:rsid w:val="001D1E2E"/>
    <w:rsid w:val="001D2203"/>
    <w:rsid w:val="001D255C"/>
    <w:rsid w:val="001D2DEF"/>
    <w:rsid w:val="001D30BB"/>
    <w:rsid w:val="001D488C"/>
    <w:rsid w:val="001D4CDF"/>
    <w:rsid w:val="001D4F88"/>
    <w:rsid w:val="001D5551"/>
    <w:rsid w:val="001D578D"/>
    <w:rsid w:val="001D5818"/>
    <w:rsid w:val="001D653A"/>
    <w:rsid w:val="001D7DEE"/>
    <w:rsid w:val="001E0219"/>
    <w:rsid w:val="001E02CB"/>
    <w:rsid w:val="001E14FD"/>
    <w:rsid w:val="001E180F"/>
    <w:rsid w:val="001E19C1"/>
    <w:rsid w:val="001E1C64"/>
    <w:rsid w:val="001E1CEC"/>
    <w:rsid w:val="001E2ECB"/>
    <w:rsid w:val="001E4B64"/>
    <w:rsid w:val="001E552A"/>
    <w:rsid w:val="001E57B9"/>
    <w:rsid w:val="001E5CD5"/>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232"/>
    <w:rsid w:val="00202517"/>
    <w:rsid w:val="00202ADB"/>
    <w:rsid w:val="00202BB7"/>
    <w:rsid w:val="00202C42"/>
    <w:rsid w:val="0020435B"/>
    <w:rsid w:val="00204533"/>
    <w:rsid w:val="00205566"/>
    <w:rsid w:val="00205B87"/>
    <w:rsid w:val="002063AA"/>
    <w:rsid w:val="00210549"/>
    <w:rsid w:val="0021069E"/>
    <w:rsid w:val="00210804"/>
    <w:rsid w:val="0021088F"/>
    <w:rsid w:val="00210EF0"/>
    <w:rsid w:val="002113FE"/>
    <w:rsid w:val="00211737"/>
    <w:rsid w:val="0021181B"/>
    <w:rsid w:val="0021230F"/>
    <w:rsid w:val="002125B0"/>
    <w:rsid w:val="00212A82"/>
    <w:rsid w:val="00214EA2"/>
    <w:rsid w:val="002160FA"/>
    <w:rsid w:val="002166DD"/>
    <w:rsid w:val="002168A2"/>
    <w:rsid w:val="00217867"/>
    <w:rsid w:val="002178F3"/>
    <w:rsid w:val="00217AE1"/>
    <w:rsid w:val="00217E0A"/>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867"/>
    <w:rsid w:val="00227BEE"/>
    <w:rsid w:val="00227FB4"/>
    <w:rsid w:val="0023057E"/>
    <w:rsid w:val="002312BC"/>
    <w:rsid w:val="002323B2"/>
    <w:rsid w:val="002326DF"/>
    <w:rsid w:val="002337E5"/>
    <w:rsid w:val="00233C06"/>
    <w:rsid w:val="00233F24"/>
    <w:rsid w:val="00234833"/>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319"/>
    <w:rsid w:val="00262D20"/>
    <w:rsid w:val="002634AB"/>
    <w:rsid w:val="002638E0"/>
    <w:rsid w:val="00263C19"/>
    <w:rsid w:val="00263E9F"/>
    <w:rsid w:val="00264F03"/>
    <w:rsid w:val="00264F8F"/>
    <w:rsid w:val="002650F0"/>
    <w:rsid w:val="002655AE"/>
    <w:rsid w:val="00265608"/>
    <w:rsid w:val="0026591F"/>
    <w:rsid w:val="00265A65"/>
    <w:rsid w:val="002660F0"/>
    <w:rsid w:val="002675B6"/>
    <w:rsid w:val="00267A99"/>
    <w:rsid w:val="00270271"/>
    <w:rsid w:val="0027154F"/>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65A"/>
    <w:rsid w:val="0028092D"/>
    <w:rsid w:val="002815D9"/>
    <w:rsid w:val="00282317"/>
    <w:rsid w:val="00282D25"/>
    <w:rsid w:val="00282DF9"/>
    <w:rsid w:val="00283A44"/>
    <w:rsid w:val="0028529F"/>
    <w:rsid w:val="00285687"/>
    <w:rsid w:val="00286E3D"/>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1A8"/>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3D4"/>
    <w:rsid w:val="002B3D2D"/>
    <w:rsid w:val="002B3ED7"/>
    <w:rsid w:val="002B4778"/>
    <w:rsid w:val="002B75B2"/>
    <w:rsid w:val="002B79B7"/>
    <w:rsid w:val="002C141D"/>
    <w:rsid w:val="002C17DB"/>
    <w:rsid w:val="002C19C0"/>
    <w:rsid w:val="002C2485"/>
    <w:rsid w:val="002C25E0"/>
    <w:rsid w:val="002C2A2D"/>
    <w:rsid w:val="002C36C0"/>
    <w:rsid w:val="002C3928"/>
    <w:rsid w:val="002C3B33"/>
    <w:rsid w:val="002C435E"/>
    <w:rsid w:val="002C43BB"/>
    <w:rsid w:val="002C44AB"/>
    <w:rsid w:val="002C57FB"/>
    <w:rsid w:val="002C5E39"/>
    <w:rsid w:val="002C5FA2"/>
    <w:rsid w:val="002C600B"/>
    <w:rsid w:val="002C7A02"/>
    <w:rsid w:val="002C7BD4"/>
    <w:rsid w:val="002D0107"/>
    <w:rsid w:val="002D0259"/>
    <w:rsid w:val="002D0461"/>
    <w:rsid w:val="002D062E"/>
    <w:rsid w:val="002D0857"/>
    <w:rsid w:val="002D0D43"/>
    <w:rsid w:val="002D15C2"/>
    <w:rsid w:val="002D2B10"/>
    <w:rsid w:val="002D36AC"/>
    <w:rsid w:val="002D386A"/>
    <w:rsid w:val="002D4100"/>
    <w:rsid w:val="002D44B3"/>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565"/>
    <w:rsid w:val="002E3B81"/>
    <w:rsid w:val="002E3D08"/>
    <w:rsid w:val="002E3E1D"/>
    <w:rsid w:val="002E3EEA"/>
    <w:rsid w:val="002E4D08"/>
    <w:rsid w:val="002E4DA5"/>
    <w:rsid w:val="002E52B8"/>
    <w:rsid w:val="002E5DBF"/>
    <w:rsid w:val="002E5E01"/>
    <w:rsid w:val="002E60F5"/>
    <w:rsid w:val="002E6519"/>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49"/>
    <w:rsid w:val="003031C2"/>
    <w:rsid w:val="00303861"/>
    <w:rsid w:val="00304FFF"/>
    <w:rsid w:val="00305138"/>
    <w:rsid w:val="00305557"/>
    <w:rsid w:val="0030561F"/>
    <w:rsid w:val="00305CA3"/>
    <w:rsid w:val="00306E5C"/>
    <w:rsid w:val="00307C19"/>
    <w:rsid w:val="00310732"/>
    <w:rsid w:val="00310BC9"/>
    <w:rsid w:val="003116B3"/>
    <w:rsid w:val="00311762"/>
    <w:rsid w:val="00311E98"/>
    <w:rsid w:val="00312215"/>
    <w:rsid w:val="0031249C"/>
    <w:rsid w:val="003125C3"/>
    <w:rsid w:val="00312896"/>
    <w:rsid w:val="00313EAC"/>
    <w:rsid w:val="003142F4"/>
    <w:rsid w:val="0031454E"/>
    <w:rsid w:val="0031611F"/>
    <w:rsid w:val="00317A33"/>
    <w:rsid w:val="00320339"/>
    <w:rsid w:val="00320369"/>
    <w:rsid w:val="00321214"/>
    <w:rsid w:val="003213D5"/>
    <w:rsid w:val="003232EF"/>
    <w:rsid w:val="00323737"/>
    <w:rsid w:val="00323AD6"/>
    <w:rsid w:val="00323F27"/>
    <w:rsid w:val="003242EF"/>
    <w:rsid w:val="00325339"/>
    <w:rsid w:val="003255AA"/>
    <w:rsid w:val="003257A6"/>
    <w:rsid w:val="003314B6"/>
    <w:rsid w:val="00331A20"/>
    <w:rsid w:val="00331E65"/>
    <w:rsid w:val="00333107"/>
    <w:rsid w:val="0033343B"/>
    <w:rsid w:val="0033393C"/>
    <w:rsid w:val="00334BB5"/>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5411"/>
    <w:rsid w:val="00346035"/>
    <w:rsid w:val="00346631"/>
    <w:rsid w:val="00346AAD"/>
    <w:rsid w:val="00346D96"/>
    <w:rsid w:val="0034736A"/>
    <w:rsid w:val="0034747C"/>
    <w:rsid w:val="00347B6C"/>
    <w:rsid w:val="003508F7"/>
    <w:rsid w:val="0035151C"/>
    <w:rsid w:val="00352254"/>
    <w:rsid w:val="003522A3"/>
    <w:rsid w:val="00353929"/>
    <w:rsid w:val="00353F9E"/>
    <w:rsid w:val="003540D1"/>
    <w:rsid w:val="003545BF"/>
    <w:rsid w:val="0035495E"/>
    <w:rsid w:val="0035586A"/>
    <w:rsid w:val="0035611A"/>
    <w:rsid w:val="00356C3D"/>
    <w:rsid w:val="00360B75"/>
    <w:rsid w:val="0036151C"/>
    <w:rsid w:val="00361A9B"/>
    <w:rsid w:val="00362CCF"/>
    <w:rsid w:val="003631DB"/>
    <w:rsid w:val="00363BBE"/>
    <w:rsid w:val="00364524"/>
    <w:rsid w:val="0036513A"/>
    <w:rsid w:val="00365237"/>
    <w:rsid w:val="0036559C"/>
    <w:rsid w:val="0036587E"/>
    <w:rsid w:val="003660CD"/>
    <w:rsid w:val="00366B08"/>
    <w:rsid w:val="00367496"/>
    <w:rsid w:val="003678BE"/>
    <w:rsid w:val="003700F8"/>
    <w:rsid w:val="00370949"/>
    <w:rsid w:val="00370B22"/>
    <w:rsid w:val="0037243B"/>
    <w:rsid w:val="0037251C"/>
    <w:rsid w:val="0037272C"/>
    <w:rsid w:val="00372B9A"/>
    <w:rsid w:val="003731BF"/>
    <w:rsid w:val="00374A7F"/>
    <w:rsid w:val="00375791"/>
    <w:rsid w:val="00375826"/>
    <w:rsid w:val="00375994"/>
    <w:rsid w:val="00375C59"/>
    <w:rsid w:val="00375E05"/>
    <w:rsid w:val="00376BB7"/>
    <w:rsid w:val="00376EEE"/>
    <w:rsid w:val="00377BA1"/>
    <w:rsid w:val="00377FF0"/>
    <w:rsid w:val="0038049E"/>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AD8"/>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AC0"/>
    <w:rsid w:val="003A61B6"/>
    <w:rsid w:val="003A623F"/>
    <w:rsid w:val="003A71AD"/>
    <w:rsid w:val="003A7D1D"/>
    <w:rsid w:val="003B0FB0"/>
    <w:rsid w:val="003B1688"/>
    <w:rsid w:val="003B1DC2"/>
    <w:rsid w:val="003B1FA4"/>
    <w:rsid w:val="003B1FE6"/>
    <w:rsid w:val="003B3106"/>
    <w:rsid w:val="003B3974"/>
    <w:rsid w:val="003B39E0"/>
    <w:rsid w:val="003B3DAB"/>
    <w:rsid w:val="003B404D"/>
    <w:rsid w:val="003B4CDA"/>
    <w:rsid w:val="003B4F2D"/>
    <w:rsid w:val="003B5BD9"/>
    <w:rsid w:val="003B64A3"/>
    <w:rsid w:val="003B6DB8"/>
    <w:rsid w:val="003B72B9"/>
    <w:rsid w:val="003B785F"/>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09"/>
    <w:rsid w:val="003D18CC"/>
    <w:rsid w:val="003D34C0"/>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D2C"/>
    <w:rsid w:val="003E4E74"/>
    <w:rsid w:val="003E5F7D"/>
    <w:rsid w:val="003E6520"/>
    <w:rsid w:val="003E67E7"/>
    <w:rsid w:val="003E6B3C"/>
    <w:rsid w:val="003E6B95"/>
    <w:rsid w:val="003E70FF"/>
    <w:rsid w:val="003E7242"/>
    <w:rsid w:val="003E7F1B"/>
    <w:rsid w:val="003F0B41"/>
    <w:rsid w:val="003F1E39"/>
    <w:rsid w:val="003F229D"/>
    <w:rsid w:val="003F25F0"/>
    <w:rsid w:val="003F2D5B"/>
    <w:rsid w:val="003F44C4"/>
    <w:rsid w:val="003F5AD2"/>
    <w:rsid w:val="003F5CA4"/>
    <w:rsid w:val="003F61B0"/>
    <w:rsid w:val="003F6481"/>
    <w:rsid w:val="003F6D50"/>
    <w:rsid w:val="003F7006"/>
    <w:rsid w:val="003F7507"/>
    <w:rsid w:val="003F7C72"/>
    <w:rsid w:val="003F7D10"/>
    <w:rsid w:val="00401000"/>
    <w:rsid w:val="004016C6"/>
    <w:rsid w:val="0040179A"/>
    <w:rsid w:val="00401856"/>
    <w:rsid w:val="004028A2"/>
    <w:rsid w:val="00402FEB"/>
    <w:rsid w:val="00403344"/>
    <w:rsid w:val="00403C82"/>
    <w:rsid w:val="00404B2A"/>
    <w:rsid w:val="00404C44"/>
    <w:rsid w:val="00404EE8"/>
    <w:rsid w:val="0040510D"/>
    <w:rsid w:val="0040512D"/>
    <w:rsid w:val="0040602F"/>
    <w:rsid w:val="00406AFB"/>
    <w:rsid w:val="00407382"/>
    <w:rsid w:val="0040791B"/>
    <w:rsid w:val="00411958"/>
    <w:rsid w:val="00411B2A"/>
    <w:rsid w:val="00411D44"/>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88"/>
    <w:rsid w:val="00423BC9"/>
    <w:rsid w:val="00424385"/>
    <w:rsid w:val="004255B4"/>
    <w:rsid w:val="0042642F"/>
    <w:rsid w:val="00426766"/>
    <w:rsid w:val="004267D0"/>
    <w:rsid w:val="00426C89"/>
    <w:rsid w:val="004279CA"/>
    <w:rsid w:val="00427A82"/>
    <w:rsid w:val="00427EA2"/>
    <w:rsid w:val="00430115"/>
    <w:rsid w:val="00430A4B"/>
    <w:rsid w:val="00431C46"/>
    <w:rsid w:val="00431F74"/>
    <w:rsid w:val="004327E6"/>
    <w:rsid w:val="004329DC"/>
    <w:rsid w:val="00432AC6"/>
    <w:rsid w:val="0043435F"/>
    <w:rsid w:val="00434C5E"/>
    <w:rsid w:val="004356AE"/>
    <w:rsid w:val="00435765"/>
    <w:rsid w:val="004360B6"/>
    <w:rsid w:val="004362E5"/>
    <w:rsid w:val="00436356"/>
    <w:rsid w:val="00440722"/>
    <w:rsid w:val="004425D9"/>
    <w:rsid w:val="00442623"/>
    <w:rsid w:val="00443143"/>
    <w:rsid w:val="00443244"/>
    <w:rsid w:val="00444AF6"/>
    <w:rsid w:val="0044519D"/>
    <w:rsid w:val="00445544"/>
    <w:rsid w:val="00445C0B"/>
    <w:rsid w:val="00446195"/>
    <w:rsid w:val="004463F4"/>
    <w:rsid w:val="00447CD0"/>
    <w:rsid w:val="00447FC2"/>
    <w:rsid w:val="004502F4"/>
    <w:rsid w:val="004506F4"/>
    <w:rsid w:val="004509D1"/>
    <w:rsid w:val="00450A42"/>
    <w:rsid w:val="004513A5"/>
    <w:rsid w:val="00451D50"/>
    <w:rsid w:val="00452EC4"/>
    <w:rsid w:val="00453340"/>
    <w:rsid w:val="0045363D"/>
    <w:rsid w:val="00453775"/>
    <w:rsid w:val="00453890"/>
    <w:rsid w:val="00454380"/>
    <w:rsid w:val="0045470C"/>
    <w:rsid w:val="00454D5D"/>
    <w:rsid w:val="004552C8"/>
    <w:rsid w:val="0045536C"/>
    <w:rsid w:val="00455A07"/>
    <w:rsid w:val="00455AEB"/>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263D"/>
    <w:rsid w:val="00463944"/>
    <w:rsid w:val="0046512A"/>
    <w:rsid w:val="00465234"/>
    <w:rsid w:val="00465AB6"/>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495F"/>
    <w:rsid w:val="00485C26"/>
    <w:rsid w:val="00485EC0"/>
    <w:rsid w:val="00486B5B"/>
    <w:rsid w:val="0048732F"/>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743"/>
    <w:rsid w:val="004C1B7D"/>
    <w:rsid w:val="004C1E3C"/>
    <w:rsid w:val="004C25F0"/>
    <w:rsid w:val="004C26DD"/>
    <w:rsid w:val="004C2B5D"/>
    <w:rsid w:val="004C2D68"/>
    <w:rsid w:val="004C2F56"/>
    <w:rsid w:val="004C339D"/>
    <w:rsid w:val="004C33E8"/>
    <w:rsid w:val="004C3B11"/>
    <w:rsid w:val="004C4307"/>
    <w:rsid w:val="004C4309"/>
    <w:rsid w:val="004C49E3"/>
    <w:rsid w:val="004C4E8A"/>
    <w:rsid w:val="004C514A"/>
    <w:rsid w:val="004C6343"/>
    <w:rsid w:val="004C6572"/>
    <w:rsid w:val="004C6D4F"/>
    <w:rsid w:val="004C7541"/>
    <w:rsid w:val="004D1E71"/>
    <w:rsid w:val="004D2CDF"/>
    <w:rsid w:val="004D33CE"/>
    <w:rsid w:val="004D61A6"/>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0BD"/>
    <w:rsid w:val="004E684C"/>
    <w:rsid w:val="004E6FF1"/>
    <w:rsid w:val="004E76DB"/>
    <w:rsid w:val="004F1F90"/>
    <w:rsid w:val="004F2401"/>
    <w:rsid w:val="004F2A44"/>
    <w:rsid w:val="004F2DAD"/>
    <w:rsid w:val="004F34F7"/>
    <w:rsid w:val="004F55D6"/>
    <w:rsid w:val="004F565A"/>
    <w:rsid w:val="004F571B"/>
    <w:rsid w:val="004F64EB"/>
    <w:rsid w:val="004F6CCF"/>
    <w:rsid w:val="004F7760"/>
    <w:rsid w:val="004F7A74"/>
    <w:rsid w:val="00500250"/>
    <w:rsid w:val="00500264"/>
    <w:rsid w:val="00500824"/>
    <w:rsid w:val="00500DAB"/>
    <w:rsid w:val="00501144"/>
    <w:rsid w:val="005013EF"/>
    <w:rsid w:val="005019E0"/>
    <w:rsid w:val="0050211F"/>
    <w:rsid w:val="005022E7"/>
    <w:rsid w:val="00502A93"/>
    <w:rsid w:val="00505196"/>
    <w:rsid w:val="00506083"/>
    <w:rsid w:val="00506B86"/>
    <w:rsid w:val="00506EEC"/>
    <w:rsid w:val="00506FD4"/>
    <w:rsid w:val="005107FF"/>
    <w:rsid w:val="00510CBC"/>
    <w:rsid w:val="0051102D"/>
    <w:rsid w:val="005112A5"/>
    <w:rsid w:val="00511F48"/>
    <w:rsid w:val="00512448"/>
    <w:rsid w:val="0051253A"/>
    <w:rsid w:val="0051266C"/>
    <w:rsid w:val="005130DB"/>
    <w:rsid w:val="00513B72"/>
    <w:rsid w:val="005140E3"/>
    <w:rsid w:val="00515277"/>
    <w:rsid w:val="005158C2"/>
    <w:rsid w:val="005169DE"/>
    <w:rsid w:val="0051785D"/>
    <w:rsid w:val="00517913"/>
    <w:rsid w:val="0052005F"/>
    <w:rsid w:val="00520200"/>
    <w:rsid w:val="00520BAB"/>
    <w:rsid w:val="00520E2D"/>
    <w:rsid w:val="00520F04"/>
    <w:rsid w:val="00521099"/>
    <w:rsid w:val="00521717"/>
    <w:rsid w:val="005224B2"/>
    <w:rsid w:val="005237F3"/>
    <w:rsid w:val="00523B23"/>
    <w:rsid w:val="00523DFA"/>
    <w:rsid w:val="005243E2"/>
    <w:rsid w:val="005254BC"/>
    <w:rsid w:val="005256FC"/>
    <w:rsid w:val="00526C27"/>
    <w:rsid w:val="00526DFF"/>
    <w:rsid w:val="00527473"/>
    <w:rsid w:val="00527EF9"/>
    <w:rsid w:val="005305FF"/>
    <w:rsid w:val="00530C9B"/>
    <w:rsid w:val="00532334"/>
    <w:rsid w:val="005324AF"/>
    <w:rsid w:val="0053402C"/>
    <w:rsid w:val="00534090"/>
    <w:rsid w:val="00534A73"/>
    <w:rsid w:val="00534ABA"/>
    <w:rsid w:val="00535FFF"/>
    <w:rsid w:val="0053616F"/>
    <w:rsid w:val="005368AD"/>
    <w:rsid w:val="005370BC"/>
    <w:rsid w:val="00537B35"/>
    <w:rsid w:val="00537DE7"/>
    <w:rsid w:val="00537EC4"/>
    <w:rsid w:val="00537FE4"/>
    <w:rsid w:val="0054027D"/>
    <w:rsid w:val="00541222"/>
    <w:rsid w:val="00541A8D"/>
    <w:rsid w:val="00541AE3"/>
    <w:rsid w:val="00544DA0"/>
    <w:rsid w:val="005454BD"/>
    <w:rsid w:val="005457E4"/>
    <w:rsid w:val="00545FD1"/>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4DEF"/>
    <w:rsid w:val="00565406"/>
    <w:rsid w:val="00565570"/>
    <w:rsid w:val="005657DD"/>
    <w:rsid w:val="00565B29"/>
    <w:rsid w:val="005664CC"/>
    <w:rsid w:val="0056664B"/>
    <w:rsid w:val="00567588"/>
    <w:rsid w:val="00567992"/>
    <w:rsid w:val="00567C3C"/>
    <w:rsid w:val="005702F8"/>
    <w:rsid w:val="00571231"/>
    <w:rsid w:val="00571767"/>
    <w:rsid w:val="00571E44"/>
    <w:rsid w:val="0057287E"/>
    <w:rsid w:val="00573E61"/>
    <w:rsid w:val="0057411B"/>
    <w:rsid w:val="00574525"/>
    <w:rsid w:val="00574778"/>
    <w:rsid w:val="0057498F"/>
    <w:rsid w:val="00574DE9"/>
    <w:rsid w:val="00575DF4"/>
    <w:rsid w:val="0057765D"/>
    <w:rsid w:val="005777FC"/>
    <w:rsid w:val="005808EB"/>
    <w:rsid w:val="00580D37"/>
    <w:rsid w:val="00581FA0"/>
    <w:rsid w:val="00582B90"/>
    <w:rsid w:val="00582F50"/>
    <w:rsid w:val="00583321"/>
    <w:rsid w:val="0058341E"/>
    <w:rsid w:val="00584F3A"/>
    <w:rsid w:val="005853AB"/>
    <w:rsid w:val="00585748"/>
    <w:rsid w:val="005859C5"/>
    <w:rsid w:val="00585C79"/>
    <w:rsid w:val="00586144"/>
    <w:rsid w:val="00586360"/>
    <w:rsid w:val="00587785"/>
    <w:rsid w:val="0058788D"/>
    <w:rsid w:val="00587E29"/>
    <w:rsid w:val="00587FE6"/>
    <w:rsid w:val="00591698"/>
    <w:rsid w:val="0059188C"/>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0AB0"/>
    <w:rsid w:val="005A114F"/>
    <w:rsid w:val="005A1F49"/>
    <w:rsid w:val="005A2364"/>
    <w:rsid w:val="005A2480"/>
    <w:rsid w:val="005A2B2C"/>
    <w:rsid w:val="005A2D6B"/>
    <w:rsid w:val="005A3252"/>
    <w:rsid w:val="005A33F7"/>
    <w:rsid w:val="005A3828"/>
    <w:rsid w:val="005A40CF"/>
    <w:rsid w:val="005A4A9C"/>
    <w:rsid w:val="005A4BAE"/>
    <w:rsid w:val="005A574D"/>
    <w:rsid w:val="005A5B5C"/>
    <w:rsid w:val="005A681E"/>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000"/>
    <w:rsid w:val="005C1615"/>
    <w:rsid w:val="005C1D98"/>
    <w:rsid w:val="005C1DA5"/>
    <w:rsid w:val="005C2559"/>
    <w:rsid w:val="005C2873"/>
    <w:rsid w:val="005C34FC"/>
    <w:rsid w:val="005C3B5C"/>
    <w:rsid w:val="005C3C7F"/>
    <w:rsid w:val="005C5143"/>
    <w:rsid w:val="005C5639"/>
    <w:rsid w:val="005C5742"/>
    <w:rsid w:val="005C7E9E"/>
    <w:rsid w:val="005D18C9"/>
    <w:rsid w:val="005D1B72"/>
    <w:rsid w:val="005D2471"/>
    <w:rsid w:val="005D2779"/>
    <w:rsid w:val="005D610C"/>
    <w:rsid w:val="005D74E7"/>
    <w:rsid w:val="005D7F7B"/>
    <w:rsid w:val="005E0623"/>
    <w:rsid w:val="005E0833"/>
    <w:rsid w:val="005E37DD"/>
    <w:rsid w:val="005E3BCD"/>
    <w:rsid w:val="005E4A87"/>
    <w:rsid w:val="005E4D35"/>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68EB"/>
    <w:rsid w:val="005F6E72"/>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939"/>
    <w:rsid w:val="00621EC5"/>
    <w:rsid w:val="006223E0"/>
    <w:rsid w:val="006224D0"/>
    <w:rsid w:val="00622BCE"/>
    <w:rsid w:val="00622E29"/>
    <w:rsid w:val="00623643"/>
    <w:rsid w:val="00624018"/>
    <w:rsid w:val="006240C4"/>
    <w:rsid w:val="00625090"/>
    <w:rsid w:val="00625304"/>
    <w:rsid w:val="0062581B"/>
    <w:rsid w:val="006261F4"/>
    <w:rsid w:val="00630F11"/>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6F33"/>
    <w:rsid w:val="006400AB"/>
    <w:rsid w:val="006404D1"/>
    <w:rsid w:val="00640F43"/>
    <w:rsid w:val="006412CA"/>
    <w:rsid w:val="006420DA"/>
    <w:rsid w:val="00643AC1"/>
    <w:rsid w:val="00643D62"/>
    <w:rsid w:val="006441E2"/>
    <w:rsid w:val="00644A5E"/>
    <w:rsid w:val="00644A6C"/>
    <w:rsid w:val="00644D69"/>
    <w:rsid w:val="006457A8"/>
    <w:rsid w:val="00645EA0"/>
    <w:rsid w:val="00645F76"/>
    <w:rsid w:val="00646EB0"/>
    <w:rsid w:val="0064714D"/>
    <w:rsid w:val="0064727D"/>
    <w:rsid w:val="00647B32"/>
    <w:rsid w:val="00647C27"/>
    <w:rsid w:val="00650C56"/>
    <w:rsid w:val="006519E6"/>
    <w:rsid w:val="00651CDE"/>
    <w:rsid w:val="00652326"/>
    <w:rsid w:val="00652907"/>
    <w:rsid w:val="00652E06"/>
    <w:rsid w:val="00653FC4"/>
    <w:rsid w:val="00654F91"/>
    <w:rsid w:val="00655361"/>
    <w:rsid w:val="00655CCC"/>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A3C"/>
    <w:rsid w:val="00665C44"/>
    <w:rsid w:val="00666284"/>
    <w:rsid w:val="006667F3"/>
    <w:rsid w:val="00667AEA"/>
    <w:rsid w:val="006704FA"/>
    <w:rsid w:val="00670687"/>
    <w:rsid w:val="00670DC5"/>
    <w:rsid w:val="00671652"/>
    <w:rsid w:val="00671FAA"/>
    <w:rsid w:val="00675DA5"/>
    <w:rsid w:val="0068010F"/>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8D7"/>
    <w:rsid w:val="006848F9"/>
    <w:rsid w:val="00684BF8"/>
    <w:rsid w:val="00684D9B"/>
    <w:rsid w:val="00685BCF"/>
    <w:rsid w:val="006871D0"/>
    <w:rsid w:val="0068751F"/>
    <w:rsid w:val="006900D1"/>
    <w:rsid w:val="00690297"/>
    <w:rsid w:val="0069115A"/>
    <w:rsid w:val="006912F1"/>
    <w:rsid w:val="00691387"/>
    <w:rsid w:val="006927F2"/>
    <w:rsid w:val="006931E1"/>
    <w:rsid w:val="00693B59"/>
    <w:rsid w:val="00694310"/>
    <w:rsid w:val="00694700"/>
    <w:rsid w:val="00694803"/>
    <w:rsid w:val="00694CE8"/>
    <w:rsid w:val="00695463"/>
    <w:rsid w:val="0069569E"/>
    <w:rsid w:val="006956C6"/>
    <w:rsid w:val="00695D51"/>
    <w:rsid w:val="00696EE3"/>
    <w:rsid w:val="0069715D"/>
    <w:rsid w:val="00697392"/>
    <w:rsid w:val="006973E5"/>
    <w:rsid w:val="00697664"/>
    <w:rsid w:val="00697681"/>
    <w:rsid w:val="0069770C"/>
    <w:rsid w:val="00697F33"/>
    <w:rsid w:val="006A08F2"/>
    <w:rsid w:val="006A151A"/>
    <w:rsid w:val="006A1E62"/>
    <w:rsid w:val="006A2A12"/>
    <w:rsid w:val="006A2E9C"/>
    <w:rsid w:val="006A3206"/>
    <w:rsid w:val="006A35E0"/>
    <w:rsid w:val="006A377F"/>
    <w:rsid w:val="006A384A"/>
    <w:rsid w:val="006A3875"/>
    <w:rsid w:val="006A3D40"/>
    <w:rsid w:val="006A561D"/>
    <w:rsid w:val="006A5A0C"/>
    <w:rsid w:val="006A5BA0"/>
    <w:rsid w:val="006A5BB1"/>
    <w:rsid w:val="006A5F88"/>
    <w:rsid w:val="006A7D95"/>
    <w:rsid w:val="006B011E"/>
    <w:rsid w:val="006B120D"/>
    <w:rsid w:val="006B13C1"/>
    <w:rsid w:val="006B2CC7"/>
    <w:rsid w:val="006B3741"/>
    <w:rsid w:val="006B3AF9"/>
    <w:rsid w:val="006B44C5"/>
    <w:rsid w:val="006B46A9"/>
    <w:rsid w:val="006B555F"/>
    <w:rsid w:val="006B6242"/>
    <w:rsid w:val="006B6C7C"/>
    <w:rsid w:val="006B6EA4"/>
    <w:rsid w:val="006B77BB"/>
    <w:rsid w:val="006B7F8F"/>
    <w:rsid w:val="006B7FC5"/>
    <w:rsid w:val="006C0066"/>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04"/>
    <w:rsid w:val="006C78A6"/>
    <w:rsid w:val="006C7AB4"/>
    <w:rsid w:val="006D006B"/>
    <w:rsid w:val="006D0A23"/>
    <w:rsid w:val="006D105C"/>
    <w:rsid w:val="006D30E7"/>
    <w:rsid w:val="006D48E7"/>
    <w:rsid w:val="006D4947"/>
    <w:rsid w:val="006D5F16"/>
    <w:rsid w:val="006D63AD"/>
    <w:rsid w:val="006D6764"/>
    <w:rsid w:val="006D67D9"/>
    <w:rsid w:val="006D6C93"/>
    <w:rsid w:val="006D7573"/>
    <w:rsid w:val="006D7723"/>
    <w:rsid w:val="006E0340"/>
    <w:rsid w:val="006E06F9"/>
    <w:rsid w:val="006E07A9"/>
    <w:rsid w:val="006E0D91"/>
    <w:rsid w:val="006E1706"/>
    <w:rsid w:val="006E3CB2"/>
    <w:rsid w:val="006E3DA8"/>
    <w:rsid w:val="006E4FF3"/>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9FC"/>
    <w:rsid w:val="00702ED0"/>
    <w:rsid w:val="00703C09"/>
    <w:rsid w:val="0070434A"/>
    <w:rsid w:val="00704657"/>
    <w:rsid w:val="007048C4"/>
    <w:rsid w:val="00704CC4"/>
    <w:rsid w:val="00705345"/>
    <w:rsid w:val="0070638D"/>
    <w:rsid w:val="00706DBF"/>
    <w:rsid w:val="007073D0"/>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94B"/>
    <w:rsid w:val="00717B67"/>
    <w:rsid w:val="007206A2"/>
    <w:rsid w:val="00720B38"/>
    <w:rsid w:val="00720CA7"/>
    <w:rsid w:val="0072147B"/>
    <w:rsid w:val="0072181E"/>
    <w:rsid w:val="00722267"/>
    <w:rsid w:val="0072285E"/>
    <w:rsid w:val="00722C62"/>
    <w:rsid w:val="00722F09"/>
    <w:rsid w:val="0072321F"/>
    <w:rsid w:val="00723295"/>
    <w:rsid w:val="007238E2"/>
    <w:rsid w:val="007239B4"/>
    <w:rsid w:val="00723BAC"/>
    <w:rsid w:val="00724446"/>
    <w:rsid w:val="00724584"/>
    <w:rsid w:val="00724AA1"/>
    <w:rsid w:val="00724D39"/>
    <w:rsid w:val="00725A19"/>
    <w:rsid w:val="00726356"/>
    <w:rsid w:val="007268C7"/>
    <w:rsid w:val="00726AAB"/>
    <w:rsid w:val="00727077"/>
    <w:rsid w:val="007275C0"/>
    <w:rsid w:val="00730EA6"/>
    <w:rsid w:val="00731A2C"/>
    <w:rsid w:val="00731C15"/>
    <w:rsid w:val="00732045"/>
    <w:rsid w:val="007322A0"/>
    <w:rsid w:val="00732C1A"/>
    <w:rsid w:val="00733CDC"/>
    <w:rsid w:val="00734B9A"/>
    <w:rsid w:val="007350E0"/>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912"/>
    <w:rsid w:val="00747E47"/>
    <w:rsid w:val="00750192"/>
    <w:rsid w:val="007504E1"/>
    <w:rsid w:val="00750544"/>
    <w:rsid w:val="00750804"/>
    <w:rsid w:val="00751689"/>
    <w:rsid w:val="007524AA"/>
    <w:rsid w:val="00753521"/>
    <w:rsid w:val="00753744"/>
    <w:rsid w:val="00753A93"/>
    <w:rsid w:val="00755663"/>
    <w:rsid w:val="00756386"/>
    <w:rsid w:val="00756603"/>
    <w:rsid w:val="007575C0"/>
    <w:rsid w:val="00757D2F"/>
    <w:rsid w:val="0076000E"/>
    <w:rsid w:val="00760C00"/>
    <w:rsid w:val="007610E9"/>
    <w:rsid w:val="00761728"/>
    <w:rsid w:val="00761C6C"/>
    <w:rsid w:val="00762B72"/>
    <w:rsid w:val="00763C59"/>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4CFF"/>
    <w:rsid w:val="00775823"/>
    <w:rsid w:val="00775F57"/>
    <w:rsid w:val="00776584"/>
    <w:rsid w:val="007769EF"/>
    <w:rsid w:val="00776D4F"/>
    <w:rsid w:val="007770F9"/>
    <w:rsid w:val="00777179"/>
    <w:rsid w:val="00777945"/>
    <w:rsid w:val="00777D40"/>
    <w:rsid w:val="00780B8D"/>
    <w:rsid w:val="00780B8E"/>
    <w:rsid w:val="00781649"/>
    <w:rsid w:val="0078203E"/>
    <w:rsid w:val="0078254E"/>
    <w:rsid w:val="00782628"/>
    <w:rsid w:val="007826AB"/>
    <w:rsid w:val="007840E2"/>
    <w:rsid w:val="0078569F"/>
    <w:rsid w:val="00785803"/>
    <w:rsid w:val="00785EB4"/>
    <w:rsid w:val="0078609A"/>
    <w:rsid w:val="00786BEA"/>
    <w:rsid w:val="00786F85"/>
    <w:rsid w:val="0078731A"/>
    <w:rsid w:val="00787487"/>
    <w:rsid w:val="007906F1"/>
    <w:rsid w:val="00790EDA"/>
    <w:rsid w:val="00791349"/>
    <w:rsid w:val="00791D85"/>
    <w:rsid w:val="00791DAF"/>
    <w:rsid w:val="007924CA"/>
    <w:rsid w:val="0079266C"/>
    <w:rsid w:val="0079293A"/>
    <w:rsid w:val="00794CBF"/>
    <w:rsid w:val="00795365"/>
    <w:rsid w:val="0079567E"/>
    <w:rsid w:val="007961D5"/>
    <w:rsid w:val="00796A6F"/>
    <w:rsid w:val="00796C5D"/>
    <w:rsid w:val="00796F1A"/>
    <w:rsid w:val="00797B06"/>
    <w:rsid w:val="00797B90"/>
    <w:rsid w:val="00797B9C"/>
    <w:rsid w:val="007A0483"/>
    <w:rsid w:val="007A1065"/>
    <w:rsid w:val="007A121E"/>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1F5"/>
    <w:rsid w:val="007B1691"/>
    <w:rsid w:val="007B174F"/>
    <w:rsid w:val="007B1863"/>
    <w:rsid w:val="007B22E0"/>
    <w:rsid w:val="007B28CA"/>
    <w:rsid w:val="007B358D"/>
    <w:rsid w:val="007B5401"/>
    <w:rsid w:val="007B5FB4"/>
    <w:rsid w:val="007B6B2B"/>
    <w:rsid w:val="007B6D91"/>
    <w:rsid w:val="007B7949"/>
    <w:rsid w:val="007B7D30"/>
    <w:rsid w:val="007C0FA9"/>
    <w:rsid w:val="007C2413"/>
    <w:rsid w:val="007C2ADC"/>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6F27"/>
    <w:rsid w:val="007D7131"/>
    <w:rsid w:val="007D7BEC"/>
    <w:rsid w:val="007D7CE3"/>
    <w:rsid w:val="007E051A"/>
    <w:rsid w:val="007E0798"/>
    <w:rsid w:val="007E1B72"/>
    <w:rsid w:val="007E3EE3"/>
    <w:rsid w:val="007E57DE"/>
    <w:rsid w:val="007E5902"/>
    <w:rsid w:val="007E5B09"/>
    <w:rsid w:val="007E6719"/>
    <w:rsid w:val="007E68ED"/>
    <w:rsid w:val="007E69ED"/>
    <w:rsid w:val="007E7B2D"/>
    <w:rsid w:val="007F0221"/>
    <w:rsid w:val="007F034B"/>
    <w:rsid w:val="007F07B9"/>
    <w:rsid w:val="007F0928"/>
    <w:rsid w:val="007F14B0"/>
    <w:rsid w:val="007F1544"/>
    <w:rsid w:val="007F15CE"/>
    <w:rsid w:val="007F1CB1"/>
    <w:rsid w:val="007F1E88"/>
    <w:rsid w:val="007F2CD7"/>
    <w:rsid w:val="007F3568"/>
    <w:rsid w:val="007F422D"/>
    <w:rsid w:val="007F4DBA"/>
    <w:rsid w:val="007F519C"/>
    <w:rsid w:val="007F534D"/>
    <w:rsid w:val="007F54A2"/>
    <w:rsid w:val="007F54FE"/>
    <w:rsid w:val="007F5535"/>
    <w:rsid w:val="007F5D32"/>
    <w:rsid w:val="007F63A7"/>
    <w:rsid w:val="007F72DC"/>
    <w:rsid w:val="007F795F"/>
    <w:rsid w:val="0080069C"/>
    <w:rsid w:val="008006FD"/>
    <w:rsid w:val="0080148D"/>
    <w:rsid w:val="0080156B"/>
    <w:rsid w:val="00801A3A"/>
    <w:rsid w:val="00804114"/>
    <w:rsid w:val="00804634"/>
    <w:rsid w:val="008047E8"/>
    <w:rsid w:val="0080531E"/>
    <w:rsid w:val="00805C3D"/>
    <w:rsid w:val="00805F85"/>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6BC"/>
    <w:rsid w:val="0081498C"/>
    <w:rsid w:val="00814AE1"/>
    <w:rsid w:val="00815D31"/>
    <w:rsid w:val="0081601F"/>
    <w:rsid w:val="00816064"/>
    <w:rsid w:val="008174B2"/>
    <w:rsid w:val="00817CFF"/>
    <w:rsid w:val="0082000D"/>
    <w:rsid w:val="0082037E"/>
    <w:rsid w:val="00820C9C"/>
    <w:rsid w:val="00820EFA"/>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1F63"/>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98B"/>
    <w:rsid w:val="00857E88"/>
    <w:rsid w:val="00860DAE"/>
    <w:rsid w:val="008612DB"/>
    <w:rsid w:val="00861944"/>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2C84"/>
    <w:rsid w:val="008732D8"/>
    <w:rsid w:val="00873377"/>
    <w:rsid w:val="00873577"/>
    <w:rsid w:val="008739A2"/>
    <w:rsid w:val="0087409F"/>
    <w:rsid w:val="00874D2C"/>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77F"/>
    <w:rsid w:val="00890DBF"/>
    <w:rsid w:val="0089191C"/>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A60"/>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2D1"/>
    <w:rsid w:val="008B5715"/>
    <w:rsid w:val="008B5BC2"/>
    <w:rsid w:val="008B60BB"/>
    <w:rsid w:val="008B6732"/>
    <w:rsid w:val="008B68EC"/>
    <w:rsid w:val="008B711E"/>
    <w:rsid w:val="008B7889"/>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A18"/>
    <w:rsid w:val="008D1E7F"/>
    <w:rsid w:val="008D2367"/>
    <w:rsid w:val="008D427A"/>
    <w:rsid w:val="008D4DD5"/>
    <w:rsid w:val="008D5657"/>
    <w:rsid w:val="008D6752"/>
    <w:rsid w:val="008D69E7"/>
    <w:rsid w:val="008D6FC1"/>
    <w:rsid w:val="008E0140"/>
    <w:rsid w:val="008E0688"/>
    <w:rsid w:val="008E0BEF"/>
    <w:rsid w:val="008E1C5F"/>
    <w:rsid w:val="008E266D"/>
    <w:rsid w:val="008E2F0C"/>
    <w:rsid w:val="008E3E23"/>
    <w:rsid w:val="008E547B"/>
    <w:rsid w:val="008E5DF8"/>
    <w:rsid w:val="008F008B"/>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287"/>
    <w:rsid w:val="00900947"/>
    <w:rsid w:val="00900EB8"/>
    <w:rsid w:val="00900FBA"/>
    <w:rsid w:val="00902440"/>
    <w:rsid w:val="00902E5B"/>
    <w:rsid w:val="00903FD9"/>
    <w:rsid w:val="00904CF5"/>
    <w:rsid w:val="00905259"/>
    <w:rsid w:val="0090556C"/>
    <w:rsid w:val="00905633"/>
    <w:rsid w:val="00905EAE"/>
    <w:rsid w:val="009060C4"/>
    <w:rsid w:val="00906C91"/>
    <w:rsid w:val="00906C95"/>
    <w:rsid w:val="00907656"/>
    <w:rsid w:val="00907E47"/>
    <w:rsid w:val="00910AB9"/>
    <w:rsid w:val="009115EF"/>
    <w:rsid w:val="009116DD"/>
    <w:rsid w:val="00912D1C"/>
    <w:rsid w:val="00913019"/>
    <w:rsid w:val="00913F1E"/>
    <w:rsid w:val="00913FB2"/>
    <w:rsid w:val="009140C4"/>
    <w:rsid w:val="009144A9"/>
    <w:rsid w:val="0091468B"/>
    <w:rsid w:val="0091526F"/>
    <w:rsid w:val="009153D2"/>
    <w:rsid w:val="009161DC"/>
    <w:rsid w:val="00916286"/>
    <w:rsid w:val="00916595"/>
    <w:rsid w:val="00916C47"/>
    <w:rsid w:val="009171AD"/>
    <w:rsid w:val="00917569"/>
    <w:rsid w:val="00920174"/>
    <w:rsid w:val="009216E6"/>
    <w:rsid w:val="009219D2"/>
    <w:rsid w:val="00921A4E"/>
    <w:rsid w:val="00921E37"/>
    <w:rsid w:val="00922511"/>
    <w:rsid w:val="00922F07"/>
    <w:rsid w:val="00923463"/>
    <w:rsid w:val="00923B22"/>
    <w:rsid w:val="00925238"/>
    <w:rsid w:val="00925ACF"/>
    <w:rsid w:val="0092615D"/>
    <w:rsid w:val="00926546"/>
    <w:rsid w:val="009265A1"/>
    <w:rsid w:val="00927700"/>
    <w:rsid w:val="0093036E"/>
    <w:rsid w:val="00931224"/>
    <w:rsid w:val="00932513"/>
    <w:rsid w:val="009333D3"/>
    <w:rsid w:val="009339B6"/>
    <w:rsid w:val="00933B4C"/>
    <w:rsid w:val="00933DC4"/>
    <w:rsid w:val="0093431B"/>
    <w:rsid w:val="009344D2"/>
    <w:rsid w:val="009346D6"/>
    <w:rsid w:val="00934743"/>
    <w:rsid w:val="0093487E"/>
    <w:rsid w:val="00934FFE"/>
    <w:rsid w:val="00936405"/>
    <w:rsid w:val="00936B64"/>
    <w:rsid w:val="009378EF"/>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A5"/>
    <w:rsid w:val="009507C8"/>
    <w:rsid w:val="0095115E"/>
    <w:rsid w:val="0095118A"/>
    <w:rsid w:val="00952260"/>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29F"/>
    <w:rsid w:val="00966E4A"/>
    <w:rsid w:val="00967041"/>
    <w:rsid w:val="00970918"/>
    <w:rsid w:val="0097099E"/>
    <w:rsid w:val="00971761"/>
    <w:rsid w:val="0097216F"/>
    <w:rsid w:val="00972C3B"/>
    <w:rsid w:val="00973057"/>
    <w:rsid w:val="00973F0E"/>
    <w:rsid w:val="00974D50"/>
    <w:rsid w:val="009751AF"/>
    <w:rsid w:val="00975326"/>
    <w:rsid w:val="00975DEA"/>
    <w:rsid w:val="00975F65"/>
    <w:rsid w:val="0097736A"/>
    <w:rsid w:val="0097756D"/>
    <w:rsid w:val="00977CDF"/>
    <w:rsid w:val="0098043F"/>
    <w:rsid w:val="00981038"/>
    <w:rsid w:val="0098106E"/>
    <w:rsid w:val="00981511"/>
    <w:rsid w:val="00981D1C"/>
    <w:rsid w:val="00981E1C"/>
    <w:rsid w:val="00982118"/>
    <w:rsid w:val="00982C62"/>
    <w:rsid w:val="00982C91"/>
    <w:rsid w:val="00982F76"/>
    <w:rsid w:val="00982FA3"/>
    <w:rsid w:val="009840FD"/>
    <w:rsid w:val="009842CA"/>
    <w:rsid w:val="00984701"/>
    <w:rsid w:val="00984847"/>
    <w:rsid w:val="009849F4"/>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920"/>
    <w:rsid w:val="0099719E"/>
    <w:rsid w:val="009A0169"/>
    <w:rsid w:val="009A1B56"/>
    <w:rsid w:val="009A3C93"/>
    <w:rsid w:val="009A3FD0"/>
    <w:rsid w:val="009A4376"/>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120"/>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ED1"/>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B5D"/>
    <w:rsid w:val="009D7DE3"/>
    <w:rsid w:val="009E004A"/>
    <w:rsid w:val="009E066B"/>
    <w:rsid w:val="009E1515"/>
    <w:rsid w:val="009E1CFF"/>
    <w:rsid w:val="009E1FEE"/>
    <w:rsid w:val="009E23EA"/>
    <w:rsid w:val="009E2D24"/>
    <w:rsid w:val="009E2EA0"/>
    <w:rsid w:val="009E302B"/>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18A"/>
    <w:rsid w:val="009F4302"/>
    <w:rsid w:val="009F4393"/>
    <w:rsid w:val="009F4BE9"/>
    <w:rsid w:val="009F62D3"/>
    <w:rsid w:val="00A00112"/>
    <w:rsid w:val="00A008B5"/>
    <w:rsid w:val="00A01248"/>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AE4"/>
    <w:rsid w:val="00A1238C"/>
    <w:rsid w:val="00A1263D"/>
    <w:rsid w:val="00A12AF2"/>
    <w:rsid w:val="00A12D8A"/>
    <w:rsid w:val="00A12E6C"/>
    <w:rsid w:val="00A136D0"/>
    <w:rsid w:val="00A13D1A"/>
    <w:rsid w:val="00A14DC2"/>
    <w:rsid w:val="00A14DD6"/>
    <w:rsid w:val="00A153E8"/>
    <w:rsid w:val="00A15D5C"/>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3EE"/>
    <w:rsid w:val="00A3798C"/>
    <w:rsid w:val="00A37DD9"/>
    <w:rsid w:val="00A40ED7"/>
    <w:rsid w:val="00A40F83"/>
    <w:rsid w:val="00A412BA"/>
    <w:rsid w:val="00A41416"/>
    <w:rsid w:val="00A41B97"/>
    <w:rsid w:val="00A4200D"/>
    <w:rsid w:val="00A424BF"/>
    <w:rsid w:val="00A4258E"/>
    <w:rsid w:val="00A43004"/>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5A6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5BD6"/>
    <w:rsid w:val="00A86406"/>
    <w:rsid w:val="00A86853"/>
    <w:rsid w:val="00A86B75"/>
    <w:rsid w:val="00A86E75"/>
    <w:rsid w:val="00A86F33"/>
    <w:rsid w:val="00A90005"/>
    <w:rsid w:val="00A90318"/>
    <w:rsid w:val="00A9065F"/>
    <w:rsid w:val="00A90B0E"/>
    <w:rsid w:val="00A91AA1"/>
    <w:rsid w:val="00A91C8C"/>
    <w:rsid w:val="00A91F0D"/>
    <w:rsid w:val="00A9235A"/>
    <w:rsid w:val="00A92FF7"/>
    <w:rsid w:val="00A93069"/>
    <w:rsid w:val="00A9468F"/>
    <w:rsid w:val="00A9498D"/>
    <w:rsid w:val="00A94F01"/>
    <w:rsid w:val="00A95335"/>
    <w:rsid w:val="00A9566B"/>
    <w:rsid w:val="00A9657F"/>
    <w:rsid w:val="00A9797D"/>
    <w:rsid w:val="00AA015F"/>
    <w:rsid w:val="00AA0C3A"/>
    <w:rsid w:val="00AA1723"/>
    <w:rsid w:val="00AA190D"/>
    <w:rsid w:val="00AA1FDD"/>
    <w:rsid w:val="00AA20EA"/>
    <w:rsid w:val="00AA22C3"/>
    <w:rsid w:val="00AA230D"/>
    <w:rsid w:val="00AA4941"/>
    <w:rsid w:val="00AA49E9"/>
    <w:rsid w:val="00AA5475"/>
    <w:rsid w:val="00AA5876"/>
    <w:rsid w:val="00AA6A06"/>
    <w:rsid w:val="00AA6A8A"/>
    <w:rsid w:val="00AA6DD8"/>
    <w:rsid w:val="00AA6FA3"/>
    <w:rsid w:val="00AA70BB"/>
    <w:rsid w:val="00AA757C"/>
    <w:rsid w:val="00AA7F10"/>
    <w:rsid w:val="00AB0391"/>
    <w:rsid w:val="00AB2029"/>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05C"/>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076"/>
    <w:rsid w:val="00AD3DC4"/>
    <w:rsid w:val="00AD4FF4"/>
    <w:rsid w:val="00AD531D"/>
    <w:rsid w:val="00AD600C"/>
    <w:rsid w:val="00AD63D6"/>
    <w:rsid w:val="00AD6CD5"/>
    <w:rsid w:val="00AD733B"/>
    <w:rsid w:val="00AD7CA7"/>
    <w:rsid w:val="00AE0040"/>
    <w:rsid w:val="00AE184D"/>
    <w:rsid w:val="00AE1C03"/>
    <w:rsid w:val="00AE23E3"/>
    <w:rsid w:val="00AE2597"/>
    <w:rsid w:val="00AE2F65"/>
    <w:rsid w:val="00AE317E"/>
    <w:rsid w:val="00AE35A5"/>
    <w:rsid w:val="00AE3981"/>
    <w:rsid w:val="00AE4E2A"/>
    <w:rsid w:val="00AE5CF1"/>
    <w:rsid w:val="00AE5CF9"/>
    <w:rsid w:val="00AE5DB6"/>
    <w:rsid w:val="00AE6C3C"/>
    <w:rsid w:val="00AE702E"/>
    <w:rsid w:val="00AE73E0"/>
    <w:rsid w:val="00AE765C"/>
    <w:rsid w:val="00AF03C0"/>
    <w:rsid w:val="00AF166F"/>
    <w:rsid w:val="00AF1C03"/>
    <w:rsid w:val="00AF39AF"/>
    <w:rsid w:val="00AF3E3B"/>
    <w:rsid w:val="00AF3E5A"/>
    <w:rsid w:val="00AF46FE"/>
    <w:rsid w:val="00AF486F"/>
    <w:rsid w:val="00AF548B"/>
    <w:rsid w:val="00AF55E0"/>
    <w:rsid w:val="00AF5666"/>
    <w:rsid w:val="00AF5870"/>
    <w:rsid w:val="00AF58AA"/>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75C"/>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2C2"/>
    <w:rsid w:val="00B20AB1"/>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B30"/>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3FFE"/>
    <w:rsid w:val="00B55CED"/>
    <w:rsid w:val="00B55D57"/>
    <w:rsid w:val="00B55F80"/>
    <w:rsid w:val="00B56480"/>
    <w:rsid w:val="00B565D6"/>
    <w:rsid w:val="00B56DDD"/>
    <w:rsid w:val="00B576A4"/>
    <w:rsid w:val="00B57998"/>
    <w:rsid w:val="00B57CD0"/>
    <w:rsid w:val="00B57DA9"/>
    <w:rsid w:val="00B60177"/>
    <w:rsid w:val="00B60639"/>
    <w:rsid w:val="00B6308E"/>
    <w:rsid w:val="00B633ED"/>
    <w:rsid w:val="00B63D58"/>
    <w:rsid w:val="00B64E8A"/>
    <w:rsid w:val="00B65588"/>
    <w:rsid w:val="00B658D1"/>
    <w:rsid w:val="00B65B91"/>
    <w:rsid w:val="00B66064"/>
    <w:rsid w:val="00B66995"/>
    <w:rsid w:val="00B671A1"/>
    <w:rsid w:val="00B675A6"/>
    <w:rsid w:val="00B6794D"/>
    <w:rsid w:val="00B67B55"/>
    <w:rsid w:val="00B67C6C"/>
    <w:rsid w:val="00B70C61"/>
    <w:rsid w:val="00B70E5A"/>
    <w:rsid w:val="00B7220D"/>
    <w:rsid w:val="00B740F8"/>
    <w:rsid w:val="00B749B6"/>
    <w:rsid w:val="00B7509A"/>
    <w:rsid w:val="00B7613E"/>
    <w:rsid w:val="00B766C1"/>
    <w:rsid w:val="00B76966"/>
    <w:rsid w:val="00B76B96"/>
    <w:rsid w:val="00B76EFB"/>
    <w:rsid w:val="00B77129"/>
    <w:rsid w:val="00B77C37"/>
    <w:rsid w:val="00B8015E"/>
    <w:rsid w:val="00B807BF"/>
    <w:rsid w:val="00B809B1"/>
    <w:rsid w:val="00B82543"/>
    <w:rsid w:val="00B82998"/>
    <w:rsid w:val="00B834B0"/>
    <w:rsid w:val="00B837F6"/>
    <w:rsid w:val="00B83DAE"/>
    <w:rsid w:val="00B84FB4"/>
    <w:rsid w:val="00B8756E"/>
    <w:rsid w:val="00B879E8"/>
    <w:rsid w:val="00B87DF9"/>
    <w:rsid w:val="00B87FDB"/>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210"/>
    <w:rsid w:val="00BC1527"/>
    <w:rsid w:val="00BC2306"/>
    <w:rsid w:val="00BC2F31"/>
    <w:rsid w:val="00BC4036"/>
    <w:rsid w:val="00BC45C9"/>
    <w:rsid w:val="00BC4F0A"/>
    <w:rsid w:val="00BC509F"/>
    <w:rsid w:val="00BC51D2"/>
    <w:rsid w:val="00BC56E9"/>
    <w:rsid w:val="00BC64BE"/>
    <w:rsid w:val="00BC7155"/>
    <w:rsid w:val="00BC7550"/>
    <w:rsid w:val="00BD0B72"/>
    <w:rsid w:val="00BD2668"/>
    <w:rsid w:val="00BD3924"/>
    <w:rsid w:val="00BD450F"/>
    <w:rsid w:val="00BD4512"/>
    <w:rsid w:val="00BD52AA"/>
    <w:rsid w:val="00BD5C16"/>
    <w:rsid w:val="00BE1061"/>
    <w:rsid w:val="00BE1321"/>
    <w:rsid w:val="00BE2893"/>
    <w:rsid w:val="00BE2EB4"/>
    <w:rsid w:val="00BE2F5A"/>
    <w:rsid w:val="00BE37D3"/>
    <w:rsid w:val="00BE41FE"/>
    <w:rsid w:val="00BE4787"/>
    <w:rsid w:val="00BE51FE"/>
    <w:rsid w:val="00BE522A"/>
    <w:rsid w:val="00BE57B5"/>
    <w:rsid w:val="00BE7A7C"/>
    <w:rsid w:val="00BF0A44"/>
    <w:rsid w:val="00BF0CEC"/>
    <w:rsid w:val="00BF1A44"/>
    <w:rsid w:val="00BF1B2F"/>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2CBF"/>
    <w:rsid w:val="00C034A4"/>
    <w:rsid w:val="00C03DD0"/>
    <w:rsid w:val="00C04054"/>
    <w:rsid w:val="00C04445"/>
    <w:rsid w:val="00C04A7F"/>
    <w:rsid w:val="00C04E2B"/>
    <w:rsid w:val="00C051AA"/>
    <w:rsid w:val="00C060A0"/>
    <w:rsid w:val="00C07187"/>
    <w:rsid w:val="00C07383"/>
    <w:rsid w:val="00C075C9"/>
    <w:rsid w:val="00C07FAD"/>
    <w:rsid w:val="00C106C4"/>
    <w:rsid w:val="00C111EA"/>
    <w:rsid w:val="00C119AD"/>
    <w:rsid w:val="00C12264"/>
    <w:rsid w:val="00C1228D"/>
    <w:rsid w:val="00C12FED"/>
    <w:rsid w:val="00C13FED"/>
    <w:rsid w:val="00C14E7D"/>
    <w:rsid w:val="00C1654F"/>
    <w:rsid w:val="00C16897"/>
    <w:rsid w:val="00C16E1B"/>
    <w:rsid w:val="00C200C9"/>
    <w:rsid w:val="00C20A17"/>
    <w:rsid w:val="00C2138E"/>
    <w:rsid w:val="00C21D8E"/>
    <w:rsid w:val="00C22439"/>
    <w:rsid w:val="00C22525"/>
    <w:rsid w:val="00C23DBB"/>
    <w:rsid w:val="00C23FE1"/>
    <w:rsid w:val="00C2410D"/>
    <w:rsid w:val="00C24BAF"/>
    <w:rsid w:val="00C25C88"/>
    <w:rsid w:val="00C25F8B"/>
    <w:rsid w:val="00C265C0"/>
    <w:rsid w:val="00C26B9E"/>
    <w:rsid w:val="00C272EF"/>
    <w:rsid w:val="00C2732B"/>
    <w:rsid w:val="00C2753F"/>
    <w:rsid w:val="00C276A8"/>
    <w:rsid w:val="00C27975"/>
    <w:rsid w:val="00C300BC"/>
    <w:rsid w:val="00C318F7"/>
    <w:rsid w:val="00C319D2"/>
    <w:rsid w:val="00C31F85"/>
    <w:rsid w:val="00C322B7"/>
    <w:rsid w:val="00C32534"/>
    <w:rsid w:val="00C326EE"/>
    <w:rsid w:val="00C32951"/>
    <w:rsid w:val="00C32C02"/>
    <w:rsid w:val="00C33235"/>
    <w:rsid w:val="00C33677"/>
    <w:rsid w:val="00C34137"/>
    <w:rsid w:val="00C3476B"/>
    <w:rsid w:val="00C35240"/>
    <w:rsid w:val="00C353A8"/>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3A9"/>
    <w:rsid w:val="00C47545"/>
    <w:rsid w:val="00C47593"/>
    <w:rsid w:val="00C4796E"/>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77F7"/>
    <w:rsid w:val="00C60667"/>
    <w:rsid w:val="00C60C2C"/>
    <w:rsid w:val="00C61AB9"/>
    <w:rsid w:val="00C61E20"/>
    <w:rsid w:val="00C61F84"/>
    <w:rsid w:val="00C62FF7"/>
    <w:rsid w:val="00C63135"/>
    <w:rsid w:val="00C637DC"/>
    <w:rsid w:val="00C63EE8"/>
    <w:rsid w:val="00C641C4"/>
    <w:rsid w:val="00C6432E"/>
    <w:rsid w:val="00C65718"/>
    <w:rsid w:val="00C65C81"/>
    <w:rsid w:val="00C66772"/>
    <w:rsid w:val="00C66D2B"/>
    <w:rsid w:val="00C67580"/>
    <w:rsid w:val="00C6781C"/>
    <w:rsid w:val="00C67A74"/>
    <w:rsid w:val="00C67EA1"/>
    <w:rsid w:val="00C70374"/>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5A7"/>
    <w:rsid w:val="00C776A4"/>
    <w:rsid w:val="00C800DD"/>
    <w:rsid w:val="00C80920"/>
    <w:rsid w:val="00C80B03"/>
    <w:rsid w:val="00C8243F"/>
    <w:rsid w:val="00C8289B"/>
    <w:rsid w:val="00C82D54"/>
    <w:rsid w:val="00C82F3B"/>
    <w:rsid w:val="00C837C4"/>
    <w:rsid w:val="00C83829"/>
    <w:rsid w:val="00C83A29"/>
    <w:rsid w:val="00C83EDD"/>
    <w:rsid w:val="00C84BF1"/>
    <w:rsid w:val="00C84CA2"/>
    <w:rsid w:val="00C84DF4"/>
    <w:rsid w:val="00C85A36"/>
    <w:rsid w:val="00C85CD1"/>
    <w:rsid w:val="00C86C56"/>
    <w:rsid w:val="00C8773E"/>
    <w:rsid w:val="00C90601"/>
    <w:rsid w:val="00C90C3C"/>
    <w:rsid w:val="00C90D16"/>
    <w:rsid w:val="00C9116A"/>
    <w:rsid w:val="00C9265D"/>
    <w:rsid w:val="00C92824"/>
    <w:rsid w:val="00C937BA"/>
    <w:rsid w:val="00C949FC"/>
    <w:rsid w:val="00C960CF"/>
    <w:rsid w:val="00C96672"/>
    <w:rsid w:val="00C96678"/>
    <w:rsid w:val="00C96772"/>
    <w:rsid w:val="00C96CFA"/>
    <w:rsid w:val="00C96E5A"/>
    <w:rsid w:val="00C96EB5"/>
    <w:rsid w:val="00C970B3"/>
    <w:rsid w:val="00CA0257"/>
    <w:rsid w:val="00CA034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79"/>
    <w:rsid w:val="00CB225B"/>
    <w:rsid w:val="00CB2EF5"/>
    <w:rsid w:val="00CB33E4"/>
    <w:rsid w:val="00CB341C"/>
    <w:rsid w:val="00CB3ECB"/>
    <w:rsid w:val="00CB4230"/>
    <w:rsid w:val="00CB431B"/>
    <w:rsid w:val="00CB4A77"/>
    <w:rsid w:val="00CB4C8D"/>
    <w:rsid w:val="00CB4EA5"/>
    <w:rsid w:val="00CB557F"/>
    <w:rsid w:val="00CB592B"/>
    <w:rsid w:val="00CB5C5F"/>
    <w:rsid w:val="00CB600E"/>
    <w:rsid w:val="00CB65B8"/>
    <w:rsid w:val="00CB6BC7"/>
    <w:rsid w:val="00CB6CDF"/>
    <w:rsid w:val="00CB7264"/>
    <w:rsid w:val="00CB730F"/>
    <w:rsid w:val="00CB761C"/>
    <w:rsid w:val="00CB76B5"/>
    <w:rsid w:val="00CB7AD6"/>
    <w:rsid w:val="00CC0441"/>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EC3"/>
    <w:rsid w:val="00CD1DB1"/>
    <w:rsid w:val="00CD22A1"/>
    <w:rsid w:val="00CD22B5"/>
    <w:rsid w:val="00CD25E1"/>
    <w:rsid w:val="00CD367C"/>
    <w:rsid w:val="00CD454A"/>
    <w:rsid w:val="00CD4F54"/>
    <w:rsid w:val="00CD4FFE"/>
    <w:rsid w:val="00CD57FA"/>
    <w:rsid w:val="00CD5A6E"/>
    <w:rsid w:val="00CD711F"/>
    <w:rsid w:val="00CD74A7"/>
    <w:rsid w:val="00CD79B2"/>
    <w:rsid w:val="00CE157C"/>
    <w:rsid w:val="00CE1AD7"/>
    <w:rsid w:val="00CE1AF6"/>
    <w:rsid w:val="00CE2298"/>
    <w:rsid w:val="00CE3064"/>
    <w:rsid w:val="00CE39E4"/>
    <w:rsid w:val="00CE4282"/>
    <w:rsid w:val="00CE54E1"/>
    <w:rsid w:val="00CE55B6"/>
    <w:rsid w:val="00CE5856"/>
    <w:rsid w:val="00CE5BDE"/>
    <w:rsid w:val="00CE61C3"/>
    <w:rsid w:val="00CE6A6D"/>
    <w:rsid w:val="00CE774C"/>
    <w:rsid w:val="00CF012E"/>
    <w:rsid w:val="00CF04D4"/>
    <w:rsid w:val="00CF0B4C"/>
    <w:rsid w:val="00CF1090"/>
    <w:rsid w:val="00CF14E0"/>
    <w:rsid w:val="00CF1680"/>
    <w:rsid w:val="00CF1BD7"/>
    <w:rsid w:val="00CF21A5"/>
    <w:rsid w:val="00CF2518"/>
    <w:rsid w:val="00CF2DDE"/>
    <w:rsid w:val="00CF344A"/>
    <w:rsid w:val="00CF39A0"/>
    <w:rsid w:val="00CF3D1C"/>
    <w:rsid w:val="00CF4B12"/>
    <w:rsid w:val="00CF4D7E"/>
    <w:rsid w:val="00CF58FE"/>
    <w:rsid w:val="00CF5EBE"/>
    <w:rsid w:val="00CF783B"/>
    <w:rsid w:val="00CF7D97"/>
    <w:rsid w:val="00CF7EEC"/>
    <w:rsid w:val="00CF7FAF"/>
    <w:rsid w:val="00D001C2"/>
    <w:rsid w:val="00D0034A"/>
    <w:rsid w:val="00D00779"/>
    <w:rsid w:val="00D009D8"/>
    <w:rsid w:val="00D012E1"/>
    <w:rsid w:val="00D01318"/>
    <w:rsid w:val="00D01665"/>
    <w:rsid w:val="00D0169D"/>
    <w:rsid w:val="00D01D1E"/>
    <w:rsid w:val="00D02580"/>
    <w:rsid w:val="00D03BF7"/>
    <w:rsid w:val="00D03F1E"/>
    <w:rsid w:val="00D0428E"/>
    <w:rsid w:val="00D04426"/>
    <w:rsid w:val="00D0482F"/>
    <w:rsid w:val="00D04A33"/>
    <w:rsid w:val="00D04F4D"/>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3B"/>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3BB"/>
    <w:rsid w:val="00D572B2"/>
    <w:rsid w:val="00D57BDD"/>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1BEC"/>
    <w:rsid w:val="00D72327"/>
    <w:rsid w:val="00D727E0"/>
    <w:rsid w:val="00D72B87"/>
    <w:rsid w:val="00D72C72"/>
    <w:rsid w:val="00D74160"/>
    <w:rsid w:val="00D75D22"/>
    <w:rsid w:val="00D75DA5"/>
    <w:rsid w:val="00D76C58"/>
    <w:rsid w:val="00D76CF2"/>
    <w:rsid w:val="00D76E7C"/>
    <w:rsid w:val="00D80B40"/>
    <w:rsid w:val="00D8155B"/>
    <w:rsid w:val="00D81E79"/>
    <w:rsid w:val="00D822C2"/>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034"/>
    <w:rsid w:val="00D91564"/>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3582"/>
    <w:rsid w:val="00DA4838"/>
    <w:rsid w:val="00DA4989"/>
    <w:rsid w:val="00DA5721"/>
    <w:rsid w:val="00DA6173"/>
    <w:rsid w:val="00DA6360"/>
    <w:rsid w:val="00DA7477"/>
    <w:rsid w:val="00DA7573"/>
    <w:rsid w:val="00DA7BD4"/>
    <w:rsid w:val="00DB017F"/>
    <w:rsid w:val="00DB0191"/>
    <w:rsid w:val="00DB0359"/>
    <w:rsid w:val="00DB0EF6"/>
    <w:rsid w:val="00DB0F8A"/>
    <w:rsid w:val="00DB1D9D"/>
    <w:rsid w:val="00DB26A8"/>
    <w:rsid w:val="00DB27CF"/>
    <w:rsid w:val="00DB324C"/>
    <w:rsid w:val="00DB3FD3"/>
    <w:rsid w:val="00DB5F2A"/>
    <w:rsid w:val="00DB6F45"/>
    <w:rsid w:val="00DB72B7"/>
    <w:rsid w:val="00DB750D"/>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5C8"/>
    <w:rsid w:val="00DD2893"/>
    <w:rsid w:val="00DD4717"/>
    <w:rsid w:val="00DD4F74"/>
    <w:rsid w:val="00DD531F"/>
    <w:rsid w:val="00DD556C"/>
    <w:rsid w:val="00DD5737"/>
    <w:rsid w:val="00DD58D6"/>
    <w:rsid w:val="00DD5E81"/>
    <w:rsid w:val="00DD6389"/>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568"/>
    <w:rsid w:val="00DF2AD9"/>
    <w:rsid w:val="00DF54D0"/>
    <w:rsid w:val="00DF580C"/>
    <w:rsid w:val="00DF5C1A"/>
    <w:rsid w:val="00DF5E85"/>
    <w:rsid w:val="00DF6BCB"/>
    <w:rsid w:val="00DF6D45"/>
    <w:rsid w:val="00DF7042"/>
    <w:rsid w:val="00DF78FD"/>
    <w:rsid w:val="00DF7EFE"/>
    <w:rsid w:val="00E00683"/>
    <w:rsid w:val="00E00E15"/>
    <w:rsid w:val="00E00F63"/>
    <w:rsid w:val="00E01210"/>
    <w:rsid w:val="00E01D50"/>
    <w:rsid w:val="00E02664"/>
    <w:rsid w:val="00E02C4D"/>
    <w:rsid w:val="00E031A5"/>
    <w:rsid w:val="00E0341B"/>
    <w:rsid w:val="00E0348F"/>
    <w:rsid w:val="00E035A6"/>
    <w:rsid w:val="00E038F5"/>
    <w:rsid w:val="00E03D67"/>
    <w:rsid w:val="00E04510"/>
    <w:rsid w:val="00E045EF"/>
    <w:rsid w:val="00E04784"/>
    <w:rsid w:val="00E05569"/>
    <w:rsid w:val="00E05A6C"/>
    <w:rsid w:val="00E05CAD"/>
    <w:rsid w:val="00E05F59"/>
    <w:rsid w:val="00E0655D"/>
    <w:rsid w:val="00E069AA"/>
    <w:rsid w:val="00E1024A"/>
    <w:rsid w:val="00E10B17"/>
    <w:rsid w:val="00E10B67"/>
    <w:rsid w:val="00E12742"/>
    <w:rsid w:val="00E12AB9"/>
    <w:rsid w:val="00E12B67"/>
    <w:rsid w:val="00E13289"/>
    <w:rsid w:val="00E13D6B"/>
    <w:rsid w:val="00E141D3"/>
    <w:rsid w:val="00E14941"/>
    <w:rsid w:val="00E1526B"/>
    <w:rsid w:val="00E1534B"/>
    <w:rsid w:val="00E15408"/>
    <w:rsid w:val="00E15743"/>
    <w:rsid w:val="00E158A3"/>
    <w:rsid w:val="00E15A01"/>
    <w:rsid w:val="00E15C52"/>
    <w:rsid w:val="00E15EDA"/>
    <w:rsid w:val="00E15F0B"/>
    <w:rsid w:val="00E160E8"/>
    <w:rsid w:val="00E16199"/>
    <w:rsid w:val="00E16311"/>
    <w:rsid w:val="00E16424"/>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530D"/>
    <w:rsid w:val="00E3621B"/>
    <w:rsid w:val="00E36F43"/>
    <w:rsid w:val="00E37F0C"/>
    <w:rsid w:val="00E40ADF"/>
    <w:rsid w:val="00E418E3"/>
    <w:rsid w:val="00E423DE"/>
    <w:rsid w:val="00E42F07"/>
    <w:rsid w:val="00E4370F"/>
    <w:rsid w:val="00E4441D"/>
    <w:rsid w:val="00E453AB"/>
    <w:rsid w:val="00E462E6"/>
    <w:rsid w:val="00E463A0"/>
    <w:rsid w:val="00E47839"/>
    <w:rsid w:val="00E5140E"/>
    <w:rsid w:val="00E51CDE"/>
    <w:rsid w:val="00E5210B"/>
    <w:rsid w:val="00E53631"/>
    <w:rsid w:val="00E5388F"/>
    <w:rsid w:val="00E54239"/>
    <w:rsid w:val="00E54272"/>
    <w:rsid w:val="00E542BC"/>
    <w:rsid w:val="00E54521"/>
    <w:rsid w:val="00E54617"/>
    <w:rsid w:val="00E5484B"/>
    <w:rsid w:val="00E553FD"/>
    <w:rsid w:val="00E56023"/>
    <w:rsid w:val="00E56D6E"/>
    <w:rsid w:val="00E56FEF"/>
    <w:rsid w:val="00E577F9"/>
    <w:rsid w:val="00E57FB5"/>
    <w:rsid w:val="00E60F14"/>
    <w:rsid w:val="00E61B23"/>
    <w:rsid w:val="00E625BE"/>
    <w:rsid w:val="00E6284B"/>
    <w:rsid w:val="00E62C72"/>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19D"/>
    <w:rsid w:val="00E74933"/>
    <w:rsid w:val="00E74EDC"/>
    <w:rsid w:val="00E75737"/>
    <w:rsid w:val="00E75875"/>
    <w:rsid w:val="00E75886"/>
    <w:rsid w:val="00E75D6E"/>
    <w:rsid w:val="00E76007"/>
    <w:rsid w:val="00E76181"/>
    <w:rsid w:val="00E770F2"/>
    <w:rsid w:val="00E77EAC"/>
    <w:rsid w:val="00E77F41"/>
    <w:rsid w:val="00E81069"/>
    <w:rsid w:val="00E817AD"/>
    <w:rsid w:val="00E817EF"/>
    <w:rsid w:val="00E8184F"/>
    <w:rsid w:val="00E828D5"/>
    <w:rsid w:val="00E82D81"/>
    <w:rsid w:val="00E83259"/>
    <w:rsid w:val="00E839BE"/>
    <w:rsid w:val="00E83CAC"/>
    <w:rsid w:val="00E84C89"/>
    <w:rsid w:val="00E85E56"/>
    <w:rsid w:val="00E860DD"/>
    <w:rsid w:val="00E8713D"/>
    <w:rsid w:val="00E900E1"/>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1DC"/>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7FD"/>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D90"/>
    <w:rsid w:val="00ED5EEE"/>
    <w:rsid w:val="00ED667C"/>
    <w:rsid w:val="00ED6827"/>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608"/>
    <w:rsid w:val="00EF29DE"/>
    <w:rsid w:val="00EF3978"/>
    <w:rsid w:val="00EF3AAC"/>
    <w:rsid w:val="00EF4D42"/>
    <w:rsid w:val="00EF4FD1"/>
    <w:rsid w:val="00EF5318"/>
    <w:rsid w:val="00EF708A"/>
    <w:rsid w:val="00EF72C3"/>
    <w:rsid w:val="00EF77DE"/>
    <w:rsid w:val="00EF79CE"/>
    <w:rsid w:val="00F00152"/>
    <w:rsid w:val="00F001EA"/>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2AA7"/>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0F95"/>
    <w:rsid w:val="00F2106D"/>
    <w:rsid w:val="00F22337"/>
    <w:rsid w:val="00F228EB"/>
    <w:rsid w:val="00F22D65"/>
    <w:rsid w:val="00F23175"/>
    <w:rsid w:val="00F23FB0"/>
    <w:rsid w:val="00F2480A"/>
    <w:rsid w:val="00F24891"/>
    <w:rsid w:val="00F24B9F"/>
    <w:rsid w:val="00F24CA6"/>
    <w:rsid w:val="00F256AE"/>
    <w:rsid w:val="00F25773"/>
    <w:rsid w:val="00F257FA"/>
    <w:rsid w:val="00F25A9A"/>
    <w:rsid w:val="00F26004"/>
    <w:rsid w:val="00F270E8"/>
    <w:rsid w:val="00F27A65"/>
    <w:rsid w:val="00F27EF5"/>
    <w:rsid w:val="00F27FDB"/>
    <w:rsid w:val="00F30251"/>
    <w:rsid w:val="00F305CC"/>
    <w:rsid w:val="00F3179A"/>
    <w:rsid w:val="00F31D54"/>
    <w:rsid w:val="00F32357"/>
    <w:rsid w:val="00F32C70"/>
    <w:rsid w:val="00F34E02"/>
    <w:rsid w:val="00F34FD2"/>
    <w:rsid w:val="00F3549E"/>
    <w:rsid w:val="00F365A7"/>
    <w:rsid w:val="00F3681C"/>
    <w:rsid w:val="00F3769D"/>
    <w:rsid w:val="00F37DD2"/>
    <w:rsid w:val="00F404F4"/>
    <w:rsid w:val="00F4143E"/>
    <w:rsid w:val="00F41CC5"/>
    <w:rsid w:val="00F41D25"/>
    <w:rsid w:val="00F423C2"/>
    <w:rsid w:val="00F43048"/>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F46"/>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4EDB"/>
    <w:rsid w:val="00F65B68"/>
    <w:rsid w:val="00F67846"/>
    <w:rsid w:val="00F67B42"/>
    <w:rsid w:val="00F70B72"/>
    <w:rsid w:val="00F70DEF"/>
    <w:rsid w:val="00F70EA3"/>
    <w:rsid w:val="00F71398"/>
    <w:rsid w:val="00F7294C"/>
    <w:rsid w:val="00F72C5F"/>
    <w:rsid w:val="00F72E99"/>
    <w:rsid w:val="00F7331F"/>
    <w:rsid w:val="00F73425"/>
    <w:rsid w:val="00F73549"/>
    <w:rsid w:val="00F75754"/>
    <w:rsid w:val="00F75782"/>
    <w:rsid w:val="00F80C1D"/>
    <w:rsid w:val="00F81130"/>
    <w:rsid w:val="00F818F7"/>
    <w:rsid w:val="00F81B4F"/>
    <w:rsid w:val="00F81D72"/>
    <w:rsid w:val="00F8325D"/>
    <w:rsid w:val="00F832A9"/>
    <w:rsid w:val="00F832B0"/>
    <w:rsid w:val="00F83307"/>
    <w:rsid w:val="00F833A5"/>
    <w:rsid w:val="00F844D3"/>
    <w:rsid w:val="00F84629"/>
    <w:rsid w:val="00F84946"/>
    <w:rsid w:val="00F84B71"/>
    <w:rsid w:val="00F84F0E"/>
    <w:rsid w:val="00F8519E"/>
    <w:rsid w:val="00F85FF5"/>
    <w:rsid w:val="00F86B49"/>
    <w:rsid w:val="00F86BB4"/>
    <w:rsid w:val="00F870F5"/>
    <w:rsid w:val="00F902D2"/>
    <w:rsid w:val="00F90B12"/>
    <w:rsid w:val="00F90CBD"/>
    <w:rsid w:val="00F9109E"/>
    <w:rsid w:val="00F9177E"/>
    <w:rsid w:val="00F91FDF"/>
    <w:rsid w:val="00F92AA1"/>
    <w:rsid w:val="00F92FDC"/>
    <w:rsid w:val="00F931D2"/>
    <w:rsid w:val="00F93431"/>
    <w:rsid w:val="00F93A4A"/>
    <w:rsid w:val="00F93D27"/>
    <w:rsid w:val="00F95DD6"/>
    <w:rsid w:val="00F96370"/>
    <w:rsid w:val="00F96980"/>
    <w:rsid w:val="00F9785B"/>
    <w:rsid w:val="00F97940"/>
    <w:rsid w:val="00F97BA3"/>
    <w:rsid w:val="00F97EA2"/>
    <w:rsid w:val="00F97F0D"/>
    <w:rsid w:val="00FA0B0A"/>
    <w:rsid w:val="00FA121C"/>
    <w:rsid w:val="00FA1407"/>
    <w:rsid w:val="00FA1A68"/>
    <w:rsid w:val="00FA1B1A"/>
    <w:rsid w:val="00FA2747"/>
    <w:rsid w:val="00FA2A33"/>
    <w:rsid w:val="00FA2C8F"/>
    <w:rsid w:val="00FA2CF5"/>
    <w:rsid w:val="00FA2CF7"/>
    <w:rsid w:val="00FA3410"/>
    <w:rsid w:val="00FA360B"/>
    <w:rsid w:val="00FA3860"/>
    <w:rsid w:val="00FA3A50"/>
    <w:rsid w:val="00FA4763"/>
    <w:rsid w:val="00FA4830"/>
    <w:rsid w:val="00FA5032"/>
    <w:rsid w:val="00FA6980"/>
    <w:rsid w:val="00FA6CDF"/>
    <w:rsid w:val="00FA7BB5"/>
    <w:rsid w:val="00FA7C85"/>
    <w:rsid w:val="00FB02C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859"/>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73A"/>
    <w:rsid w:val="00FD2CC3"/>
    <w:rsid w:val="00FD31BF"/>
    <w:rsid w:val="00FD3CC7"/>
    <w:rsid w:val="00FD4148"/>
    <w:rsid w:val="00FD4D5B"/>
    <w:rsid w:val="00FD6453"/>
    <w:rsid w:val="00FD67FD"/>
    <w:rsid w:val="00FD691A"/>
    <w:rsid w:val="00FD7CB2"/>
    <w:rsid w:val="00FD7D46"/>
    <w:rsid w:val="00FD7D8B"/>
    <w:rsid w:val="00FD7EF3"/>
    <w:rsid w:val="00FE0AF2"/>
    <w:rsid w:val="00FE1C47"/>
    <w:rsid w:val="00FE22DD"/>
    <w:rsid w:val="00FE2CFB"/>
    <w:rsid w:val="00FE4A60"/>
    <w:rsid w:val="00FE54E0"/>
    <w:rsid w:val="00FE55F0"/>
    <w:rsid w:val="00FE61DE"/>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2"/>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1"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763C59"/>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1820A3"/>
    <w:pPr>
      <w:numPr>
        <w:numId w:val="2"/>
      </w:numPr>
      <w:tabs>
        <w:tab w:val="left" w:pos="680"/>
      </w:tabs>
      <w:spacing w:before="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6629E4"/>
    <w:pPr>
      <w:numPr>
        <w:numId w:val="3"/>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1"/>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629E4"/>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numbering" w:customStyle="1" w:styleId="Bulletss">
    <w:name w:val="Bulletss"/>
    <w:uiPriority w:val="99"/>
    <w:rsid w:val="00602FF4"/>
    <w:pPr>
      <w:numPr>
        <w:numId w:val="14"/>
      </w:numPr>
    </w:pPr>
  </w:style>
  <w:style w:type="paragraph" w:customStyle="1" w:styleId="Greenbullet-casestudytables">
    <w:name w:val="Green bullet - case study tables"/>
    <w:basedOn w:val="Bullet"/>
    <w:uiPriority w:val="1"/>
    <w:rsid w:val="001A1CED"/>
    <w:pPr>
      <w:numPr>
        <w:numId w:val="15"/>
      </w:numPr>
      <w:tabs>
        <w:tab w:val="clear"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uiPriority w:val="1"/>
    <w:rsid w:val="00527473"/>
    <w:pPr>
      <w:keepNext/>
      <w:spacing w:before="240" w:after="0"/>
    </w:pPr>
    <w:rPr>
      <w:rFonts w:eastAsia="Times New Roman"/>
      <w:b/>
    </w:rPr>
  </w:style>
  <w:style w:type="paragraph" w:styleId="NoSpacing">
    <w:name w:val="No Spacing"/>
    <w:aliases w:val="Numbered Paragraphs"/>
    <w:uiPriority w:val="1"/>
    <w:qFormat/>
    <w:rsid w:val="00C473A9"/>
    <w:pPr>
      <w:numPr>
        <w:numId w:val="16"/>
      </w:numPr>
      <w:spacing w:before="120" w:after="120" w:line="240" w:lineRule="auto"/>
      <w:jc w:val="both"/>
    </w:pPr>
    <w:rPr>
      <w:rFonts w:ascii="Arial" w:eastAsia="Times New Roman" w:hAnsi="Arial" w:cs="Times New Roman"/>
      <w:szCs w:val="20"/>
    </w:rPr>
  </w:style>
  <w:style w:type="paragraph" w:styleId="CommentText">
    <w:name w:val="annotation text"/>
    <w:basedOn w:val="Normal"/>
    <w:link w:val="CommentTextChar"/>
    <w:uiPriority w:val="99"/>
    <w:semiHidden/>
    <w:rsid w:val="00973F0E"/>
    <w:pPr>
      <w:spacing w:line="240" w:lineRule="auto"/>
    </w:pPr>
    <w:rPr>
      <w:sz w:val="20"/>
      <w:szCs w:val="20"/>
    </w:rPr>
  </w:style>
  <w:style w:type="character" w:customStyle="1" w:styleId="CommentTextChar">
    <w:name w:val="Comment Text Char"/>
    <w:basedOn w:val="DefaultParagraphFont"/>
    <w:link w:val="CommentText"/>
    <w:uiPriority w:val="99"/>
    <w:semiHidden/>
    <w:rsid w:val="00973F0E"/>
    <w:rPr>
      <w:rFonts w:ascii="Calibri" w:eastAsiaTheme="minorEastAsia" w:hAnsi="Calibri"/>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2"/>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1"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763C59"/>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1820A3"/>
    <w:pPr>
      <w:numPr>
        <w:numId w:val="2"/>
      </w:numPr>
      <w:tabs>
        <w:tab w:val="left" w:pos="680"/>
      </w:tabs>
      <w:spacing w:before="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6629E4"/>
    <w:pPr>
      <w:numPr>
        <w:numId w:val="3"/>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1"/>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629E4"/>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numbering" w:customStyle="1" w:styleId="Bulletss">
    <w:name w:val="Bulletss"/>
    <w:uiPriority w:val="99"/>
    <w:rsid w:val="00602FF4"/>
    <w:pPr>
      <w:numPr>
        <w:numId w:val="14"/>
      </w:numPr>
    </w:pPr>
  </w:style>
  <w:style w:type="paragraph" w:customStyle="1" w:styleId="Greenbullet-casestudytables">
    <w:name w:val="Green bullet - case study tables"/>
    <w:basedOn w:val="Bullet"/>
    <w:uiPriority w:val="1"/>
    <w:rsid w:val="001A1CED"/>
    <w:pPr>
      <w:numPr>
        <w:numId w:val="15"/>
      </w:numPr>
      <w:tabs>
        <w:tab w:val="clear"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uiPriority w:val="1"/>
    <w:rsid w:val="00527473"/>
    <w:pPr>
      <w:keepNext/>
      <w:spacing w:before="240" w:after="0"/>
    </w:pPr>
    <w:rPr>
      <w:rFonts w:eastAsia="Times New Roman"/>
      <w:b/>
    </w:rPr>
  </w:style>
  <w:style w:type="paragraph" w:styleId="NoSpacing">
    <w:name w:val="No Spacing"/>
    <w:aliases w:val="Numbered Paragraphs"/>
    <w:uiPriority w:val="1"/>
    <w:qFormat/>
    <w:rsid w:val="00C473A9"/>
    <w:pPr>
      <w:numPr>
        <w:numId w:val="16"/>
      </w:numPr>
      <w:spacing w:before="120" w:after="120" w:line="240" w:lineRule="auto"/>
      <w:jc w:val="both"/>
    </w:pPr>
    <w:rPr>
      <w:rFonts w:ascii="Arial" w:eastAsia="Times New Roman" w:hAnsi="Arial" w:cs="Times New Roman"/>
      <w:szCs w:val="20"/>
    </w:rPr>
  </w:style>
  <w:style w:type="paragraph" w:styleId="CommentText">
    <w:name w:val="annotation text"/>
    <w:basedOn w:val="Normal"/>
    <w:link w:val="CommentTextChar"/>
    <w:uiPriority w:val="99"/>
    <w:semiHidden/>
    <w:rsid w:val="00973F0E"/>
    <w:pPr>
      <w:spacing w:line="240" w:lineRule="auto"/>
    </w:pPr>
    <w:rPr>
      <w:sz w:val="20"/>
      <w:szCs w:val="20"/>
    </w:rPr>
  </w:style>
  <w:style w:type="character" w:customStyle="1" w:styleId="CommentTextChar">
    <w:name w:val="Comment Text Char"/>
    <w:basedOn w:val="DefaultParagraphFont"/>
    <w:link w:val="CommentText"/>
    <w:uiPriority w:val="99"/>
    <w:semiHidden/>
    <w:rsid w:val="00973F0E"/>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9926699">
      <w:bodyDiv w:val="1"/>
      <w:marLeft w:val="0"/>
      <w:marRight w:val="0"/>
      <w:marTop w:val="0"/>
      <w:marBottom w:val="0"/>
      <w:divBdr>
        <w:top w:val="none" w:sz="0" w:space="0" w:color="auto"/>
        <w:left w:val="none" w:sz="0" w:space="0" w:color="auto"/>
        <w:bottom w:val="none" w:sz="0" w:space="0" w:color="auto"/>
        <w:right w:val="none" w:sz="0" w:space="0" w:color="auto"/>
      </w:divBdr>
    </w:div>
    <w:div w:id="561136877">
      <w:bodyDiv w:val="1"/>
      <w:marLeft w:val="0"/>
      <w:marRight w:val="0"/>
      <w:marTop w:val="0"/>
      <w:marBottom w:val="0"/>
      <w:divBdr>
        <w:top w:val="none" w:sz="0" w:space="0" w:color="auto"/>
        <w:left w:val="none" w:sz="0" w:space="0" w:color="auto"/>
        <w:bottom w:val="none" w:sz="0" w:space="0" w:color="auto"/>
        <w:right w:val="none" w:sz="0" w:space="0" w:color="auto"/>
      </w:divBdr>
    </w:div>
    <w:div w:id="575749183">
      <w:bodyDiv w:val="1"/>
      <w:marLeft w:val="0"/>
      <w:marRight w:val="0"/>
      <w:marTop w:val="0"/>
      <w:marBottom w:val="0"/>
      <w:divBdr>
        <w:top w:val="none" w:sz="0" w:space="0" w:color="auto"/>
        <w:left w:val="none" w:sz="0" w:space="0" w:color="auto"/>
        <w:bottom w:val="none" w:sz="0" w:space="0" w:color="auto"/>
        <w:right w:val="none" w:sz="0" w:space="0" w:color="auto"/>
      </w:divBdr>
    </w:div>
    <w:div w:id="620692620">
      <w:bodyDiv w:val="1"/>
      <w:marLeft w:val="0"/>
      <w:marRight w:val="0"/>
      <w:marTop w:val="0"/>
      <w:marBottom w:val="0"/>
      <w:divBdr>
        <w:top w:val="none" w:sz="0" w:space="0" w:color="auto"/>
        <w:left w:val="none" w:sz="0" w:space="0" w:color="auto"/>
        <w:bottom w:val="none" w:sz="0" w:space="0" w:color="auto"/>
        <w:right w:val="none" w:sz="0" w:space="0" w:color="auto"/>
      </w:divBdr>
    </w:div>
    <w:div w:id="806968195">
      <w:bodyDiv w:val="1"/>
      <w:marLeft w:val="0"/>
      <w:marRight w:val="0"/>
      <w:marTop w:val="0"/>
      <w:marBottom w:val="0"/>
      <w:divBdr>
        <w:top w:val="none" w:sz="0" w:space="0" w:color="auto"/>
        <w:left w:val="none" w:sz="0" w:space="0" w:color="auto"/>
        <w:bottom w:val="none" w:sz="0" w:space="0" w:color="auto"/>
        <w:right w:val="none" w:sz="0" w:space="0" w:color="auto"/>
      </w:divBdr>
    </w:div>
    <w:div w:id="1075467431">
      <w:bodyDiv w:val="1"/>
      <w:marLeft w:val="0"/>
      <w:marRight w:val="0"/>
      <w:marTop w:val="0"/>
      <w:marBottom w:val="0"/>
      <w:divBdr>
        <w:top w:val="none" w:sz="0" w:space="0" w:color="auto"/>
        <w:left w:val="none" w:sz="0" w:space="0" w:color="auto"/>
        <w:bottom w:val="none" w:sz="0" w:space="0" w:color="auto"/>
        <w:right w:val="none" w:sz="0" w:space="0" w:color="auto"/>
      </w:divBdr>
    </w:div>
    <w:div w:id="1080755437">
      <w:bodyDiv w:val="1"/>
      <w:marLeft w:val="0"/>
      <w:marRight w:val="0"/>
      <w:marTop w:val="0"/>
      <w:marBottom w:val="0"/>
      <w:divBdr>
        <w:top w:val="none" w:sz="0" w:space="0" w:color="auto"/>
        <w:left w:val="none" w:sz="0" w:space="0" w:color="auto"/>
        <w:bottom w:val="none" w:sz="0" w:space="0" w:color="auto"/>
        <w:right w:val="none" w:sz="0" w:space="0" w:color="auto"/>
      </w:divBdr>
    </w:div>
    <w:div w:id="1110977937">
      <w:bodyDiv w:val="1"/>
      <w:marLeft w:val="0"/>
      <w:marRight w:val="0"/>
      <w:marTop w:val="0"/>
      <w:marBottom w:val="0"/>
      <w:divBdr>
        <w:top w:val="none" w:sz="0" w:space="0" w:color="auto"/>
        <w:left w:val="none" w:sz="0" w:space="0" w:color="auto"/>
        <w:bottom w:val="none" w:sz="0" w:space="0" w:color="auto"/>
        <w:right w:val="none" w:sz="0" w:space="0" w:color="auto"/>
      </w:divBdr>
    </w:div>
    <w:div w:id="1117795382">
      <w:bodyDiv w:val="1"/>
      <w:marLeft w:val="0"/>
      <w:marRight w:val="0"/>
      <w:marTop w:val="0"/>
      <w:marBottom w:val="0"/>
      <w:divBdr>
        <w:top w:val="none" w:sz="0" w:space="0" w:color="auto"/>
        <w:left w:val="none" w:sz="0" w:space="0" w:color="auto"/>
        <w:bottom w:val="none" w:sz="0" w:space="0" w:color="auto"/>
        <w:right w:val="none" w:sz="0" w:space="0" w:color="auto"/>
      </w:divBdr>
    </w:div>
    <w:div w:id="1126973436">
      <w:bodyDiv w:val="1"/>
      <w:marLeft w:val="0"/>
      <w:marRight w:val="0"/>
      <w:marTop w:val="0"/>
      <w:marBottom w:val="0"/>
      <w:divBdr>
        <w:top w:val="none" w:sz="0" w:space="0" w:color="auto"/>
        <w:left w:val="none" w:sz="0" w:space="0" w:color="auto"/>
        <w:bottom w:val="none" w:sz="0" w:space="0" w:color="auto"/>
        <w:right w:val="none" w:sz="0" w:space="0" w:color="auto"/>
      </w:divBdr>
    </w:div>
    <w:div w:id="137025544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1580853">
      <w:bodyDiv w:val="1"/>
      <w:marLeft w:val="0"/>
      <w:marRight w:val="0"/>
      <w:marTop w:val="0"/>
      <w:marBottom w:val="0"/>
      <w:divBdr>
        <w:top w:val="none" w:sz="0" w:space="0" w:color="auto"/>
        <w:left w:val="none" w:sz="0" w:space="0" w:color="auto"/>
        <w:bottom w:val="none" w:sz="0" w:space="0" w:color="auto"/>
        <w:right w:val="none" w:sz="0" w:space="0" w:color="auto"/>
      </w:divBdr>
    </w:div>
    <w:div w:id="2059429719">
      <w:bodyDiv w:val="1"/>
      <w:marLeft w:val="0"/>
      <w:marRight w:val="0"/>
      <w:marTop w:val="0"/>
      <w:marBottom w:val="0"/>
      <w:divBdr>
        <w:top w:val="none" w:sz="0" w:space="0" w:color="auto"/>
        <w:left w:val="none" w:sz="0" w:space="0" w:color="auto"/>
        <w:bottom w:val="none" w:sz="0" w:space="0" w:color="auto"/>
        <w:right w:val="none" w:sz="0" w:space="0" w:color="auto"/>
      </w:divBdr>
      <w:divsChild>
        <w:div w:id="710149363">
          <w:marLeft w:val="0"/>
          <w:marRight w:val="0"/>
          <w:marTop w:val="0"/>
          <w:marBottom w:val="0"/>
          <w:divBdr>
            <w:top w:val="none" w:sz="0" w:space="0" w:color="auto"/>
            <w:left w:val="none" w:sz="0" w:space="0" w:color="auto"/>
            <w:bottom w:val="none" w:sz="0" w:space="0" w:color="auto"/>
            <w:right w:val="none" w:sz="0" w:space="0" w:color="auto"/>
          </w:divBdr>
          <w:divsChild>
            <w:div w:id="2249270">
              <w:marLeft w:val="0"/>
              <w:marRight w:val="0"/>
              <w:marTop w:val="0"/>
              <w:marBottom w:val="0"/>
              <w:divBdr>
                <w:top w:val="none" w:sz="0" w:space="0" w:color="auto"/>
                <w:left w:val="none" w:sz="0" w:space="0" w:color="auto"/>
                <w:bottom w:val="none" w:sz="0" w:space="0" w:color="auto"/>
                <w:right w:val="none" w:sz="0" w:space="0" w:color="auto"/>
              </w:divBdr>
            </w:div>
            <w:div w:id="7294138">
              <w:marLeft w:val="0"/>
              <w:marRight w:val="0"/>
              <w:marTop w:val="0"/>
              <w:marBottom w:val="0"/>
              <w:divBdr>
                <w:top w:val="none" w:sz="0" w:space="0" w:color="auto"/>
                <w:left w:val="none" w:sz="0" w:space="0" w:color="auto"/>
                <w:bottom w:val="none" w:sz="0" w:space="0" w:color="auto"/>
                <w:right w:val="none" w:sz="0" w:space="0" w:color="auto"/>
              </w:divBdr>
            </w:div>
            <w:div w:id="8679185">
              <w:marLeft w:val="0"/>
              <w:marRight w:val="0"/>
              <w:marTop w:val="0"/>
              <w:marBottom w:val="0"/>
              <w:divBdr>
                <w:top w:val="none" w:sz="0" w:space="0" w:color="auto"/>
                <w:left w:val="none" w:sz="0" w:space="0" w:color="auto"/>
                <w:bottom w:val="none" w:sz="0" w:space="0" w:color="auto"/>
                <w:right w:val="none" w:sz="0" w:space="0" w:color="auto"/>
              </w:divBdr>
            </w:div>
            <w:div w:id="14383491">
              <w:marLeft w:val="0"/>
              <w:marRight w:val="0"/>
              <w:marTop w:val="0"/>
              <w:marBottom w:val="0"/>
              <w:divBdr>
                <w:top w:val="none" w:sz="0" w:space="0" w:color="auto"/>
                <w:left w:val="none" w:sz="0" w:space="0" w:color="auto"/>
                <w:bottom w:val="none" w:sz="0" w:space="0" w:color="auto"/>
                <w:right w:val="none" w:sz="0" w:space="0" w:color="auto"/>
              </w:divBdr>
            </w:div>
            <w:div w:id="18363492">
              <w:marLeft w:val="0"/>
              <w:marRight w:val="0"/>
              <w:marTop w:val="0"/>
              <w:marBottom w:val="0"/>
              <w:divBdr>
                <w:top w:val="none" w:sz="0" w:space="0" w:color="auto"/>
                <w:left w:val="none" w:sz="0" w:space="0" w:color="auto"/>
                <w:bottom w:val="none" w:sz="0" w:space="0" w:color="auto"/>
                <w:right w:val="none" w:sz="0" w:space="0" w:color="auto"/>
              </w:divBdr>
            </w:div>
            <w:div w:id="24252909">
              <w:marLeft w:val="0"/>
              <w:marRight w:val="0"/>
              <w:marTop w:val="0"/>
              <w:marBottom w:val="0"/>
              <w:divBdr>
                <w:top w:val="none" w:sz="0" w:space="0" w:color="auto"/>
                <w:left w:val="none" w:sz="0" w:space="0" w:color="auto"/>
                <w:bottom w:val="none" w:sz="0" w:space="0" w:color="auto"/>
                <w:right w:val="none" w:sz="0" w:space="0" w:color="auto"/>
              </w:divBdr>
            </w:div>
            <w:div w:id="27877143">
              <w:marLeft w:val="0"/>
              <w:marRight w:val="0"/>
              <w:marTop w:val="0"/>
              <w:marBottom w:val="0"/>
              <w:divBdr>
                <w:top w:val="none" w:sz="0" w:space="0" w:color="auto"/>
                <w:left w:val="none" w:sz="0" w:space="0" w:color="auto"/>
                <w:bottom w:val="none" w:sz="0" w:space="0" w:color="auto"/>
                <w:right w:val="none" w:sz="0" w:space="0" w:color="auto"/>
              </w:divBdr>
            </w:div>
            <w:div w:id="45494959">
              <w:marLeft w:val="0"/>
              <w:marRight w:val="0"/>
              <w:marTop w:val="0"/>
              <w:marBottom w:val="0"/>
              <w:divBdr>
                <w:top w:val="none" w:sz="0" w:space="0" w:color="auto"/>
                <w:left w:val="none" w:sz="0" w:space="0" w:color="auto"/>
                <w:bottom w:val="none" w:sz="0" w:space="0" w:color="auto"/>
                <w:right w:val="none" w:sz="0" w:space="0" w:color="auto"/>
              </w:divBdr>
            </w:div>
            <w:div w:id="51345986">
              <w:marLeft w:val="0"/>
              <w:marRight w:val="0"/>
              <w:marTop w:val="0"/>
              <w:marBottom w:val="0"/>
              <w:divBdr>
                <w:top w:val="none" w:sz="0" w:space="0" w:color="auto"/>
                <w:left w:val="none" w:sz="0" w:space="0" w:color="auto"/>
                <w:bottom w:val="none" w:sz="0" w:space="0" w:color="auto"/>
                <w:right w:val="none" w:sz="0" w:space="0" w:color="auto"/>
              </w:divBdr>
            </w:div>
            <w:div w:id="86465658">
              <w:marLeft w:val="0"/>
              <w:marRight w:val="0"/>
              <w:marTop w:val="0"/>
              <w:marBottom w:val="0"/>
              <w:divBdr>
                <w:top w:val="none" w:sz="0" w:space="0" w:color="auto"/>
                <w:left w:val="none" w:sz="0" w:space="0" w:color="auto"/>
                <w:bottom w:val="none" w:sz="0" w:space="0" w:color="auto"/>
                <w:right w:val="none" w:sz="0" w:space="0" w:color="auto"/>
              </w:divBdr>
            </w:div>
            <w:div w:id="117339740">
              <w:marLeft w:val="0"/>
              <w:marRight w:val="0"/>
              <w:marTop w:val="0"/>
              <w:marBottom w:val="0"/>
              <w:divBdr>
                <w:top w:val="none" w:sz="0" w:space="0" w:color="auto"/>
                <w:left w:val="none" w:sz="0" w:space="0" w:color="auto"/>
                <w:bottom w:val="none" w:sz="0" w:space="0" w:color="auto"/>
                <w:right w:val="none" w:sz="0" w:space="0" w:color="auto"/>
              </w:divBdr>
            </w:div>
            <w:div w:id="122239219">
              <w:marLeft w:val="0"/>
              <w:marRight w:val="0"/>
              <w:marTop w:val="0"/>
              <w:marBottom w:val="0"/>
              <w:divBdr>
                <w:top w:val="none" w:sz="0" w:space="0" w:color="auto"/>
                <w:left w:val="none" w:sz="0" w:space="0" w:color="auto"/>
                <w:bottom w:val="none" w:sz="0" w:space="0" w:color="auto"/>
                <w:right w:val="none" w:sz="0" w:space="0" w:color="auto"/>
              </w:divBdr>
            </w:div>
            <w:div w:id="125048867">
              <w:marLeft w:val="0"/>
              <w:marRight w:val="0"/>
              <w:marTop w:val="0"/>
              <w:marBottom w:val="0"/>
              <w:divBdr>
                <w:top w:val="none" w:sz="0" w:space="0" w:color="auto"/>
                <w:left w:val="none" w:sz="0" w:space="0" w:color="auto"/>
                <w:bottom w:val="none" w:sz="0" w:space="0" w:color="auto"/>
                <w:right w:val="none" w:sz="0" w:space="0" w:color="auto"/>
              </w:divBdr>
            </w:div>
            <w:div w:id="130946335">
              <w:marLeft w:val="0"/>
              <w:marRight w:val="0"/>
              <w:marTop w:val="0"/>
              <w:marBottom w:val="0"/>
              <w:divBdr>
                <w:top w:val="none" w:sz="0" w:space="0" w:color="auto"/>
                <w:left w:val="none" w:sz="0" w:space="0" w:color="auto"/>
                <w:bottom w:val="none" w:sz="0" w:space="0" w:color="auto"/>
                <w:right w:val="none" w:sz="0" w:space="0" w:color="auto"/>
              </w:divBdr>
            </w:div>
            <w:div w:id="138882927">
              <w:marLeft w:val="0"/>
              <w:marRight w:val="0"/>
              <w:marTop w:val="0"/>
              <w:marBottom w:val="0"/>
              <w:divBdr>
                <w:top w:val="none" w:sz="0" w:space="0" w:color="auto"/>
                <w:left w:val="none" w:sz="0" w:space="0" w:color="auto"/>
                <w:bottom w:val="none" w:sz="0" w:space="0" w:color="auto"/>
                <w:right w:val="none" w:sz="0" w:space="0" w:color="auto"/>
              </w:divBdr>
            </w:div>
            <w:div w:id="193347966">
              <w:marLeft w:val="0"/>
              <w:marRight w:val="0"/>
              <w:marTop w:val="0"/>
              <w:marBottom w:val="0"/>
              <w:divBdr>
                <w:top w:val="none" w:sz="0" w:space="0" w:color="auto"/>
                <w:left w:val="none" w:sz="0" w:space="0" w:color="auto"/>
                <w:bottom w:val="none" w:sz="0" w:space="0" w:color="auto"/>
                <w:right w:val="none" w:sz="0" w:space="0" w:color="auto"/>
              </w:divBdr>
            </w:div>
            <w:div w:id="217664577">
              <w:marLeft w:val="0"/>
              <w:marRight w:val="0"/>
              <w:marTop w:val="0"/>
              <w:marBottom w:val="0"/>
              <w:divBdr>
                <w:top w:val="none" w:sz="0" w:space="0" w:color="auto"/>
                <w:left w:val="none" w:sz="0" w:space="0" w:color="auto"/>
                <w:bottom w:val="none" w:sz="0" w:space="0" w:color="auto"/>
                <w:right w:val="none" w:sz="0" w:space="0" w:color="auto"/>
              </w:divBdr>
            </w:div>
            <w:div w:id="222719861">
              <w:marLeft w:val="0"/>
              <w:marRight w:val="0"/>
              <w:marTop w:val="0"/>
              <w:marBottom w:val="0"/>
              <w:divBdr>
                <w:top w:val="none" w:sz="0" w:space="0" w:color="auto"/>
                <w:left w:val="none" w:sz="0" w:space="0" w:color="auto"/>
                <w:bottom w:val="none" w:sz="0" w:space="0" w:color="auto"/>
                <w:right w:val="none" w:sz="0" w:space="0" w:color="auto"/>
              </w:divBdr>
            </w:div>
            <w:div w:id="223108745">
              <w:marLeft w:val="0"/>
              <w:marRight w:val="0"/>
              <w:marTop w:val="0"/>
              <w:marBottom w:val="0"/>
              <w:divBdr>
                <w:top w:val="none" w:sz="0" w:space="0" w:color="auto"/>
                <w:left w:val="none" w:sz="0" w:space="0" w:color="auto"/>
                <w:bottom w:val="none" w:sz="0" w:space="0" w:color="auto"/>
                <w:right w:val="none" w:sz="0" w:space="0" w:color="auto"/>
              </w:divBdr>
            </w:div>
            <w:div w:id="238448621">
              <w:marLeft w:val="0"/>
              <w:marRight w:val="0"/>
              <w:marTop w:val="0"/>
              <w:marBottom w:val="0"/>
              <w:divBdr>
                <w:top w:val="none" w:sz="0" w:space="0" w:color="auto"/>
                <w:left w:val="none" w:sz="0" w:space="0" w:color="auto"/>
                <w:bottom w:val="none" w:sz="0" w:space="0" w:color="auto"/>
                <w:right w:val="none" w:sz="0" w:space="0" w:color="auto"/>
              </w:divBdr>
            </w:div>
            <w:div w:id="241573248">
              <w:marLeft w:val="0"/>
              <w:marRight w:val="0"/>
              <w:marTop w:val="0"/>
              <w:marBottom w:val="0"/>
              <w:divBdr>
                <w:top w:val="none" w:sz="0" w:space="0" w:color="auto"/>
                <w:left w:val="none" w:sz="0" w:space="0" w:color="auto"/>
                <w:bottom w:val="none" w:sz="0" w:space="0" w:color="auto"/>
                <w:right w:val="none" w:sz="0" w:space="0" w:color="auto"/>
              </w:divBdr>
            </w:div>
            <w:div w:id="264920620">
              <w:marLeft w:val="0"/>
              <w:marRight w:val="0"/>
              <w:marTop w:val="0"/>
              <w:marBottom w:val="0"/>
              <w:divBdr>
                <w:top w:val="none" w:sz="0" w:space="0" w:color="auto"/>
                <w:left w:val="none" w:sz="0" w:space="0" w:color="auto"/>
                <w:bottom w:val="none" w:sz="0" w:space="0" w:color="auto"/>
                <w:right w:val="none" w:sz="0" w:space="0" w:color="auto"/>
              </w:divBdr>
            </w:div>
            <w:div w:id="282732963">
              <w:marLeft w:val="0"/>
              <w:marRight w:val="0"/>
              <w:marTop w:val="0"/>
              <w:marBottom w:val="0"/>
              <w:divBdr>
                <w:top w:val="none" w:sz="0" w:space="0" w:color="auto"/>
                <w:left w:val="none" w:sz="0" w:space="0" w:color="auto"/>
                <w:bottom w:val="none" w:sz="0" w:space="0" w:color="auto"/>
                <w:right w:val="none" w:sz="0" w:space="0" w:color="auto"/>
              </w:divBdr>
            </w:div>
            <w:div w:id="287519043">
              <w:marLeft w:val="0"/>
              <w:marRight w:val="0"/>
              <w:marTop w:val="0"/>
              <w:marBottom w:val="0"/>
              <w:divBdr>
                <w:top w:val="none" w:sz="0" w:space="0" w:color="auto"/>
                <w:left w:val="none" w:sz="0" w:space="0" w:color="auto"/>
                <w:bottom w:val="none" w:sz="0" w:space="0" w:color="auto"/>
                <w:right w:val="none" w:sz="0" w:space="0" w:color="auto"/>
              </w:divBdr>
            </w:div>
            <w:div w:id="288705222">
              <w:marLeft w:val="0"/>
              <w:marRight w:val="0"/>
              <w:marTop w:val="0"/>
              <w:marBottom w:val="0"/>
              <w:divBdr>
                <w:top w:val="none" w:sz="0" w:space="0" w:color="auto"/>
                <w:left w:val="none" w:sz="0" w:space="0" w:color="auto"/>
                <w:bottom w:val="none" w:sz="0" w:space="0" w:color="auto"/>
                <w:right w:val="none" w:sz="0" w:space="0" w:color="auto"/>
              </w:divBdr>
            </w:div>
            <w:div w:id="324404745">
              <w:marLeft w:val="0"/>
              <w:marRight w:val="0"/>
              <w:marTop w:val="0"/>
              <w:marBottom w:val="0"/>
              <w:divBdr>
                <w:top w:val="none" w:sz="0" w:space="0" w:color="auto"/>
                <w:left w:val="none" w:sz="0" w:space="0" w:color="auto"/>
                <w:bottom w:val="none" w:sz="0" w:space="0" w:color="auto"/>
                <w:right w:val="none" w:sz="0" w:space="0" w:color="auto"/>
              </w:divBdr>
            </w:div>
            <w:div w:id="325669325">
              <w:marLeft w:val="0"/>
              <w:marRight w:val="0"/>
              <w:marTop w:val="0"/>
              <w:marBottom w:val="0"/>
              <w:divBdr>
                <w:top w:val="none" w:sz="0" w:space="0" w:color="auto"/>
                <w:left w:val="none" w:sz="0" w:space="0" w:color="auto"/>
                <w:bottom w:val="none" w:sz="0" w:space="0" w:color="auto"/>
                <w:right w:val="none" w:sz="0" w:space="0" w:color="auto"/>
              </w:divBdr>
            </w:div>
            <w:div w:id="353072545">
              <w:marLeft w:val="0"/>
              <w:marRight w:val="0"/>
              <w:marTop w:val="0"/>
              <w:marBottom w:val="0"/>
              <w:divBdr>
                <w:top w:val="none" w:sz="0" w:space="0" w:color="auto"/>
                <w:left w:val="none" w:sz="0" w:space="0" w:color="auto"/>
                <w:bottom w:val="none" w:sz="0" w:space="0" w:color="auto"/>
                <w:right w:val="none" w:sz="0" w:space="0" w:color="auto"/>
              </w:divBdr>
            </w:div>
            <w:div w:id="363140939">
              <w:marLeft w:val="0"/>
              <w:marRight w:val="0"/>
              <w:marTop w:val="0"/>
              <w:marBottom w:val="0"/>
              <w:divBdr>
                <w:top w:val="none" w:sz="0" w:space="0" w:color="auto"/>
                <w:left w:val="none" w:sz="0" w:space="0" w:color="auto"/>
                <w:bottom w:val="none" w:sz="0" w:space="0" w:color="auto"/>
                <w:right w:val="none" w:sz="0" w:space="0" w:color="auto"/>
              </w:divBdr>
            </w:div>
            <w:div w:id="363284961">
              <w:marLeft w:val="0"/>
              <w:marRight w:val="0"/>
              <w:marTop w:val="0"/>
              <w:marBottom w:val="0"/>
              <w:divBdr>
                <w:top w:val="none" w:sz="0" w:space="0" w:color="auto"/>
                <w:left w:val="none" w:sz="0" w:space="0" w:color="auto"/>
                <w:bottom w:val="none" w:sz="0" w:space="0" w:color="auto"/>
                <w:right w:val="none" w:sz="0" w:space="0" w:color="auto"/>
              </w:divBdr>
            </w:div>
            <w:div w:id="379403008">
              <w:marLeft w:val="0"/>
              <w:marRight w:val="0"/>
              <w:marTop w:val="0"/>
              <w:marBottom w:val="0"/>
              <w:divBdr>
                <w:top w:val="none" w:sz="0" w:space="0" w:color="auto"/>
                <w:left w:val="none" w:sz="0" w:space="0" w:color="auto"/>
                <w:bottom w:val="none" w:sz="0" w:space="0" w:color="auto"/>
                <w:right w:val="none" w:sz="0" w:space="0" w:color="auto"/>
              </w:divBdr>
            </w:div>
            <w:div w:id="390273825">
              <w:marLeft w:val="0"/>
              <w:marRight w:val="0"/>
              <w:marTop w:val="0"/>
              <w:marBottom w:val="0"/>
              <w:divBdr>
                <w:top w:val="none" w:sz="0" w:space="0" w:color="auto"/>
                <w:left w:val="none" w:sz="0" w:space="0" w:color="auto"/>
                <w:bottom w:val="none" w:sz="0" w:space="0" w:color="auto"/>
                <w:right w:val="none" w:sz="0" w:space="0" w:color="auto"/>
              </w:divBdr>
            </w:div>
            <w:div w:id="396904781">
              <w:marLeft w:val="0"/>
              <w:marRight w:val="0"/>
              <w:marTop w:val="0"/>
              <w:marBottom w:val="0"/>
              <w:divBdr>
                <w:top w:val="none" w:sz="0" w:space="0" w:color="auto"/>
                <w:left w:val="none" w:sz="0" w:space="0" w:color="auto"/>
                <w:bottom w:val="none" w:sz="0" w:space="0" w:color="auto"/>
                <w:right w:val="none" w:sz="0" w:space="0" w:color="auto"/>
              </w:divBdr>
            </w:div>
            <w:div w:id="399712432">
              <w:marLeft w:val="0"/>
              <w:marRight w:val="0"/>
              <w:marTop w:val="0"/>
              <w:marBottom w:val="0"/>
              <w:divBdr>
                <w:top w:val="none" w:sz="0" w:space="0" w:color="auto"/>
                <w:left w:val="none" w:sz="0" w:space="0" w:color="auto"/>
                <w:bottom w:val="none" w:sz="0" w:space="0" w:color="auto"/>
                <w:right w:val="none" w:sz="0" w:space="0" w:color="auto"/>
              </w:divBdr>
            </w:div>
            <w:div w:id="419982614">
              <w:marLeft w:val="0"/>
              <w:marRight w:val="0"/>
              <w:marTop w:val="0"/>
              <w:marBottom w:val="0"/>
              <w:divBdr>
                <w:top w:val="none" w:sz="0" w:space="0" w:color="auto"/>
                <w:left w:val="none" w:sz="0" w:space="0" w:color="auto"/>
                <w:bottom w:val="none" w:sz="0" w:space="0" w:color="auto"/>
                <w:right w:val="none" w:sz="0" w:space="0" w:color="auto"/>
              </w:divBdr>
            </w:div>
            <w:div w:id="430786956">
              <w:marLeft w:val="0"/>
              <w:marRight w:val="0"/>
              <w:marTop w:val="0"/>
              <w:marBottom w:val="0"/>
              <w:divBdr>
                <w:top w:val="none" w:sz="0" w:space="0" w:color="auto"/>
                <w:left w:val="none" w:sz="0" w:space="0" w:color="auto"/>
                <w:bottom w:val="none" w:sz="0" w:space="0" w:color="auto"/>
                <w:right w:val="none" w:sz="0" w:space="0" w:color="auto"/>
              </w:divBdr>
            </w:div>
            <w:div w:id="437067716">
              <w:marLeft w:val="0"/>
              <w:marRight w:val="0"/>
              <w:marTop w:val="0"/>
              <w:marBottom w:val="0"/>
              <w:divBdr>
                <w:top w:val="none" w:sz="0" w:space="0" w:color="auto"/>
                <w:left w:val="none" w:sz="0" w:space="0" w:color="auto"/>
                <w:bottom w:val="none" w:sz="0" w:space="0" w:color="auto"/>
                <w:right w:val="none" w:sz="0" w:space="0" w:color="auto"/>
              </w:divBdr>
            </w:div>
            <w:div w:id="438649104">
              <w:marLeft w:val="0"/>
              <w:marRight w:val="0"/>
              <w:marTop w:val="0"/>
              <w:marBottom w:val="0"/>
              <w:divBdr>
                <w:top w:val="none" w:sz="0" w:space="0" w:color="auto"/>
                <w:left w:val="none" w:sz="0" w:space="0" w:color="auto"/>
                <w:bottom w:val="none" w:sz="0" w:space="0" w:color="auto"/>
                <w:right w:val="none" w:sz="0" w:space="0" w:color="auto"/>
              </w:divBdr>
            </w:div>
            <w:div w:id="445007877">
              <w:marLeft w:val="0"/>
              <w:marRight w:val="0"/>
              <w:marTop w:val="0"/>
              <w:marBottom w:val="0"/>
              <w:divBdr>
                <w:top w:val="none" w:sz="0" w:space="0" w:color="auto"/>
                <w:left w:val="none" w:sz="0" w:space="0" w:color="auto"/>
                <w:bottom w:val="none" w:sz="0" w:space="0" w:color="auto"/>
                <w:right w:val="none" w:sz="0" w:space="0" w:color="auto"/>
              </w:divBdr>
            </w:div>
            <w:div w:id="453445398">
              <w:marLeft w:val="0"/>
              <w:marRight w:val="0"/>
              <w:marTop w:val="0"/>
              <w:marBottom w:val="0"/>
              <w:divBdr>
                <w:top w:val="none" w:sz="0" w:space="0" w:color="auto"/>
                <w:left w:val="none" w:sz="0" w:space="0" w:color="auto"/>
                <w:bottom w:val="none" w:sz="0" w:space="0" w:color="auto"/>
                <w:right w:val="none" w:sz="0" w:space="0" w:color="auto"/>
              </w:divBdr>
            </w:div>
            <w:div w:id="460609301">
              <w:marLeft w:val="0"/>
              <w:marRight w:val="0"/>
              <w:marTop w:val="0"/>
              <w:marBottom w:val="0"/>
              <w:divBdr>
                <w:top w:val="none" w:sz="0" w:space="0" w:color="auto"/>
                <w:left w:val="none" w:sz="0" w:space="0" w:color="auto"/>
                <w:bottom w:val="none" w:sz="0" w:space="0" w:color="auto"/>
                <w:right w:val="none" w:sz="0" w:space="0" w:color="auto"/>
              </w:divBdr>
            </w:div>
            <w:div w:id="474952950">
              <w:marLeft w:val="0"/>
              <w:marRight w:val="0"/>
              <w:marTop w:val="0"/>
              <w:marBottom w:val="0"/>
              <w:divBdr>
                <w:top w:val="none" w:sz="0" w:space="0" w:color="auto"/>
                <w:left w:val="none" w:sz="0" w:space="0" w:color="auto"/>
                <w:bottom w:val="none" w:sz="0" w:space="0" w:color="auto"/>
                <w:right w:val="none" w:sz="0" w:space="0" w:color="auto"/>
              </w:divBdr>
            </w:div>
            <w:div w:id="559634481">
              <w:marLeft w:val="0"/>
              <w:marRight w:val="0"/>
              <w:marTop w:val="0"/>
              <w:marBottom w:val="0"/>
              <w:divBdr>
                <w:top w:val="none" w:sz="0" w:space="0" w:color="auto"/>
                <w:left w:val="none" w:sz="0" w:space="0" w:color="auto"/>
                <w:bottom w:val="none" w:sz="0" w:space="0" w:color="auto"/>
                <w:right w:val="none" w:sz="0" w:space="0" w:color="auto"/>
              </w:divBdr>
            </w:div>
            <w:div w:id="567158035">
              <w:marLeft w:val="0"/>
              <w:marRight w:val="0"/>
              <w:marTop w:val="0"/>
              <w:marBottom w:val="0"/>
              <w:divBdr>
                <w:top w:val="none" w:sz="0" w:space="0" w:color="auto"/>
                <w:left w:val="none" w:sz="0" w:space="0" w:color="auto"/>
                <w:bottom w:val="none" w:sz="0" w:space="0" w:color="auto"/>
                <w:right w:val="none" w:sz="0" w:space="0" w:color="auto"/>
              </w:divBdr>
            </w:div>
            <w:div w:id="577981418">
              <w:marLeft w:val="0"/>
              <w:marRight w:val="0"/>
              <w:marTop w:val="0"/>
              <w:marBottom w:val="0"/>
              <w:divBdr>
                <w:top w:val="none" w:sz="0" w:space="0" w:color="auto"/>
                <w:left w:val="none" w:sz="0" w:space="0" w:color="auto"/>
                <w:bottom w:val="none" w:sz="0" w:space="0" w:color="auto"/>
                <w:right w:val="none" w:sz="0" w:space="0" w:color="auto"/>
              </w:divBdr>
            </w:div>
            <w:div w:id="647900809">
              <w:marLeft w:val="0"/>
              <w:marRight w:val="0"/>
              <w:marTop w:val="0"/>
              <w:marBottom w:val="0"/>
              <w:divBdr>
                <w:top w:val="none" w:sz="0" w:space="0" w:color="auto"/>
                <w:left w:val="none" w:sz="0" w:space="0" w:color="auto"/>
                <w:bottom w:val="none" w:sz="0" w:space="0" w:color="auto"/>
                <w:right w:val="none" w:sz="0" w:space="0" w:color="auto"/>
              </w:divBdr>
            </w:div>
            <w:div w:id="650447448">
              <w:marLeft w:val="0"/>
              <w:marRight w:val="0"/>
              <w:marTop w:val="0"/>
              <w:marBottom w:val="0"/>
              <w:divBdr>
                <w:top w:val="none" w:sz="0" w:space="0" w:color="auto"/>
                <w:left w:val="none" w:sz="0" w:space="0" w:color="auto"/>
                <w:bottom w:val="none" w:sz="0" w:space="0" w:color="auto"/>
                <w:right w:val="none" w:sz="0" w:space="0" w:color="auto"/>
              </w:divBdr>
            </w:div>
            <w:div w:id="655382911">
              <w:marLeft w:val="0"/>
              <w:marRight w:val="0"/>
              <w:marTop w:val="0"/>
              <w:marBottom w:val="0"/>
              <w:divBdr>
                <w:top w:val="none" w:sz="0" w:space="0" w:color="auto"/>
                <w:left w:val="none" w:sz="0" w:space="0" w:color="auto"/>
                <w:bottom w:val="none" w:sz="0" w:space="0" w:color="auto"/>
                <w:right w:val="none" w:sz="0" w:space="0" w:color="auto"/>
              </w:divBdr>
            </w:div>
            <w:div w:id="709190105">
              <w:marLeft w:val="0"/>
              <w:marRight w:val="0"/>
              <w:marTop w:val="0"/>
              <w:marBottom w:val="0"/>
              <w:divBdr>
                <w:top w:val="none" w:sz="0" w:space="0" w:color="auto"/>
                <w:left w:val="none" w:sz="0" w:space="0" w:color="auto"/>
                <w:bottom w:val="none" w:sz="0" w:space="0" w:color="auto"/>
                <w:right w:val="none" w:sz="0" w:space="0" w:color="auto"/>
              </w:divBdr>
            </w:div>
            <w:div w:id="754715815">
              <w:marLeft w:val="0"/>
              <w:marRight w:val="0"/>
              <w:marTop w:val="0"/>
              <w:marBottom w:val="0"/>
              <w:divBdr>
                <w:top w:val="none" w:sz="0" w:space="0" w:color="auto"/>
                <w:left w:val="none" w:sz="0" w:space="0" w:color="auto"/>
                <w:bottom w:val="none" w:sz="0" w:space="0" w:color="auto"/>
                <w:right w:val="none" w:sz="0" w:space="0" w:color="auto"/>
              </w:divBdr>
            </w:div>
            <w:div w:id="755978755">
              <w:marLeft w:val="0"/>
              <w:marRight w:val="0"/>
              <w:marTop w:val="0"/>
              <w:marBottom w:val="0"/>
              <w:divBdr>
                <w:top w:val="none" w:sz="0" w:space="0" w:color="auto"/>
                <w:left w:val="none" w:sz="0" w:space="0" w:color="auto"/>
                <w:bottom w:val="none" w:sz="0" w:space="0" w:color="auto"/>
                <w:right w:val="none" w:sz="0" w:space="0" w:color="auto"/>
              </w:divBdr>
            </w:div>
            <w:div w:id="790396371">
              <w:marLeft w:val="0"/>
              <w:marRight w:val="0"/>
              <w:marTop w:val="0"/>
              <w:marBottom w:val="0"/>
              <w:divBdr>
                <w:top w:val="none" w:sz="0" w:space="0" w:color="auto"/>
                <w:left w:val="none" w:sz="0" w:space="0" w:color="auto"/>
                <w:bottom w:val="none" w:sz="0" w:space="0" w:color="auto"/>
                <w:right w:val="none" w:sz="0" w:space="0" w:color="auto"/>
              </w:divBdr>
            </w:div>
            <w:div w:id="805659543">
              <w:marLeft w:val="0"/>
              <w:marRight w:val="0"/>
              <w:marTop w:val="0"/>
              <w:marBottom w:val="0"/>
              <w:divBdr>
                <w:top w:val="none" w:sz="0" w:space="0" w:color="auto"/>
                <w:left w:val="none" w:sz="0" w:space="0" w:color="auto"/>
                <w:bottom w:val="none" w:sz="0" w:space="0" w:color="auto"/>
                <w:right w:val="none" w:sz="0" w:space="0" w:color="auto"/>
              </w:divBdr>
            </w:div>
            <w:div w:id="826898616">
              <w:marLeft w:val="0"/>
              <w:marRight w:val="0"/>
              <w:marTop w:val="0"/>
              <w:marBottom w:val="0"/>
              <w:divBdr>
                <w:top w:val="none" w:sz="0" w:space="0" w:color="auto"/>
                <w:left w:val="none" w:sz="0" w:space="0" w:color="auto"/>
                <w:bottom w:val="none" w:sz="0" w:space="0" w:color="auto"/>
                <w:right w:val="none" w:sz="0" w:space="0" w:color="auto"/>
              </w:divBdr>
            </w:div>
            <w:div w:id="832255974">
              <w:marLeft w:val="0"/>
              <w:marRight w:val="0"/>
              <w:marTop w:val="0"/>
              <w:marBottom w:val="0"/>
              <w:divBdr>
                <w:top w:val="none" w:sz="0" w:space="0" w:color="auto"/>
                <w:left w:val="none" w:sz="0" w:space="0" w:color="auto"/>
                <w:bottom w:val="none" w:sz="0" w:space="0" w:color="auto"/>
                <w:right w:val="none" w:sz="0" w:space="0" w:color="auto"/>
              </w:divBdr>
            </w:div>
            <w:div w:id="840974863">
              <w:marLeft w:val="0"/>
              <w:marRight w:val="0"/>
              <w:marTop w:val="0"/>
              <w:marBottom w:val="0"/>
              <w:divBdr>
                <w:top w:val="none" w:sz="0" w:space="0" w:color="auto"/>
                <w:left w:val="none" w:sz="0" w:space="0" w:color="auto"/>
                <w:bottom w:val="none" w:sz="0" w:space="0" w:color="auto"/>
                <w:right w:val="none" w:sz="0" w:space="0" w:color="auto"/>
              </w:divBdr>
            </w:div>
            <w:div w:id="861624601">
              <w:marLeft w:val="0"/>
              <w:marRight w:val="0"/>
              <w:marTop w:val="0"/>
              <w:marBottom w:val="0"/>
              <w:divBdr>
                <w:top w:val="none" w:sz="0" w:space="0" w:color="auto"/>
                <w:left w:val="none" w:sz="0" w:space="0" w:color="auto"/>
                <w:bottom w:val="none" w:sz="0" w:space="0" w:color="auto"/>
                <w:right w:val="none" w:sz="0" w:space="0" w:color="auto"/>
              </w:divBdr>
            </w:div>
            <w:div w:id="877544365">
              <w:marLeft w:val="0"/>
              <w:marRight w:val="0"/>
              <w:marTop w:val="0"/>
              <w:marBottom w:val="0"/>
              <w:divBdr>
                <w:top w:val="none" w:sz="0" w:space="0" w:color="auto"/>
                <w:left w:val="none" w:sz="0" w:space="0" w:color="auto"/>
                <w:bottom w:val="none" w:sz="0" w:space="0" w:color="auto"/>
                <w:right w:val="none" w:sz="0" w:space="0" w:color="auto"/>
              </w:divBdr>
            </w:div>
            <w:div w:id="884023836">
              <w:marLeft w:val="0"/>
              <w:marRight w:val="0"/>
              <w:marTop w:val="0"/>
              <w:marBottom w:val="0"/>
              <w:divBdr>
                <w:top w:val="none" w:sz="0" w:space="0" w:color="auto"/>
                <w:left w:val="none" w:sz="0" w:space="0" w:color="auto"/>
                <w:bottom w:val="none" w:sz="0" w:space="0" w:color="auto"/>
                <w:right w:val="none" w:sz="0" w:space="0" w:color="auto"/>
              </w:divBdr>
            </w:div>
            <w:div w:id="890651519">
              <w:marLeft w:val="0"/>
              <w:marRight w:val="0"/>
              <w:marTop w:val="0"/>
              <w:marBottom w:val="0"/>
              <w:divBdr>
                <w:top w:val="none" w:sz="0" w:space="0" w:color="auto"/>
                <w:left w:val="none" w:sz="0" w:space="0" w:color="auto"/>
                <w:bottom w:val="none" w:sz="0" w:space="0" w:color="auto"/>
                <w:right w:val="none" w:sz="0" w:space="0" w:color="auto"/>
              </w:divBdr>
            </w:div>
            <w:div w:id="916551485">
              <w:marLeft w:val="0"/>
              <w:marRight w:val="0"/>
              <w:marTop w:val="0"/>
              <w:marBottom w:val="0"/>
              <w:divBdr>
                <w:top w:val="none" w:sz="0" w:space="0" w:color="auto"/>
                <w:left w:val="none" w:sz="0" w:space="0" w:color="auto"/>
                <w:bottom w:val="none" w:sz="0" w:space="0" w:color="auto"/>
                <w:right w:val="none" w:sz="0" w:space="0" w:color="auto"/>
              </w:divBdr>
            </w:div>
            <w:div w:id="926772972">
              <w:marLeft w:val="0"/>
              <w:marRight w:val="0"/>
              <w:marTop w:val="0"/>
              <w:marBottom w:val="0"/>
              <w:divBdr>
                <w:top w:val="none" w:sz="0" w:space="0" w:color="auto"/>
                <w:left w:val="none" w:sz="0" w:space="0" w:color="auto"/>
                <w:bottom w:val="none" w:sz="0" w:space="0" w:color="auto"/>
                <w:right w:val="none" w:sz="0" w:space="0" w:color="auto"/>
              </w:divBdr>
            </w:div>
            <w:div w:id="929385919">
              <w:marLeft w:val="0"/>
              <w:marRight w:val="0"/>
              <w:marTop w:val="0"/>
              <w:marBottom w:val="0"/>
              <w:divBdr>
                <w:top w:val="none" w:sz="0" w:space="0" w:color="auto"/>
                <w:left w:val="none" w:sz="0" w:space="0" w:color="auto"/>
                <w:bottom w:val="none" w:sz="0" w:space="0" w:color="auto"/>
                <w:right w:val="none" w:sz="0" w:space="0" w:color="auto"/>
              </w:divBdr>
            </w:div>
            <w:div w:id="955526262">
              <w:marLeft w:val="0"/>
              <w:marRight w:val="0"/>
              <w:marTop w:val="0"/>
              <w:marBottom w:val="0"/>
              <w:divBdr>
                <w:top w:val="none" w:sz="0" w:space="0" w:color="auto"/>
                <w:left w:val="none" w:sz="0" w:space="0" w:color="auto"/>
                <w:bottom w:val="none" w:sz="0" w:space="0" w:color="auto"/>
                <w:right w:val="none" w:sz="0" w:space="0" w:color="auto"/>
              </w:divBdr>
            </w:div>
            <w:div w:id="995261413">
              <w:marLeft w:val="0"/>
              <w:marRight w:val="0"/>
              <w:marTop w:val="0"/>
              <w:marBottom w:val="0"/>
              <w:divBdr>
                <w:top w:val="none" w:sz="0" w:space="0" w:color="auto"/>
                <w:left w:val="none" w:sz="0" w:space="0" w:color="auto"/>
                <w:bottom w:val="none" w:sz="0" w:space="0" w:color="auto"/>
                <w:right w:val="none" w:sz="0" w:space="0" w:color="auto"/>
              </w:divBdr>
            </w:div>
            <w:div w:id="1034496630">
              <w:marLeft w:val="0"/>
              <w:marRight w:val="0"/>
              <w:marTop w:val="0"/>
              <w:marBottom w:val="0"/>
              <w:divBdr>
                <w:top w:val="none" w:sz="0" w:space="0" w:color="auto"/>
                <w:left w:val="none" w:sz="0" w:space="0" w:color="auto"/>
                <w:bottom w:val="none" w:sz="0" w:space="0" w:color="auto"/>
                <w:right w:val="none" w:sz="0" w:space="0" w:color="auto"/>
              </w:divBdr>
            </w:div>
            <w:div w:id="1087918993">
              <w:marLeft w:val="0"/>
              <w:marRight w:val="0"/>
              <w:marTop w:val="0"/>
              <w:marBottom w:val="0"/>
              <w:divBdr>
                <w:top w:val="none" w:sz="0" w:space="0" w:color="auto"/>
                <w:left w:val="none" w:sz="0" w:space="0" w:color="auto"/>
                <w:bottom w:val="none" w:sz="0" w:space="0" w:color="auto"/>
                <w:right w:val="none" w:sz="0" w:space="0" w:color="auto"/>
              </w:divBdr>
            </w:div>
            <w:div w:id="1098797258">
              <w:marLeft w:val="0"/>
              <w:marRight w:val="0"/>
              <w:marTop w:val="0"/>
              <w:marBottom w:val="0"/>
              <w:divBdr>
                <w:top w:val="none" w:sz="0" w:space="0" w:color="auto"/>
                <w:left w:val="none" w:sz="0" w:space="0" w:color="auto"/>
                <w:bottom w:val="none" w:sz="0" w:space="0" w:color="auto"/>
                <w:right w:val="none" w:sz="0" w:space="0" w:color="auto"/>
              </w:divBdr>
            </w:div>
            <w:div w:id="1119110346">
              <w:marLeft w:val="0"/>
              <w:marRight w:val="0"/>
              <w:marTop w:val="0"/>
              <w:marBottom w:val="0"/>
              <w:divBdr>
                <w:top w:val="none" w:sz="0" w:space="0" w:color="auto"/>
                <w:left w:val="none" w:sz="0" w:space="0" w:color="auto"/>
                <w:bottom w:val="none" w:sz="0" w:space="0" w:color="auto"/>
                <w:right w:val="none" w:sz="0" w:space="0" w:color="auto"/>
              </w:divBdr>
            </w:div>
            <w:div w:id="1124926430">
              <w:marLeft w:val="0"/>
              <w:marRight w:val="0"/>
              <w:marTop w:val="0"/>
              <w:marBottom w:val="0"/>
              <w:divBdr>
                <w:top w:val="none" w:sz="0" w:space="0" w:color="auto"/>
                <w:left w:val="none" w:sz="0" w:space="0" w:color="auto"/>
                <w:bottom w:val="none" w:sz="0" w:space="0" w:color="auto"/>
                <w:right w:val="none" w:sz="0" w:space="0" w:color="auto"/>
              </w:divBdr>
            </w:div>
            <w:div w:id="1129083317">
              <w:marLeft w:val="0"/>
              <w:marRight w:val="0"/>
              <w:marTop w:val="0"/>
              <w:marBottom w:val="0"/>
              <w:divBdr>
                <w:top w:val="none" w:sz="0" w:space="0" w:color="auto"/>
                <w:left w:val="none" w:sz="0" w:space="0" w:color="auto"/>
                <w:bottom w:val="none" w:sz="0" w:space="0" w:color="auto"/>
                <w:right w:val="none" w:sz="0" w:space="0" w:color="auto"/>
              </w:divBdr>
            </w:div>
            <w:div w:id="1134910536">
              <w:marLeft w:val="0"/>
              <w:marRight w:val="0"/>
              <w:marTop w:val="0"/>
              <w:marBottom w:val="0"/>
              <w:divBdr>
                <w:top w:val="none" w:sz="0" w:space="0" w:color="auto"/>
                <w:left w:val="none" w:sz="0" w:space="0" w:color="auto"/>
                <w:bottom w:val="none" w:sz="0" w:space="0" w:color="auto"/>
                <w:right w:val="none" w:sz="0" w:space="0" w:color="auto"/>
              </w:divBdr>
            </w:div>
            <w:div w:id="1167479624">
              <w:marLeft w:val="0"/>
              <w:marRight w:val="0"/>
              <w:marTop w:val="0"/>
              <w:marBottom w:val="0"/>
              <w:divBdr>
                <w:top w:val="none" w:sz="0" w:space="0" w:color="auto"/>
                <w:left w:val="none" w:sz="0" w:space="0" w:color="auto"/>
                <w:bottom w:val="none" w:sz="0" w:space="0" w:color="auto"/>
                <w:right w:val="none" w:sz="0" w:space="0" w:color="auto"/>
              </w:divBdr>
            </w:div>
            <w:div w:id="1172181541">
              <w:marLeft w:val="0"/>
              <w:marRight w:val="0"/>
              <w:marTop w:val="0"/>
              <w:marBottom w:val="0"/>
              <w:divBdr>
                <w:top w:val="none" w:sz="0" w:space="0" w:color="auto"/>
                <w:left w:val="none" w:sz="0" w:space="0" w:color="auto"/>
                <w:bottom w:val="none" w:sz="0" w:space="0" w:color="auto"/>
                <w:right w:val="none" w:sz="0" w:space="0" w:color="auto"/>
              </w:divBdr>
            </w:div>
            <w:div w:id="1181428136">
              <w:marLeft w:val="0"/>
              <w:marRight w:val="0"/>
              <w:marTop w:val="0"/>
              <w:marBottom w:val="0"/>
              <w:divBdr>
                <w:top w:val="none" w:sz="0" w:space="0" w:color="auto"/>
                <w:left w:val="none" w:sz="0" w:space="0" w:color="auto"/>
                <w:bottom w:val="none" w:sz="0" w:space="0" w:color="auto"/>
                <w:right w:val="none" w:sz="0" w:space="0" w:color="auto"/>
              </w:divBdr>
            </w:div>
            <w:div w:id="1209491749">
              <w:marLeft w:val="0"/>
              <w:marRight w:val="0"/>
              <w:marTop w:val="0"/>
              <w:marBottom w:val="0"/>
              <w:divBdr>
                <w:top w:val="none" w:sz="0" w:space="0" w:color="auto"/>
                <w:left w:val="none" w:sz="0" w:space="0" w:color="auto"/>
                <w:bottom w:val="none" w:sz="0" w:space="0" w:color="auto"/>
                <w:right w:val="none" w:sz="0" w:space="0" w:color="auto"/>
              </w:divBdr>
            </w:div>
            <w:div w:id="1213079389">
              <w:marLeft w:val="0"/>
              <w:marRight w:val="0"/>
              <w:marTop w:val="0"/>
              <w:marBottom w:val="0"/>
              <w:divBdr>
                <w:top w:val="none" w:sz="0" w:space="0" w:color="auto"/>
                <w:left w:val="none" w:sz="0" w:space="0" w:color="auto"/>
                <w:bottom w:val="none" w:sz="0" w:space="0" w:color="auto"/>
                <w:right w:val="none" w:sz="0" w:space="0" w:color="auto"/>
              </w:divBdr>
            </w:div>
            <w:div w:id="1222181600">
              <w:marLeft w:val="0"/>
              <w:marRight w:val="0"/>
              <w:marTop w:val="0"/>
              <w:marBottom w:val="0"/>
              <w:divBdr>
                <w:top w:val="none" w:sz="0" w:space="0" w:color="auto"/>
                <w:left w:val="none" w:sz="0" w:space="0" w:color="auto"/>
                <w:bottom w:val="none" w:sz="0" w:space="0" w:color="auto"/>
                <w:right w:val="none" w:sz="0" w:space="0" w:color="auto"/>
              </w:divBdr>
            </w:div>
            <w:div w:id="1272318146">
              <w:marLeft w:val="0"/>
              <w:marRight w:val="0"/>
              <w:marTop w:val="0"/>
              <w:marBottom w:val="0"/>
              <w:divBdr>
                <w:top w:val="none" w:sz="0" w:space="0" w:color="auto"/>
                <w:left w:val="none" w:sz="0" w:space="0" w:color="auto"/>
                <w:bottom w:val="none" w:sz="0" w:space="0" w:color="auto"/>
                <w:right w:val="none" w:sz="0" w:space="0" w:color="auto"/>
              </w:divBdr>
            </w:div>
            <w:div w:id="1280188145">
              <w:marLeft w:val="0"/>
              <w:marRight w:val="0"/>
              <w:marTop w:val="0"/>
              <w:marBottom w:val="0"/>
              <w:divBdr>
                <w:top w:val="none" w:sz="0" w:space="0" w:color="auto"/>
                <w:left w:val="none" w:sz="0" w:space="0" w:color="auto"/>
                <w:bottom w:val="none" w:sz="0" w:space="0" w:color="auto"/>
                <w:right w:val="none" w:sz="0" w:space="0" w:color="auto"/>
              </w:divBdr>
            </w:div>
            <w:div w:id="1284461574">
              <w:marLeft w:val="0"/>
              <w:marRight w:val="0"/>
              <w:marTop w:val="0"/>
              <w:marBottom w:val="0"/>
              <w:divBdr>
                <w:top w:val="none" w:sz="0" w:space="0" w:color="auto"/>
                <w:left w:val="none" w:sz="0" w:space="0" w:color="auto"/>
                <w:bottom w:val="none" w:sz="0" w:space="0" w:color="auto"/>
                <w:right w:val="none" w:sz="0" w:space="0" w:color="auto"/>
              </w:divBdr>
            </w:div>
            <w:div w:id="1298603659">
              <w:marLeft w:val="0"/>
              <w:marRight w:val="0"/>
              <w:marTop w:val="0"/>
              <w:marBottom w:val="0"/>
              <w:divBdr>
                <w:top w:val="none" w:sz="0" w:space="0" w:color="auto"/>
                <w:left w:val="none" w:sz="0" w:space="0" w:color="auto"/>
                <w:bottom w:val="none" w:sz="0" w:space="0" w:color="auto"/>
                <w:right w:val="none" w:sz="0" w:space="0" w:color="auto"/>
              </w:divBdr>
            </w:div>
            <w:div w:id="1304315471">
              <w:marLeft w:val="0"/>
              <w:marRight w:val="0"/>
              <w:marTop w:val="0"/>
              <w:marBottom w:val="0"/>
              <w:divBdr>
                <w:top w:val="none" w:sz="0" w:space="0" w:color="auto"/>
                <w:left w:val="none" w:sz="0" w:space="0" w:color="auto"/>
                <w:bottom w:val="none" w:sz="0" w:space="0" w:color="auto"/>
                <w:right w:val="none" w:sz="0" w:space="0" w:color="auto"/>
              </w:divBdr>
            </w:div>
            <w:div w:id="1341587565">
              <w:marLeft w:val="0"/>
              <w:marRight w:val="0"/>
              <w:marTop w:val="0"/>
              <w:marBottom w:val="0"/>
              <w:divBdr>
                <w:top w:val="none" w:sz="0" w:space="0" w:color="auto"/>
                <w:left w:val="none" w:sz="0" w:space="0" w:color="auto"/>
                <w:bottom w:val="none" w:sz="0" w:space="0" w:color="auto"/>
                <w:right w:val="none" w:sz="0" w:space="0" w:color="auto"/>
              </w:divBdr>
            </w:div>
            <w:div w:id="1347705980">
              <w:marLeft w:val="0"/>
              <w:marRight w:val="0"/>
              <w:marTop w:val="0"/>
              <w:marBottom w:val="0"/>
              <w:divBdr>
                <w:top w:val="none" w:sz="0" w:space="0" w:color="auto"/>
                <w:left w:val="none" w:sz="0" w:space="0" w:color="auto"/>
                <w:bottom w:val="none" w:sz="0" w:space="0" w:color="auto"/>
                <w:right w:val="none" w:sz="0" w:space="0" w:color="auto"/>
              </w:divBdr>
            </w:div>
            <w:div w:id="1348285559">
              <w:marLeft w:val="0"/>
              <w:marRight w:val="0"/>
              <w:marTop w:val="0"/>
              <w:marBottom w:val="0"/>
              <w:divBdr>
                <w:top w:val="none" w:sz="0" w:space="0" w:color="auto"/>
                <w:left w:val="none" w:sz="0" w:space="0" w:color="auto"/>
                <w:bottom w:val="none" w:sz="0" w:space="0" w:color="auto"/>
                <w:right w:val="none" w:sz="0" w:space="0" w:color="auto"/>
              </w:divBdr>
            </w:div>
            <w:div w:id="1366562646">
              <w:marLeft w:val="0"/>
              <w:marRight w:val="0"/>
              <w:marTop w:val="0"/>
              <w:marBottom w:val="0"/>
              <w:divBdr>
                <w:top w:val="none" w:sz="0" w:space="0" w:color="auto"/>
                <w:left w:val="none" w:sz="0" w:space="0" w:color="auto"/>
                <w:bottom w:val="none" w:sz="0" w:space="0" w:color="auto"/>
                <w:right w:val="none" w:sz="0" w:space="0" w:color="auto"/>
              </w:divBdr>
            </w:div>
            <w:div w:id="1366908254">
              <w:marLeft w:val="0"/>
              <w:marRight w:val="0"/>
              <w:marTop w:val="0"/>
              <w:marBottom w:val="0"/>
              <w:divBdr>
                <w:top w:val="none" w:sz="0" w:space="0" w:color="auto"/>
                <w:left w:val="none" w:sz="0" w:space="0" w:color="auto"/>
                <w:bottom w:val="none" w:sz="0" w:space="0" w:color="auto"/>
                <w:right w:val="none" w:sz="0" w:space="0" w:color="auto"/>
              </w:divBdr>
            </w:div>
            <w:div w:id="1400055086">
              <w:marLeft w:val="0"/>
              <w:marRight w:val="0"/>
              <w:marTop w:val="0"/>
              <w:marBottom w:val="0"/>
              <w:divBdr>
                <w:top w:val="none" w:sz="0" w:space="0" w:color="auto"/>
                <w:left w:val="none" w:sz="0" w:space="0" w:color="auto"/>
                <w:bottom w:val="none" w:sz="0" w:space="0" w:color="auto"/>
                <w:right w:val="none" w:sz="0" w:space="0" w:color="auto"/>
              </w:divBdr>
            </w:div>
            <w:div w:id="1413505913">
              <w:marLeft w:val="0"/>
              <w:marRight w:val="0"/>
              <w:marTop w:val="0"/>
              <w:marBottom w:val="0"/>
              <w:divBdr>
                <w:top w:val="none" w:sz="0" w:space="0" w:color="auto"/>
                <w:left w:val="none" w:sz="0" w:space="0" w:color="auto"/>
                <w:bottom w:val="none" w:sz="0" w:space="0" w:color="auto"/>
                <w:right w:val="none" w:sz="0" w:space="0" w:color="auto"/>
              </w:divBdr>
            </w:div>
            <w:div w:id="1430419869">
              <w:marLeft w:val="0"/>
              <w:marRight w:val="0"/>
              <w:marTop w:val="0"/>
              <w:marBottom w:val="0"/>
              <w:divBdr>
                <w:top w:val="none" w:sz="0" w:space="0" w:color="auto"/>
                <w:left w:val="none" w:sz="0" w:space="0" w:color="auto"/>
                <w:bottom w:val="none" w:sz="0" w:space="0" w:color="auto"/>
                <w:right w:val="none" w:sz="0" w:space="0" w:color="auto"/>
              </w:divBdr>
            </w:div>
            <w:div w:id="1430655930">
              <w:marLeft w:val="0"/>
              <w:marRight w:val="0"/>
              <w:marTop w:val="0"/>
              <w:marBottom w:val="0"/>
              <w:divBdr>
                <w:top w:val="none" w:sz="0" w:space="0" w:color="auto"/>
                <w:left w:val="none" w:sz="0" w:space="0" w:color="auto"/>
                <w:bottom w:val="none" w:sz="0" w:space="0" w:color="auto"/>
                <w:right w:val="none" w:sz="0" w:space="0" w:color="auto"/>
              </w:divBdr>
            </w:div>
            <w:div w:id="1437095935">
              <w:marLeft w:val="0"/>
              <w:marRight w:val="0"/>
              <w:marTop w:val="0"/>
              <w:marBottom w:val="0"/>
              <w:divBdr>
                <w:top w:val="none" w:sz="0" w:space="0" w:color="auto"/>
                <w:left w:val="none" w:sz="0" w:space="0" w:color="auto"/>
                <w:bottom w:val="none" w:sz="0" w:space="0" w:color="auto"/>
                <w:right w:val="none" w:sz="0" w:space="0" w:color="auto"/>
              </w:divBdr>
            </w:div>
            <w:div w:id="1450468399">
              <w:marLeft w:val="0"/>
              <w:marRight w:val="0"/>
              <w:marTop w:val="0"/>
              <w:marBottom w:val="0"/>
              <w:divBdr>
                <w:top w:val="none" w:sz="0" w:space="0" w:color="auto"/>
                <w:left w:val="none" w:sz="0" w:space="0" w:color="auto"/>
                <w:bottom w:val="none" w:sz="0" w:space="0" w:color="auto"/>
                <w:right w:val="none" w:sz="0" w:space="0" w:color="auto"/>
              </w:divBdr>
            </w:div>
            <w:div w:id="1477721897">
              <w:marLeft w:val="0"/>
              <w:marRight w:val="0"/>
              <w:marTop w:val="0"/>
              <w:marBottom w:val="0"/>
              <w:divBdr>
                <w:top w:val="none" w:sz="0" w:space="0" w:color="auto"/>
                <w:left w:val="none" w:sz="0" w:space="0" w:color="auto"/>
                <w:bottom w:val="none" w:sz="0" w:space="0" w:color="auto"/>
                <w:right w:val="none" w:sz="0" w:space="0" w:color="auto"/>
              </w:divBdr>
            </w:div>
            <w:div w:id="1484469578">
              <w:marLeft w:val="0"/>
              <w:marRight w:val="0"/>
              <w:marTop w:val="0"/>
              <w:marBottom w:val="0"/>
              <w:divBdr>
                <w:top w:val="none" w:sz="0" w:space="0" w:color="auto"/>
                <w:left w:val="none" w:sz="0" w:space="0" w:color="auto"/>
                <w:bottom w:val="none" w:sz="0" w:space="0" w:color="auto"/>
                <w:right w:val="none" w:sz="0" w:space="0" w:color="auto"/>
              </w:divBdr>
            </w:div>
            <w:div w:id="1488328211">
              <w:marLeft w:val="0"/>
              <w:marRight w:val="0"/>
              <w:marTop w:val="0"/>
              <w:marBottom w:val="0"/>
              <w:divBdr>
                <w:top w:val="none" w:sz="0" w:space="0" w:color="auto"/>
                <w:left w:val="none" w:sz="0" w:space="0" w:color="auto"/>
                <w:bottom w:val="none" w:sz="0" w:space="0" w:color="auto"/>
                <w:right w:val="none" w:sz="0" w:space="0" w:color="auto"/>
              </w:divBdr>
            </w:div>
            <w:div w:id="1503740466">
              <w:marLeft w:val="0"/>
              <w:marRight w:val="0"/>
              <w:marTop w:val="0"/>
              <w:marBottom w:val="0"/>
              <w:divBdr>
                <w:top w:val="none" w:sz="0" w:space="0" w:color="auto"/>
                <w:left w:val="none" w:sz="0" w:space="0" w:color="auto"/>
                <w:bottom w:val="none" w:sz="0" w:space="0" w:color="auto"/>
                <w:right w:val="none" w:sz="0" w:space="0" w:color="auto"/>
              </w:divBdr>
            </w:div>
            <w:div w:id="1518499606">
              <w:marLeft w:val="0"/>
              <w:marRight w:val="0"/>
              <w:marTop w:val="0"/>
              <w:marBottom w:val="0"/>
              <w:divBdr>
                <w:top w:val="none" w:sz="0" w:space="0" w:color="auto"/>
                <w:left w:val="none" w:sz="0" w:space="0" w:color="auto"/>
                <w:bottom w:val="none" w:sz="0" w:space="0" w:color="auto"/>
                <w:right w:val="none" w:sz="0" w:space="0" w:color="auto"/>
              </w:divBdr>
            </w:div>
            <w:div w:id="1520924753">
              <w:marLeft w:val="0"/>
              <w:marRight w:val="0"/>
              <w:marTop w:val="0"/>
              <w:marBottom w:val="0"/>
              <w:divBdr>
                <w:top w:val="none" w:sz="0" w:space="0" w:color="auto"/>
                <w:left w:val="none" w:sz="0" w:space="0" w:color="auto"/>
                <w:bottom w:val="none" w:sz="0" w:space="0" w:color="auto"/>
                <w:right w:val="none" w:sz="0" w:space="0" w:color="auto"/>
              </w:divBdr>
            </w:div>
            <w:div w:id="1526627010">
              <w:marLeft w:val="0"/>
              <w:marRight w:val="0"/>
              <w:marTop w:val="0"/>
              <w:marBottom w:val="0"/>
              <w:divBdr>
                <w:top w:val="none" w:sz="0" w:space="0" w:color="auto"/>
                <w:left w:val="none" w:sz="0" w:space="0" w:color="auto"/>
                <w:bottom w:val="none" w:sz="0" w:space="0" w:color="auto"/>
                <w:right w:val="none" w:sz="0" w:space="0" w:color="auto"/>
              </w:divBdr>
            </w:div>
            <w:div w:id="1542866894">
              <w:marLeft w:val="0"/>
              <w:marRight w:val="0"/>
              <w:marTop w:val="0"/>
              <w:marBottom w:val="0"/>
              <w:divBdr>
                <w:top w:val="none" w:sz="0" w:space="0" w:color="auto"/>
                <w:left w:val="none" w:sz="0" w:space="0" w:color="auto"/>
                <w:bottom w:val="none" w:sz="0" w:space="0" w:color="auto"/>
                <w:right w:val="none" w:sz="0" w:space="0" w:color="auto"/>
              </w:divBdr>
            </w:div>
            <w:div w:id="1560290502">
              <w:marLeft w:val="0"/>
              <w:marRight w:val="0"/>
              <w:marTop w:val="0"/>
              <w:marBottom w:val="0"/>
              <w:divBdr>
                <w:top w:val="none" w:sz="0" w:space="0" w:color="auto"/>
                <w:left w:val="none" w:sz="0" w:space="0" w:color="auto"/>
                <w:bottom w:val="none" w:sz="0" w:space="0" w:color="auto"/>
                <w:right w:val="none" w:sz="0" w:space="0" w:color="auto"/>
              </w:divBdr>
            </w:div>
            <w:div w:id="1577128266">
              <w:marLeft w:val="0"/>
              <w:marRight w:val="0"/>
              <w:marTop w:val="0"/>
              <w:marBottom w:val="0"/>
              <w:divBdr>
                <w:top w:val="none" w:sz="0" w:space="0" w:color="auto"/>
                <w:left w:val="none" w:sz="0" w:space="0" w:color="auto"/>
                <w:bottom w:val="none" w:sz="0" w:space="0" w:color="auto"/>
                <w:right w:val="none" w:sz="0" w:space="0" w:color="auto"/>
              </w:divBdr>
            </w:div>
            <w:div w:id="1591768883">
              <w:marLeft w:val="0"/>
              <w:marRight w:val="0"/>
              <w:marTop w:val="0"/>
              <w:marBottom w:val="0"/>
              <w:divBdr>
                <w:top w:val="none" w:sz="0" w:space="0" w:color="auto"/>
                <w:left w:val="none" w:sz="0" w:space="0" w:color="auto"/>
                <w:bottom w:val="none" w:sz="0" w:space="0" w:color="auto"/>
                <w:right w:val="none" w:sz="0" w:space="0" w:color="auto"/>
              </w:divBdr>
            </w:div>
            <w:div w:id="1624575995">
              <w:marLeft w:val="0"/>
              <w:marRight w:val="0"/>
              <w:marTop w:val="0"/>
              <w:marBottom w:val="0"/>
              <w:divBdr>
                <w:top w:val="none" w:sz="0" w:space="0" w:color="auto"/>
                <w:left w:val="none" w:sz="0" w:space="0" w:color="auto"/>
                <w:bottom w:val="none" w:sz="0" w:space="0" w:color="auto"/>
                <w:right w:val="none" w:sz="0" w:space="0" w:color="auto"/>
              </w:divBdr>
            </w:div>
            <w:div w:id="1633055883">
              <w:marLeft w:val="0"/>
              <w:marRight w:val="0"/>
              <w:marTop w:val="0"/>
              <w:marBottom w:val="0"/>
              <w:divBdr>
                <w:top w:val="none" w:sz="0" w:space="0" w:color="auto"/>
                <w:left w:val="none" w:sz="0" w:space="0" w:color="auto"/>
                <w:bottom w:val="none" w:sz="0" w:space="0" w:color="auto"/>
                <w:right w:val="none" w:sz="0" w:space="0" w:color="auto"/>
              </w:divBdr>
            </w:div>
            <w:div w:id="1649632653">
              <w:marLeft w:val="0"/>
              <w:marRight w:val="0"/>
              <w:marTop w:val="0"/>
              <w:marBottom w:val="0"/>
              <w:divBdr>
                <w:top w:val="none" w:sz="0" w:space="0" w:color="auto"/>
                <w:left w:val="none" w:sz="0" w:space="0" w:color="auto"/>
                <w:bottom w:val="none" w:sz="0" w:space="0" w:color="auto"/>
                <w:right w:val="none" w:sz="0" w:space="0" w:color="auto"/>
              </w:divBdr>
            </w:div>
            <w:div w:id="1663046663">
              <w:marLeft w:val="0"/>
              <w:marRight w:val="0"/>
              <w:marTop w:val="0"/>
              <w:marBottom w:val="0"/>
              <w:divBdr>
                <w:top w:val="none" w:sz="0" w:space="0" w:color="auto"/>
                <w:left w:val="none" w:sz="0" w:space="0" w:color="auto"/>
                <w:bottom w:val="none" w:sz="0" w:space="0" w:color="auto"/>
                <w:right w:val="none" w:sz="0" w:space="0" w:color="auto"/>
              </w:divBdr>
            </w:div>
            <w:div w:id="1681196460">
              <w:marLeft w:val="0"/>
              <w:marRight w:val="0"/>
              <w:marTop w:val="0"/>
              <w:marBottom w:val="0"/>
              <w:divBdr>
                <w:top w:val="none" w:sz="0" w:space="0" w:color="auto"/>
                <w:left w:val="none" w:sz="0" w:space="0" w:color="auto"/>
                <w:bottom w:val="none" w:sz="0" w:space="0" w:color="auto"/>
                <w:right w:val="none" w:sz="0" w:space="0" w:color="auto"/>
              </w:divBdr>
            </w:div>
            <w:div w:id="1691369990">
              <w:marLeft w:val="0"/>
              <w:marRight w:val="0"/>
              <w:marTop w:val="0"/>
              <w:marBottom w:val="0"/>
              <w:divBdr>
                <w:top w:val="none" w:sz="0" w:space="0" w:color="auto"/>
                <w:left w:val="none" w:sz="0" w:space="0" w:color="auto"/>
                <w:bottom w:val="none" w:sz="0" w:space="0" w:color="auto"/>
                <w:right w:val="none" w:sz="0" w:space="0" w:color="auto"/>
              </w:divBdr>
            </w:div>
            <w:div w:id="1698773567">
              <w:marLeft w:val="0"/>
              <w:marRight w:val="0"/>
              <w:marTop w:val="0"/>
              <w:marBottom w:val="0"/>
              <w:divBdr>
                <w:top w:val="none" w:sz="0" w:space="0" w:color="auto"/>
                <w:left w:val="none" w:sz="0" w:space="0" w:color="auto"/>
                <w:bottom w:val="none" w:sz="0" w:space="0" w:color="auto"/>
                <w:right w:val="none" w:sz="0" w:space="0" w:color="auto"/>
              </w:divBdr>
            </w:div>
            <w:div w:id="1704288533">
              <w:marLeft w:val="0"/>
              <w:marRight w:val="0"/>
              <w:marTop w:val="0"/>
              <w:marBottom w:val="0"/>
              <w:divBdr>
                <w:top w:val="none" w:sz="0" w:space="0" w:color="auto"/>
                <w:left w:val="none" w:sz="0" w:space="0" w:color="auto"/>
                <w:bottom w:val="none" w:sz="0" w:space="0" w:color="auto"/>
                <w:right w:val="none" w:sz="0" w:space="0" w:color="auto"/>
              </w:divBdr>
            </w:div>
            <w:div w:id="1712805693">
              <w:marLeft w:val="0"/>
              <w:marRight w:val="0"/>
              <w:marTop w:val="0"/>
              <w:marBottom w:val="0"/>
              <w:divBdr>
                <w:top w:val="none" w:sz="0" w:space="0" w:color="auto"/>
                <w:left w:val="none" w:sz="0" w:space="0" w:color="auto"/>
                <w:bottom w:val="none" w:sz="0" w:space="0" w:color="auto"/>
                <w:right w:val="none" w:sz="0" w:space="0" w:color="auto"/>
              </w:divBdr>
            </w:div>
            <w:div w:id="1734423816">
              <w:marLeft w:val="0"/>
              <w:marRight w:val="0"/>
              <w:marTop w:val="0"/>
              <w:marBottom w:val="0"/>
              <w:divBdr>
                <w:top w:val="none" w:sz="0" w:space="0" w:color="auto"/>
                <w:left w:val="none" w:sz="0" w:space="0" w:color="auto"/>
                <w:bottom w:val="none" w:sz="0" w:space="0" w:color="auto"/>
                <w:right w:val="none" w:sz="0" w:space="0" w:color="auto"/>
              </w:divBdr>
            </w:div>
            <w:div w:id="1757750247">
              <w:marLeft w:val="0"/>
              <w:marRight w:val="0"/>
              <w:marTop w:val="0"/>
              <w:marBottom w:val="0"/>
              <w:divBdr>
                <w:top w:val="none" w:sz="0" w:space="0" w:color="auto"/>
                <w:left w:val="none" w:sz="0" w:space="0" w:color="auto"/>
                <w:bottom w:val="none" w:sz="0" w:space="0" w:color="auto"/>
                <w:right w:val="none" w:sz="0" w:space="0" w:color="auto"/>
              </w:divBdr>
            </w:div>
            <w:div w:id="1771854696">
              <w:marLeft w:val="0"/>
              <w:marRight w:val="0"/>
              <w:marTop w:val="0"/>
              <w:marBottom w:val="0"/>
              <w:divBdr>
                <w:top w:val="none" w:sz="0" w:space="0" w:color="auto"/>
                <w:left w:val="none" w:sz="0" w:space="0" w:color="auto"/>
                <w:bottom w:val="none" w:sz="0" w:space="0" w:color="auto"/>
                <w:right w:val="none" w:sz="0" w:space="0" w:color="auto"/>
              </w:divBdr>
            </w:div>
            <w:div w:id="1773891363">
              <w:marLeft w:val="0"/>
              <w:marRight w:val="0"/>
              <w:marTop w:val="0"/>
              <w:marBottom w:val="0"/>
              <w:divBdr>
                <w:top w:val="none" w:sz="0" w:space="0" w:color="auto"/>
                <w:left w:val="none" w:sz="0" w:space="0" w:color="auto"/>
                <w:bottom w:val="none" w:sz="0" w:space="0" w:color="auto"/>
                <w:right w:val="none" w:sz="0" w:space="0" w:color="auto"/>
              </w:divBdr>
            </w:div>
            <w:div w:id="1783380481">
              <w:marLeft w:val="0"/>
              <w:marRight w:val="0"/>
              <w:marTop w:val="0"/>
              <w:marBottom w:val="0"/>
              <w:divBdr>
                <w:top w:val="none" w:sz="0" w:space="0" w:color="auto"/>
                <w:left w:val="none" w:sz="0" w:space="0" w:color="auto"/>
                <w:bottom w:val="none" w:sz="0" w:space="0" w:color="auto"/>
                <w:right w:val="none" w:sz="0" w:space="0" w:color="auto"/>
              </w:divBdr>
            </w:div>
            <w:div w:id="1788281300">
              <w:marLeft w:val="0"/>
              <w:marRight w:val="0"/>
              <w:marTop w:val="0"/>
              <w:marBottom w:val="0"/>
              <w:divBdr>
                <w:top w:val="none" w:sz="0" w:space="0" w:color="auto"/>
                <w:left w:val="none" w:sz="0" w:space="0" w:color="auto"/>
                <w:bottom w:val="none" w:sz="0" w:space="0" w:color="auto"/>
                <w:right w:val="none" w:sz="0" w:space="0" w:color="auto"/>
              </w:divBdr>
            </w:div>
            <w:div w:id="1801417982">
              <w:marLeft w:val="0"/>
              <w:marRight w:val="0"/>
              <w:marTop w:val="0"/>
              <w:marBottom w:val="0"/>
              <w:divBdr>
                <w:top w:val="none" w:sz="0" w:space="0" w:color="auto"/>
                <w:left w:val="none" w:sz="0" w:space="0" w:color="auto"/>
                <w:bottom w:val="none" w:sz="0" w:space="0" w:color="auto"/>
                <w:right w:val="none" w:sz="0" w:space="0" w:color="auto"/>
              </w:divBdr>
            </w:div>
            <w:div w:id="1809742713">
              <w:marLeft w:val="0"/>
              <w:marRight w:val="0"/>
              <w:marTop w:val="0"/>
              <w:marBottom w:val="0"/>
              <w:divBdr>
                <w:top w:val="none" w:sz="0" w:space="0" w:color="auto"/>
                <w:left w:val="none" w:sz="0" w:space="0" w:color="auto"/>
                <w:bottom w:val="none" w:sz="0" w:space="0" w:color="auto"/>
                <w:right w:val="none" w:sz="0" w:space="0" w:color="auto"/>
              </w:divBdr>
            </w:div>
            <w:div w:id="1819300093">
              <w:marLeft w:val="0"/>
              <w:marRight w:val="0"/>
              <w:marTop w:val="0"/>
              <w:marBottom w:val="0"/>
              <w:divBdr>
                <w:top w:val="none" w:sz="0" w:space="0" w:color="auto"/>
                <w:left w:val="none" w:sz="0" w:space="0" w:color="auto"/>
                <w:bottom w:val="none" w:sz="0" w:space="0" w:color="auto"/>
                <w:right w:val="none" w:sz="0" w:space="0" w:color="auto"/>
              </w:divBdr>
            </w:div>
            <w:div w:id="1823277960">
              <w:marLeft w:val="0"/>
              <w:marRight w:val="0"/>
              <w:marTop w:val="0"/>
              <w:marBottom w:val="0"/>
              <w:divBdr>
                <w:top w:val="none" w:sz="0" w:space="0" w:color="auto"/>
                <w:left w:val="none" w:sz="0" w:space="0" w:color="auto"/>
                <w:bottom w:val="none" w:sz="0" w:space="0" w:color="auto"/>
                <w:right w:val="none" w:sz="0" w:space="0" w:color="auto"/>
              </w:divBdr>
            </w:div>
            <w:div w:id="1836649275">
              <w:marLeft w:val="0"/>
              <w:marRight w:val="0"/>
              <w:marTop w:val="0"/>
              <w:marBottom w:val="0"/>
              <w:divBdr>
                <w:top w:val="none" w:sz="0" w:space="0" w:color="auto"/>
                <w:left w:val="none" w:sz="0" w:space="0" w:color="auto"/>
                <w:bottom w:val="none" w:sz="0" w:space="0" w:color="auto"/>
                <w:right w:val="none" w:sz="0" w:space="0" w:color="auto"/>
              </w:divBdr>
            </w:div>
            <w:div w:id="1861971484">
              <w:marLeft w:val="0"/>
              <w:marRight w:val="0"/>
              <w:marTop w:val="0"/>
              <w:marBottom w:val="0"/>
              <w:divBdr>
                <w:top w:val="none" w:sz="0" w:space="0" w:color="auto"/>
                <w:left w:val="none" w:sz="0" w:space="0" w:color="auto"/>
                <w:bottom w:val="none" w:sz="0" w:space="0" w:color="auto"/>
                <w:right w:val="none" w:sz="0" w:space="0" w:color="auto"/>
              </w:divBdr>
            </w:div>
            <w:div w:id="1915311305">
              <w:marLeft w:val="0"/>
              <w:marRight w:val="0"/>
              <w:marTop w:val="0"/>
              <w:marBottom w:val="0"/>
              <w:divBdr>
                <w:top w:val="none" w:sz="0" w:space="0" w:color="auto"/>
                <w:left w:val="none" w:sz="0" w:space="0" w:color="auto"/>
                <w:bottom w:val="none" w:sz="0" w:space="0" w:color="auto"/>
                <w:right w:val="none" w:sz="0" w:space="0" w:color="auto"/>
              </w:divBdr>
            </w:div>
            <w:div w:id="1928423054">
              <w:marLeft w:val="0"/>
              <w:marRight w:val="0"/>
              <w:marTop w:val="0"/>
              <w:marBottom w:val="0"/>
              <w:divBdr>
                <w:top w:val="none" w:sz="0" w:space="0" w:color="auto"/>
                <w:left w:val="none" w:sz="0" w:space="0" w:color="auto"/>
                <w:bottom w:val="none" w:sz="0" w:space="0" w:color="auto"/>
                <w:right w:val="none" w:sz="0" w:space="0" w:color="auto"/>
              </w:divBdr>
            </w:div>
            <w:div w:id="1940334214">
              <w:marLeft w:val="0"/>
              <w:marRight w:val="0"/>
              <w:marTop w:val="0"/>
              <w:marBottom w:val="0"/>
              <w:divBdr>
                <w:top w:val="none" w:sz="0" w:space="0" w:color="auto"/>
                <w:left w:val="none" w:sz="0" w:space="0" w:color="auto"/>
                <w:bottom w:val="none" w:sz="0" w:space="0" w:color="auto"/>
                <w:right w:val="none" w:sz="0" w:space="0" w:color="auto"/>
              </w:divBdr>
            </w:div>
            <w:div w:id="1967202192">
              <w:marLeft w:val="0"/>
              <w:marRight w:val="0"/>
              <w:marTop w:val="0"/>
              <w:marBottom w:val="0"/>
              <w:divBdr>
                <w:top w:val="none" w:sz="0" w:space="0" w:color="auto"/>
                <w:left w:val="none" w:sz="0" w:space="0" w:color="auto"/>
                <w:bottom w:val="none" w:sz="0" w:space="0" w:color="auto"/>
                <w:right w:val="none" w:sz="0" w:space="0" w:color="auto"/>
              </w:divBdr>
            </w:div>
            <w:div w:id="1998923941">
              <w:marLeft w:val="0"/>
              <w:marRight w:val="0"/>
              <w:marTop w:val="0"/>
              <w:marBottom w:val="0"/>
              <w:divBdr>
                <w:top w:val="none" w:sz="0" w:space="0" w:color="auto"/>
                <w:left w:val="none" w:sz="0" w:space="0" w:color="auto"/>
                <w:bottom w:val="none" w:sz="0" w:space="0" w:color="auto"/>
                <w:right w:val="none" w:sz="0" w:space="0" w:color="auto"/>
              </w:divBdr>
            </w:div>
            <w:div w:id="2003778394">
              <w:marLeft w:val="0"/>
              <w:marRight w:val="0"/>
              <w:marTop w:val="0"/>
              <w:marBottom w:val="0"/>
              <w:divBdr>
                <w:top w:val="none" w:sz="0" w:space="0" w:color="auto"/>
                <w:left w:val="none" w:sz="0" w:space="0" w:color="auto"/>
                <w:bottom w:val="none" w:sz="0" w:space="0" w:color="auto"/>
                <w:right w:val="none" w:sz="0" w:space="0" w:color="auto"/>
              </w:divBdr>
            </w:div>
            <w:div w:id="2009281629">
              <w:marLeft w:val="0"/>
              <w:marRight w:val="0"/>
              <w:marTop w:val="0"/>
              <w:marBottom w:val="0"/>
              <w:divBdr>
                <w:top w:val="none" w:sz="0" w:space="0" w:color="auto"/>
                <w:left w:val="none" w:sz="0" w:space="0" w:color="auto"/>
                <w:bottom w:val="none" w:sz="0" w:space="0" w:color="auto"/>
                <w:right w:val="none" w:sz="0" w:space="0" w:color="auto"/>
              </w:divBdr>
            </w:div>
            <w:div w:id="2011642361">
              <w:marLeft w:val="0"/>
              <w:marRight w:val="0"/>
              <w:marTop w:val="0"/>
              <w:marBottom w:val="0"/>
              <w:divBdr>
                <w:top w:val="none" w:sz="0" w:space="0" w:color="auto"/>
                <w:left w:val="none" w:sz="0" w:space="0" w:color="auto"/>
                <w:bottom w:val="none" w:sz="0" w:space="0" w:color="auto"/>
                <w:right w:val="none" w:sz="0" w:space="0" w:color="auto"/>
              </w:divBdr>
            </w:div>
            <w:div w:id="2013412813">
              <w:marLeft w:val="0"/>
              <w:marRight w:val="0"/>
              <w:marTop w:val="0"/>
              <w:marBottom w:val="0"/>
              <w:divBdr>
                <w:top w:val="none" w:sz="0" w:space="0" w:color="auto"/>
                <w:left w:val="none" w:sz="0" w:space="0" w:color="auto"/>
                <w:bottom w:val="none" w:sz="0" w:space="0" w:color="auto"/>
                <w:right w:val="none" w:sz="0" w:space="0" w:color="auto"/>
              </w:divBdr>
            </w:div>
            <w:div w:id="2032486019">
              <w:marLeft w:val="0"/>
              <w:marRight w:val="0"/>
              <w:marTop w:val="0"/>
              <w:marBottom w:val="0"/>
              <w:divBdr>
                <w:top w:val="none" w:sz="0" w:space="0" w:color="auto"/>
                <w:left w:val="none" w:sz="0" w:space="0" w:color="auto"/>
                <w:bottom w:val="none" w:sz="0" w:space="0" w:color="auto"/>
                <w:right w:val="none" w:sz="0" w:space="0" w:color="auto"/>
              </w:divBdr>
            </w:div>
            <w:div w:id="2033994387">
              <w:marLeft w:val="0"/>
              <w:marRight w:val="0"/>
              <w:marTop w:val="0"/>
              <w:marBottom w:val="0"/>
              <w:divBdr>
                <w:top w:val="none" w:sz="0" w:space="0" w:color="auto"/>
                <w:left w:val="none" w:sz="0" w:space="0" w:color="auto"/>
                <w:bottom w:val="none" w:sz="0" w:space="0" w:color="auto"/>
                <w:right w:val="none" w:sz="0" w:space="0" w:color="auto"/>
              </w:divBdr>
            </w:div>
            <w:div w:id="2035688935">
              <w:marLeft w:val="0"/>
              <w:marRight w:val="0"/>
              <w:marTop w:val="0"/>
              <w:marBottom w:val="0"/>
              <w:divBdr>
                <w:top w:val="none" w:sz="0" w:space="0" w:color="auto"/>
                <w:left w:val="none" w:sz="0" w:space="0" w:color="auto"/>
                <w:bottom w:val="none" w:sz="0" w:space="0" w:color="auto"/>
                <w:right w:val="none" w:sz="0" w:space="0" w:color="auto"/>
              </w:divBdr>
            </w:div>
            <w:div w:id="2048095542">
              <w:marLeft w:val="0"/>
              <w:marRight w:val="0"/>
              <w:marTop w:val="0"/>
              <w:marBottom w:val="0"/>
              <w:divBdr>
                <w:top w:val="none" w:sz="0" w:space="0" w:color="auto"/>
                <w:left w:val="none" w:sz="0" w:space="0" w:color="auto"/>
                <w:bottom w:val="none" w:sz="0" w:space="0" w:color="auto"/>
                <w:right w:val="none" w:sz="0" w:space="0" w:color="auto"/>
              </w:divBdr>
            </w:div>
            <w:div w:id="2088726608">
              <w:marLeft w:val="0"/>
              <w:marRight w:val="0"/>
              <w:marTop w:val="0"/>
              <w:marBottom w:val="0"/>
              <w:divBdr>
                <w:top w:val="none" w:sz="0" w:space="0" w:color="auto"/>
                <w:left w:val="none" w:sz="0" w:space="0" w:color="auto"/>
                <w:bottom w:val="none" w:sz="0" w:space="0" w:color="auto"/>
                <w:right w:val="none" w:sz="0" w:space="0" w:color="auto"/>
              </w:divBdr>
            </w:div>
            <w:div w:id="2108112812">
              <w:marLeft w:val="0"/>
              <w:marRight w:val="0"/>
              <w:marTop w:val="0"/>
              <w:marBottom w:val="0"/>
              <w:divBdr>
                <w:top w:val="none" w:sz="0" w:space="0" w:color="auto"/>
                <w:left w:val="none" w:sz="0" w:space="0" w:color="auto"/>
                <w:bottom w:val="none" w:sz="0" w:space="0" w:color="auto"/>
                <w:right w:val="none" w:sz="0" w:space="0" w:color="auto"/>
              </w:divBdr>
            </w:div>
            <w:div w:id="2110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yperlink" Target="http://www.mfe.govt.nz/publications/towns-and-cities/business-land-problems-and-causes-research-support-proposed-nps-urban" TargetMode="External"/><Relationship Id="rId3" Type="http://schemas.openxmlformats.org/officeDocument/2006/relationships/styles" Target="styles.xml"/><Relationship Id="rId21" Type="http://schemas.openxmlformats.org/officeDocument/2006/relationships/hyperlink" Target="http://www.mfe.govt.nz/publications/towns-and-cities/national-policy-statement-urban-development-capacity-report-sectio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yperlink" Target="http://www.productivity.govt.nz/inquiry-content/2060?stage=4"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mfe.govt.nz/publications/towns-and-cities/cost-benefit-analysis-policy-options-national-policy-statement-urba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hyperlink" Target="http://www.mfe.govt.nz/publications/towns-and-cities/proposed-national-policy-statement-urban-development-capacit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mfe.govt.nz/more/cabinet-papers-and-related-material-search/approval-public-consultation-proposed-national" TargetMode="External"/><Relationship Id="rId28" Type="http://schemas.openxmlformats.org/officeDocument/2006/relationships/hyperlink" Target="http://www.stats.govt.nz/browse_for_stats/population/estimates_and_projections/subnational-population-estimates-info-releases.aspx" TargetMode="External"/><Relationship Id="rId10" Type="http://schemas.openxmlformats.org/officeDocument/2006/relationships/footer" Target="footer1.xml"/><Relationship Id="rId19" Type="http://schemas.openxmlformats.org/officeDocument/2006/relationships/hyperlink" Target="http://www.mfe.govt.nz/more/cabinet-papers-and-related-material-search/regulatory-impact-statements/ris-proposed-national-7"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mfe.govt.nz/publications/towns-and-cities/international-approaches-providing-business-and-housing-needs" TargetMode="External"/><Relationship Id="rId27" Type="http://schemas.openxmlformats.org/officeDocument/2006/relationships/hyperlink" Target="http://www.stats.govt.nz/browse_for_stats/Maps_and_geography/Geographic-areas/urban-rural-profile/defining-urban-rural-nz.aspx" TargetMode="Externa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pivotSource>
    <c:name>[160804 REFRESH SUBMISSIONS STATS.xlsx]briefing stats!PivotTable6</c:name>
    <c:fmtId val="-1"/>
  </c:pivotSource>
  <c:chart>
    <c:autoTitleDeleted val="1"/>
    <c:pivotFmts>
      <c:pivotFmt>
        <c:idx val="0"/>
      </c:pivotFmt>
      <c:pivotFmt>
        <c:idx val="1"/>
        <c:marker>
          <c:symbol val="none"/>
        </c:marker>
      </c:pivotFmt>
      <c:pivotFmt>
        <c:idx val="2"/>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'briefing stats'!$B$86</c:f>
              <c:strCache>
                <c:ptCount val="1"/>
                <c:pt idx="0">
                  <c:v>Total</c:v>
                </c:pt>
              </c:strCache>
            </c:strRef>
          </c:tx>
          <c:dPt>
            <c:idx val="0"/>
            <c:bubble3D val="0"/>
          </c:dPt>
          <c:dPt>
            <c:idx val="1"/>
            <c:bubble3D val="0"/>
            <c:spPr>
              <a:solidFill>
                <a:schemeClr val="accent5">
                  <a:lumMod val="75000"/>
                </a:schemeClr>
              </a:solidFill>
            </c:spPr>
          </c:dPt>
          <c:dPt>
            <c:idx val="3"/>
            <c:bubble3D val="0"/>
            <c:spPr>
              <a:solidFill>
                <a:schemeClr val="accent3">
                  <a:lumMod val="50000"/>
                </a:schemeClr>
              </a:solidFill>
            </c:spPr>
          </c:dPt>
          <c:dPt>
            <c:idx val="4"/>
            <c:bubble3D val="0"/>
          </c:dPt>
          <c:dPt>
            <c:idx val="5"/>
            <c:bubble3D val="0"/>
          </c:dPt>
          <c:dLbls>
            <c:dLbl>
              <c:idx val="1"/>
              <c:layout>
                <c:manualLayout>
                  <c:x val="-5.5615821108710495E-2"/>
                  <c:y val="2.9993802857976086E-2"/>
                </c:manualLayout>
              </c:layout>
              <c:showLegendKey val="0"/>
              <c:showVal val="1"/>
              <c:showCatName val="1"/>
              <c:showSerName val="0"/>
              <c:showPercent val="0"/>
              <c:showBubbleSize val="0"/>
            </c:dLbl>
            <c:dLbl>
              <c:idx val="2"/>
              <c:layout>
                <c:manualLayout>
                  <c:x val="-6.6311261130085869E-2"/>
                  <c:y val="1.8776975794692331E-2"/>
                </c:manualLayout>
              </c:layout>
              <c:tx>
                <c:rich>
                  <a:bodyPr/>
                  <a:lstStyle/>
                  <a:p>
                    <a:r>
                      <a:rPr lang="en-US"/>
                      <a:t>Oppose in part, 9</a:t>
                    </a:r>
                  </a:p>
                </c:rich>
              </c:tx>
              <c:showLegendKey val="0"/>
              <c:showVal val="1"/>
              <c:showCatName val="1"/>
              <c:showSerName val="0"/>
              <c:showPercent val="0"/>
              <c:showBubbleSize val="0"/>
            </c:dLbl>
            <c:dLbl>
              <c:idx val="4"/>
              <c:tx>
                <c:rich>
                  <a:bodyPr/>
                  <a:lstStyle/>
                  <a:p>
                    <a:r>
                      <a:rPr lang="en-US"/>
                      <a:t>Support in part, 71</a:t>
                    </a:r>
                  </a:p>
                </c:rich>
              </c:tx>
              <c:showLegendKey val="0"/>
              <c:showVal val="1"/>
              <c:showCatName val="1"/>
              <c:showSerName val="0"/>
              <c:showPercent val="0"/>
              <c:showBubbleSize val="0"/>
            </c:dLbl>
            <c:dLbl>
              <c:idx val="5"/>
              <c:layout>
                <c:manualLayout>
                  <c:x val="5.6561501052590148E-2"/>
                  <c:y val="7.8549139690871975E-2"/>
                </c:manualLayout>
              </c:layout>
              <c:tx>
                <c:rich>
                  <a:bodyPr/>
                  <a:lstStyle/>
                  <a:p>
                    <a:r>
                      <a:rPr lang="en-US"/>
                      <a:t>Unclear/not</a:t>
                    </a:r>
                    <a:br>
                      <a:rPr lang="en-US"/>
                    </a:br>
                    <a:r>
                      <a:rPr lang="en-US"/>
                      <a:t> stated, 14</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'briefing stats'!$A$87:$A$93</c:f>
              <c:strCache>
                <c:ptCount val="6"/>
                <c:pt idx="0">
                  <c:v>Neutral</c:v>
                </c:pt>
                <c:pt idx="1">
                  <c:v>Oppose</c:v>
                </c:pt>
                <c:pt idx="2">
                  <c:v>Oppose in Part</c:v>
                </c:pt>
                <c:pt idx="3">
                  <c:v>Support</c:v>
                </c:pt>
                <c:pt idx="4">
                  <c:v>Support in Part</c:v>
                </c:pt>
                <c:pt idx="5">
                  <c:v>Unclear / Not Stated</c:v>
                </c:pt>
              </c:strCache>
            </c:strRef>
          </c:cat>
          <c:val>
            <c:numRef>
              <c:f>'briefing stats'!$B$87:$B$93</c:f>
              <c:numCache>
                <c:formatCode>General</c:formatCode>
                <c:ptCount val="6"/>
                <c:pt idx="0">
                  <c:v>6</c:v>
                </c:pt>
                <c:pt idx="1">
                  <c:v>13</c:v>
                </c:pt>
                <c:pt idx="2">
                  <c:v>9</c:v>
                </c:pt>
                <c:pt idx="3">
                  <c:v>27</c:v>
                </c:pt>
                <c:pt idx="4">
                  <c:v>71</c:v>
                </c:pt>
                <c:pt idx="5">
                  <c:v>14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8"/>
    </mc:Choice>
    <mc:Fallback>
      <c:style val="8"/>
    </mc:Fallback>
  </mc:AlternateContent>
  <c:pivotSource>
    <c:name>[160804 REFRESH SUBMISSIONS STATS.xlsx]council position!PivotTable13</c:name>
    <c:fmtId val="-1"/>
  </c:pivotSource>
  <c:chart>
    <c:autoTitleDeleted val="1"/>
    <c:pivotFmts>
      <c:pivotFmt>
        <c:idx val="0"/>
        <c:spPr>
          <a:solidFill>
            <a:srgbClr val="8AD2BA"/>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
        <c:spPr>
          <a:solidFill>
            <a:srgbClr val="8DCFCD"/>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2"/>
        <c:spPr>
          <a:solidFill>
            <a:srgbClr val="68C0BE"/>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3"/>
        <c:spPr>
          <a:solidFill>
            <a:srgbClr val="38888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4"/>
        <c:spPr>
          <a:solidFill>
            <a:srgbClr val="46A8A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5"/>
        <c:spPr>
          <a:solidFill>
            <a:srgbClr val="8AD2BA"/>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6"/>
        <c:spPr>
          <a:solidFill>
            <a:srgbClr val="8DCFCD"/>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7"/>
        <c:spPr>
          <a:solidFill>
            <a:srgbClr val="68C0BE"/>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8"/>
        <c:spPr>
          <a:solidFill>
            <a:srgbClr val="38888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9"/>
        <c:spPr>
          <a:solidFill>
            <a:srgbClr val="46A8A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0"/>
        <c:spPr>
          <a:solidFill>
            <a:srgbClr val="8AD2BA"/>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1"/>
        <c:spPr>
          <a:solidFill>
            <a:srgbClr val="8DCFCD"/>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2"/>
        <c:spPr>
          <a:solidFill>
            <a:srgbClr val="68C0BE"/>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3"/>
        <c:spPr>
          <a:solidFill>
            <a:srgbClr val="38888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
        <c:idx val="14"/>
        <c:spPr>
          <a:solidFill>
            <a:srgbClr val="46A8A6"/>
          </a:solidFill>
        </c:spPr>
        <c:marker>
          <c:symbol val="none"/>
        </c:marker>
        <c:dLbl>
          <c:idx val="0"/>
          <c:spPr/>
          <c:txPr>
            <a:bodyPr/>
            <a:lstStyle/>
            <a:p>
              <a:pPr>
                <a:defRPr/>
              </a:pPr>
              <a:endParaRPr lang="en-US"/>
            </a:p>
          </c:txPr>
          <c:showLegendKey val="0"/>
          <c:showVal val="1"/>
          <c:showCatName val="0"/>
          <c:showSerName val="1"/>
          <c:showPercent val="0"/>
          <c:showBubbleSize val="0"/>
        </c:dLbl>
      </c:pivotFmt>
    </c:pivotFmts>
    <c:plotArea>
      <c:layout/>
      <c:barChart>
        <c:barDir val="col"/>
        <c:grouping val="percentStacked"/>
        <c:varyColors val="0"/>
        <c:ser>
          <c:idx val="0"/>
          <c:order val="0"/>
          <c:tx>
            <c:strRef>
              <c:f>'council position'!$J$17:$J$18</c:f>
              <c:strCache>
                <c:ptCount val="1"/>
                <c:pt idx="0">
                  <c:v>Oppose</c:v>
                </c:pt>
              </c:strCache>
            </c:strRef>
          </c:tx>
          <c:spPr>
            <a:solidFill>
              <a:srgbClr val="8AD2BA"/>
            </a:solidFill>
          </c:spPr>
          <c:invertIfNegative val="0"/>
          <c:dLbls>
            <c:txPr>
              <a:bodyPr/>
              <a:lstStyle/>
              <a:p>
                <a:pPr>
                  <a:defRPr/>
                </a:pPr>
                <a:endParaRPr lang="en-US"/>
              </a:p>
            </c:txPr>
            <c:showLegendKey val="0"/>
            <c:showVal val="1"/>
            <c:showCatName val="0"/>
            <c:showSerName val="1"/>
            <c:showPercent val="0"/>
            <c:showBubbleSize val="0"/>
            <c:showLeaderLines val="0"/>
          </c:dLbls>
          <c:cat>
            <c:strRef>
              <c:f>'council position'!$I$19:$I$22</c:f>
              <c:strCache>
                <c:ptCount val="3"/>
                <c:pt idx="0">
                  <c:v>High growth council</c:v>
                </c:pt>
                <c:pt idx="1">
                  <c:v>Medium growth council</c:v>
                </c:pt>
                <c:pt idx="2">
                  <c:v>Other council</c:v>
                </c:pt>
              </c:strCache>
            </c:strRef>
          </c:cat>
          <c:val>
            <c:numRef>
              <c:f>'council position'!$J$19:$J$22</c:f>
              <c:numCache>
                <c:formatCode>General</c:formatCode>
                <c:ptCount val="3"/>
                <c:pt idx="0">
                  <c:v>2</c:v>
                </c:pt>
                <c:pt idx="1">
                  <c:v>3</c:v>
                </c:pt>
                <c:pt idx="2">
                  <c:v>1</c:v>
                </c:pt>
              </c:numCache>
            </c:numRef>
          </c:val>
        </c:ser>
        <c:ser>
          <c:idx val="1"/>
          <c:order val="1"/>
          <c:tx>
            <c:strRef>
              <c:f>'council position'!$K$17:$K$18</c:f>
              <c:strCache>
                <c:ptCount val="1"/>
                <c:pt idx="0">
                  <c:v>Oppose in Part</c:v>
                </c:pt>
              </c:strCache>
            </c:strRef>
          </c:tx>
          <c:spPr>
            <a:solidFill>
              <a:srgbClr val="8DCFCD"/>
            </a:solidFill>
          </c:spPr>
          <c:invertIfNegative val="0"/>
          <c:dLbls>
            <c:txPr>
              <a:bodyPr/>
              <a:lstStyle/>
              <a:p>
                <a:pPr>
                  <a:defRPr/>
                </a:pPr>
                <a:endParaRPr lang="en-US"/>
              </a:p>
            </c:txPr>
            <c:showLegendKey val="0"/>
            <c:showVal val="1"/>
            <c:showCatName val="0"/>
            <c:showSerName val="1"/>
            <c:showPercent val="0"/>
            <c:showBubbleSize val="0"/>
            <c:showLeaderLines val="0"/>
          </c:dLbls>
          <c:cat>
            <c:strRef>
              <c:f>'council position'!$I$19:$I$22</c:f>
              <c:strCache>
                <c:ptCount val="3"/>
                <c:pt idx="0">
                  <c:v>High growth council</c:v>
                </c:pt>
                <c:pt idx="1">
                  <c:v>Medium growth council</c:v>
                </c:pt>
                <c:pt idx="2">
                  <c:v>Other council</c:v>
                </c:pt>
              </c:strCache>
            </c:strRef>
          </c:cat>
          <c:val>
            <c:numRef>
              <c:f>'council position'!$K$19:$K$22</c:f>
              <c:numCache>
                <c:formatCode>General</c:formatCode>
                <c:ptCount val="3"/>
                <c:pt idx="0">
                  <c:v>1</c:v>
                </c:pt>
                <c:pt idx="1">
                  <c:v>1</c:v>
                </c:pt>
                <c:pt idx="2">
                  <c:v>3</c:v>
                </c:pt>
              </c:numCache>
            </c:numRef>
          </c:val>
        </c:ser>
        <c:ser>
          <c:idx val="2"/>
          <c:order val="2"/>
          <c:tx>
            <c:strRef>
              <c:f>'council position'!$L$17:$L$18</c:f>
              <c:strCache>
                <c:ptCount val="1"/>
                <c:pt idx="0">
                  <c:v>Neutral</c:v>
                </c:pt>
              </c:strCache>
            </c:strRef>
          </c:tx>
          <c:spPr>
            <a:solidFill>
              <a:srgbClr val="68C0BE"/>
            </a:solidFill>
          </c:spPr>
          <c:invertIfNegative val="0"/>
          <c:dLbls>
            <c:txPr>
              <a:bodyPr/>
              <a:lstStyle/>
              <a:p>
                <a:pPr>
                  <a:defRPr/>
                </a:pPr>
                <a:endParaRPr lang="en-US"/>
              </a:p>
            </c:txPr>
            <c:showLegendKey val="0"/>
            <c:showVal val="1"/>
            <c:showCatName val="0"/>
            <c:showSerName val="1"/>
            <c:showPercent val="0"/>
            <c:showBubbleSize val="0"/>
            <c:showLeaderLines val="0"/>
          </c:dLbls>
          <c:cat>
            <c:strRef>
              <c:f>'council position'!$I$19:$I$22</c:f>
              <c:strCache>
                <c:ptCount val="3"/>
                <c:pt idx="0">
                  <c:v>High growth council</c:v>
                </c:pt>
                <c:pt idx="1">
                  <c:v>Medium growth council</c:v>
                </c:pt>
                <c:pt idx="2">
                  <c:v>Other council</c:v>
                </c:pt>
              </c:strCache>
            </c:strRef>
          </c:cat>
          <c:val>
            <c:numRef>
              <c:f>'council position'!$L$19:$L$22</c:f>
              <c:numCache>
                <c:formatCode>General</c:formatCode>
                <c:ptCount val="3"/>
                <c:pt idx="1">
                  <c:v>1</c:v>
                </c:pt>
              </c:numCache>
            </c:numRef>
          </c:val>
        </c:ser>
        <c:ser>
          <c:idx val="3"/>
          <c:order val="3"/>
          <c:tx>
            <c:strRef>
              <c:f>'council position'!$M$17:$M$18</c:f>
              <c:strCache>
                <c:ptCount val="1"/>
                <c:pt idx="0">
                  <c:v>Support in Part</c:v>
                </c:pt>
              </c:strCache>
            </c:strRef>
          </c:tx>
          <c:spPr>
            <a:solidFill>
              <a:srgbClr val="388886"/>
            </a:solidFill>
          </c:spPr>
          <c:invertIfNegative val="0"/>
          <c:dLbls>
            <c:txPr>
              <a:bodyPr/>
              <a:lstStyle/>
              <a:p>
                <a:pPr>
                  <a:defRPr/>
                </a:pPr>
                <a:endParaRPr lang="en-US"/>
              </a:p>
            </c:txPr>
            <c:showLegendKey val="0"/>
            <c:showVal val="1"/>
            <c:showCatName val="0"/>
            <c:showSerName val="1"/>
            <c:showPercent val="0"/>
            <c:showBubbleSize val="0"/>
            <c:showLeaderLines val="0"/>
          </c:dLbls>
          <c:cat>
            <c:strRef>
              <c:f>'council position'!$I$19:$I$22</c:f>
              <c:strCache>
                <c:ptCount val="3"/>
                <c:pt idx="0">
                  <c:v>High growth council</c:v>
                </c:pt>
                <c:pt idx="1">
                  <c:v>Medium growth council</c:v>
                </c:pt>
                <c:pt idx="2">
                  <c:v>Other council</c:v>
                </c:pt>
              </c:strCache>
            </c:strRef>
          </c:cat>
          <c:val>
            <c:numRef>
              <c:f>'council position'!$M$19:$M$22</c:f>
              <c:numCache>
                <c:formatCode>General</c:formatCode>
                <c:ptCount val="3"/>
                <c:pt idx="0">
                  <c:v>7</c:v>
                </c:pt>
                <c:pt idx="1">
                  <c:v>4</c:v>
                </c:pt>
                <c:pt idx="2">
                  <c:v>12</c:v>
                </c:pt>
              </c:numCache>
            </c:numRef>
          </c:val>
        </c:ser>
        <c:ser>
          <c:idx val="4"/>
          <c:order val="4"/>
          <c:tx>
            <c:strRef>
              <c:f>'council position'!$N$17:$N$18</c:f>
              <c:strCache>
                <c:ptCount val="1"/>
                <c:pt idx="0">
                  <c:v>Support</c:v>
                </c:pt>
              </c:strCache>
            </c:strRef>
          </c:tx>
          <c:spPr>
            <a:solidFill>
              <a:srgbClr val="46A8A6"/>
            </a:solidFill>
          </c:spPr>
          <c:invertIfNegative val="0"/>
          <c:dLbls>
            <c:txPr>
              <a:bodyPr/>
              <a:lstStyle/>
              <a:p>
                <a:pPr>
                  <a:defRPr/>
                </a:pPr>
                <a:endParaRPr lang="en-US"/>
              </a:p>
            </c:txPr>
            <c:showLegendKey val="0"/>
            <c:showVal val="1"/>
            <c:showCatName val="0"/>
            <c:showSerName val="1"/>
            <c:showPercent val="0"/>
            <c:showBubbleSize val="0"/>
            <c:showLeaderLines val="0"/>
          </c:dLbls>
          <c:cat>
            <c:strRef>
              <c:f>'council position'!$I$19:$I$22</c:f>
              <c:strCache>
                <c:ptCount val="3"/>
                <c:pt idx="0">
                  <c:v>High growth council</c:v>
                </c:pt>
                <c:pt idx="1">
                  <c:v>Medium growth council</c:v>
                </c:pt>
                <c:pt idx="2">
                  <c:v>Other council</c:v>
                </c:pt>
              </c:strCache>
            </c:strRef>
          </c:cat>
          <c:val>
            <c:numRef>
              <c:f>'council position'!$N$19:$N$22</c:f>
              <c:numCache>
                <c:formatCode>General</c:formatCode>
                <c:ptCount val="3"/>
                <c:pt idx="0">
                  <c:v>3</c:v>
                </c:pt>
                <c:pt idx="1">
                  <c:v>2</c:v>
                </c:pt>
                <c:pt idx="2">
                  <c:v>5</c:v>
                </c:pt>
              </c:numCache>
            </c:numRef>
          </c:val>
        </c:ser>
        <c:dLbls>
          <c:showLegendKey val="0"/>
          <c:showVal val="0"/>
          <c:showCatName val="0"/>
          <c:showSerName val="0"/>
          <c:showPercent val="0"/>
          <c:showBubbleSize val="0"/>
        </c:dLbls>
        <c:gapWidth val="47"/>
        <c:overlap val="100"/>
        <c:axId val="112038656"/>
        <c:axId val="112040192"/>
      </c:barChart>
      <c:catAx>
        <c:axId val="112038656"/>
        <c:scaling>
          <c:orientation val="minMax"/>
        </c:scaling>
        <c:delete val="0"/>
        <c:axPos val="b"/>
        <c:majorTickMark val="out"/>
        <c:minorTickMark val="none"/>
        <c:tickLblPos val="nextTo"/>
        <c:crossAx val="112040192"/>
        <c:crosses val="autoZero"/>
        <c:auto val="1"/>
        <c:lblAlgn val="ctr"/>
        <c:lblOffset val="100"/>
        <c:noMultiLvlLbl val="0"/>
      </c:catAx>
      <c:valAx>
        <c:axId val="112040192"/>
        <c:scaling>
          <c:orientation val="minMax"/>
        </c:scaling>
        <c:delete val="0"/>
        <c:axPos val="l"/>
        <c:majorGridlines/>
        <c:numFmt formatCode="0%" sourceLinked="1"/>
        <c:majorTickMark val="out"/>
        <c:minorTickMark val="none"/>
        <c:tickLblPos val="nextTo"/>
        <c:crossAx val="11203865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B4EF2-E694-46B7-BC9F-3CA9AE0B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12304</Words>
  <Characters>70136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2016-12-20T20:29:00Z</dcterms:created>
  <dcterms:modified xsi:type="dcterms:W3CDTF">2016-12-20T20:29:00Z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-275644333</vt:i4>
  </property>
  <property fmtid="{D5CDD505-2E9C-101B-9397-08002B2CF9AE}" pid="3" name="_NewReviewCycle">
    <vt:lpwstr/>
  </property>
  <property fmtid="{D5CDD505-2E9C-101B-9397-08002B2CF9AE}" pid="4" name="_PreviousAdHocReviewCycleID">
    <vt:i4>-1815726327</vt:i4>
  </property>
  <property fmtid="{D5CDD505-2E9C-101B-9397-08002B2CF9AE}" pid="5" name="_ReviewingToolsShownOnce">
    <vt:lpwstr/>
  </property>
</Properties>
</file>