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2B2DE" w14:textId="51464E2B" w:rsidR="0040640A" w:rsidRPr="000C5050" w:rsidRDefault="00397E80" w:rsidP="00662813">
      <w:bookmarkStart w:id="0" w:name="_Toc343088790"/>
      <w:bookmarkStart w:id="1" w:name="_Toc343094722"/>
      <w:bookmarkStart w:id="2" w:name="_GoBack"/>
      <w:bookmarkEnd w:id="2"/>
      <w:r>
        <w:rPr>
          <w:noProof/>
        </w:rPr>
        <w:drawing>
          <wp:anchor distT="0" distB="0" distL="114300" distR="114300" simplePos="0" relativeHeight="251658240" behindDoc="1" locked="0" layoutInCell="1" allowOverlap="1" wp14:anchorId="62175BA8" wp14:editId="04F3413B">
            <wp:simplePos x="0" y="0"/>
            <wp:positionH relativeFrom="column">
              <wp:posOffset>-1122253</wp:posOffset>
            </wp:positionH>
            <wp:positionV relativeFrom="paragraph">
              <wp:posOffset>-440173</wp:posOffset>
            </wp:positionV>
            <wp:extent cx="6598487" cy="93353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minated-land-consultation-doc-cover.jpg"/>
                    <pic:cNvPicPr/>
                  </pic:nvPicPr>
                  <pic:blipFill>
                    <a:blip r:embed="rId9">
                      <a:extLst>
                        <a:ext uri="{28A0092B-C50C-407E-A947-70E740481C1C}">
                          <a14:useLocalDpi xmlns:a14="http://schemas.microsoft.com/office/drawing/2010/main" val="0"/>
                        </a:ext>
                      </a:extLst>
                    </a:blip>
                    <a:stretch>
                      <a:fillRect/>
                    </a:stretch>
                  </pic:blipFill>
                  <pic:spPr>
                    <a:xfrm>
                      <a:off x="0" y="0"/>
                      <a:ext cx="6609429" cy="9350867"/>
                    </a:xfrm>
                    <a:prstGeom prst="rect">
                      <a:avLst/>
                    </a:prstGeom>
                  </pic:spPr>
                </pic:pic>
              </a:graphicData>
            </a:graphic>
            <wp14:sizeRelH relativeFrom="margin">
              <wp14:pctWidth>0</wp14:pctWidth>
            </wp14:sizeRelH>
            <wp14:sizeRelV relativeFrom="margin">
              <wp14:pctHeight>0</wp14:pctHeight>
            </wp14:sizeRelV>
          </wp:anchor>
        </w:drawing>
      </w:r>
    </w:p>
    <w:p w14:paraId="35F4A0C7" w14:textId="76846C94" w:rsidR="00F866C3" w:rsidRPr="000C5050" w:rsidRDefault="00F866C3">
      <w:pPr>
        <w:spacing w:before="0" w:after="200" w:line="276" w:lineRule="auto"/>
        <w:jc w:val="left"/>
        <w:sectPr w:rsidR="00F866C3" w:rsidRPr="000C5050" w:rsidSect="00DF5858">
          <w:footerReference w:type="even" r:id="rId10"/>
          <w:footerReference w:type="default" r:id="rId11"/>
          <w:headerReference w:type="first" r:id="rId12"/>
          <w:footerReference w:type="first" r:id="rId13"/>
          <w:endnotePr>
            <w:numFmt w:val="decimal"/>
          </w:endnotePr>
          <w:pgSz w:w="11907" w:h="16840" w:code="9"/>
          <w:pgMar w:top="1134" w:right="1418" w:bottom="1134" w:left="1418" w:header="709" w:footer="709" w:gutter="567"/>
          <w:cols w:space="708"/>
          <w:titlePg/>
          <w:docGrid w:linePitch="360"/>
        </w:sectPr>
      </w:pPr>
    </w:p>
    <w:p w14:paraId="04C8B9A1" w14:textId="77777777" w:rsidR="0040640A" w:rsidRPr="000C5050" w:rsidRDefault="0040640A" w:rsidP="00E31F2C">
      <w:pPr>
        <w:pStyle w:val="Imprint"/>
        <w:spacing w:after="120"/>
        <w:rPr>
          <w:b/>
        </w:rPr>
      </w:pPr>
      <w:r w:rsidRPr="000C5050">
        <w:rPr>
          <w:b/>
        </w:rPr>
        <w:lastRenderedPageBreak/>
        <w:t>Disclaimer</w:t>
      </w:r>
    </w:p>
    <w:p w14:paraId="238605F8" w14:textId="4725C211" w:rsidR="0040640A" w:rsidRPr="000C5050" w:rsidRDefault="00CF70DE" w:rsidP="0040640A">
      <w:pPr>
        <w:pStyle w:val="Imprint"/>
      </w:pPr>
      <w:r w:rsidRPr="000C5050">
        <w:t>The opinions and options contained in this document are for consultation purposes only, do</w:t>
      </w:r>
      <w:r w:rsidR="00507388" w:rsidRPr="000C5050">
        <w:t> </w:t>
      </w:r>
      <w:r w:rsidRPr="000C5050">
        <w:t>not reflect final government policy and are not intended to constitute legal advice. The Government does not accept any responsibility or liability whatsoever for any action taken as a result of reading, or reliance placed because of having read, any part, or all, of the information in this discussion document, or for any error, inadequacy, deficiency, flaw or omission from this document.</w:t>
      </w:r>
    </w:p>
    <w:p w14:paraId="679FC293" w14:textId="77777777" w:rsidR="0040640A" w:rsidRPr="000C5050" w:rsidRDefault="0040640A" w:rsidP="0040640A">
      <w:pPr>
        <w:pStyle w:val="Imprint"/>
      </w:pPr>
    </w:p>
    <w:p w14:paraId="76F8662E" w14:textId="77777777" w:rsidR="0040640A" w:rsidRPr="000C5050" w:rsidRDefault="0040640A" w:rsidP="00E31F2C">
      <w:pPr>
        <w:pStyle w:val="Imprint"/>
        <w:spacing w:after="120"/>
        <w:rPr>
          <w:b/>
        </w:rPr>
      </w:pPr>
      <w:r w:rsidRPr="000C5050">
        <w:rPr>
          <w:b/>
        </w:rPr>
        <w:t>Acknowledgements</w:t>
      </w:r>
    </w:p>
    <w:p w14:paraId="3274D851" w14:textId="77777777" w:rsidR="0040640A" w:rsidRPr="000C5050" w:rsidRDefault="00CF70DE" w:rsidP="0040640A">
      <w:pPr>
        <w:pStyle w:val="Imprint"/>
      </w:pPr>
      <w:r w:rsidRPr="000C5050">
        <w:t>The Ministry for the Environment would like to thank everyone who contributed to the interim review, particularly the council staff and contaminated land practitioners who generously gave their time to attend focus groups, participate in meetings, and provide information.</w:t>
      </w:r>
    </w:p>
    <w:p w14:paraId="479B5A97" w14:textId="77777777" w:rsidR="0040640A" w:rsidRPr="000C5050" w:rsidRDefault="0040640A" w:rsidP="0040640A">
      <w:pPr>
        <w:pStyle w:val="Imprint"/>
      </w:pPr>
    </w:p>
    <w:p w14:paraId="2DEF316B" w14:textId="77777777" w:rsidR="0040640A" w:rsidRPr="000C5050" w:rsidRDefault="0040640A" w:rsidP="00E31F2C">
      <w:pPr>
        <w:pStyle w:val="Imprint"/>
        <w:spacing w:after="120"/>
      </w:pPr>
      <w:r w:rsidRPr="000C5050">
        <w:t>This report may be cited as:</w:t>
      </w:r>
    </w:p>
    <w:p w14:paraId="4C479230" w14:textId="77777777" w:rsidR="0040640A" w:rsidRPr="000C5050" w:rsidRDefault="00CF70DE" w:rsidP="0040640A">
      <w:pPr>
        <w:pStyle w:val="Imprint"/>
      </w:pPr>
      <w:proofErr w:type="gramStart"/>
      <w:r w:rsidRPr="000C5050">
        <w:t>Ministry for the Environment.</w:t>
      </w:r>
      <w:proofErr w:type="gramEnd"/>
      <w:r w:rsidRPr="000C5050">
        <w:t xml:space="preserve"> 2016. </w:t>
      </w:r>
      <w:r w:rsidRPr="000C5050">
        <w:rPr>
          <w:i/>
        </w:rPr>
        <w:t>Proposed Amendments to the National Environmental Standard for Assessing and Managing Contaminants in Soil to Protect Human Health: Consultation Document</w:t>
      </w:r>
      <w:r w:rsidRPr="000C5050">
        <w:t>. Wellington: Ministry for the Environment.</w:t>
      </w:r>
    </w:p>
    <w:p w14:paraId="70C01DBE" w14:textId="77777777" w:rsidR="0040640A" w:rsidRPr="000C5050" w:rsidRDefault="0040640A" w:rsidP="0040640A">
      <w:pPr>
        <w:pStyle w:val="Imprint"/>
      </w:pPr>
    </w:p>
    <w:p w14:paraId="1541E7DB" w14:textId="77777777" w:rsidR="0040640A" w:rsidRPr="000C5050" w:rsidRDefault="0040640A" w:rsidP="0040640A">
      <w:pPr>
        <w:pStyle w:val="Imprint"/>
      </w:pPr>
    </w:p>
    <w:p w14:paraId="1C686A58" w14:textId="77777777" w:rsidR="0040640A" w:rsidRPr="000C5050" w:rsidRDefault="0040640A" w:rsidP="0040640A">
      <w:pPr>
        <w:pStyle w:val="Imprint"/>
      </w:pPr>
    </w:p>
    <w:p w14:paraId="6CC464C5" w14:textId="77777777" w:rsidR="00E31F2C" w:rsidRPr="000C5050" w:rsidRDefault="00E31F2C" w:rsidP="0040640A">
      <w:pPr>
        <w:pStyle w:val="Imprint"/>
      </w:pPr>
    </w:p>
    <w:p w14:paraId="455AB940" w14:textId="77777777" w:rsidR="00E31F2C" w:rsidRPr="000C5050" w:rsidRDefault="00E31F2C" w:rsidP="0040640A">
      <w:pPr>
        <w:pStyle w:val="Imprint"/>
      </w:pPr>
    </w:p>
    <w:p w14:paraId="4481A471" w14:textId="77777777" w:rsidR="00E31F2C" w:rsidRPr="000C5050" w:rsidRDefault="00E31F2C" w:rsidP="0040640A">
      <w:pPr>
        <w:pStyle w:val="Imprint"/>
      </w:pPr>
    </w:p>
    <w:p w14:paraId="3C8E54DF" w14:textId="292D3834" w:rsidR="0040640A" w:rsidRPr="000C5050" w:rsidRDefault="0040640A" w:rsidP="0040640A">
      <w:pPr>
        <w:pStyle w:val="Imprint"/>
      </w:pPr>
      <w:r w:rsidRPr="000C5050">
        <w:t xml:space="preserve">Published in </w:t>
      </w:r>
      <w:r w:rsidR="00434AF6" w:rsidRPr="00B71BD0">
        <w:t xml:space="preserve">September </w:t>
      </w:r>
      <w:r w:rsidRPr="000C5050">
        <w:t>201</w:t>
      </w:r>
      <w:r w:rsidR="00CF70DE" w:rsidRPr="000C5050">
        <w:t>6</w:t>
      </w:r>
      <w:r w:rsidRPr="000C5050">
        <w:t xml:space="preserve"> by the</w:t>
      </w:r>
      <w:r w:rsidRPr="000C5050">
        <w:br/>
        <w:t xml:space="preserve">Ministry for the Environment </w:t>
      </w:r>
      <w:r w:rsidRPr="000C5050">
        <w:br/>
      </w:r>
      <w:proofErr w:type="spellStart"/>
      <w:r w:rsidRPr="000C5050">
        <w:t>Manatū</w:t>
      </w:r>
      <w:proofErr w:type="spellEnd"/>
      <w:r w:rsidRPr="000C5050">
        <w:t xml:space="preserve"> </w:t>
      </w:r>
      <w:proofErr w:type="spellStart"/>
      <w:r w:rsidRPr="000C5050">
        <w:t>Mō</w:t>
      </w:r>
      <w:proofErr w:type="spellEnd"/>
      <w:r w:rsidRPr="000C5050">
        <w:t xml:space="preserve"> </w:t>
      </w:r>
      <w:proofErr w:type="spellStart"/>
      <w:r w:rsidRPr="000C5050">
        <w:t>Te</w:t>
      </w:r>
      <w:proofErr w:type="spellEnd"/>
      <w:r w:rsidRPr="000C5050">
        <w:t xml:space="preserve"> </w:t>
      </w:r>
      <w:proofErr w:type="spellStart"/>
      <w:r w:rsidRPr="000C5050">
        <w:t>Taiao</w:t>
      </w:r>
      <w:proofErr w:type="spellEnd"/>
      <w:r w:rsidRPr="000C5050">
        <w:br/>
        <w:t>PO Box 10362, Wellington 6143, New Zealand</w:t>
      </w:r>
    </w:p>
    <w:p w14:paraId="3B5AD657" w14:textId="21E799B0" w:rsidR="0040640A" w:rsidRPr="000C5050" w:rsidRDefault="0040640A" w:rsidP="0040640A">
      <w:pPr>
        <w:pStyle w:val="Imprint"/>
        <w:tabs>
          <w:tab w:val="left" w:pos="720"/>
        </w:tabs>
        <w:spacing w:before="240"/>
        <w:ind w:left="720" w:hanging="720"/>
      </w:pPr>
      <w:r w:rsidRPr="000C5050">
        <w:t xml:space="preserve">ISBN: </w:t>
      </w:r>
      <w:r w:rsidRPr="000C5050">
        <w:tab/>
      </w:r>
      <w:r w:rsidR="00B71BD0" w:rsidRPr="00B71BD0">
        <w:t>978-0-908339-58-7</w:t>
      </w:r>
      <w:r w:rsidR="00B71BD0" w:rsidRPr="00B71BD0" w:rsidDel="00B71BD0">
        <w:t xml:space="preserve"> </w:t>
      </w:r>
      <w:r w:rsidR="007A3A9B" w:rsidRPr="000C5050">
        <w:t>(</w:t>
      </w:r>
      <w:r w:rsidR="00CF70DE" w:rsidRPr="000C5050">
        <w:t>online</w:t>
      </w:r>
      <w:r w:rsidR="007A3A9B" w:rsidRPr="000C5050">
        <w:t>)</w:t>
      </w:r>
    </w:p>
    <w:p w14:paraId="26DD8D97" w14:textId="7BDD1D06" w:rsidR="0040640A" w:rsidRPr="000C5050" w:rsidRDefault="0040640A" w:rsidP="0040640A">
      <w:pPr>
        <w:pStyle w:val="Imprint"/>
        <w:ind w:left="720" w:hanging="720"/>
      </w:pPr>
      <w:r w:rsidRPr="000C5050">
        <w:t xml:space="preserve">Publication number: </w:t>
      </w:r>
      <w:r w:rsidR="007A3A9B" w:rsidRPr="00147171">
        <w:t xml:space="preserve">ME </w:t>
      </w:r>
      <w:r w:rsidR="00B71BD0">
        <w:t>1261</w:t>
      </w:r>
    </w:p>
    <w:p w14:paraId="1C8DA65C" w14:textId="77777777" w:rsidR="0040640A" w:rsidRPr="000C5050" w:rsidRDefault="0040640A" w:rsidP="0040640A">
      <w:pPr>
        <w:pStyle w:val="Imprint"/>
      </w:pPr>
      <w:r w:rsidRPr="000C5050">
        <w:t xml:space="preserve">© Crown copyright New Zealand </w:t>
      </w:r>
      <w:r w:rsidR="00CF70DE" w:rsidRPr="000C5050">
        <w:t>2016</w:t>
      </w:r>
    </w:p>
    <w:p w14:paraId="0133DC5C" w14:textId="77777777" w:rsidR="0040640A" w:rsidRPr="000C5050" w:rsidRDefault="0040640A" w:rsidP="0040640A">
      <w:pPr>
        <w:pStyle w:val="Imprint"/>
        <w:spacing w:before="240"/>
      </w:pPr>
      <w:r w:rsidRPr="000C5050">
        <w:t>This document is available on the Ministry for the Environment</w:t>
      </w:r>
      <w:r w:rsidR="0081630C" w:rsidRPr="000C5050">
        <w:t>’</w:t>
      </w:r>
      <w:r w:rsidRPr="000C5050">
        <w:t>s website:</w:t>
      </w:r>
      <w:r w:rsidR="00CF70DE" w:rsidRPr="000C5050">
        <w:t xml:space="preserve"> </w:t>
      </w:r>
      <w:hyperlink r:id="rId14" w:history="1">
        <w:r w:rsidRPr="000C5050">
          <w:rPr>
            <w:rStyle w:val="Hyperlink"/>
          </w:rPr>
          <w:t>www.mfe.govt.nz</w:t>
        </w:r>
      </w:hyperlink>
      <w:r w:rsidR="00CF70DE" w:rsidRPr="000C5050">
        <w:rPr>
          <w:rStyle w:val="Hyperlink"/>
        </w:rPr>
        <w:t>.</w:t>
      </w:r>
    </w:p>
    <w:p w14:paraId="3D996D18" w14:textId="77777777" w:rsidR="0040640A" w:rsidRPr="000C5050" w:rsidRDefault="0040640A" w:rsidP="0040640A">
      <w:pPr>
        <w:spacing w:before="0" w:after="0"/>
        <w:jc w:val="left"/>
      </w:pPr>
      <w:r w:rsidRPr="000C5050">
        <w:rPr>
          <w:noProof/>
        </w:rPr>
        <w:drawing>
          <wp:inline distT="0" distB="0" distL="0" distR="0" wp14:anchorId="765EA744" wp14:editId="2843C069">
            <wp:extent cx="1965325" cy="614045"/>
            <wp:effectExtent l="19050" t="0" r="0" b="0"/>
            <wp:docPr id="6" name="Picture 1" descr="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Logo"/>
                    <pic:cNvPicPr>
                      <a:picLocks noChangeAspect="1" noChangeArrowheads="1"/>
                    </pic:cNvPicPr>
                  </pic:nvPicPr>
                  <pic:blipFill>
                    <a:blip r:embed="rId15" cstate="print"/>
                    <a:srcRect/>
                    <a:stretch>
                      <a:fillRect/>
                    </a:stretch>
                  </pic:blipFill>
                  <pic:spPr bwMode="auto">
                    <a:xfrm>
                      <a:off x="0" y="0"/>
                      <a:ext cx="1965325" cy="614045"/>
                    </a:xfrm>
                    <a:prstGeom prst="rect">
                      <a:avLst/>
                    </a:prstGeom>
                    <a:noFill/>
                    <a:ln w="9525">
                      <a:noFill/>
                      <a:miter lim="800000"/>
                      <a:headEnd/>
                      <a:tailEnd/>
                    </a:ln>
                  </pic:spPr>
                </pic:pic>
              </a:graphicData>
            </a:graphic>
          </wp:inline>
        </w:drawing>
      </w:r>
    </w:p>
    <w:p w14:paraId="41FB09FC" w14:textId="77777777" w:rsidR="0040640A" w:rsidRPr="000C5050" w:rsidRDefault="0040640A" w:rsidP="0040640A">
      <w:pPr>
        <w:spacing w:before="0" w:after="0"/>
        <w:sectPr w:rsidR="0040640A" w:rsidRPr="000C5050" w:rsidSect="00DF5858">
          <w:footerReference w:type="even" r:id="rId16"/>
          <w:pgSz w:w="11907" w:h="16840" w:code="9"/>
          <w:pgMar w:top="1134" w:right="1418" w:bottom="1134" w:left="1418" w:header="567" w:footer="567" w:gutter="567"/>
          <w:pgNumType w:fmt="lowerRoman"/>
          <w:cols w:space="720"/>
        </w:sectPr>
      </w:pPr>
    </w:p>
    <w:p w14:paraId="56BAECCD" w14:textId="77777777" w:rsidR="0040640A" w:rsidRPr="000C5050" w:rsidRDefault="0028608B" w:rsidP="00B427D9">
      <w:pPr>
        <w:pStyle w:val="Heading"/>
      </w:pPr>
      <w:r w:rsidRPr="000C5050">
        <w:lastRenderedPageBreak/>
        <w:t>C</w:t>
      </w:r>
      <w:r w:rsidR="0040640A" w:rsidRPr="000C5050">
        <w:t>ontents</w:t>
      </w:r>
    </w:p>
    <w:p w14:paraId="64CB00D9" w14:textId="77777777" w:rsidR="00501260" w:rsidRDefault="00632707">
      <w:pPr>
        <w:pStyle w:val="TOC1"/>
        <w:rPr>
          <w:rFonts w:asciiTheme="minorHAnsi" w:hAnsiTheme="minorHAnsi"/>
          <w:noProof/>
        </w:rPr>
      </w:pPr>
      <w:r w:rsidRPr="000C5050">
        <w:fldChar w:fldCharType="begin"/>
      </w:r>
      <w:r w:rsidRPr="000C5050">
        <w:instrText xml:space="preserve"> TOC \o "2-2" \t "Heading 1,1,Heading 1 - light brown,1" </w:instrText>
      </w:r>
      <w:r w:rsidRPr="000C5050">
        <w:fldChar w:fldCharType="separate"/>
      </w:r>
      <w:r w:rsidR="00501260">
        <w:rPr>
          <w:noProof/>
        </w:rPr>
        <w:t>Executive summary</w:t>
      </w:r>
      <w:r w:rsidR="00501260">
        <w:rPr>
          <w:noProof/>
        </w:rPr>
        <w:tab/>
      </w:r>
      <w:r w:rsidR="00501260">
        <w:rPr>
          <w:noProof/>
        </w:rPr>
        <w:fldChar w:fldCharType="begin"/>
      </w:r>
      <w:r w:rsidR="00501260">
        <w:rPr>
          <w:noProof/>
        </w:rPr>
        <w:instrText xml:space="preserve"> PAGEREF _Toc460081230 \h </w:instrText>
      </w:r>
      <w:r w:rsidR="00501260">
        <w:rPr>
          <w:noProof/>
        </w:rPr>
      </w:r>
      <w:r w:rsidR="00501260">
        <w:rPr>
          <w:noProof/>
        </w:rPr>
        <w:fldChar w:fldCharType="separate"/>
      </w:r>
      <w:r w:rsidR="00965D37">
        <w:rPr>
          <w:noProof/>
        </w:rPr>
        <w:t>5</w:t>
      </w:r>
      <w:r w:rsidR="00501260">
        <w:rPr>
          <w:noProof/>
        </w:rPr>
        <w:fldChar w:fldCharType="end"/>
      </w:r>
    </w:p>
    <w:p w14:paraId="5AEC6D5B" w14:textId="77777777" w:rsidR="00501260" w:rsidRDefault="00501260">
      <w:pPr>
        <w:pStyle w:val="TOC1"/>
        <w:rPr>
          <w:rFonts w:asciiTheme="minorHAnsi" w:hAnsiTheme="minorHAnsi"/>
          <w:noProof/>
        </w:rPr>
      </w:pPr>
      <w:r>
        <w:rPr>
          <w:noProof/>
        </w:rPr>
        <w:t>1</w:t>
      </w:r>
      <w:r>
        <w:rPr>
          <w:rFonts w:asciiTheme="minorHAnsi" w:hAnsiTheme="minorHAnsi"/>
          <w:noProof/>
        </w:rPr>
        <w:tab/>
      </w:r>
      <w:r>
        <w:rPr>
          <w:noProof/>
        </w:rPr>
        <w:t>Introduction</w:t>
      </w:r>
      <w:r>
        <w:rPr>
          <w:noProof/>
        </w:rPr>
        <w:tab/>
      </w:r>
      <w:r>
        <w:rPr>
          <w:noProof/>
        </w:rPr>
        <w:fldChar w:fldCharType="begin"/>
      </w:r>
      <w:r>
        <w:rPr>
          <w:noProof/>
        </w:rPr>
        <w:instrText xml:space="preserve"> PAGEREF _Toc460081231 \h </w:instrText>
      </w:r>
      <w:r>
        <w:rPr>
          <w:noProof/>
        </w:rPr>
      </w:r>
      <w:r>
        <w:rPr>
          <w:noProof/>
        </w:rPr>
        <w:fldChar w:fldCharType="separate"/>
      </w:r>
      <w:r w:rsidR="00965D37">
        <w:rPr>
          <w:noProof/>
        </w:rPr>
        <w:t>7</w:t>
      </w:r>
      <w:r>
        <w:rPr>
          <w:noProof/>
        </w:rPr>
        <w:fldChar w:fldCharType="end"/>
      </w:r>
    </w:p>
    <w:p w14:paraId="3B2C24CF" w14:textId="77777777" w:rsidR="00501260" w:rsidRDefault="00501260">
      <w:pPr>
        <w:pStyle w:val="TOC2"/>
        <w:rPr>
          <w:rFonts w:asciiTheme="minorHAnsi" w:hAnsiTheme="minorHAnsi"/>
          <w:noProof/>
        </w:rPr>
      </w:pPr>
      <w:r>
        <w:rPr>
          <w:noProof/>
        </w:rPr>
        <w:t>Background</w:t>
      </w:r>
      <w:r>
        <w:rPr>
          <w:noProof/>
        </w:rPr>
        <w:tab/>
      </w:r>
      <w:r>
        <w:rPr>
          <w:noProof/>
        </w:rPr>
        <w:fldChar w:fldCharType="begin"/>
      </w:r>
      <w:r>
        <w:rPr>
          <w:noProof/>
        </w:rPr>
        <w:instrText xml:space="preserve"> PAGEREF _Toc460081232 \h </w:instrText>
      </w:r>
      <w:r>
        <w:rPr>
          <w:noProof/>
        </w:rPr>
      </w:r>
      <w:r>
        <w:rPr>
          <w:noProof/>
        </w:rPr>
        <w:fldChar w:fldCharType="separate"/>
      </w:r>
      <w:r w:rsidR="00965D37">
        <w:rPr>
          <w:noProof/>
        </w:rPr>
        <w:t>7</w:t>
      </w:r>
      <w:r>
        <w:rPr>
          <w:noProof/>
        </w:rPr>
        <w:fldChar w:fldCharType="end"/>
      </w:r>
    </w:p>
    <w:p w14:paraId="278CF07E" w14:textId="77777777" w:rsidR="00501260" w:rsidRDefault="00501260">
      <w:pPr>
        <w:pStyle w:val="TOC2"/>
        <w:rPr>
          <w:rFonts w:asciiTheme="minorHAnsi" w:hAnsiTheme="minorHAnsi"/>
          <w:noProof/>
        </w:rPr>
      </w:pPr>
      <w:r w:rsidRPr="00F05F98">
        <w:rPr>
          <w:rFonts w:eastAsia="Calibri"/>
          <w:noProof/>
        </w:rPr>
        <w:t>Why do we need to amend the NESCS?</w:t>
      </w:r>
      <w:r>
        <w:rPr>
          <w:noProof/>
        </w:rPr>
        <w:tab/>
      </w:r>
      <w:r>
        <w:rPr>
          <w:noProof/>
        </w:rPr>
        <w:fldChar w:fldCharType="begin"/>
      </w:r>
      <w:r>
        <w:rPr>
          <w:noProof/>
        </w:rPr>
        <w:instrText xml:space="preserve"> PAGEREF _Toc460081233 \h </w:instrText>
      </w:r>
      <w:r>
        <w:rPr>
          <w:noProof/>
        </w:rPr>
      </w:r>
      <w:r>
        <w:rPr>
          <w:noProof/>
        </w:rPr>
        <w:fldChar w:fldCharType="separate"/>
      </w:r>
      <w:r w:rsidR="00965D37">
        <w:rPr>
          <w:noProof/>
        </w:rPr>
        <w:t>8</w:t>
      </w:r>
      <w:r>
        <w:rPr>
          <w:noProof/>
        </w:rPr>
        <w:fldChar w:fldCharType="end"/>
      </w:r>
    </w:p>
    <w:p w14:paraId="64F2DCB3" w14:textId="77777777" w:rsidR="00501260" w:rsidRDefault="00501260">
      <w:pPr>
        <w:pStyle w:val="TOC2"/>
        <w:rPr>
          <w:rFonts w:asciiTheme="minorHAnsi" w:hAnsiTheme="minorHAnsi"/>
          <w:noProof/>
        </w:rPr>
      </w:pPr>
      <w:r>
        <w:rPr>
          <w:noProof/>
        </w:rPr>
        <w:t>Purpose of this consultation document</w:t>
      </w:r>
      <w:r>
        <w:rPr>
          <w:noProof/>
        </w:rPr>
        <w:tab/>
      </w:r>
      <w:r>
        <w:rPr>
          <w:noProof/>
        </w:rPr>
        <w:fldChar w:fldCharType="begin"/>
      </w:r>
      <w:r>
        <w:rPr>
          <w:noProof/>
        </w:rPr>
        <w:instrText xml:space="preserve"> PAGEREF _Toc460081234 \h </w:instrText>
      </w:r>
      <w:r>
        <w:rPr>
          <w:noProof/>
        </w:rPr>
      </w:r>
      <w:r>
        <w:rPr>
          <w:noProof/>
        </w:rPr>
        <w:fldChar w:fldCharType="separate"/>
      </w:r>
      <w:r w:rsidR="00965D37">
        <w:rPr>
          <w:noProof/>
        </w:rPr>
        <w:t>8</w:t>
      </w:r>
      <w:r>
        <w:rPr>
          <w:noProof/>
        </w:rPr>
        <w:fldChar w:fldCharType="end"/>
      </w:r>
    </w:p>
    <w:p w14:paraId="5409B171" w14:textId="77777777" w:rsidR="00501260" w:rsidRDefault="00501260">
      <w:pPr>
        <w:pStyle w:val="TOC1"/>
        <w:rPr>
          <w:rFonts w:asciiTheme="minorHAnsi" w:hAnsiTheme="minorHAnsi"/>
          <w:noProof/>
        </w:rPr>
      </w:pPr>
      <w:r>
        <w:rPr>
          <w:noProof/>
        </w:rPr>
        <w:t>2</w:t>
      </w:r>
      <w:r>
        <w:rPr>
          <w:rFonts w:asciiTheme="minorHAnsi" w:hAnsiTheme="minorHAnsi"/>
          <w:noProof/>
        </w:rPr>
        <w:tab/>
      </w:r>
      <w:r>
        <w:rPr>
          <w:noProof/>
        </w:rPr>
        <w:t>Key proposals</w:t>
      </w:r>
      <w:r>
        <w:rPr>
          <w:noProof/>
        </w:rPr>
        <w:tab/>
      </w:r>
      <w:r>
        <w:rPr>
          <w:noProof/>
        </w:rPr>
        <w:fldChar w:fldCharType="begin"/>
      </w:r>
      <w:r>
        <w:rPr>
          <w:noProof/>
        </w:rPr>
        <w:instrText xml:space="preserve"> PAGEREF _Toc460081235 \h </w:instrText>
      </w:r>
      <w:r>
        <w:rPr>
          <w:noProof/>
        </w:rPr>
      </w:r>
      <w:r>
        <w:rPr>
          <w:noProof/>
        </w:rPr>
        <w:fldChar w:fldCharType="separate"/>
      </w:r>
      <w:r w:rsidR="00965D37">
        <w:rPr>
          <w:noProof/>
        </w:rPr>
        <w:t>10</w:t>
      </w:r>
      <w:r>
        <w:rPr>
          <w:noProof/>
        </w:rPr>
        <w:fldChar w:fldCharType="end"/>
      </w:r>
    </w:p>
    <w:p w14:paraId="12E923E8" w14:textId="77777777" w:rsidR="00501260" w:rsidRDefault="00501260">
      <w:pPr>
        <w:pStyle w:val="TOC1"/>
        <w:rPr>
          <w:rFonts w:asciiTheme="minorHAnsi" w:hAnsiTheme="minorHAnsi"/>
          <w:noProof/>
        </w:rPr>
      </w:pPr>
      <w:r>
        <w:rPr>
          <w:noProof/>
        </w:rPr>
        <w:t xml:space="preserve">3 </w:t>
      </w:r>
      <w:r>
        <w:rPr>
          <w:rFonts w:asciiTheme="minorHAnsi" w:hAnsiTheme="minorHAnsi"/>
          <w:noProof/>
        </w:rPr>
        <w:tab/>
      </w:r>
      <w:r>
        <w:rPr>
          <w:noProof/>
        </w:rPr>
        <w:t>Hazardous Activities and Industries List (HAIL)</w:t>
      </w:r>
      <w:r>
        <w:rPr>
          <w:noProof/>
        </w:rPr>
        <w:tab/>
      </w:r>
      <w:r>
        <w:rPr>
          <w:noProof/>
        </w:rPr>
        <w:fldChar w:fldCharType="begin"/>
      </w:r>
      <w:r>
        <w:rPr>
          <w:noProof/>
        </w:rPr>
        <w:instrText xml:space="preserve"> PAGEREF _Toc460081236 \h </w:instrText>
      </w:r>
      <w:r>
        <w:rPr>
          <w:noProof/>
        </w:rPr>
      </w:r>
      <w:r>
        <w:rPr>
          <w:noProof/>
        </w:rPr>
        <w:fldChar w:fldCharType="separate"/>
      </w:r>
      <w:r w:rsidR="00965D37">
        <w:rPr>
          <w:noProof/>
        </w:rPr>
        <w:t>11</w:t>
      </w:r>
      <w:r>
        <w:rPr>
          <w:noProof/>
        </w:rPr>
        <w:fldChar w:fldCharType="end"/>
      </w:r>
    </w:p>
    <w:p w14:paraId="15132552" w14:textId="77777777" w:rsidR="00501260" w:rsidRDefault="00501260">
      <w:pPr>
        <w:pStyle w:val="TOC2"/>
        <w:rPr>
          <w:rFonts w:asciiTheme="minorHAnsi" w:hAnsiTheme="minorHAnsi"/>
          <w:noProof/>
        </w:rPr>
      </w:pPr>
      <w:r w:rsidRPr="00F05F98">
        <w:rPr>
          <w:noProof/>
          <w:bdr w:val="none" w:sz="0" w:space="0" w:color="auto" w:frame="1"/>
        </w:rPr>
        <w:t>Consistency in interpretation and application</w:t>
      </w:r>
      <w:r>
        <w:rPr>
          <w:noProof/>
        </w:rPr>
        <w:tab/>
      </w:r>
      <w:r>
        <w:rPr>
          <w:noProof/>
        </w:rPr>
        <w:fldChar w:fldCharType="begin"/>
      </w:r>
      <w:r>
        <w:rPr>
          <w:noProof/>
        </w:rPr>
        <w:instrText xml:space="preserve"> PAGEREF _Toc460081237 \h </w:instrText>
      </w:r>
      <w:r>
        <w:rPr>
          <w:noProof/>
        </w:rPr>
      </w:r>
      <w:r>
        <w:rPr>
          <w:noProof/>
        </w:rPr>
        <w:fldChar w:fldCharType="separate"/>
      </w:r>
      <w:r w:rsidR="00965D37">
        <w:rPr>
          <w:noProof/>
        </w:rPr>
        <w:t>11</w:t>
      </w:r>
      <w:r>
        <w:rPr>
          <w:noProof/>
        </w:rPr>
        <w:fldChar w:fldCharType="end"/>
      </w:r>
    </w:p>
    <w:p w14:paraId="1A8B6A72" w14:textId="77777777" w:rsidR="00501260" w:rsidRDefault="00501260">
      <w:pPr>
        <w:pStyle w:val="TOC2"/>
        <w:rPr>
          <w:rFonts w:asciiTheme="minorHAnsi" w:hAnsiTheme="minorHAnsi"/>
          <w:noProof/>
        </w:rPr>
      </w:pPr>
      <w:r w:rsidRPr="00F05F98">
        <w:rPr>
          <w:noProof/>
          <w:bdr w:val="none" w:sz="0" w:space="0" w:color="auto" w:frame="1"/>
        </w:rPr>
        <w:t>Proposals</w:t>
      </w:r>
      <w:r>
        <w:rPr>
          <w:noProof/>
        </w:rPr>
        <w:tab/>
      </w:r>
      <w:r>
        <w:rPr>
          <w:noProof/>
        </w:rPr>
        <w:fldChar w:fldCharType="begin"/>
      </w:r>
      <w:r>
        <w:rPr>
          <w:noProof/>
        </w:rPr>
        <w:instrText xml:space="preserve"> PAGEREF _Toc460081238 \h </w:instrText>
      </w:r>
      <w:r>
        <w:rPr>
          <w:noProof/>
        </w:rPr>
      </w:r>
      <w:r>
        <w:rPr>
          <w:noProof/>
        </w:rPr>
        <w:fldChar w:fldCharType="separate"/>
      </w:r>
      <w:r w:rsidR="00965D37">
        <w:rPr>
          <w:noProof/>
        </w:rPr>
        <w:t>11</w:t>
      </w:r>
      <w:r>
        <w:rPr>
          <w:noProof/>
        </w:rPr>
        <w:fldChar w:fldCharType="end"/>
      </w:r>
    </w:p>
    <w:p w14:paraId="717F5EF8" w14:textId="77777777" w:rsidR="00501260" w:rsidRDefault="00501260">
      <w:pPr>
        <w:pStyle w:val="TOC2"/>
        <w:rPr>
          <w:rFonts w:asciiTheme="minorHAnsi" w:hAnsiTheme="minorHAnsi"/>
          <w:noProof/>
        </w:rPr>
      </w:pPr>
      <w:r>
        <w:rPr>
          <w:noProof/>
        </w:rPr>
        <w:t>Questions</w:t>
      </w:r>
      <w:r>
        <w:rPr>
          <w:noProof/>
        </w:rPr>
        <w:tab/>
      </w:r>
      <w:r>
        <w:rPr>
          <w:noProof/>
        </w:rPr>
        <w:fldChar w:fldCharType="begin"/>
      </w:r>
      <w:r>
        <w:rPr>
          <w:noProof/>
        </w:rPr>
        <w:instrText xml:space="preserve"> PAGEREF _Toc460081239 \h </w:instrText>
      </w:r>
      <w:r>
        <w:rPr>
          <w:noProof/>
        </w:rPr>
      </w:r>
      <w:r>
        <w:rPr>
          <w:noProof/>
        </w:rPr>
        <w:fldChar w:fldCharType="separate"/>
      </w:r>
      <w:r w:rsidR="00965D37">
        <w:rPr>
          <w:noProof/>
        </w:rPr>
        <w:t>14</w:t>
      </w:r>
      <w:r>
        <w:rPr>
          <w:noProof/>
        </w:rPr>
        <w:fldChar w:fldCharType="end"/>
      </w:r>
    </w:p>
    <w:p w14:paraId="3E6B3BD7" w14:textId="77777777" w:rsidR="00501260" w:rsidRDefault="00501260">
      <w:pPr>
        <w:pStyle w:val="TOC1"/>
        <w:rPr>
          <w:rFonts w:asciiTheme="minorHAnsi" w:hAnsiTheme="minorHAnsi"/>
          <w:noProof/>
        </w:rPr>
      </w:pPr>
      <w:r>
        <w:rPr>
          <w:noProof/>
        </w:rPr>
        <w:t xml:space="preserve">4 </w:t>
      </w:r>
      <w:r>
        <w:rPr>
          <w:rFonts w:asciiTheme="minorHAnsi" w:hAnsiTheme="minorHAnsi"/>
          <w:noProof/>
        </w:rPr>
        <w:tab/>
      </w:r>
      <w:r>
        <w:rPr>
          <w:noProof/>
        </w:rPr>
        <w:t>Does the NESCS apply to my land?</w:t>
      </w:r>
      <w:r>
        <w:rPr>
          <w:noProof/>
        </w:rPr>
        <w:tab/>
      </w:r>
      <w:r>
        <w:rPr>
          <w:noProof/>
        </w:rPr>
        <w:fldChar w:fldCharType="begin"/>
      </w:r>
      <w:r>
        <w:rPr>
          <w:noProof/>
        </w:rPr>
        <w:instrText xml:space="preserve"> PAGEREF _Toc460081240 \h </w:instrText>
      </w:r>
      <w:r>
        <w:rPr>
          <w:noProof/>
        </w:rPr>
      </w:r>
      <w:r>
        <w:rPr>
          <w:noProof/>
        </w:rPr>
        <w:fldChar w:fldCharType="separate"/>
      </w:r>
      <w:r w:rsidR="00965D37">
        <w:rPr>
          <w:noProof/>
        </w:rPr>
        <w:t>16</w:t>
      </w:r>
      <w:r>
        <w:rPr>
          <w:noProof/>
        </w:rPr>
        <w:fldChar w:fldCharType="end"/>
      </w:r>
    </w:p>
    <w:p w14:paraId="32E388BD" w14:textId="77777777" w:rsidR="00501260" w:rsidRDefault="00501260">
      <w:pPr>
        <w:pStyle w:val="TOC2"/>
        <w:rPr>
          <w:rFonts w:asciiTheme="minorHAnsi" w:hAnsiTheme="minorHAnsi"/>
          <w:noProof/>
        </w:rPr>
      </w:pPr>
      <w:r>
        <w:rPr>
          <w:noProof/>
        </w:rPr>
        <w:t>Introducing a risk-based approach</w:t>
      </w:r>
      <w:r>
        <w:rPr>
          <w:noProof/>
        </w:rPr>
        <w:tab/>
      </w:r>
      <w:r>
        <w:rPr>
          <w:noProof/>
        </w:rPr>
        <w:fldChar w:fldCharType="begin"/>
      </w:r>
      <w:r>
        <w:rPr>
          <w:noProof/>
        </w:rPr>
        <w:instrText xml:space="preserve"> PAGEREF _Toc460081241 \h </w:instrText>
      </w:r>
      <w:r>
        <w:rPr>
          <w:noProof/>
        </w:rPr>
      </w:r>
      <w:r>
        <w:rPr>
          <w:noProof/>
        </w:rPr>
        <w:fldChar w:fldCharType="separate"/>
      </w:r>
      <w:r w:rsidR="00965D37">
        <w:rPr>
          <w:noProof/>
        </w:rPr>
        <w:t>16</w:t>
      </w:r>
      <w:r>
        <w:rPr>
          <w:noProof/>
        </w:rPr>
        <w:fldChar w:fldCharType="end"/>
      </w:r>
    </w:p>
    <w:p w14:paraId="5E018822" w14:textId="77777777" w:rsidR="00501260" w:rsidRDefault="00501260">
      <w:pPr>
        <w:pStyle w:val="TOC2"/>
        <w:rPr>
          <w:rFonts w:asciiTheme="minorHAnsi" w:hAnsiTheme="minorHAnsi"/>
          <w:noProof/>
        </w:rPr>
      </w:pPr>
      <w:r>
        <w:rPr>
          <w:noProof/>
        </w:rPr>
        <w:t>Proposals</w:t>
      </w:r>
      <w:r>
        <w:rPr>
          <w:noProof/>
        </w:rPr>
        <w:tab/>
      </w:r>
      <w:r>
        <w:rPr>
          <w:noProof/>
        </w:rPr>
        <w:fldChar w:fldCharType="begin"/>
      </w:r>
      <w:r>
        <w:rPr>
          <w:noProof/>
        </w:rPr>
        <w:instrText xml:space="preserve"> PAGEREF _Toc460081242 \h </w:instrText>
      </w:r>
      <w:r>
        <w:rPr>
          <w:noProof/>
        </w:rPr>
      </w:r>
      <w:r>
        <w:rPr>
          <w:noProof/>
        </w:rPr>
        <w:fldChar w:fldCharType="separate"/>
      </w:r>
      <w:r w:rsidR="00965D37">
        <w:rPr>
          <w:noProof/>
        </w:rPr>
        <w:t>16</w:t>
      </w:r>
      <w:r>
        <w:rPr>
          <w:noProof/>
        </w:rPr>
        <w:fldChar w:fldCharType="end"/>
      </w:r>
    </w:p>
    <w:p w14:paraId="7BD07982" w14:textId="77777777" w:rsidR="00501260" w:rsidRDefault="00501260">
      <w:pPr>
        <w:pStyle w:val="TOC2"/>
        <w:rPr>
          <w:rFonts w:asciiTheme="minorHAnsi" w:hAnsiTheme="minorHAnsi"/>
          <w:noProof/>
        </w:rPr>
      </w:pPr>
      <w:r>
        <w:rPr>
          <w:noProof/>
        </w:rPr>
        <w:t>Questions</w:t>
      </w:r>
      <w:r>
        <w:rPr>
          <w:noProof/>
        </w:rPr>
        <w:tab/>
      </w:r>
      <w:r>
        <w:rPr>
          <w:noProof/>
        </w:rPr>
        <w:fldChar w:fldCharType="begin"/>
      </w:r>
      <w:r>
        <w:rPr>
          <w:noProof/>
        </w:rPr>
        <w:instrText xml:space="preserve"> PAGEREF _Toc460081243 \h </w:instrText>
      </w:r>
      <w:r>
        <w:rPr>
          <w:noProof/>
        </w:rPr>
      </w:r>
      <w:r>
        <w:rPr>
          <w:noProof/>
        </w:rPr>
        <w:fldChar w:fldCharType="separate"/>
      </w:r>
      <w:r w:rsidR="00965D37">
        <w:rPr>
          <w:noProof/>
        </w:rPr>
        <w:t>18</w:t>
      </w:r>
      <w:r>
        <w:rPr>
          <w:noProof/>
        </w:rPr>
        <w:fldChar w:fldCharType="end"/>
      </w:r>
    </w:p>
    <w:p w14:paraId="07D2656B" w14:textId="77777777" w:rsidR="00501260" w:rsidRDefault="00501260">
      <w:pPr>
        <w:pStyle w:val="TOC1"/>
        <w:rPr>
          <w:rFonts w:asciiTheme="minorHAnsi" w:hAnsiTheme="minorHAnsi"/>
          <w:noProof/>
        </w:rPr>
      </w:pPr>
      <w:r>
        <w:rPr>
          <w:noProof/>
        </w:rPr>
        <w:t>5</w:t>
      </w:r>
      <w:r>
        <w:rPr>
          <w:rFonts w:asciiTheme="minorHAnsi" w:hAnsiTheme="minorHAnsi"/>
          <w:noProof/>
        </w:rPr>
        <w:tab/>
      </w:r>
      <w:r>
        <w:rPr>
          <w:noProof/>
        </w:rPr>
        <w:t>NESCS activities and planning controls</w:t>
      </w:r>
      <w:r>
        <w:rPr>
          <w:noProof/>
        </w:rPr>
        <w:tab/>
      </w:r>
      <w:r>
        <w:rPr>
          <w:noProof/>
        </w:rPr>
        <w:fldChar w:fldCharType="begin"/>
      </w:r>
      <w:r>
        <w:rPr>
          <w:noProof/>
        </w:rPr>
        <w:instrText xml:space="preserve"> PAGEREF _Toc460081244 \h </w:instrText>
      </w:r>
      <w:r>
        <w:rPr>
          <w:noProof/>
        </w:rPr>
      </w:r>
      <w:r>
        <w:rPr>
          <w:noProof/>
        </w:rPr>
        <w:fldChar w:fldCharType="separate"/>
      </w:r>
      <w:r w:rsidR="00965D37">
        <w:rPr>
          <w:noProof/>
        </w:rPr>
        <w:t>20</w:t>
      </w:r>
      <w:r>
        <w:rPr>
          <w:noProof/>
        </w:rPr>
        <w:fldChar w:fldCharType="end"/>
      </w:r>
    </w:p>
    <w:p w14:paraId="2D8970A5" w14:textId="77777777" w:rsidR="00501260" w:rsidRDefault="00501260">
      <w:pPr>
        <w:pStyle w:val="TOC2"/>
        <w:rPr>
          <w:rFonts w:asciiTheme="minorHAnsi" w:hAnsiTheme="minorHAnsi"/>
          <w:noProof/>
        </w:rPr>
      </w:pPr>
      <w:r>
        <w:rPr>
          <w:noProof/>
        </w:rPr>
        <w:t>Activities related to land development</w:t>
      </w:r>
      <w:r>
        <w:rPr>
          <w:noProof/>
        </w:rPr>
        <w:tab/>
      </w:r>
      <w:r>
        <w:rPr>
          <w:noProof/>
        </w:rPr>
        <w:fldChar w:fldCharType="begin"/>
      </w:r>
      <w:r>
        <w:rPr>
          <w:noProof/>
        </w:rPr>
        <w:instrText xml:space="preserve"> PAGEREF _Toc460081245 \h </w:instrText>
      </w:r>
      <w:r>
        <w:rPr>
          <w:noProof/>
        </w:rPr>
      </w:r>
      <w:r>
        <w:rPr>
          <w:noProof/>
        </w:rPr>
        <w:fldChar w:fldCharType="separate"/>
      </w:r>
      <w:r w:rsidR="00965D37">
        <w:rPr>
          <w:noProof/>
        </w:rPr>
        <w:t>20</w:t>
      </w:r>
      <w:r>
        <w:rPr>
          <w:noProof/>
        </w:rPr>
        <w:fldChar w:fldCharType="end"/>
      </w:r>
    </w:p>
    <w:p w14:paraId="0CB33B51" w14:textId="77777777" w:rsidR="00501260" w:rsidRDefault="00501260">
      <w:pPr>
        <w:pStyle w:val="TOC2"/>
        <w:rPr>
          <w:rFonts w:asciiTheme="minorHAnsi" w:hAnsiTheme="minorHAnsi"/>
          <w:noProof/>
        </w:rPr>
      </w:pPr>
      <w:r>
        <w:rPr>
          <w:noProof/>
          <w:lang w:eastAsia="en-US"/>
        </w:rPr>
        <w:t>Proposals</w:t>
      </w:r>
      <w:r>
        <w:rPr>
          <w:noProof/>
        </w:rPr>
        <w:tab/>
      </w:r>
      <w:r>
        <w:rPr>
          <w:noProof/>
        </w:rPr>
        <w:fldChar w:fldCharType="begin"/>
      </w:r>
      <w:r>
        <w:rPr>
          <w:noProof/>
        </w:rPr>
        <w:instrText xml:space="preserve"> PAGEREF _Toc460081246 \h </w:instrText>
      </w:r>
      <w:r>
        <w:rPr>
          <w:noProof/>
        </w:rPr>
      </w:r>
      <w:r>
        <w:rPr>
          <w:noProof/>
        </w:rPr>
        <w:fldChar w:fldCharType="separate"/>
      </w:r>
      <w:r w:rsidR="00965D37">
        <w:rPr>
          <w:noProof/>
        </w:rPr>
        <w:t>21</w:t>
      </w:r>
      <w:r>
        <w:rPr>
          <w:noProof/>
        </w:rPr>
        <w:fldChar w:fldCharType="end"/>
      </w:r>
    </w:p>
    <w:p w14:paraId="52F74FF1" w14:textId="77777777" w:rsidR="00501260" w:rsidRDefault="00501260">
      <w:pPr>
        <w:pStyle w:val="TOC2"/>
        <w:rPr>
          <w:rFonts w:asciiTheme="minorHAnsi" w:hAnsiTheme="minorHAnsi"/>
          <w:noProof/>
        </w:rPr>
      </w:pPr>
      <w:r>
        <w:rPr>
          <w:noProof/>
        </w:rPr>
        <w:t>Questions</w:t>
      </w:r>
      <w:r>
        <w:rPr>
          <w:noProof/>
        </w:rPr>
        <w:tab/>
      </w:r>
      <w:r>
        <w:rPr>
          <w:noProof/>
        </w:rPr>
        <w:fldChar w:fldCharType="begin"/>
      </w:r>
      <w:r>
        <w:rPr>
          <w:noProof/>
        </w:rPr>
        <w:instrText xml:space="preserve"> PAGEREF _Toc460081247 \h </w:instrText>
      </w:r>
      <w:r>
        <w:rPr>
          <w:noProof/>
        </w:rPr>
      </w:r>
      <w:r>
        <w:rPr>
          <w:noProof/>
        </w:rPr>
        <w:fldChar w:fldCharType="separate"/>
      </w:r>
      <w:r w:rsidR="00965D37">
        <w:rPr>
          <w:noProof/>
        </w:rPr>
        <w:t>38</w:t>
      </w:r>
      <w:r>
        <w:rPr>
          <w:noProof/>
        </w:rPr>
        <w:fldChar w:fldCharType="end"/>
      </w:r>
    </w:p>
    <w:p w14:paraId="74C2AF42" w14:textId="77777777" w:rsidR="00501260" w:rsidRDefault="00501260" w:rsidP="00501260">
      <w:pPr>
        <w:pStyle w:val="TOC1"/>
        <w:spacing w:before="220"/>
        <w:rPr>
          <w:rFonts w:asciiTheme="minorHAnsi" w:hAnsiTheme="minorHAnsi"/>
          <w:noProof/>
        </w:rPr>
      </w:pPr>
      <w:r>
        <w:rPr>
          <w:noProof/>
        </w:rPr>
        <w:t>6</w:t>
      </w:r>
      <w:r>
        <w:rPr>
          <w:rFonts w:asciiTheme="minorHAnsi" w:hAnsiTheme="minorHAnsi"/>
          <w:noProof/>
        </w:rPr>
        <w:tab/>
      </w:r>
      <w:r>
        <w:rPr>
          <w:noProof/>
        </w:rPr>
        <w:t>Management of contaminated land</w:t>
      </w:r>
      <w:r>
        <w:rPr>
          <w:noProof/>
        </w:rPr>
        <w:tab/>
      </w:r>
      <w:r>
        <w:rPr>
          <w:noProof/>
        </w:rPr>
        <w:fldChar w:fldCharType="begin"/>
      </w:r>
      <w:r>
        <w:rPr>
          <w:noProof/>
        </w:rPr>
        <w:instrText xml:space="preserve"> PAGEREF _Toc460081248 \h </w:instrText>
      </w:r>
      <w:r>
        <w:rPr>
          <w:noProof/>
        </w:rPr>
      </w:r>
      <w:r>
        <w:rPr>
          <w:noProof/>
        </w:rPr>
        <w:fldChar w:fldCharType="separate"/>
      </w:r>
      <w:r w:rsidR="00965D37">
        <w:rPr>
          <w:noProof/>
        </w:rPr>
        <w:t>40</w:t>
      </w:r>
      <w:r>
        <w:rPr>
          <w:noProof/>
        </w:rPr>
        <w:fldChar w:fldCharType="end"/>
      </w:r>
    </w:p>
    <w:p w14:paraId="6BCA6797" w14:textId="77777777" w:rsidR="00501260" w:rsidRDefault="00501260">
      <w:pPr>
        <w:pStyle w:val="TOC2"/>
        <w:rPr>
          <w:rFonts w:asciiTheme="minorHAnsi" w:hAnsiTheme="minorHAnsi"/>
          <w:noProof/>
        </w:rPr>
      </w:pPr>
      <w:r>
        <w:rPr>
          <w:noProof/>
        </w:rPr>
        <w:t>Site-specific management appropriate for risk</w:t>
      </w:r>
      <w:r>
        <w:rPr>
          <w:noProof/>
        </w:rPr>
        <w:tab/>
      </w:r>
      <w:r>
        <w:rPr>
          <w:noProof/>
        </w:rPr>
        <w:fldChar w:fldCharType="begin"/>
      </w:r>
      <w:r>
        <w:rPr>
          <w:noProof/>
        </w:rPr>
        <w:instrText xml:space="preserve"> PAGEREF _Toc460081249 \h </w:instrText>
      </w:r>
      <w:r>
        <w:rPr>
          <w:noProof/>
        </w:rPr>
      </w:r>
      <w:r>
        <w:rPr>
          <w:noProof/>
        </w:rPr>
        <w:fldChar w:fldCharType="separate"/>
      </w:r>
      <w:r w:rsidR="00965D37">
        <w:rPr>
          <w:noProof/>
        </w:rPr>
        <w:t>40</w:t>
      </w:r>
      <w:r>
        <w:rPr>
          <w:noProof/>
        </w:rPr>
        <w:fldChar w:fldCharType="end"/>
      </w:r>
    </w:p>
    <w:p w14:paraId="4EF50C5B" w14:textId="77777777" w:rsidR="00501260" w:rsidRDefault="00501260">
      <w:pPr>
        <w:pStyle w:val="TOC2"/>
        <w:rPr>
          <w:rFonts w:asciiTheme="minorHAnsi" w:hAnsiTheme="minorHAnsi"/>
          <w:noProof/>
        </w:rPr>
      </w:pPr>
      <w:r>
        <w:rPr>
          <w:noProof/>
        </w:rPr>
        <w:t>Proposals</w:t>
      </w:r>
      <w:r>
        <w:rPr>
          <w:noProof/>
        </w:rPr>
        <w:tab/>
      </w:r>
      <w:r>
        <w:rPr>
          <w:noProof/>
        </w:rPr>
        <w:fldChar w:fldCharType="begin"/>
      </w:r>
      <w:r>
        <w:rPr>
          <w:noProof/>
        </w:rPr>
        <w:instrText xml:space="preserve"> PAGEREF _Toc460081250 \h </w:instrText>
      </w:r>
      <w:r>
        <w:rPr>
          <w:noProof/>
        </w:rPr>
      </w:r>
      <w:r>
        <w:rPr>
          <w:noProof/>
        </w:rPr>
        <w:fldChar w:fldCharType="separate"/>
      </w:r>
      <w:r w:rsidR="00965D37">
        <w:rPr>
          <w:noProof/>
        </w:rPr>
        <w:t>40</w:t>
      </w:r>
      <w:r>
        <w:rPr>
          <w:noProof/>
        </w:rPr>
        <w:fldChar w:fldCharType="end"/>
      </w:r>
    </w:p>
    <w:p w14:paraId="29E7ECAE" w14:textId="77777777" w:rsidR="00501260" w:rsidRDefault="00501260">
      <w:pPr>
        <w:pStyle w:val="TOC2"/>
        <w:rPr>
          <w:rFonts w:asciiTheme="minorHAnsi" w:hAnsiTheme="minorHAnsi"/>
          <w:noProof/>
        </w:rPr>
      </w:pPr>
      <w:r>
        <w:rPr>
          <w:noProof/>
          <w:lang w:eastAsia="en-US"/>
        </w:rPr>
        <w:t>Questions</w:t>
      </w:r>
      <w:r>
        <w:rPr>
          <w:noProof/>
        </w:rPr>
        <w:tab/>
      </w:r>
      <w:r>
        <w:rPr>
          <w:noProof/>
        </w:rPr>
        <w:fldChar w:fldCharType="begin"/>
      </w:r>
      <w:r>
        <w:rPr>
          <w:noProof/>
        </w:rPr>
        <w:instrText xml:space="preserve"> PAGEREF _Toc460081251 \h </w:instrText>
      </w:r>
      <w:r>
        <w:rPr>
          <w:noProof/>
        </w:rPr>
      </w:r>
      <w:r>
        <w:rPr>
          <w:noProof/>
        </w:rPr>
        <w:fldChar w:fldCharType="separate"/>
      </w:r>
      <w:r w:rsidR="00965D37">
        <w:rPr>
          <w:noProof/>
        </w:rPr>
        <w:t>46</w:t>
      </w:r>
      <w:r>
        <w:rPr>
          <w:noProof/>
        </w:rPr>
        <w:fldChar w:fldCharType="end"/>
      </w:r>
    </w:p>
    <w:p w14:paraId="416F9F16" w14:textId="77777777" w:rsidR="00501260" w:rsidRDefault="00501260" w:rsidP="00501260">
      <w:pPr>
        <w:pStyle w:val="TOC1"/>
        <w:spacing w:before="220"/>
        <w:rPr>
          <w:rFonts w:asciiTheme="minorHAnsi" w:hAnsiTheme="minorHAnsi"/>
          <w:noProof/>
        </w:rPr>
      </w:pPr>
      <w:r>
        <w:rPr>
          <w:noProof/>
          <w:lang w:eastAsia="en-US"/>
        </w:rPr>
        <w:t>7</w:t>
      </w:r>
      <w:r>
        <w:rPr>
          <w:rFonts w:asciiTheme="minorHAnsi" w:hAnsiTheme="minorHAnsi"/>
          <w:noProof/>
        </w:rPr>
        <w:tab/>
      </w:r>
      <w:r>
        <w:rPr>
          <w:noProof/>
          <w:lang w:eastAsia="en-US"/>
        </w:rPr>
        <w:t>Consultation process</w:t>
      </w:r>
      <w:r>
        <w:rPr>
          <w:noProof/>
        </w:rPr>
        <w:tab/>
      </w:r>
      <w:r>
        <w:rPr>
          <w:noProof/>
        </w:rPr>
        <w:fldChar w:fldCharType="begin"/>
      </w:r>
      <w:r>
        <w:rPr>
          <w:noProof/>
        </w:rPr>
        <w:instrText xml:space="preserve"> PAGEREF _Toc460081252 \h </w:instrText>
      </w:r>
      <w:r>
        <w:rPr>
          <w:noProof/>
        </w:rPr>
      </w:r>
      <w:r>
        <w:rPr>
          <w:noProof/>
        </w:rPr>
        <w:fldChar w:fldCharType="separate"/>
      </w:r>
      <w:r w:rsidR="00965D37">
        <w:rPr>
          <w:noProof/>
        </w:rPr>
        <w:t>48</w:t>
      </w:r>
      <w:r>
        <w:rPr>
          <w:noProof/>
        </w:rPr>
        <w:fldChar w:fldCharType="end"/>
      </w:r>
    </w:p>
    <w:p w14:paraId="7236DA98" w14:textId="77777777" w:rsidR="00501260" w:rsidRDefault="00501260">
      <w:pPr>
        <w:pStyle w:val="TOC2"/>
        <w:rPr>
          <w:rFonts w:asciiTheme="minorHAnsi" w:hAnsiTheme="minorHAnsi"/>
          <w:noProof/>
        </w:rPr>
      </w:pPr>
      <w:r>
        <w:rPr>
          <w:noProof/>
          <w:lang w:eastAsia="en-US"/>
        </w:rPr>
        <w:t>How to make a submission</w:t>
      </w:r>
      <w:r>
        <w:rPr>
          <w:noProof/>
        </w:rPr>
        <w:tab/>
      </w:r>
      <w:r>
        <w:rPr>
          <w:noProof/>
        </w:rPr>
        <w:fldChar w:fldCharType="begin"/>
      </w:r>
      <w:r>
        <w:rPr>
          <w:noProof/>
        </w:rPr>
        <w:instrText xml:space="preserve"> PAGEREF _Toc460081253 \h </w:instrText>
      </w:r>
      <w:r>
        <w:rPr>
          <w:noProof/>
        </w:rPr>
      </w:r>
      <w:r>
        <w:rPr>
          <w:noProof/>
        </w:rPr>
        <w:fldChar w:fldCharType="separate"/>
      </w:r>
      <w:r w:rsidR="00965D37">
        <w:rPr>
          <w:noProof/>
        </w:rPr>
        <w:t>48</w:t>
      </w:r>
      <w:r>
        <w:rPr>
          <w:noProof/>
        </w:rPr>
        <w:fldChar w:fldCharType="end"/>
      </w:r>
    </w:p>
    <w:p w14:paraId="3D6CDDA0" w14:textId="77777777" w:rsidR="00501260" w:rsidRDefault="00501260" w:rsidP="00501260">
      <w:pPr>
        <w:pStyle w:val="TOC1"/>
        <w:spacing w:before="200"/>
        <w:rPr>
          <w:rFonts w:asciiTheme="minorHAnsi" w:hAnsiTheme="minorHAnsi"/>
          <w:noProof/>
        </w:rPr>
      </w:pPr>
      <w:r>
        <w:rPr>
          <w:noProof/>
        </w:rPr>
        <w:t>Appendix 1 – Further background</w:t>
      </w:r>
      <w:r>
        <w:rPr>
          <w:noProof/>
        </w:rPr>
        <w:tab/>
      </w:r>
      <w:r>
        <w:rPr>
          <w:noProof/>
        </w:rPr>
        <w:fldChar w:fldCharType="begin"/>
      </w:r>
      <w:r>
        <w:rPr>
          <w:noProof/>
        </w:rPr>
        <w:instrText xml:space="preserve"> PAGEREF _Toc460081254 \h </w:instrText>
      </w:r>
      <w:r>
        <w:rPr>
          <w:noProof/>
        </w:rPr>
      </w:r>
      <w:r>
        <w:rPr>
          <w:noProof/>
        </w:rPr>
        <w:fldChar w:fldCharType="separate"/>
      </w:r>
      <w:r w:rsidR="00965D37">
        <w:rPr>
          <w:noProof/>
        </w:rPr>
        <w:t>50</w:t>
      </w:r>
      <w:r>
        <w:rPr>
          <w:noProof/>
        </w:rPr>
        <w:fldChar w:fldCharType="end"/>
      </w:r>
    </w:p>
    <w:p w14:paraId="147F05E4" w14:textId="77777777" w:rsidR="00501260" w:rsidRDefault="00501260" w:rsidP="00501260">
      <w:pPr>
        <w:pStyle w:val="TOC1"/>
        <w:spacing w:before="200"/>
        <w:rPr>
          <w:rFonts w:asciiTheme="minorHAnsi" w:hAnsiTheme="minorHAnsi"/>
          <w:noProof/>
        </w:rPr>
      </w:pPr>
      <w:r>
        <w:rPr>
          <w:noProof/>
        </w:rPr>
        <w:t>Appendix 2 – Proposals</w:t>
      </w:r>
      <w:r>
        <w:rPr>
          <w:noProof/>
        </w:rPr>
        <w:tab/>
      </w:r>
      <w:r>
        <w:rPr>
          <w:noProof/>
        </w:rPr>
        <w:fldChar w:fldCharType="begin"/>
      </w:r>
      <w:r>
        <w:rPr>
          <w:noProof/>
        </w:rPr>
        <w:instrText xml:space="preserve"> PAGEREF _Toc460081255 \h </w:instrText>
      </w:r>
      <w:r>
        <w:rPr>
          <w:noProof/>
        </w:rPr>
      </w:r>
      <w:r>
        <w:rPr>
          <w:noProof/>
        </w:rPr>
        <w:fldChar w:fldCharType="separate"/>
      </w:r>
      <w:r w:rsidR="00965D37">
        <w:rPr>
          <w:noProof/>
        </w:rPr>
        <w:t>53</w:t>
      </w:r>
      <w:r>
        <w:rPr>
          <w:noProof/>
        </w:rPr>
        <w:fldChar w:fldCharType="end"/>
      </w:r>
    </w:p>
    <w:p w14:paraId="6811A93C" w14:textId="77777777" w:rsidR="00501260" w:rsidRDefault="00501260" w:rsidP="00501260">
      <w:pPr>
        <w:pStyle w:val="TOC1"/>
        <w:spacing w:before="200"/>
        <w:rPr>
          <w:rFonts w:asciiTheme="minorHAnsi" w:hAnsiTheme="minorHAnsi"/>
          <w:noProof/>
        </w:rPr>
      </w:pPr>
      <w:r>
        <w:rPr>
          <w:noProof/>
        </w:rPr>
        <w:t>Appendix 3 – HAIL: What will the changes look like?</w:t>
      </w:r>
      <w:r>
        <w:rPr>
          <w:noProof/>
        </w:rPr>
        <w:tab/>
      </w:r>
      <w:r>
        <w:rPr>
          <w:noProof/>
        </w:rPr>
        <w:fldChar w:fldCharType="begin"/>
      </w:r>
      <w:r>
        <w:rPr>
          <w:noProof/>
        </w:rPr>
        <w:instrText xml:space="preserve"> PAGEREF _Toc460081256 \h </w:instrText>
      </w:r>
      <w:r>
        <w:rPr>
          <w:noProof/>
        </w:rPr>
      </w:r>
      <w:r>
        <w:rPr>
          <w:noProof/>
        </w:rPr>
        <w:fldChar w:fldCharType="separate"/>
      </w:r>
      <w:r w:rsidR="00965D37">
        <w:rPr>
          <w:noProof/>
        </w:rPr>
        <w:t>54</w:t>
      </w:r>
      <w:r>
        <w:rPr>
          <w:noProof/>
        </w:rPr>
        <w:fldChar w:fldCharType="end"/>
      </w:r>
    </w:p>
    <w:p w14:paraId="08963F7D" w14:textId="77777777" w:rsidR="00501260" w:rsidRDefault="00501260" w:rsidP="00501260">
      <w:pPr>
        <w:pStyle w:val="TOC1"/>
        <w:spacing w:before="200"/>
        <w:rPr>
          <w:rFonts w:asciiTheme="minorHAnsi" w:hAnsiTheme="minorHAnsi"/>
          <w:noProof/>
        </w:rPr>
      </w:pPr>
      <w:r>
        <w:rPr>
          <w:noProof/>
        </w:rPr>
        <w:t>Appendix 4 – Proposed changes to the NESCS activities and planning controls by activity classification</w:t>
      </w:r>
      <w:r>
        <w:rPr>
          <w:noProof/>
        </w:rPr>
        <w:tab/>
      </w:r>
      <w:r>
        <w:rPr>
          <w:noProof/>
        </w:rPr>
        <w:fldChar w:fldCharType="begin"/>
      </w:r>
      <w:r>
        <w:rPr>
          <w:noProof/>
        </w:rPr>
        <w:instrText xml:space="preserve"> PAGEREF _Toc460081257 \h </w:instrText>
      </w:r>
      <w:r>
        <w:rPr>
          <w:noProof/>
        </w:rPr>
      </w:r>
      <w:r>
        <w:rPr>
          <w:noProof/>
        </w:rPr>
        <w:fldChar w:fldCharType="separate"/>
      </w:r>
      <w:r w:rsidR="00965D37">
        <w:rPr>
          <w:noProof/>
        </w:rPr>
        <w:t>59</w:t>
      </w:r>
      <w:r>
        <w:rPr>
          <w:noProof/>
        </w:rPr>
        <w:fldChar w:fldCharType="end"/>
      </w:r>
    </w:p>
    <w:p w14:paraId="070E45FA" w14:textId="77777777" w:rsidR="00501260" w:rsidRDefault="00501260" w:rsidP="00501260">
      <w:pPr>
        <w:pStyle w:val="TOC1"/>
        <w:spacing w:before="200"/>
        <w:rPr>
          <w:rFonts w:asciiTheme="minorHAnsi" w:hAnsiTheme="minorHAnsi"/>
          <w:noProof/>
        </w:rPr>
      </w:pPr>
      <w:r>
        <w:rPr>
          <w:noProof/>
        </w:rPr>
        <w:t>Appendix 5 – Proposed new soil guideline value</w:t>
      </w:r>
      <w:r>
        <w:rPr>
          <w:noProof/>
        </w:rPr>
        <w:tab/>
      </w:r>
      <w:r>
        <w:rPr>
          <w:noProof/>
        </w:rPr>
        <w:fldChar w:fldCharType="begin"/>
      </w:r>
      <w:r>
        <w:rPr>
          <w:noProof/>
        </w:rPr>
        <w:instrText xml:space="preserve"> PAGEREF _Toc460081258 \h </w:instrText>
      </w:r>
      <w:r>
        <w:rPr>
          <w:noProof/>
        </w:rPr>
      </w:r>
      <w:r>
        <w:rPr>
          <w:noProof/>
        </w:rPr>
        <w:fldChar w:fldCharType="separate"/>
      </w:r>
      <w:r w:rsidR="00965D37">
        <w:rPr>
          <w:noProof/>
        </w:rPr>
        <w:t>63</w:t>
      </w:r>
      <w:r>
        <w:rPr>
          <w:noProof/>
        </w:rPr>
        <w:fldChar w:fldCharType="end"/>
      </w:r>
    </w:p>
    <w:p w14:paraId="499F37B3" w14:textId="77777777" w:rsidR="00501260" w:rsidRDefault="00501260" w:rsidP="00501260">
      <w:pPr>
        <w:pStyle w:val="TOC1"/>
        <w:spacing w:before="200"/>
        <w:rPr>
          <w:rFonts w:asciiTheme="minorHAnsi" w:hAnsiTheme="minorHAnsi"/>
          <w:noProof/>
        </w:rPr>
      </w:pPr>
      <w:r>
        <w:rPr>
          <w:noProof/>
        </w:rPr>
        <w:t>Abbreviations</w:t>
      </w:r>
      <w:r>
        <w:rPr>
          <w:noProof/>
        </w:rPr>
        <w:tab/>
      </w:r>
      <w:r>
        <w:rPr>
          <w:noProof/>
        </w:rPr>
        <w:fldChar w:fldCharType="begin"/>
      </w:r>
      <w:r>
        <w:rPr>
          <w:noProof/>
        </w:rPr>
        <w:instrText xml:space="preserve"> PAGEREF _Toc460081259 \h </w:instrText>
      </w:r>
      <w:r>
        <w:rPr>
          <w:noProof/>
        </w:rPr>
      </w:r>
      <w:r>
        <w:rPr>
          <w:noProof/>
        </w:rPr>
        <w:fldChar w:fldCharType="separate"/>
      </w:r>
      <w:r w:rsidR="00965D37">
        <w:rPr>
          <w:noProof/>
        </w:rPr>
        <w:t>64</w:t>
      </w:r>
      <w:r>
        <w:rPr>
          <w:noProof/>
        </w:rPr>
        <w:fldChar w:fldCharType="end"/>
      </w:r>
    </w:p>
    <w:p w14:paraId="128E9682" w14:textId="228FA982" w:rsidR="00560C70" w:rsidRPr="000C5050" w:rsidRDefault="00501260" w:rsidP="00501260">
      <w:pPr>
        <w:pStyle w:val="TOC1"/>
      </w:pPr>
      <w:r>
        <w:rPr>
          <w:noProof/>
        </w:rPr>
        <w:t>References</w:t>
      </w:r>
      <w:r>
        <w:rPr>
          <w:noProof/>
        </w:rPr>
        <w:tab/>
      </w:r>
      <w:r>
        <w:rPr>
          <w:noProof/>
        </w:rPr>
        <w:fldChar w:fldCharType="begin"/>
      </w:r>
      <w:r>
        <w:rPr>
          <w:noProof/>
        </w:rPr>
        <w:instrText xml:space="preserve"> PAGEREF _Toc460081260 \h </w:instrText>
      </w:r>
      <w:r>
        <w:rPr>
          <w:noProof/>
        </w:rPr>
      </w:r>
      <w:r>
        <w:rPr>
          <w:noProof/>
        </w:rPr>
        <w:fldChar w:fldCharType="separate"/>
      </w:r>
      <w:r w:rsidR="00965D37">
        <w:rPr>
          <w:noProof/>
        </w:rPr>
        <w:t>65</w:t>
      </w:r>
      <w:r>
        <w:rPr>
          <w:noProof/>
        </w:rPr>
        <w:fldChar w:fldCharType="end"/>
      </w:r>
      <w:r w:rsidR="00632707" w:rsidRPr="000C5050">
        <w:fldChar w:fldCharType="end"/>
      </w:r>
    </w:p>
    <w:p w14:paraId="3F28C02C" w14:textId="77777777" w:rsidR="00434AF6" w:rsidRDefault="00434AF6" w:rsidP="00501260">
      <w:pPr>
        <w:pStyle w:val="Heading"/>
        <w:spacing w:before="480"/>
      </w:pPr>
    </w:p>
    <w:p w14:paraId="0330B639" w14:textId="77777777" w:rsidR="0081270D" w:rsidRPr="000C5050" w:rsidRDefault="0081270D" w:rsidP="00501260">
      <w:pPr>
        <w:pStyle w:val="Heading"/>
        <w:spacing w:before="480"/>
      </w:pPr>
      <w:r w:rsidRPr="000C5050">
        <w:lastRenderedPageBreak/>
        <w:t>Tables</w:t>
      </w:r>
    </w:p>
    <w:p w14:paraId="653F8DBF" w14:textId="77777777" w:rsidR="00272A48" w:rsidRDefault="0081270D">
      <w:pPr>
        <w:pStyle w:val="TableofFigures"/>
        <w:rPr>
          <w:rFonts w:asciiTheme="minorHAnsi" w:eastAsiaTheme="minorEastAsia" w:hAnsiTheme="minorHAnsi" w:cstheme="minorBidi"/>
          <w:noProof/>
          <w:sz w:val="22"/>
          <w:szCs w:val="22"/>
          <w:lang w:eastAsia="en-NZ"/>
        </w:rPr>
      </w:pPr>
      <w:r w:rsidRPr="000C5050">
        <w:fldChar w:fldCharType="begin"/>
      </w:r>
      <w:r w:rsidRPr="000C5050">
        <w:instrText xml:space="preserve"> TOC \h \z \t "Table heading" \c </w:instrText>
      </w:r>
      <w:r w:rsidRPr="000C5050">
        <w:fldChar w:fldCharType="separate"/>
      </w:r>
      <w:hyperlink w:anchor="_Toc460081286" w:history="1">
        <w:r w:rsidR="00272A48" w:rsidRPr="001D1190">
          <w:rPr>
            <w:rStyle w:val="Hyperlink"/>
            <w:noProof/>
          </w:rPr>
          <w:t xml:space="preserve">Table 1: </w:t>
        </w:r>
        <w:r w:rsidR="00272A48">
          <w:rPr>
            <w:rFonts w:asciiTheme="minorHAnsi" w:eastAsiaTheme="minorEastAsia" w:hAnsiTheme="minorHAnsi" w:cstheme="minorBidi"/>
            <w:noProof/>
            <w:sz w:val="22"/>
            <w:szCs w:val="22"/>
            <w:lang w:eastAsia="en-NZ"/>
          </w:rPr>
          <w:tab/>
        </w:r>
        <w:r w:rsidR="00272A48" w:rsidRPr="001D1190">
          <w:rPr>
            <w:rStyle w:val="Hyperlink"/>
            <w:noProof/>
          </w:rPr>
          <w:t>Types of resource consent under the NESCS and relationship to risk</w:t>
        </w:r>
        <w:r w:rsidR="00272A48">
          <w:rPr>
            <w:noProof/>
            <w:webHidden/>
          </w:rPr>
          <w:tab/>
        </w:r>
        <w:r w:rsidR="00272A48">
          <w:rPr>
            <w:noProof/>
            <w:webHidden/>
          </w:rPr>
          <w:fldChar w:fldCharType="begin"/>
        </w:r>
        <w:r w:rsidR="00272A48">
          <w:rPr>
            <w:noProof/>
            <w:webHidden/>
          </w:rPr>
          <w:instrText xml:space="preserve"> PAGEREF _Toc460081286 \h </w:instrText>
        </w:r>
        <w:r w:rsidR="00272A48">
          <w:rPr>
            <w:noProof/>
            <w:webHidden/>
          </w:rPr>
        </w:r>
        <w:r w:rsidR="00272A48">
          <w:rPr>
            <w:noProof/>
            <w:webHidden/>
          </w:rPr>
          <w:fldChar w:fldCharType="separate"/>
        </w:r>
        <w:r w:rsidR="00965D37">
          <w:rPr>
            <w:noProof/>
            <w:webHidden/>
          </w:rPr>
          <w:t>20</w:t>
        </w:r>
        <w:r w:rsidR="00272A48">
          <w:rPr>
            <w:noProof/>
            <w:webHidden/>
          </w:rPr>
          <w:fldChar w:fldCharType="end"/>
        </w:r>
      </w:hyperlink>
    </w:p>
    <w:p w14:paraId="522DD1D8" w14:textId="77777777" w:rsidR="00272A48" w:rsidRDefault="00965D37">
      <w:pPr>
        <w:pStyle w:val="TableofFigures"/>
        <w:rPr>
          <w:rFonts w:asciiTheme="minorHAnsi" w:eastAsiaTheme="minorEastAsia" w:hAnsiTheme="minorHAnsi" w:cstheme="minorBidi"/>
          <w:noProof/>
          <w:sz w:val="22"/>
          <w:szCs w:val="22"/>
          <w:lang w:eastAsia="en-NZ"/>
        </w:rPr>
      </w:pPr>
      <w:hyperlink w:anchor="_Toc460081287" w:history="1">
        <w:r w:rsidR="00272A48" w:rsidRPr="001D1190">
          <w:rPr>
            <w:rStyle w:val="Hyperlink"/>
            <w:noProof/>
          </w:rPr>
          <w:t xml:space="preserve">Table 2: </w:t>
        </w:r>
        <w:r w:rsidR="00272A48">
          <w:rPr>
            <w:rFonts w:asciiTheme="minorHAnsi" w:eastAsiaTheme="minorEastAsia" w:hAnsiTheme="minorHAnsi" w:cstheme="minorBidi"/>
            <w:noProof/>
            <w:sz w:val="22"/>
            <w:szCs w:val="22"/>
            <w:lang w:eastAsia="en-NZ"/>
          </w:rPr>
          <w:tab/>
        </w:r>
        <w:r w:rsidR="00272A48" w:rsidRPr="001D1190">
          <w:rPr>
            <w:rStyle w:val="Hyperlink"/>
            <w:noProof/>
          </w:rPr>
          <w:t>Proposed consent status and planning controls for the activity of soil disturbance</w:t>
        </w:r>
        <w:r w:rsidR="00272A48">
          <w:rPr>
            <w:noProof/>
            <w:webHidden/>
          </w:rPr>
          <w:tab/>
        </w:r>
        <w:r w:rsidR="00272A48">
          <w:rPr>
            <w:noProof/>
            <w:webHidden/>
          </w:rPr>
          <w:fldChar w:fldCharType="begin"/>
        </w:r>
        <w:r w:rsidR="00272A48">
          <w:rPr>
            <w:noProof/>
            <w:webHidden/>
          </w:rPr>
          <w:instrText xml:space="preserve"> PAGEREF _Toc460081287 \h </w:instrText>
        </w:r>
        <w:r w:rsidR="00272A48">
          <w:rPr>
            <w:noProof/>
            <w:webHidden/>
          </w:rPr>
        </w:r>
        <w:r w:rsidR="00272A48">
          <w:rPr>
            <w:noProof/>
            <w:webHidden/>
          </w:rPr>
          <w:fldChar w:fldCharType="separate"/>
        </w:r>
        <w:r>
          <w:rPr>
            <w:noProof/>
            <w:webHidden/>
          </w:rPr>
          <w:t>27</w:t>
        </w:r>
        <w:r w:rsidR="00272A48">
          <w:rPr>
            <w:noProof/>
            <w:webHidden/>
          </w:rPr>
          <w:fldChar w:fldCharType="end"/>
        </w:r>
      </w:hyperlink>
    </w:p>
    <w:p w14:paraId="42D8362B" w14:textId="77777777" w:rsidR="00272A48" w:rsidRDefault="00965D37">
      <w:pPr>
        <w:pStyle w:val="TableofFigures"/>
        <w:rPr>
          <w:rFonts w:asciiTheme="minorHAnsi" w:eastAsiaTheme="minorEastAsia" w:hAnsiTheme="minorHAnsi" w:cstheme="minorBidi"/>
          <w:noProof/>
          <w:sz w:val="22"/>
          <w:szCs w:val="22"/>
          <w:lang w:eastAsia="en-NZ"/>
        </w:rPr>
      </w:pPr>
      <w:hyperlink w:anchor="_Toc460081288" w:history="1">
        <w:r w:rsidR="00272A48" w:rsidRPr="001D1190">
          <w:rPr>
            <w:rStyle w:val="Hyperlink"/>
            <w:noProof/>
          </w:rPr>
          <w:t xml:space="preserve">Table 3: </w:t>
        </w:r>
        <w:r w:rsidR="00272A48">
          <w:rPr>
            <w:rFonts w:asciiTheme="minorHAnsi" w:eastAsiaTheme="minorEastAsia" w:hAnsiTheme="minorHAnsi" w:cstheme="minorBidi"/>
            <w:noProof/>
            <w:sz w:val="22"/>
            <w:szCs w:val="22"/>
            <w:lang w:eastAsia="en-NZ"/>
          </w:rPr>
          <w:tab/>
        </w:r>
        <w:r w:rsidR="00272A48" w:rsidRPr="001D1190">
          <w:rPr>
            <w:rStyle w:val="Hyperlink"/>
            <w:noProof/>
          </w:rPr>
          <w:t>Proposed consent status and planning controls for the activity of soil disposal</w:t>
        </w:r>
        <w:r w:rsidR="00272A48">
          <w:rPr>
            <w:noProof/>
            <w:webHidden/>
          </w:rPr>
          <w:tab/>
        </w:r>
        <w:r w:rsidR="00272A48">
          <w:rPr>
            <w:noProof/>
            <w:webHidden/>
          </w:rPr>
          <w:fldChar w:fldCharType="begin"/>
        </w:r>
        <w:r w:rsidR="00272A48">
          <w:rPr>
            <w:noProof/>
            <w:webHidden/>
          </w:rPr>
          <w:instrText xml:space="preserve"> PAGEREF _Toc460081288 \h </w:instrText>
        </w:r>
        <w:r w:rsidR="00272A48">
          <w:rPr>
            <w:noProof/>
            <w:webHidden/>
          </w:rPr>
        </w:r>
        <w:r w:rsidR="00272A48">
          <w:rPr>
            <w:noProof/>
            <w:webHidden/>
          </w:rPr>
          <w:fldChar w:fldCharType="separate"/>
        </w:r>
        <w:r>
          <w:rPr>
            <w:noProof/>
            <w:webHidden/>
          </w:rPr>
          <w:t>29</w:t>
        </w:r>
        <w:r w:rsidR="00272A48">
          <w:rPr>
            <w:noProof/>
            <w:webHidden/>
          </w:rPr>
          <w:fldChar w:fldCharType="end"/>
        </w:r>
      </w:hyperlink>
    </w:p>
    <w:p w14:paraId="7BA2DC45" w14:textId="77777777" w:rsidR="00272A48" w:rsidRDefault="00965D37">
      <w:pPr>
        <w:pStyle w:val="TableofFigures"/>
        <w:rPr>
          <w:rFonts w:asciiTheme="minorHAnsi" w:eastAsiaTheme="minorEastAsia" w:hAnsiTheme="minorHAnsi" w:cstheme="minorBidi"/>
          <w:noProof/>
          <w:sz w:val="22"/>
          <w:szCs w:val="22"/>
          <w:lang w:eastAsia="en-NZ"/>
        </w:rPr>
      </w:pPr>
      <w:hyperlink w:anchor="_Toc460081289" w:history="1">
        <w:r w:rsidR="00272A48" w:rsidRPr="001D1190">
          <w:rPr>
            <w:rStyle w:val="Hyperlink"/>
            <w:noProof/>
          </w:rPr>
          <w:t xml:space="preserve">Table 4: </w:t>
        </w:r>
        <w:r w:rsidR="00272A48">
          <w:rPr>
            <w:rFonts w:asciiTheme="minorHAnsi" w:eastAsiaTheme="minorEastAsia" w:hAnsiTheme="minorHAnsi" w:cstheme="minorBidi"/>
            <w:noProof/>
            <w:sz w:val="22"/>
            <w:szCs w:val="22"/>
            <w:lang w:eastAsia="en-NZ"/>
          </w:rPr>
          <w:tab/>
        </w:r>
        <w:r w:rsidR="00272A48" w:rsidRPr="001D1190">
          <w:rPr>
            <w:rStyle w:val="Hyperlink"/>
            <w:noProof/>
          </w:rPr>
          <w:t>Proposed consent status and planning controls for the activity of the removal and/or replacement of a fuel storage system</w:t>
        </w:r>
        <w:r w:rsidR="00272A48">
          <w:rPr>
            <w:noProof/>
            <w:webHidden/>
          </w:rPr>
          <w:tab/>
        </w:r>
        <w:r w:rsidR="00272A48">
          <w:rPr>
            <w:noProof/>
            <w:webHidden/>
          </w:rPr>
          <w:fldChar w:fldCharType="begin"/>
        </w:r>
        <w:r w:rsidR="00272A48">
          <w:rPr>
            <w:noProof/>
            <w:webHidden/>
          </w:rPr>
          <w:instrText xml:space="preserve"> PAGEREF _Toc460081289 \h </w:instrText>
        </w:r>
        <w:r w:rsidR="00272A48">
          <w:rPr>
            <w:noProof/>
            <w:webHidden/>
          </w:rPr>
        </w:r>
        <w:r w:rsidR="00272A48">
          <w:rPr>
            <w:noProof/>
            <w:webHidden/>
          </w:rPr>
          <w:fldChar w:fldCharType="separate"/>
        </w:r>
        <w:r>
          <w:rPr>
            <w:noProof/>
            <w:webHidden/>
          </w:rPr>
          <w:t>31</w:t>
        </w:r>
        <w:r w:rsidR="00272A48">
          <w:rPr>
            <w:noProof/>
            <w:webHidden/>
          </w:rPr>
          <w:fldChar w:fldCharType="end"/>
        </w:r>
      </w:hyperlink>
    </w:p>
    <w:p w14:paraId="31E93C4D" w14:textId="77777777" w:rsidR="00272A48" w:rsidRDefault="00965D37">
      <w:pPr>
        <w:pStyle w:val="TableofFigures"/>
        <w:rPr>
          <w:rFonts w:asciiTheme="minorHAnsi" w:eastAsiaTheme="minorEastAsia" w:hAnsiTheme="minorHAnsi" w:cstheme="minorBidi"/>
          <w:noProof/>
          <w:sz w:val="22"/>
          <w:szCs w:val="22"/>
          <w:lang w:eastAsia="en-NZ"/>
        </w:rPr>
      </w:pPr>
      <w:hyperlink w:anchor="_Toc460081290" w:history="1">
        <w:r w:rsidR="00272A48" w:rsidRPr="001D1190">
          <w:rPr>
            <w:rStyle w:val="Hyperlink"/>
            <w:noProof/>
          </w:rPr>
          <w:t xml:space="preserve">Table 5: </w:t>
        </w:r>
        <w:r w:rsidR="00272A48">
          <w:rPr>
            <w:rFonts w:asciiTheme="minorHAnsi" w:eastAsiaTheme="minorEastAsia" w:hAnsiTheme="minorHAnsi" w:cstheme="minorBidi"/>
            <w:noProof/>
            <w:sz w:val="22"/>
            <w:szCs w:val="22"/>
            <w:lang w:eastAsia="en-NZ"/>
          </w:rPr>
          <w:tab/>
        </w:r>
        <w:r w:rsidR="00272A48" w:rsidRPr="001D1190">
          <w:rPr>
            <w:rStyle w:val="Hyperlink"/>
            <w:noProof/>
          </w:rPr>
          <w:t>Proposed consent status and planning controls for the activity of soil sampling</w:t>
        </w:r>
        <w:r w:rsidR="00272A48">
          <w:rPr>
            <w:noProof/>
            <w:webHidden/>
          </w:rPr>
          <w:tab/>
        </w:r>
        <w:r w:rsidR="00272A48">
          <w:rPr>
            <w:noProof/>
            <w:webHidden/>
          </w:rPr>
          <w:fldChar w:fldCharType="begin"/>
        </w:r>
        <w:r w:rsidR="00272A48">
          <w:rPr>
            <w:noProof/>
            <w:webHidden/>
          </w:rPr>
          <w:instrText xml:space="preserve"> PAGEREF _Toc460081290 \h </w:instrText>
        </w:r>
        <w:r w:rsidR="00272A48">
          <w:rPr>
            <w:noProof/>
            <w:webHidden/>
          </w:rPr>
        </w:r>
        <w:r w:rsidR="00272A48">
          <w:rPr>
            <w:noProof/>
            <w:webHidden/>
          </w:rPr>
          <w:fldChar w:fldCharType="separate"/>
        </w:r>
        <w:r>
          <w:rPr>
            <w:noProof/>
            <w:webHidden/>
          </w:rPr>
          <w:t>33</w:t>
        </w:r>
        <w:r w:rsidR="00272A48">
          <w:rPr>
            <w:noProof/>
            <w:webHidden/>
          </w:rPr>
          <w:fldChar w:fldCharType="end"/>
        </w:r>
      </w:hyperlink>
    </w:p>
    <w:p w14:paraId="5BBB2BEA" w14:textId="77777777" w:rsidR="00272A48" w:rsidRDefault="00965D37">
      <w:pPr>
        <w:pStyle w:val="TableofFigures"/>
        <w:rPr>
          <w:rFonts w:asciiTheme="minorHAnsi" w:eastAsiaTheme="minorEastAsia" w:hAnsiTheme="minorHAnsi" w:cstheme="minorBidi"/>
          <w:noProof/>
          <w:sz w:val="22"/>
          <w:szCs w:val="22"/>
          <w:lang w:eastAsia="en-NZ"/>
        </w:rPr>
      </w:pPr>
      <w:hyperlink w:anchor="_Toc460081291" w:history="1">
        <w:r w:rsidR="00272A48" w:rsidRPr="001D1190">
          <w:rPr>
            <w:rStyle w:val="Hyperlink"/>
            <w:noProof/>
          </w:rPr>
          <w:t xml:space="preserve">Table 6: </w:t>
        </w:r>
        <w:r w:rsidR="00272A48">
          <w:rPr>
            <w:rFonts w:asciiTheme="minorHAnsi" w:eastAsiaTheme="minorEastAsia" w:hAnsiTheme="minorHAnsi" w:cstheme="minorBidi"/>
            <w:noProof/>
            <w:sz w:val="22"/>
            <w:szCs w:val="22"/>
            <w:lang w:eastAsia="en-NZ"/>
          </w:rPr>
          <w:tab/>
        </w:r>
        <w:r w:rsidR="00272A48" w:rsidRPr="001D1190">
          <w:rPr>
            <w:rStyle w:val="Hyperlink"/>
            <w:noProof/>
          </w:rPr>
          <w:t>Examples of subdivisions the proposal will cover</w:t>
        </w:r>
        <w:r w:rsidR="00272A48">
          <w:rPr>
            <w:noProof/>
            <w:webHidden/>
          </w:rPr>
          <w:tab/>
        </w:r>
        <w:r w:rsidR="00272A48">
          <w:rPr>
            <w:noProof/>
            <w:webHidden/>
          </w:rPr>
          <w:fldChar w:fldCharType="begin"/>
        </w:r>
        <w:r w:rsidR="00272A48">
          <w:rPr>
            <w:noProof/>
            <w:webHidden/>
          </w:rPr>
          <w:instrText xml:space="preserve"> PAGEREF _Toc460081291 \h </w:instrText>
        </w:r>
        <w:r w:rsidR="00272A48">
          <w:rPr>
            <w:noProof/>
            <w:webHidden/>
          </w:rPr>
        </w:r>
        <w:r w:rsidR="00272A48">
          <w:rPr>
            <w:noProof/>
            <w:webHidden/>
          </w:rPr>
          <w:fldChar w:fldCharType="separate"/>
        </w:r>
        <w:r>
          <w:rPr>
            <w:noProof/>
            <w:webHidden/>
          </w:rPr>
          <w:t>33</w:t>
        </w:r>
        <w:r w:rsidR="00272A48">
          <w:rPr>
            <w:noProof/>
            <w:webHidden/>
          </w:rPr>
          <w:fldChar w:fldCharType="end"/>
        </w:r>
      </w:hyperlink>
    </w:p>
    <w:p w14:paraId="369096F6" w14:textId="77777777" w:rsidR="00272A48" w:rsidRDefault="00965D37">
      <w:pPr>
        <w:pStyle w:val="TableofFigures"/>
        <w:rPr>
          <w:rFonts w:asciiTheme="minorHAnsi" w:eastAsiaTheme="minorEastAsia" w:hAnsiTheme="minorHAnsi" w:cstheme="minorBidi"/>
          <w:noProof/>
          <w:sz w:val="22"/>
          <w:szCs w:val="22"/>
          <w:lang w:eastAsia="en-NZ"/>
        </w:rPr>
      </w:pPr>
      <w:hyperlink w:anchor="_Toc460081292" w:history="1">
        <w:r w:rsidR="00272A48" w:rsidRPr="001D1190">
          <w:rPr>
            <w:rStyle w:val="Hyperlink"/>
            <w:noProof/>
          </w:rPr>
          <w:t xml:space="preserve">Table 7: </w:t>
        </w:r>
        <w:r w:rsidR="00272A48">
          <w:rPr>
            <w:rFonts w:asciiTheme="minorHAnsi" w:eastAsiaTheme="minorEastAsia" w:hAnsiTheme="minorHAnsi" w:cstheme="minorBidi"/>
            <w:noProof/>
            <w:sz w:val="22"/>
            <w:szCs w:val="22"/>
            <w:lang w:eastAsia="en-NZ"/>
          </w:rPr>
          <w:tab/>
        </w:r>
        <w:r w:rsidR="00272A48" w:rsidRPr="001D1190">
          <w:rPr>
            <w:rStyle w:val="Hyperlink"/>
            <w:noProof/>
          </w:rPr>
          <w:t>Proposed consent status and planning controls for the activity of subdivisions or change of use</w:t>
        </w:r>
        <w:r w:rsidR="00272A48">
          <w:rPr>
            <w:noProof/>
            <w:webHidden/>
          </w:rPr>
          <w:tab/>
        </w:r>
        <w:r w:rsidR="00272A48">
          <w:rPr>
            <w:noProof/>
            <w:webHidden/>
          </w:rPr>
          <w:fldChar w:fldCharType="begin"/>
        </w:r>
        <w:r w:rsidR="00272A48">
          <w:rPr>
            <w:noProof/>
            <w:webHidden/>
          </w:rPr>
          <w:instrText xml:space="preserve"> PAGEREF _Toc460081292 \h </w:instrText>
        </w:r>
        <w:r w:rsidR="00272A48">
          <w:rPr>
            <w:noProof/>
            <w:webHidden/>
          </w:rPr>
        </w:r>
        <w:r w:rsidR="00272A48">
          <w:rPr>
            <w:noProof/>
            <w:webHidden/>
          </w:rPr>
          <w:fldChar w:fldCharType="separate"/>
        </w:r>
        <w:r>
          <w:rPr>
            <w:noProof/>
            <w:webHidden/>
          </w:rPr>
          <w:t>34</w:t>
        </w:r>
        <w:r w:rsidR="00272A48">
          <w:rPr>
            <w:noProof/>
            <w:webHidden/>
          </w:rPr>
          <w:fldChar w:fldCharType="end"/>
        </w:r>
      </w:hyperlink>
    </w:p>
    <w:p w14:paraId="63FC24DF" w14:textId="77777777" w:rsidR="00272A48" w:rsidRDefault="00965D37">
      <w:pPr>
        <w:pStyle w:val="TableofFigures"/>
        <w:rPr>
          <w:rFonts w:asciiTheme="minorHAnsi" w:eastAsiaTheme="minorEastAsia" w:hAnsiTheme="minorHAnsi" w:cstheme="minorBidi"/>
          <w:noProof/>
          <w:sz w:val="22"/>
          <w:szCs w:val="22"/>
          <w:lang w:eastAsia="en-NZ"/>
        </w:rPr>
      </w:pPr>
      <w:hyperlink w:anchor="_Toc460081293" w:history="1">
        <w:r w:rsidR="00272A48" w:rsidRPr="001D1190">
          <w:rPr>
            <w:rStyle w:val="Hyperlink"/>
            <w:noProof/>
            <w:u w:color="FFFFFF"/>
          </w:rPr>
          <w:t xml:space="preserve">Table 8: </w:t>
        </w:r>
        <w:r w:rsidR="00272A48">
          <w:rPr>
            <w:rFonts w:asciiTheme="minorHAnsi" w:eastAsiaTheme="minorEastAsia" w:hAnsiTheme="minorHAnsi" w:cstheme="minorBidi"/>
            <w:noProof/>
            <w:sz w:val="22"/>
            <w:szCs w:val="22"/>
            <w:lang w:eastAsia="en-NZ"/>
          </w:rPr>
          <w:tab/>
        </w:r>
        <w:r w:rsidR="00272A48" w:rsidRPr="001D1190">
          <w:rPr>
            <w:rStyle w:val="Hyperlink"/>
            <w:noProof/>
            <w:u w:color="FFFFFF"/>
          </w:rPr>
          <w:t>Proposed template ongoing site management plan for residential properties</w:t>
        </w:r>
        <w:r w:rsidR="00272A48">
          <w:rPr>
            <w:noProof/>
            <w:webHidden/>
          </w:rPr>
          <w:tab/>
        </w:r>
        <w:r w:rsidR="00272A48">
          <w:rPr>
            <w:noProof/>
            <w:webHidden/>
          </w:rPr>
          <w:fldChar w:fldCharType="begin"/>
        </w:r>
        <w:r w:rsidR="00272A48">
          <w:rPr>
            <w:noProof/>
            <w:webHidden/>
          </w:rPr>
          <w:instrText xml:space="preserve"> PAGEREF _Toc460081293 \h </w:instrText>
        </w:r>
        <w:r w:rsidR="00272A48">
          <w:rPr>
            <w:noProof/>
            <w:webHidden/>
          </w:rPr>
        </w:r>
        <w:r w:rsidR="00272A48">
          <w:rPr>
            <w:noProof/>
            <w:webHidden/>
          </w:rPr>
          <w:fldChar w:fldCharType="separate"/>
        </w:r>
        <w:r>
          <w:rPr>
            <w:noProof/>
            <w:webHidden/>
          </w:rPr>
          <w:t>43</w:t>
        </w:r>
        <w:r w:rsidR="00272A48">
          <w:rPr>
            <w:noProof/>
            <w:webHidden/>
          </w:rPr>
          <w:fldChar w:fldCharType="end"/>
        </w:r>
      </w:hyperlink>
    </w:p>
    <w:p w14:paraId="5B1F601E" w14:textId="77777777" w:rsidR="00272A48" w:rsidRDefault="00965D37">
      <w:pPr>
        <w:pStyle w:val="TableofFigures"/>
        <w:rPr>
          <w:rFonts w:asciiTheme="minorHAnsi" w:eastAsiaTheme="minorEastAsia" w:hAnsiTheme="minorHAnsi" w:cstheme="minorBidi"/>
          <w:noProof/>
          <w:sz w:val="22"/>
          <w:szCs w:val="22"/>
          <w:lang w:eastAsia="en-NZ"/>
        </w:rPr>
      </w:pPr>
      <w:hyperlink w:anchor="_Toc460081294" w:history="1">
        <w:r w:rsidR="00272A48" w:rsidRPr="001D1190">
          <w:rPr>
            <w:rStyle w:val="Hyperlink"/>
            <w:noProof/>
          </w:rPr>
          <w:t>Table 9:</w:t>
        </w:r>
        <w:r w:rsidR="00272A48">
          <w:rPr>
            <w:rFonts w:asciiTheme="minorHAnsi" w:eastAsiaTheme="minorEastAsia" w:hAnsiTheme="minorHAnsi" w:cstheme="minorBidi"/>
            <w:noProof/>
            <w:sz w:val="22"/>
            <w:szCs w:val="22"/>
            <w:lang w:eastAsia="en-NZ"/>
          </w:rPr>
          <w:tab/>
        </w:r>
        <w:r w:rsidR="00272A48" w:rsidRPr="001D1190">
          <w:rPr>
            <w:rStyle w:val="Hyperlink"/>
            <w:noProof/>
          </w:rPr>
          <w:t>Number of district plans that had no contaminated land-specific provisions in 2007</w:t>
        </w:r>
        <w:r w:rsidR="00272A48">
          <w:rPr>
            <w:noProof/>
            <w:webHidden/>
          </w:rPr>
          <w:tab/>
        </w:r>
        <w:r w:rsidR="00272A48">
          <w:rPr>
            <w:noProof/>
            <w:webHidden/>
          </w:rPr>
          <w:fldChar w:fldCharType="begin"/>
        </w:r>
        <w:r w:rsidR="00272A48">
          <w:rPr>
            <w:noProof/>
            <w:webHidden/>
          </w:rPr>
          <w:instrText xml:space="preserve"> PAGEREF _Toc460081294 \h </w:instrText>
        </w:r>
        <w:r w:rsidR="00272A48">
          <w:rPr>
            <w:noProof/>
            <w:webHidden/>
          </w:rPr>
        </w:r>
        <w:r w:rsidR="00272A48">
          <w:rPr>
            <w:noProof/>
            <w:webHidden/>
          </w:rPr>
          <w:fldChar w:fldCharType="separate"/>
        </w:r>
        <w:r>
          <w:rPr>
            <w:noProof/>
            <w:webHidden/>
          </w:rPr>
          <w:t>50</w:t>
        </w:r>
        <w:r w:rsidR="00272A48">
          <w:rPr>
            <w:noProof/>
            <w:webHidden/>
          </w:rPr>
          <w:fldChar w:fldCharType="end"/>
        </w:r>
      </w:hyperlink>
    </w:p>
    <w:p w14:paraId="5E5F0847" w14:textId="77777777" w:rsidR="0081270D" w:rsidRPr="000C5050" w:rsidRDefault="0081270D" w:rsidP="0081270D">
      <w:r w:rsidRPr="000C5050">
        <w:fldChar w:fldCharType="end"/>
      </w:r>
    </w:p>
    <w:p w14:paraId="7ECD7909" w14:textId="77777777" w:rsidR="0081270D" w:rsidRPr="000C5050" w:rsidRDefault="0081270D" w:rsidP="0081270D"/>
    <w:p w14:paraId="2BA94808" w14:textId="77777777" w:rsidR="0081270D" w:rsidRPr="000C5050" w:rsidRDefault="0081270D" w:rsidP="0081270D"/>
    <w:p w14:paraId="183D14D4" w14:textId="77777777" w:rsidR="0081270D" w:rsidRPr="000C5050" w:rsidRDefault="0081270D" w:rsidP="0081270D">
      <w:pPr>
        <w:pStyle w:val="Heading"/>
      </w:pPr>
      <w:r w:rsidRPr="000C5050">
        <w:t>Figures</w:t>
      </w:r>
    </w:p>
    <w:p w14:paraId="0E32A485" w14:textId="77777777" w:rsidR="00272A48" w:rsidRDefault="0081270D">
      <w:pPr>
        <w:pStyle w:val="TableofFigures"/>
        <w:rPr>
          <w:rFonts w:asciiTheme="minorHAnsi" w:eastAsiaTheme="minorEastAsia" w:hAnsiTheme="minorHAnsi" w:cstheme="minorBidi"/>
          <w:noProof/>
          <w:sz w:val="22"/>
          <w:szCs w:val="22"/>
          <w:lang w:eastAsia="en-NZ"/>
        </w:rPr>
      </w:pPr>
      <w:r w:rsidRPr="000C5050">
        <w:fldChar w:fldCharType="begin"/>
      </w:r>
      <w:r w:rsidRPr="000C5050">
        <w:instrText xml:space="preserve"> TOC \h \z \t "Figure heading" \c </w:instrText>
      </w:r>
      <w:r w:rsidRPr="000C5050">
        <w:fldChar w:fldCharType="separate"/>
      </w:r>
      <w:hyperlink w:anchor="_Toc460081295" w:history="1">
        <w:r w:rsidR="00272A48" w:rsidRPr="00CC1CDC">
          <w:rPr>
            <w:rStyle w:val="Hyperlink"/>
            <w:noProof/>
          </w:rPr>
          <w:t xml:space="preserve">Figure 1: </w:t>
        </w:r>
        <w:r w:rsidR="00272A48">
          <w:rPr>
            <w:rFonts w:asciiTheme="minorHAnsi" w:eastAsiaTheme="minorEastAsia" w:hAnsiTheme="minorHAnsi" w:cstheme="minorBidi"/>
            <w:noProof/>
            <w:sz w:val="22"/>
            <w:szCs w:val="22"/>
            <w:lang w:eastAsia="en-NZ"/>
          </w:rPr>
          <w:tab/>
        </w:r>
        <w:r w:rsidR="00272A48" w:rsidRPr="00CC1CDC">
          <w:rPr>
            <w:rStyle w:val="Hyperlink"/>
            <w:noProof/>
          </w:rPr>
          <w:t>The four parts of the NESCS framework</w:t>
        </w:r>
        <w:r w:rsidR="00272A48">
          <w:rPr>
            <w:noProof/>
            <w:webHidden/>
          </w:rPr>
          <w:tab/>
        </w:r>
        <w:r w:rsidR="00272A48">
          <w:rPr>
            <w:noProof/>
            <w:webHidden/>
          </w:rPr>
          <w:fldChar w:fldCharType="begin"/>
        </w:r>
        <w:r w:rsidR="00272A48">
          <w:rPr>
            <w:noProof/>
            <w:webHidden/>
          </w:rPr>
          <w:instrText xml:space="preserve"> PAGEREF _Toc460081295 \h </w:instrText>
        </w:r>
        <w:r w:rsidR="00272A48">
          <w:rPr>
            <w:noProof/>
            <w:webHidden/>
          </w:rPr>
        </w:r>
        <w:r w:rsidR="00272A48">
          <w:rPr>
            <w:noProof/>
            <w:webHidden/>
          </w:rPr>
          <w:fldChar w:fldCharType="separate"/>
        </w:r>
        <w:r w:rsidR="00965D37">
          <w:rPr>
            <w:noProof/>
            <w:webHidden/>
          </w:rPr>
          <w:t>7</w:t>
        </w:r>
        <w:r w:rsidR="00272A48">
          <w:rPr>
            <w:noProof/>
            <w:webHidden/>
          </w:rPr>
          <w:fldChar w:fldCharType="end"/>
        </w:r>
      </w:hyperlink>
    </w:p>
    <w:p w14:paraId="2228C46B" w14:textId="77777777" w:rsidR="0081270D" w:rsidRPr="000C5050" w:rsidRDefault="0081270D" w:rsidP="0081270D">
      <w:r w:rsidRPr="000C5050">
        <w:fldChar w:fldCharType="end"/>
      </w:r>
    </w:p>
    <w:p w14:paraId="11040508" w14:textId="77777777" w:rsidR="0081270D" w:rsidRPr="000C5050" w:rsidRDefault="0081270D" w:rsidP="0081270D"/>
    <w:p w14:paraId="6241B44F" w14:textId="77777777" w:rsidR="0081270D" w:rsidRPr="000C5050" w:rsidRDefault="0081270D" w:rsidP="0081270D">
      <w:pPr>
        <w:sectPr w:rsidR="0081270D" w:rsidRPr="000C5050" w:rsidSect="00741FD0">
          <w:headerReference w:type="even" r:id="rId17"/>
          <w:headerReference w:type="default" r:id="rId18"/>
          <w:footerReference w:type="even" r:id="rId19"/>
          <w:footerReference w:type="default" r:id="rId20"/>
          <w:endnotePr>
            <w:numFmt w:val="decimal"/>
          </w:endnotePr>
          <w:pgSz w:w="11907" w:h="16840" w:code="9"/>
          <w:pgMar w:top="1134" w:right="1418" w:bottom="1134" w:left="1418" w:header="567" w:footer="567" w:gutter="567"/>
          <w:cols w:space="720"/>
        </w:sectPr>
      </w:pPr>
    </w:p>
    <w:p w14:paraId="0DAF2194" w14:textId="77777777" w:rsidR="0040640A" w:rsidRPr="000C5050" w:rsidRDefault="001B36FC" w:rsidP="00B427D9">
      <w:pPr>
        <w:pStyle w:val="Heading1"/>
      </w:pPr>
      <w:bookmarkStart w:id="3" w:name="_Toc460081230"/>
      <w:r w:rsidRPr="000C5050">
        <w:lastRenderedPageBreak/>
        <w:t>E</w:t>
      </w:r>
      <w:r w:rsidR="0040640A" w:rsidRPr="000C5050">
        <w:t>xecutive summary</w:t>
      </w:r>
      <w:bookmarkEnd w:id="3"/>
    </w:p>
    <w:p w14:paraId="12A7ED4E" w14:textId="6CA4D354" w:rsidR="00FD1F1B" w:rsidRPr="000C5050" w:rsidRDefault="00FD1F1B" w:rsidP="003F64F0">
      <w:pPr>
        <w:pStyle w:val="BodyText"/>
      </w:pPr>
      <w:r w:rsidRPr="000C5050">
        <w:t>The Resource Management (National Environmental Standard for Assessing and Managing Contaminants in Soil to Protect Human Health) Regulations 2011 (NESCS) came into effect on</w:t>
      </w:r>
      <w:r w:rsidR="00D963AC" w:rsidRPr="000C5050">
        <w:t> </w:t>
      </w:r>
      <w:r w:rsidRPr="000C5050">
        <w:t>1</w:t>
      </w:r>
      <w:r w:rsidR="00465D0A" w:rsidRPr="000C5050">
        <w:t> </w:t>
      </w:r>
      <w:r w:rsidRPr="000C5050">
        <w:t xml:space="preserve">January 2012. The NESCS applies </w:t>
      </w:r>
      <w:r w:rsidR="008F2B9B" w:rsidRPr="000C5050">
        <w:t>to assessing and managing the actual or potential adverse effects of contaminants in soil on human health from five activities: subdivision, land</w:t>
      </w:r>
      <w:r w:rsidR="003F64F0" w:rsidRPr="000C5050">
        <w:noBreakHyphen/>
      </w:r>
      <w:r w:rsidR="008F2B9B" w:rsidRPr="000C5050">
        <w:t>use change, soil disturbance, soil sampling, and removing fuel storage systems.</w:t>
      </w:r>
      <w:r w:rsidR="0094620F" w:rsidRPr="000C5050" w:rsidDel="0094620F">
        <w:t xml:space="preserve"> </w:t>
      </w:r>
    </w:p>
    <w:p w14:paraId="4F478833" w14:textId="77777777" w:rsidR="00FD1F1B" w:rsidRPr="000C5050" w:rsidRDefault="00FD1F1B" w:rsidP="003F64F0">
      <w:pPr>
        <w:pStyle w:val="BodyText"/>
      </w:pPr>
      <w:r w:rsidRPr="000C5050">
        <w:t>The Ministry for the Environment conducted an interim review of the NESCS over 2014/15. The</w:t>
      </w:r>
      <w:r w:rsidR="00D963AC" w:rsidRPr="000C5050">
        <w:t> </w:t>
      </w:r>
      <w:r w:rsidRPr="000C5050">
        <w:t>interim review determined that the NESCS has decreased the likelihood that sites will be developed, and then later found to pose an unacceptable risk to human health. Concern that sites were being missed was a major driver for developing the NESCS, and as such the NESCS is largely achieving its original objectives. The review identified, however, several areas where implementation of the NESCS framework is creating inefficiencies, resulting in low-risk sites and activities being required to comply with the NESCS.</w:t>
      </w:r>
    </w:p>
    <w:p w14:paraId="0640F595" w14:textId="77777777" w:rsidR="00FD1F1B" w:rsidRPr="000C5050" w:rsidRDefault="00FD1F1B" w:rsidP="003F64F0">
      <w:pPr>
        <w:pStyle w:val="BodyText"/>
      </w:pPr>
      <w:r w:rsidRPr="000C5050">
        <w:t>Landowners are being caused unnecessary costs and delays through:</w:t>
      </w:r>
    </w:p>
    <w:p w14:paraId="0519FB92" w14:textId="77777777" w:rsidR="00FD1F1B" w:rsidRPr="000C5050" w:rsidRDefault="00FD1F1B" w:rsidP="003F64F0">
      <w:pPr>
        <w:pStyle w:val="Bullet"/>
      </w:pPr>
      <w:r w:rsidRPr="000C5050">
        <w:t>resource consents being required even where there is a low risk to human health</w:t>
      </w:r>
    </w:p>
    <w:p w14:paraId="50D4CA7C" w14:textId="77777777" w:rsidR="00FD1F1B" w:rsidRPr="000C5050" w:rsidRDefault="00FD1F1B" w:rsidP="003F64F0">
      <w:pPr>
        <w:pStyle w:val="Bullet"/>
      </w:pPr>
      <w:r w:rsidRPr="000C5050">
        <w:t xml:space="preserve">uncertainty in the consenting process </w:t>
      </w:r>
    </w:p>
    <w:p w14:paraId="0E68C49A" w14:textId="77777777" w:rsidR="00FD1F1B" w:rsidRPr="000C5050" w:rsidRDefault="00FD1F1B" w:rsidP="003F64F0">
      <w:pPr>
        <w:pStyle w:val="Bullet"/>
      </w:pPr>
      <w:proofErr w:type="gramStart"/>
      <w:r w:rsidRPr="000C5050">
        <w:t>controls</w:t>
      </w:r>
      <w:proofErr w:type="gramEnd"/>
      <w:r w:rsidRPr="000C5050">
        <w:t xml:space="preserve"> not being appropriately targeted to the effects of an activity. </w:t>
      </w:r>
    </w:p>
    <w:p w14:paraId="644AFB58" w14:textId="78ABAB9C" w:rsidR="00FD1F1B" w:rsidRPr="000C5050" w:rsidRDefault="00FD1F1B" w:rsidP="00FD1F1B">
      <w:pPr>
        <w:pStyle w:val="BodyText"/>
      </w:pPr>
      <w:r w:rsidRPr="000C5050">
        <w:t>To address these issues, the Ministry is proposing to amend the NESCS framework. The proposed amendments aim to</w:t>
      </w:r>
      <w:r w:rsidR="003521C1" w:rsidRPr="000C5050">
        <w:t xml:space="preserve"> deliver more effectively on</w:t>
      </w:r>
      <w:r w:rsidRPr="000C5050">
        <w:t xml:space="preserve"> the original policy intent of the NESCS, to ensure that land affected by contaminants in soil is appropriately identified and assessed at the time of being developed and, if necessary, the land is remediated or exposure to contaminants is managed to make the land safe for human use. </w:t>
      </w:r>
    </w:p>
    <w:p w14:paraId="2B99500A" w14:textId="77777777" w:rsidR="00FD1F1B" w:rsidRPr="000C5050" w:rsidRDefault="00FD1F1B" w:rsidP="00FD1F1B">
      <w:pPr>
        <w:pStyle w:val="BodyText"/>
      </w:pPr>
      <w:r w:rsidRPr="000C5050">
        <w:t xml:space="preserve">To enable this, the amendments seek to achieve four outcomes: </w:t>
      </w:r>
    </w:p>
    <w:p w14:paraId="33A046C8" w14:textId="77777777" w:rsidR="00FD1F1B" w:rsidRPr="000C5050" w:rsidRDefault="00FD1F1B" w:rsidP="00FD1F1B">
      <w:pPr>
        <w:pStyle w:val="Bullet"/>
      </w:pPr>
      <w:r w:rsidRPr="000C5050">
        <w:t>require a risk-based assessment when deciding whether the NESCS applies to a site</w:t>
      </w:r>
    </w:p>
    <w:p w14:paraId="26C83482" w14:textId="77777777" w:rsidR="00FD1F1B" w:rsidRPr="000C5050" w:rsidRDefault="00FD1F1B" w:rsidP="00FD1F1B">
      <w:pPr>
        <w:pStyle w:val="Bullet"/>
      </w:pPr>
      <w:r w:rsidRPr="000C5050">
        <w:t>remove resource consent requirements for low risk activities</w:t>
      </w:r>
    </w:p>
    <w:p w14:paraId="69932E80" w14:textId="77777777" w:rsidR="00FD1F1B" w:rsidRPr="000C5050" w:rsidRDefault="00FD1F1B" w:rsidP="00FD1F1B">
      <w:pPr>
        <w:pStyle w:val="Bullet"/>
      </w:pPr>
      <w:r w:rsidRPr="000C5050">
        <w:t>increase certainty of the consenting process and target controls more closely to effects</w:t>
      </w:r>
    </w:p>
    <w:p w14:paraId="4E6BC515" w14:textId="77777777" w:rsidR="00FD1F1B" w:rsidRPr="000C5050" w:rsidRDefault="00FD1F1B" w:rsidP="00FD1F1B">
      <w:pPr>
        <w:pStyle w:val="Bullet"/>
      </w:pPr>
      <w:proofErr w:type="gramStart"/>
      <w:r w:rsidRPr="000C5050">
        <w:t>provide</w:t>
      </w:r>
      <w:proofErr w:type="gramEnd"/>
      <w:r w:rsidRPr="000C5050">
        <w:t xml:space="preserve"> options for site-specific management that are appropriate for the risk. </w:t>
      </w:r>
    </w:p>
    <w:p w14:paraId="177495A4" w14:textId="77777777" w:rsidR="00FD1F1B" w:rsidRPr="000C5050" w:rsidRDefault="00FD1F1B" w:rsidP="003F64F0">
      <w:pPr>
        <w:pStyle w:val="BodyText"/>
      </w:pPr>
      <w:r w:rsidRPr="000C5050">
        <w:t>The proposed amendments also include guidance to support landowners, councils and practitioners in implementing the NESCS framework.</w:t>
      </w:r>
    </w:p>
    <w:p w14:paraId="6E9D7457" w14:textId="77777777" w:rsidR="00FD1F1B" w:rsidRPr="000C5050" w:rsidRDefault="00FD1F1B" w:rsidP="00FD1F1B">
      <w:pPr>
        <w:pStyle w:val="BodyText"/>
      </w:pPr>
      <w:r w:rsidRPr="000C5050">
        <w:t xml:space="preserve">The proposed amendments will also introduce two mechanisms designed to minimise management costs for landowners when a site is contaminated: </w:t>
      </w:r>
    </w:p>
    <w:p w14:paraId="29851D8D" w14:textId="6CE36B1E" w:rsidR="00FD1F1B" w:rsidRPr="000C5050" w:rsidRDefault="00FD1F1B" w:rsidP="003F64F0">
      <w:pPr>
        <w:pStyle w:val="Bullet"/>
      </w:pPr>
      <w:r w:rsidRPr="000C5050">
        <w:t>a</w:t>
      </w:r>
      <w:r w:rsidR="00DF45AA" w:rsidRPr="000C5050">
        <w:t xml:space="preserve"> template</w:t>
      </w:r>
      <w:r w:rsidRPr="000C5050">
        <w:t xml:space="preserve"> ongoing site management plan for residential properties </w:t>
      </w:r>
    </w:p>
    <w:p w14:paraId="72CB6C15" w14:textId="77777777" w:rsidR="00FD1F1B" w:rsidRPr="000C5050" w:rsidRDefault="00FD1F1B" w:rsidP="003F64F0">
      <w:pPr>
        <w:pStyle w:val="Bullet"/>
      </w:pPr>
      <w:proofErr w:type="gramStart"/>
      <w:r w:rsidRPr="000C5050">
        <w:t>bioavailability</w:t>
      </w:r>
      <w:proofErr w:type="gramEnd"/>
      <w:r w:rsidRPr="000C5050">
        <w:t xml:space="preserve"> testing. </w:t>
      </w:r>
    </w:p>
    <w:p w14:paraId="00FE54DF" w14:textId="3FCBC01C" w:rsidR="00FD1F1B" w:rsidRPr="000C5050" w:rsidRDefault="00FD1F1B" w:rsidP="00FD1F1B">
      <w:pPr>
        <w:pStyle w:val="BodyText"/>
      </w:pPr>
      <w:r w:rsidRPr="000C5050">
        <w:t xml:space="preserve">The </w:t>
      </w:r>
      <w:r w:rsidR="00DF45AA" w:rsidRPr="000C5050">
        <w:t xml:space="preserve">template </w:t>
      </w:r>
      <w:r w:rsidRPr="000C5050">
        <w:t>ongoing site management plan will be an option for some residential landowners where a</w:t>
      </w:r>
      <w:r w:rsidR="007D080D" w:rsidRPr="000C5050">
        <w:t> </w:t>
      </w:r>
      <w:r w:rsidRPr="000C5050">
        <w:t xml:space="preserve">detailed site investigation (DSI) has found that contamination on a site exceeds the soil contaminant standard for residential or rural-residential land use. Bioavailability testing will be </w:t>
      </w:r>
      <w:r w:rsidR="003521C1" w:rsidRPr="000C5050">
        <w:t xml:space="preserve">recognised </w:t>
      </w:r>
      <w:r w:rsidRPr="000C5050">
        <w:t>to calculate site-specific soil guideline values for arsenic and lead concentrations in soil. The introduction of a bioavailability methodology into the NESCS framework will be the first time this method of testing has been recognised in New Zealand legislation.</w:t>
      </w:r>
    </w:p>
    <w:p w14:paraId="380AB093" w14:textId="6420C95B" w:rsidR="00FD1F1B" w:rsidRPr="000C5050" w:rsidRDefault="00FD1F1B" w:rsidP="00FD1F1B">
      <w:pPr>
        <w:pStyle w:val="BodyText"/>
      </w:pPr>
      <w:r w:rsidRPr="000C5050">
        <w:lastRenderedPageBreak/>
        <w:t>The proposed amendments intend to improve how the NESCS is working in practice, and work towards</w:t>
      </w:r>
      <w:r w:rsidR="00622F02" w:rsidRPr="000C5050">
        <w:t xml:space="preserve"> </w:t>
      </w:r>
      <w:r w:rsidR="001211EB" w:rsidRPr="000C5050">
        <w:t>the identification and management of risks from contaminated land in New Zealand</w:t>
      </w:r>
      <w:r w:rsidRPr="000C5050">
        <w:t xml:space="preserve">. </w:t>
      </w:r>
    </w:p>
    <w:p w14:paraId="0D24CEC6" w14:textId="77777777" w:rsidR="00FD1F1B" w:rsidRPr="000C5050" w:rsidRDefault="00FD1F1B" w:rsidP="00FD1F1B">
      <w:pPr>
        <w:pStyle w:val="BodyText"/>
      </w:pPr>
      <w:r w:rsidRPr="000C5050">
        <w:t>The Ministry welcomes your views on the proposals in this consultation document. You can find details on how to make a submission in chapter 7.</w:t>
      </w:r>
    </w:p>
    <w:p w14:paraId="581D38ED" w14:textId="77777777" w:rsidR="00FD1F1B" w:rsidRPr="000C5050" w:rsidRDefault="00FD1F1B" w:rsidP="00FD1F1B">
      <w:pPr>
        <w:pStyle w:val="BodyText"/>
      </w:pPr>
      <w:r w:rsidRPr="000C5050">
        <w:t>A full review of the NESCS, including a full evaluation of the effects of the NESCS, will be undertaken after the final amendments are implemented.</w:t>
      </w:r>
    </w:p>
    <w:p w14:paraId="741DC25F" w14:textId="77777777" w:rsidR="00FD1F1B" w:rsidRPr="000C5050" w:rsidRDefault="00FD1F1B" w:rsidP="00FD1F1B">
      <w:pPr>
        <w:pStyle w:val="BodyText"/>
      </w:pPr>
      <w:r w:rsidRPr="000C5050">
        <w:rPr>
          <w:rFonts w:eastAsia="Calibri"/>
          <w:bCs/>
        </w:rPr>
        <w:t xml:space="preserve">More information on the interim review can be found in the </w:t>
      </w:r>
      <w:r w:rsidRPr="000C5050">
        <w:rPr>
          <w:i/>
          <w:iCs/>
        </w:rPr>
        <w:t xml:space="preserve">Interim Review Summary Report </w:t>
      </w:r>
      <w:r w:rsidRPr="000C5050">
        <w:t>(Ministry for the Environment, 2016a).</w:t>
      </w:r>
    </w:p>
    <w:p w14:paraId="34B6B464" w14:textId="77777777" w:rsidR="00FD1F1B" w:rsidRPr="000C5050" w:rsidRDefault="00FD1F1B" w:rsidP="00FD1F1B">
      <w:pPr>
        <w:pStyle w:val="BodyText"/>
      </w:pPr>
    </w:p>
    <w:p w14:paraId="60334029" w14:textId="77777777" w:rsidR="00A91452" w:rsidRPr="000C5050" w:rsidRDefault="0040640A" w:rsidP="00A91452">
      <w:pPr>
        <w:pStyle w:val="BodyText"/>
      </w:pPr>
      <w:r w:rsidRPr="000C5050">
        <w:br w:type="page"/>
      </w:r>
    </w:p>
    <w:p w14:paraId="29314AF3" w14:textId="77777777" w:rsidR="006D39C5" w:rsidRPr="000C5050" w:rsidRDefault="006D39C5" w:rsidP="00B427D9">
      <w:pPr>
        <w:pStyle w:val="Heading1"/>
      </w:pPr>
      <w:bookmarkStart w:id="4" w:name="_Toc460081231"/>
      <w:r w:rsidRPr="000C5050">
        <w:lastRenderedPageBreak/>
        <w:t>1</w:t>
      </w:r>
      <w:r w:rsidRPr="000C5050">
        <w:tab/>
        <w:t>Introduction</w:t>
      </w:r>
      <w:bookmarkEnd w:id="4"/>
    </w:p>
    <w:p w14:paraId="63150EE3" w14:textId="77777777" w:rsidR="006D39C5" w:rsidRPr="000C5050" w:rsidRDefault="006D39C5" w:rsidP="00E37D23">
      <w:pPr>
        <w:pStyle w:val="Heading2"/>
        <w:spacing w:before="240"/>
      </w:pPr>
      <w:bookmarkStart w:id="5" w:name="_Toc460081232"/>
      <w:r w:rsidRPr="000C5050">
        <w:t>Background</w:t>
      </w:r>
      <w:bookmarkEnd w:id="5"/>
    </w:p>
    <w:p w14:paraId="39E906A9" w14:textId="77777777" w:rsidR="008C6BB9" w:rsidRPr="000C5050" w:rsidRDefault="008C6BB9" w:rsidP="008C6BB9">
      <w:pPr>
        <w:pStyle w:val="BodyText"/>
      </w:pPr>
      <w:r w:rsidRPr="000C5050">
        <w:t>Development or use of contaminated land can increase the risk of exposing people to contaminants in soil. The policy objective of the NESCS is to provide a comprehensive framework to ensure that land affected by contaminants in soil is appropriately identified and assessed at the time of being developed and, if necessary, remediated, or the contaminants contained to make the land safe for human use.</w:t>
      </w:r>
      <w:r w:rsidRPr="000C5050">
        <w:rPr>
          <w:rStyle w:val="FootnoteReference"/>
        </w:rPr>
        <w:footnoteReference w:id="1"/>
      </w:r>
      <w:r w:rsidRPr="000C5050">
        <w:t xml:space="preserve"> The framework is comprised of four parts: </w:t>
      </w:r>
    </w:p>
    <w:p w14:paraId="3BB16653" w14:textId="77777777" w:rsidR="008C6BB9" w:rsidRPr="000C5050" w:rsidRDefault="008C6BB9" w:rsidP="008C6BB9">
      <w:pPr>
        <w:pStyle w:val="Figureheading"/>
      </w:pPr>
      <w:bookmarkStart w:id="6" w:name="_Toc460081295"/>
      <w:r w:rsidRPr="000C5050">
        <w:t xml:space="preserve">Figure 1: </w:t>
      </w:r>
      <w:r w:rsidRPr="000C5050">
        <w:tab/>
        <w:t>The four parts of the NESCS framework</w:t>
      </w:r>
      <w:bookmarkEnd w:id="6"/>
    </w:p>
    <w:p w14:paraId="1FAF4B55" w14:textId="4F541667" w:rsidR="00D1765C" w:rsidRPr="000C5050" w:rsidRDefault="002E2AA9" w:rsidP="00D1765C">
      <w:pPr>
        <w:rPr>
          <w:lang w:eastAsia="en-US"/>
        </w:rPr>
      </w:pPr>
      <w:r w:rsidRPr="000C5050">
        <w:rPr>
          <w:noProof/>
        </w:rPr>
        <w:drawing>
          <wp:inline distT="0" distB="0" distL="0" distR="0" wp14:anchorId="67EC5C9C" wp14:editId="17961C89">
            <wp:extent cx="5400040" cy="2953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CS Diargam_update_Titl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0040" cy="2953385"/>
                    </a:xfrm>
                    <a:prstGeom prst="rect">
                      <a:avLst/>
                    </a:prstGeom>
                  </pic:spPr>
                </pic:pic>
              </a:graphicData>
            </a:graphic>
          </wp:inline>
        </w:drawing>
      </w:r>
    </w:p>
    <w:p w14:paraId="22E9B2CE" w14:textId="77777777" w:rsidR="008C6BB9" w:rsidRPr="000C5050" w:rsidRDefault="008C6BB9" w:rsidP="008C6BB9">
      <w:pPr>
        <w:pStyle w:val="BodyText"/>
      </w:pPr>
      <w:r w:rsidRPr="000C5050">
        <w:rPr>
          <w:rFonts w:eastAsia="Calibri"/>
          <w:bCs/>
        </w:rPr>
        <w:t xml:space="preserve">The NESCS only applies to land on which </w:t>
      </w:r>
      <w:r w:rsidRPr="000C5050">
        <w:t>an activity or industry on the hazardous activities and industries list (HAIL) is, has been, or is more likely than not to have been undertaken.</w:t>
      </w:r>
      <w:r w:rsidR="007D080D" w:rsidRPr="000C5050">
        <w:t xml:space="preserve"> </w:t>
      </w:r>
      <w:r w:rsidRPr="000C5050">
        <w:t xml:space="preserve">The NESCS applies to five specified activities: </w:t>
      </w:r>
    </w:p>
    <w:p w14:paraId="7A7D41C7" w14:textId="77777777" w:rsidR="008C6BB9" w:rsidRPr="000C5050" w:rsidRDefault="008C6BB9" w:rsidP="008C6BB9">
      <w:pPr>
        <w:pStyle w:val="Bullet"/>
      </w:pPr>
      <w:r w:rsidRPr="000C5050">
        <w:t>removing or replacing all, or part of, a fuel storage system</w:t>
      </w:r>
    </w:p>
    <w:p w14:paraId="3251714B" w14:textId="77777777" w:rsidR="008C6BB9" w:rsidRPr="000C5050" w:rsidRDefault="008C6BB9" w:rsidP="008C6BB9">
      <w:pPr>
        <w:pStyle w:val="Bullet"/>
      </w:pPr>
      <w:r w:rsidRPr="000C5050">
        <w:t>sampling the soil</w:t>
      </w:r>
    </w:p>
    <w:p w14:paraId="797429C7" w14:textId="77777777" w:rsidR="008C6BB9" w:rsidRPr="000C5050" w:rsidRDefault="008C6BB9" w:rsidP="008C6BB9">
      <w:pPr>
        <w:pStyle w:val="Bullet"/>
      </w:pPr>
      <w:r w:rsidRPr="000C5050">
        <w:t>disturbing the soil</w:t>
      </w:r>
    </w:p>
    <w:p w14:paraId="7873A7D5" w14:textId="77777777" w:rsidR="008C6BB9" w:rsidRPr="000C5050" w:rsidRDefault="008C6BB9" w:rsidP="008C6BB9">
      <w:pPr>
        <w:pStyle w:val="Bullet"/>
      </w:pPr>
      <w:r w:rsidRPr="000C5050">
        <w:t>subdividing the land</w:t>
      </w:r>
    </w:p>
    <w:p w14:paraId="07FA8FFE" w14:textId="77777777" w:rsidR="008C6BB9" w:rsidRPr="000C5050" w:rsidRDefault="008C6BB9" w:rsidP="008C6BB9">
      <w:pPr>
        <w:pStyle w:val="Bullet"/>
      </w:pPr>
      <w:proofErr w:type="gramStart"/>
      <w:r w:rsidRPr="000C5050">
        <w:t>changing</w:t>
      </w:r>
      <w:proofErr w:type="gramEnd"/>
      <w:r w:rsidRPr="000C5050">
        <w:t xml:space="preserve"> the land use. </w:t>
      </w:r>
    </w:p>
    <w:p w14:paraId="4C84D60F" w14:textId="3FABFD0C" w:rsidR="00C34C94" w:rsidRPr="000C5050" w:rsidRDefault="008C6BB9" w:rsidP="008C6BB9">
      <w:pPr>
        <w:pStyle w:val="BodyText"/>
      </w:pPr>
      <w:r w:rsidRPr="000C5050">
        <w:t xml:space="preserve">These activities can all be carried out as permitted activities if certain criteria are met. The criteria are different for each activity. Where activities cannot meet the permitted activity requirements, resource consent is required in one of three categories (controlled, restricted discretionary, and discretionary), based on the risk posed to human health on the site. </w:t>
      </w:r>
    </w:p>
    <w:p w14:paraId="44178E26" w14:textId="5CEFFA9D" w:rsidR="00E84A3D" w:rsidRPr="000C5050" w:rsidRDefault="00E84A3D" w:rsidP="008C6BB9">
      <w:pPr>
        <w:pStyle w:val="BodyText"/>
      </w:pPr>
      <w:r w:rsidRPr="000C5050">
        <w:t>The NESCS provides protection for long term occupiers of residential and commercial properties and users of recreational areas</w:t>
      </w:r>
      <w:r w:rsidR="00C81CC3" w:rsidRPr="000C5050">
        <w:t xml:space="preserve">. </w:t>
      </w:r>
      <w:r w:rsidR="00114AAE">
        <w:t>Short term occupiers (</w:t>
      </w:r>
      <w:proofErr w:type="spellStart"/>
      <w:r w:rsidR="00114AAE">
        <w:t>e</w:t>
      </w:r>
      <w:r w:rsidR="00EC4D6F" w:rsidRPr="000C5050">
        <w:t>g</w:t>
      </w:r>
      <w:proofErr w:type="spellEnd"/>
      <w:r w:rsidR="00114AAE">
        <w:t>,</w:t>
      </w:r>
      <w:r w:rsidR="00EC4D6F" w:rsidRPr="000C5050">
        <w:t xml:space="preserve"> construction / maintenance workers) are considered under the Health and Safety at Work Act 2015.</w:t>
      </w:r>
    </w:p>
    <w:p w14:paraId="74BA425A" w14:textId="77777777" w:rsidR="008C6BB9" w:rsidRPr="000C5050" w:rsidRDefault="008C6BB9" w:rsidP="008C6BB9">
      <w:pPr>
        <w:pStyle w:val="BodyText"/>
      </w:pPr>
      <w:r w:rsidRPr="000C5050">
        <w:lastRenderedPageBreak/>
        <w:t>More background information on the NESCS framework can be found in Appendix 1. Information can also be found in on the Ministry</w:t>
      </w:r>
      <w:r w:rsidR="0081630C" w:rsidRPr="000C5050">
        <w:t>’</w:t>
      </w:r>
      <w:r w:rsidRPr="000C5050">
        <w:t>s website (</w:t>
      </w:r>
      <w:hyperlink r:id="rId22" w:history="1">
        <w:r w:rsidRPr="000C5050">
          <w:rPr>
            <w:rStyle w:val="Hyperlink"/>
          </w:rPr>
          <w:t>www.mfe.govt.nz</w:t>
        </w:r>
      </w:hyperlink>
      <w:r w:rsidRPr="000C5050">
        <w:t xml:space="preserve">) or in the </w:t>
      </w:r>
      <w:r w:rsidRPr="000C5050">
        <w:rPr>
          <w:i/>
        </w:rPr>
        <w:t>Users</w:t>
      </w:r>
      <w:r w:rsidR="0081630C" w:rsidRPr="000C5050">
        <w:rPr>
          <w:i/>
        </w:rPr>
        <w:t>’</w:t>
      </w:r>
      <w:r w:rsidR="00465D0A" w:rsidRPr="000C5050">
        <w:rPr>
          <w:i/>
        </w:rPr>
        <w:t> </w:t>
      </w:r>
      <w:r w:rsidRPr="000C5050">
        <w:rPr>
          <w:i/>
        </w:rPr>
        <w:t>Guide: National Environmental Standard for Assessing and Managing Contaminants in</w:t>
      </w:r>
      <w:r w:rsidR="00465D0A" w:rsidRPr="000C5050">
        <w:rPr>
          <w:i/>
        </w:rPr>
        <w:t> </w:t>
      </w:r>
      <w:r w:rsidRPr="000C5050">
        <w:rPr>
          <w:i/>
        </w:rPr>
        <w:t>Soil to Protect Human Health</w:t>
      </w:r>
      <w:r w:rsidRPr="000C5050">
        <w:t xml:space="preserve"> (Ministry for the Environment, 2012).</w:t>
      </w:r>
    </w:p>
    <w:p w14:paraId="28906C8F" w14:textId="77777777" w:rsidR="00B30E81" w:rsidRPr="000C5050" w:rsidRDefault="00B30E81" w:rsidP="00732034">
      <w:pPr>
        <w:pStyle w:val="Heading2"/>
      </w:pPr>
      <w:bookmarkStart w:id="7" w:name="_Toc460081233"/>
      <w:r w:rsidRPr="000C5050">
        <w:rPr>
          <w:rFonts w:eastAsia="Calibri"/>
        </w:rPr>
        <w:t>Why do we need to amend the NESCS?</w:t>
      </w:r>
      <w:bookmarkEnd w:id="7"/>
    </w:p>
    <w:p w14:paraId="47A17926" w14:textId="77777777" w:rsidR="00B30E81" w:rsidRPr="000C5050" w:rsidRDefault="00B30E81" w:rsidP="00732034">
      <w:pPr>
        <w:pStyle w:val="BodyText"/>
      </w:pPr>
      <w:r w:rsidRPr="000C5050">
        <w:t>An interim review of the NESCS, carried out by the Ministry in 2014/15, found that there are</w:t>
      </w:r>
      <w:r w:rsidR="00FB3D0C" w:rsidRPr="000C5050">
        <w:t> </w:t>
      </w:r>
      <w:r w:rsidRPr="000C5050">
        <w:t>several areas where implementation of the NESCS framework is creating inefficiencies, resulting in low-risk sites and activities being required to comply with the NESCS. The interim review found that:</w:t>
      </w:r>
    </w:p>
    <w:p w14:paraId="18B1806C" w14:textId="77777777" w:rsidR="00B30E81" w:rsidRPr="000C5050" w:rsidRDefault="00B30E81" w:rsidP="00732034">
      <w:pPr>
        <w:pStyle w:val="Bullet"/>
      </w:pPr>
      <w:r w:rsidRPr="000C5050">
        <w:t>There is considerable variation in how the HAIL is being applied by councils across the country, resulting in different sites in each region being identified as needing to be listed on the HAIL. This creates costs and delays for landowners during development, and</w:t>
      </w:r>
      <w:r w:rsidR="007D080D" w:rsidRPr="000C5050">
        <w:t xml:space="preserve"> </w:t>
      </w:r>
      <w:r w:rsidRPr="000C5050">
        <w:t>is expected to be magnified as more regional councils identify HAIL sites in their region and the number of these sites increases.</w:t>
      </w:r>
    </w:p>
    <w:p w14:paraId="6C986C00" w14:textId="77777777" w:rsidR="00B30E81" w:rsidRPr="000C5050" w:rsidRDefault="00B30E81" w:rsidP="00732034">
      <w:pPr>
        <w:pStyle w:val="Bullet"/>
      </w:pPr>
      <w:r w:rsidRPr="000C5050">
        <w:t>A substantial proportion of sites identified as HAIL sites are found to be below the soil contaminant standards after testing. This finding means that a considerable percentage of land captured by the NESCS is later found not to pose a risk to human health.</w:t>
      </w:r>
    </w:p>
    <w:p w14:paraId="2E7421C1" w14:textId="77777777" w:rsidR="00B30E81" w:rsidRPr="000C5050" w:rsidRDefault="00B30E81" w:rsidP="00732034">
      <w:pPr>
        <w:pStyle w:val="Bullet"/>
      </w:pPr>
      <w:r w:rsidRPr="000C5050">
        <w:t xml:space="preserve">The NESCS is requiring landowners to obtain resource consent in circumstances where the risk to human health could be managed in other ways. For example, landowners may be required to remediate their property in circumstances where other management options are appropriate – some of which may be more cost effective for the landowner. </w:t>
      </w:r>
    </w:p>
    <w:p w14:paraId="383FB65D" w14:textId="77777777" w:rsidR="00B30E81" w:rsidRPr="000C5050" w:rsidRDefault="00B30E81" w:rsidP="00732034">
      <w:pPr>
        <w:pStyle w:val="Bullet"/>
      </w:pPr>
      <w:r w:rsidRPr="000C5050">
        <w:t>There is variation in how the NESCS planning controls are being applied by councils and practitioners across the country. This is creating differences between districts in terms of what activities require NESCS resource consent. In particular, determining whether an activity is permitted can be a cumbersome process for some landowners.</w:t>
      </w:r>
      <w:r w:rsidR="007D080D" w:rsidRPr="000C5050">
        <w:t xml:space="preserve"> </w:t>
      </w:r>
      <w:r w:rsidRPr="000C5050">
        <w:t>This delays projects, increases costs and inefficiencies for landowners, and sometimes results in consents being obtained when not required by the NESCS.</w:t>
      </w:r>
    </w:p>
    <w:p w14:paraId="7F43F209" w14:textId="77777777" w:rsidR="00B30E81" w:rsidRPr="000C5050" w:rsidRDefault="00B30E81" w:rsidP="00732034">
      <w:pPr>
        <w:pStyle w:val="BodyText"/>
      </w:pPr>
      <w:r w:rsidRPr="000C5050">
        <w:rPr>
          <w:rFonts w:eastAsiaTheme="majorEastAsia"/>
        </w:rPr>
        <w:t>The propos</w:t>
      </w:r>
      <w:r w:rsidRPr="000C5050">
        <w:t>ed amendments in this document will address all of these issues to improve how the NESCS is working in practice.</w:t>
      </w:r>
    </w:p>
    <w:p w14:paraId="6CA944D1" w14:textId="77777777" w:rsidR="00B30E81" w:rsidRPr="000C5050" w:rsidRDefault="00B30E81" w:rsidP="00732034">
      <w:pPr>
        <w:pStyle w:val="BodyText"/>
        <w:rPr>
          <w:rFonts w:eastAsia="Calibri"/>
          <w:bCs/>
        </w:rPr>
      </w:pPr>
      <w:r w:rsidRPr="000C5050">
        <w:t>A full discussion of the fin</w:t>
      </w:r>
      <w:r w:rsidRPr="000C5050">
        <w:rPr>
          <w:rFonts w:eastAsiaTheme="majorEastAsia"/>
        </w:rPr>
        <w:t xml:space="preserve">dings of the interim review can be found in the </w:t>
      </w:r>
      <w:r w:rsidRPr="000C5050">
        <w:rPr>
          <w:i/>
          <w:iCs/>
        </w:rPr>
        <w:t xml:space="preserve">Interim review of the National Environmental Standard for Assessing and Managing Contaminants in Soil to Protect Human Health: Summary Report </w:t>
      </w:r>
      <w:r w:rsidRPr="000C5050">
        <w:t>(Ministry for the Environment, 2016a).</w:t>
      </w:r>
    </w:p>
    <w:p w14:paraId="34C20860" w14:textId="77777777" w:rsidR="00B30E81" w:rsidRPr="000C5050" w:rsidRDefault="00B30E81" w:rsidP="00732034">
      <w:pPr>
        <w:pStyle w:val="Heading2"/>
      </w:pPr>
      <w:bookmarkStart w:id="8" w:name="_Toc451423676"/>
      <w:bookmarkStart w:id="9" w:name="_Toc460081234"/>
      <w:r w:rsidRPr="000C5050">
        <w:t>Purpose of this consultation document</w:t>
      </w:r>
      <w:bookmarkEnd w:id="8"/>
      <w:bookmarkEnd w:id="9"/>
    </w:p>
    <w:p w14:paraId="12C82DDC" w14:textId="6119812C" w:rsidR="00B30E81" w:rsidRPr="000C5050" w:rsidRDefault="00B30E81" w:rsidP="00B30E81">
      <w:pPr>
        <w:pStyle w:val="BodyText"/>
      </w:pPr>
      <w:r w:rsidRPr="000C5050">
        <w:t>The overall objective of the amendments is to</w:t>
      </w:r>
      <w:r w:rsidR="00D469B3" w:rsidRPr="000C5050">
        <w:t xml:space="preserve"> deliver more effectively on </w:t>
      </w:r>
      <w:r w:rsidRPr="000C5050">
        <w:t xml:space="preserve">the original policy intent of the NESCS. That is, to ensure that land affected by contaminants in soil is </w:t>
      </w:r>
      <w:r w:rsidRPr="000C5050">
        <w:rPr>
          <w:i/>
        </w:rPr>
        <w:t>appropriately</w:t>
      </w:r>
      <w:r w:rsidRPr="000C5050">
        <w:t xml:space="preserve"> identified and assessed at the time of being developed and </w:t>
      </w:r>
      <w:r w:rsidRPr="000C5050">
        <w:rPr>
          <w:i/>
        </w:rPr>
        <w:t>if necessary</w:t>
      </w:r>
      <w:r w:rsidRPr="000C5050">
        <w:t xml:space="preserve"> remediated, or the contaminants contained to make the land safe for human use.</w:t>
      </w:r>
    </w:p>
    <w:p w14:paraId="24940260" w14:textId="74D179AD" w:rsidR="00B30E81" w:rsidRPr="000C5050" w:rsidRDefault="00B30E81" w:rsidP="007134A5">
      <w:pPr>
        <w:pStyle w:val="BodyText"/>
        <w:keepNext/>
      </w:pPr>
      <w:r w:rsidRPr="000C5050">
        <w:t>To enable this, the proposed amendments seek to achieve four outcomes:</w:t>
      </w:r>
    </w:p>
    <w:p w14:paraId="5D2BF238" w14:textId="77777777" w:rsidR="00B30E81" w:rsidRPr="000C5050" w:rsidRDefault="00B30E81" w:rsidP="00732034">
      <w:pPr>
        <w:pStyle w:val="Bodytextnumbered"/>
        <w:numPr>
          <w:ilvl w:val="0"/>
          <w:numId w:val="28"/>
        </w:numPr>
      </w:pPr>
      <w:r w:rsidRPr="000C5050">
        <w:t>require a risk-based assessment when deciding whether the NESCS applies to a site</w:t>
      </w:r>
    </w:p>
    <w:p w14:paraId="79F823E9" w14:textId="77777777" w:rsidR="00B30E81" w:rsidRPr="000C5050" w:rsidRDefault="00B30E81" w:rsidP="00732034">
      <w:pPr>
        <w:pStyle w:val="Bodytextnumbered"/>
        <w:numPr>
          <w:ilvl w:val="0"/>
          <w:numId w:val="28"/>
        </w:numPr>
      </w:pPr>
      <w:r w:rsidRPr="000C5050">
        <w:t>remove resource consent requirements for low risk activities</w:t>
      </w:r>
    </w:p>
    <w:p w14:paraId="3F868C1E" w14:textId="77777777" w:rsidR="00B30E81" w:rsidRPr="000C5050" w:rsidRDefault="00B30E81" w:rsidP="00732034">
      <w:pPr>
        <w:pStyle w:val="Bodytextnumbered"/>
        <w:numPr>
          <w:ilvl w:val="0"/>
          <w:numId w:val="28"/>
        </w:numPr>
      </w:pPr>
      <w:r w:rsidRPr="000C5050">
        <w:t>increase certainty of consenting process and target controls more closely to effects</w:t>
      </w:r>
    </w:p>
    <w:p w14:paraId="27BA3916" w14:textId="77777777" w:rsidR="00B30E81" w:rsidRPr="000C5050" w:rsidRDefault="00B30E81" w:rsidP="00732034">
      <w:pPr>
        <w:pStyle w:val="Bodytextnumbered"/>
        <w:numPr>
          <w:ilvl w:val="0"/>
          <w:numId w:val="28"/>
        </w:numPr>
      </w:pPr>
      <w:proofErr w:type="gramStart"/>
      <w:r w:rsidRPr="000C5050">
        <w:t>provide</w:t>
      </w:r>
      <w:proofErr w:type="gramEnd"/>
      <w:r w:rsidRPr="000C5050">
        <w:t xml:space="preserve"> options for site-specific management that are appropriate for the risk.</w:t>
      </w:r>
    </w:p>
    <w:p w14:paraId="2E2CC0D5" w14:textId="77777777" w:rsidR="00B30E81" w:rsidRPr="000C5050" w:rsidRDefault="00B30E81" w:rsidP="00732034">
      <w:pPr>
        <w:pStyle w:val="BodyText"/>
      </w:pPr>
      <w:r w:rsidRPr="000C5050">
        <w:lastRenderedPageBreak/>
        <w:t>This document seeks your feedback on the Ministry</w:t>
      </w:r>
      <w:r w:rsidR="0081630C" w:rsidRPr="000C5050">
        <w:t>’</w:t>
      </w:r>
      <w:r w:rsidRPr="000C5050">
        <w:t>s proposed amendments to the NESCS. Specifically, we are interested in your views on:</w:t>
      </w:r>
    </w:p>
    <w:p w14:paraId="05EE7BEE" w14:textId="77777777" w:rsidR="00B30E81" w:rsidRPr="000C5050" w:rsidRDefault="00B30E81" w:rsidP="00732034">
      <w:pPr>
        <w:pStyle w:val="Bullet"/>
      </w:pPr>
      <w:r w:rsidRPr="000C5050">
        <w:t>Potential impacts of the proposal(s):</w:t>
      </w:r>
    </w:p>
    <w:p w14:paraId="2915170E" w14:textId="77777777" w:rsidR="00B30E81" w:rsidRPr="000C5050" w:rsidRDefault="00B30E81" w:rsidP="00B30E81">
      <w:pPr>
        <w:pStyle w:val="Sub-bullet"/>
      </w:pPr>
      <w:r w:rsidRPr="000C5050">
        <w:t>What will be the expected cost(s) of the proposal?</w:t>
      </w:r>
      <w:r w:rsidR="007D080D" w:rsidRPr="000C5050">
        <w:t xml:space="preserve"> </w:t>
      </w:r>
      <w:r w:rsidRPr="000C5050">
        <w:t>Who will bear that cost?</w:t>
      </w:r>
    </w:p>
    <w:p w14:paraId="29223367" w14:textId="77777777" w:rsidR="00B30E81" w:rsidRPr="000C5050" w:rsidRDefault="00B30E81" w:rsidP="00B30E81">
      <w:pPr>
        <w:pStyle w:val="Sub-bullet"/>
      </w:pPr>
      <w:r w:rsidRPr="000C5050">
        <w:t>What will be the expected benefit(s) of the proposal? Who will benefit?</w:t>
      </w:r>
    </w:p>
    <w:p w14:paraId="201ABC8E" w14:textId="77777777" w:rsidR="00B30E81" w:rsidRPr="000C5050" w:rsidRDefault="00B30E81" w:rsidP="00732034">
      <w:pPr>
        <w:pStyle w:val="Bullet"/>
      </w:pPr>
      <w:r w:rsidRPr="000C5050">
        <w:t>Evidence of the scale of the current problem/issues:</w:t>
      </w:r>
    </w:p>
    <w:p w14:paraId="3CC047A9" w14:textId="2A7D6C6C" w:rsidR="00B30E81" w:rsidRPr="000C5050" w:rsidRDefault="00F83583" w:rsidP="00B30E81">
      <w:pPr>
        <w:pStyle w:val="Sub-bullet"/>
      </w:pPr>
      <w:proofErr w:type="spellStart"/>
      <w:proofErr w:type="gramStart"/>
      <w:r w:rsidRPr="000C5050">
        <w:t>eg</w:t>
      </w:r>
      <w:proofErr w:type="spellEnd"/>
      <w:proofErr w:type="gramEnd"/>
      <w:r w:rsidR="00B30E81" w:rsidRPr="000C5050">
        <w:t>, testing results relating to sports turfs results on sports fields, costs of obtaining NESCS consent?</w:t>
      </w:r>
    </w:p>
    <w:p w14:paraId="378A0173" w14:textId="77777777" w:rsidR="00B30E81" w:rsidRPr="000C5050" w:rsidRDefault="00B30E81" w:rsidP="00CA4076">
      <w:pPr>
        <w:pStyle w:val="Bullet"/>
      </w:pPr>
      <w:r w:rsidRPr="000C5050">
        <w:t>Unintended outcomes:</w:t>
      </w:r>
    </w:p>
    <w:p w14:paraId="7CF3723A" w14:textId="28B5333E" w:rsidR="00F83583" w:rsidRPr="000C5050" w:rsidRDefault="00F83583" w:rsidP="00CA4076">
      <w:pPr>
        <w:pStyle w:val="Sub-bullet"/>
      </w:pPr>
      <w:r w:rsidRPr="000C5050">
        <w:t>H</w:t>
      </w:r>
      <w:r w:rsidR="00B30E81" w:rsidRPr="000C5050">
        <w:t xml:space="preserve">ow will the amendment work in practice? </w:t>
      </w:r>
    </w:p>
    <w:p w14:paraId="44667790" w14:textId="4A7B9A5A" w:rsidR="00B30E81" w:rsidRPr="000C5050" w:rsidRDefault="00B30E81" w:rsidP="00CA4076">
      <w:pPr>
        <w:pStyle w:val="Sub-bullet"/>
      </w:pPr>
      <w:r w:rsidRPr="000C5050">
        <w:t>What implementation support would be required to ensure effective implementation of the amendment?</w:t>
      </w:r>
    </w:p>
    <w:p w14:paraId="2A05A089" w14:textId="69E847E3" w:rsidR="00CA4076" w:rsidRPr="000C5050" w:rsidRDefault="00741F59" w:rsidP="00732034">
      <w:pPr>
        <w:pStyle w:val="BodyText"/>
      </w:pPr>
      <w:r w:rsidRPr="000C5050">
        <w:t>The Ministry acknowledges that this document does contain some highly technical discussion and feedback on these parts is mainly aimed at territorial authorities and practitioners, who commonly engage in this area. This document identifies what feedback questions the Ministry is particularly interested in feedback on from territorial authorities and practitioners.</w:t>
      </w:r>
      <w:r w:rsidR="009637E0" w:rsidRPr="000C5050">
        <w:t xml:space="preserve"> </w:t>
      </w:r>
    </w:p>
    <w:p w14:paraId="34EC7DB7" w14:textId="77777777" w:rsidR="00CA4076" w:rsidRPr="000C5050" w:rsidRDefault="00CA4076">
      <w:pPr>
        <w:spacing w:before="0" w:after="200" w:line="276" w:lineRule="auto"/>
        <w:jc w:val="left"/>
      </w:pPr>
      <w:r w:rsidRPr="000C5050">
        <w:br w:type="page"/>
      </w:r>
    </w:p>
    <w:p w14:paraId="6F9F9611" w14:textId="77777777" w:rsidR="00CA4076" w:rsidRPr="000C5050" w:rsidRDefault="00CA4076" w:rsidP="00B427D9">
      <w:pPr>
        <w:pStyle w:val="Heading1"/>
      </w:pPr>
      <w:bookmarkStart w:id="10" w:name="_Toc460081235"/>
      <w:r w:rsidRPr="000C5050">
        <w:lastRenderedPageBreak/>
        <w:t>2</w:t>
      </w:r>
      <w:r w:rsidRPr="000C5050">
        <w:tab/>
        <w:t>Key proposals</w:t>
      </w:r>
      <w:bookmarkEnd w:id="10"/>
    </w:p>
    <w:p w14:paraId="584CFA0B" w14:textId="77777777" w:rsidR="008C6BB9" w:rsidRPr="000C5050" w:rsidRDefault="00CA4076" w:rsidP="00CA4076">
      <w:pPr>
        <w:pStyle w:val="BodyText"/>
      </w:pPr>
      <w:r w:rsidRPr="000C5050">
        <w:t>Below is a summary of the key proposals to amend the NESCS framework. A full list of the proposals is provided in Appendix 2.</w:t>
      </w:r>
    </w:p>
    <w:p w14:paraId="1C21592E" w14:textId="77777777" w:rsidR="008C6BB9" w:rsidRPr="000C5050" w:rsidRDefault="00EC1A86" w:rsidP="00380611">
      <w:pPr>
        <w:pStyle w:val="Heading3"/>
        <w:spacing w:before="240" w:after="120"/>
        <w:rPr>
          <w:bdr w:val="none" w:sz="0" w:space="0" w:color="auto" w:frame="1"/>
        </w:rPr>
      </w:pPr>
      <w:r w:rsidRPr="000C5050">
        <w:rPr>
          <w:bdr w:val="none" w:sz="0" w:space="0" w:color="auto" w:frame="1"/>
        </w:rPr>
        <w:t>Summary of key proposals</w:t>
      </w:r>
    </w:p>
    <w:tbl>
      <w:tblPr>
        <w:tblStyle w:val="TableGrid"/>
        <w:tblW w:w="8505" w:type="dxa"/>
        <w:tblInd w:w="108" w:type="dxa"/>
        <w:tblBorders>
          <w:top w:val="single" w:sz="4" w:space="0" w:color="593731"/>
          <w:left w:val="none" w:sz="0" w:space="0" w:color="auto"/>
          <w:bottom w:val="single" w:sz="4" w:space="0" w:color="593731"/>
          <w:right w:val="none" w:sz="0" w:space="0" w:color="auto"/>
          <w:insideH w:val="single" w:sz="4" w:space="0" w:color="593731"/>
        </w:tblBorders>
        <w:tblLook w:val="04A0" w:firstRow="1" w:lastRow="0" w:firstColumn="1" w:lastColumn="0" w:noHBand="0" w:noVBand="1"/>
      </w:tblPr>
      <w:tblGrid>
        <w:gridCol w:w="8505"/>
      </w:tblGrid>
      <w:tr w:rsidR="00D75B45" w:rsidRPr="000C5050" w14:paraId="7907552E" w14:textId="77777777" w:rsidTr="00917E3F">
        <w:tc>
          <w:tcPr>
            <w:tcW w:w="8505" w:type="dxa"/>
            <w:tcBorders>
              <w:top w:val="single" w:sz="4" w:space="0" w:color="17556C"/>
              <w:bottom w:val="single" w:sz="4" w:space="0" w:color="17556C"/>
            </w:tcBorders>
            <w:shd w:val="clear" w:color="auto" w:fill="17556C"/>
          </w:tcPr>
          <w:p w14:paraId="466703BD" w14:textId="77777777" w:rsidR="00EC1A86" w:rsidRPr="000C5050" w:rsidRDefault="00EC1A86" w:rsidP="00E148E9">
            <w:pPr>
              <w:pStyle w:val="TableTextbold"/>
              <w:rPr>
                <w:color w:val="FFFFFF" w:themeColor="background1"/>
                <w:bdr w:val="none" w:sz="0" w:space="0" w:color="auto" w:frame="1"/>
              </w:rPr>
            </w:pPr>
            <w:r w:rsidRPr="000C5050">
              <w:rPr>
                <w:color w:val="FFFFFF" w:themeColor="background1"/>
              </w:rPr>
              <w:t>Hazardous Activities and Industries List (HAIL)</w:t>
            </w:r>
          </w:p>
        </w:tc>
      </w:tr>
      <w:tr w:rsidR="00EC1A86" w:rsidRPr="000C5050" w14:paraId="3EC7AAB8" w14:textId="77777777" w:rsidTr="00732034">
        <w:tc>
          <w:tcPr>
            <w:tcW w:w="8505" w:type="dxa"/>
            <w:tcBorders>
              <w:top w:val="single" w:sz="4" w:space="0" w:color="17556C"/>
              <w:bottom w:val="single" w:sz="4" w:space="0" w:color="17556C"/>
            </w:tcBorders>
            <w:shd w:val="clear" w:color="auto" w:fill="FFFFFF" w:themeFill="background1"/>
          </w:tcPr>
          <w:p w14:paraId="295BB8A7" w14:textId="02DD5DD1" w:rsidR="00EC1A86" w:rsidRPr="000C5050" w:rsidRDefault="00AF767F" w:rsidP="00732034">
            <w:pPr>
              <w:pStyle w:val="Tabletext"/>
            </w:pPr>
            <w:r w:rsidRPr="000C5050">
              <w:t>Clarify</w:t>
            </w:r>
            <w:r w:rsidR="00EC1A86" w:rsidRPr="000C5050">
              <w:t xml:space="preserve"> the HAIL </w:t>
            </w:r>
            <w:r w:rsidR="005048C6" w:rsidRPr="000C5050">
              <w:t>categories</w:t>
            </w:r>
            <w:r w:rsidR="004C58DA" w:rsidRPr="000C5050">
              <w:t xml:space="preserve"> </w:t>
            </w:r>
            <w:r w:rsidRPr="000C5050">
              <w:t xml:space="preserve">to increase consistency </w:t>
            </w:r>
          </w:p>
        </w:tc>
      </w:tr>
      <w:tr w:rsidR="001211EB" w:rsidRPr="000C5050" w14:paraId="234A57DF" w14:textId="77777777" w:rsidTr="00917E3F">
        <w:tc>
          <w:tcPr>
            <w:tcW w:w="8505" w:type="dxa"/>
            <w:tcBorders>
              <w:top w:val="single" w:sz="4" w:space="0" w:color="17556C"/>
              <w:bottom w:val="single" w:sz="4" w:space="0" w:color="17556C"/>
            </w:tcBorders>
            <w:shd w:val="clear" w:color="auto" w:fill="FFFFFF" w:themeFill="background1"/>
          </w:tcPr>
          <w:p w14:paraId="0FB80FFF" w14:textId="032A49EA" w:rsidR="001211EB" w:rsidRPr="000C5050" w:rsidRDefault="0054204F" w:rsidP="00732034">
            <w:pPr>
              <w:pStyle w:val="Tabletext"/>
            </w:pPr>
            <w:r w:rsidRPr="000C5050">
              <w:t>Remove express reference to ‘sports turfs’ in category A.10</w:t>
            </w:r>
          </w:p>
        </w:tc>
      </w:tr>
      <w:tr w:rsidR="0054204F" w:rsidRPr="000C5050" w14:paraId="2D15F815" w14:textId="77777777" w:rsidTr="00917E3F">
        <w:tc>
          <w:tcPr>
            <w:tcW w:w="8505" w:type="dxa"/>
            <w:tcBorders>
              <w:top w:val="single" w:sz="4" w:space="0" w:color="17556C"/>
              <w:bottom w:val="single" w:sz="4" w:space="0" w:color="17556C"/>
            </w:tcBorders>
            <w:shd w:val="clear" w:color="auto" w:fill="FFFFFF" w:themeFill="background1"/>
          </w:tcPr>
          <w:p w14:paraId="264B2D4F" w14:textId="426603D2" w:rsidR="0054204F" w:rsidRPr="000C5050" w:rsidRDefault="0054204F" w:rsidP="00732034">
            <w:pPr>
              <w:pStyle w:val="Tabletext"/>
            </w:pPr>
            <w:r w:rsidRPr="000C5050">
              <w:t>Remove</w:t>
            </w:r>
            <w:r w:rsidR="00C80B8F" w:rsidRPr="000C5050">
              <w:t xml:space="preserve"> express </w:t>
            </w:r>
            <w:r w:rsidRPr="000C5050">
              <w:t>reference to ‘environmental discharges’ in category A.14 and ‘risk’ in categories</w:t>
            </w:r>
            <w:r w:rsidR="00FD0C75" w:rsidRPr="000C5050">
              <w:t xml:space="preserve"> H and I</w:t>
            </w:r>
          </w:p>
        </w:tc>
      </w:tr>
      <w:tr w:rsidR="00EC1A86" w:rsidRPr="000C5050" w14:paraId="043E4911" w14:textId="77777777" w:rsidTr="00917E3F">
        <w:tc>
          <w:tcPr>
            <w:tcW w:w="8505" w:type="dxa"/>
            <w:tcBorders>
              <w:top w:val="single" w:sz="4" w:space="0" w:color="17556C"/>
              <w:bottom w:val="single" w:sz="4" w:space="0" w:color="17556C"/>
            </w:tcBorders>
            <w:shd w:val="clear" w:color="auto" w:fill="FFFFFF" w:themeFill="background1"/>
          </w:tcPr>
          <w:p w14:paraId="0CED3CB3" w14:textId="77777777" w:rsidR="00EC1A86" w:rsidRPr="000C5050" w:rsidRDefault="00EC1A86" w:rsidP="00732034">
            <w:pPr>
              <w:pStyle w:val="Tabletext"/>
            </w:pPr>
            <w:r w:rsidRPr="000C5050">
              <w:t>Provide guidance on the HAIL, including the characteristics of activities and industries that have potential to contaminate soil</w:t>
            </w:r>
          </w:p>
        </w:tc>
      </w:tr>
      <w:tr w:rsidR="00D75B45" w:rsidRPr="000C5050" w14:paraId="7A4372EF" w14:textId="77777777" w:rsidTr="00917E3F">
        <w:tc>
          <w:tcPr>
            <w:tcW w:w="8505" w:type="dxa"/>
            <w:tcBorders>
              <w:top w:val="single" w:sz="4" w:space="0" w:color="17556C"/>
              <w:bottom w:val="single" w:sz="4" w:space="0" w:color="17556C"/>
            </w:tcBorders>
            <w:shd w:val="clear" w:color="auto" w:fill="17556C"/>
          </w:tcPr>
          <w:p w14:paraId="6485C0D4" w14:textId="77777777" w:rsidR="00EC1A86" w:rsidRPr="000C5050" w:rsidRDefault="00EC1A86" w:rsidP="00E148E9">
            <w:pPr>
              <w:pStyle w:val="TableTextbold"/>
              <w:rPr>
                <w:color w:val="FFFFFF" w:themeColor="background1"/>
              </w:rPr>
            </w:pPr>
            <w:r w:rsidRPr="000C5050">
              <w:rPr>
                <w:color w:val="FFFFFF" w:themeColor="background1"/>
              </w:rPr>
              <w:t>Does the National Environmental Standard for Assessing and Managing Contaminants in Soil to Protect Human Health (NESCS) apply to my land?</w:t>
            </w:r>
          </w:p>
        </w:tc>
      </w:tr>
      <w:tr w:rsidR="00EC1A86" w:rsidRPr="000C5050" w14:paraId="0FDD90AD" w14:textId="77777777" w:rsidTr="00917E3F">
        <w:tc>
          <w:tcPr>
            <w:tcW w:w="8505" w:type="dxa"/>
            <w:tcBorders>
              <w:top w:val="single" w:sz="4" w:space="0" w:color="17556C"/>
              <w:bottom w:val="single" w:sz="4" w:space="0" w:color="17556C"/>
            </w:tcBorders>
            <w:shd w:val="clear" w:color="auto" w:fill="FFFFFF" w:themeFill="background1"/>
          </w:tcPr>
          <w:p w14:paraId="089D2693" w14:textId="0164DCB8" w:rsidR="00EC1A86" w:rsidRPr="000C5050" w:rsidRDefault="00EC1A86" w:rsidP="00EC1A86">
            <w:pPr>
              <w:pStyle w:val="Tabletext"/>
              <w:rPr>
                <w:bdr w:val="none" w:sz="0" w:space="0" w:color="auto" w:frame="1"/>
              </w:rPr>
            </w:pPr>
            <w:r w:rsidRPr="000C5050">
              <w:t xml:space="preserve">Require </w:t>
            </w:r>
            <w:r w:rsidRPr="000C5050">
              <w:rPr>
                <w:color w:val="000000" w:themeColor="text1"/>
                <w:bdr w:val="none" w:sz="0" w:space="0" w:color="auto" w:frame="1"/>
              </w:rPr>
              <w:t>a risk-based a</w:t>
            </w:r>
            <w:r w:rsidR="004B45EA" w:rsidRPr="000C5050">
              <w:rPr>
                <w:color w:val="000000" w:themeColor="text1"/>
                <w:bdr w:val="none" w:sz="0" w:space="0" w:color="auto" w:frame="1"/>
              </w:rPr>
              <w:t>ssessment</w:t>
            </w:r>
            <w:r w:rsidRPr="000C5050">
              <w:rPr>
                <w:color w:val="000000" w:themeColor="text1"/>
                <w:bdr w:val="none" w:sz="0" w:space="0" w:color="auto" w:frame="1"/>
              </w:rPr>
              <w:t xml:space="preserve"> when deciding whether the NESCS applies to a site </w:t>
            </w:r>
          </w:p>
        </w:tc>
      </w:tr>
      <w:tr w:rsidR="00D75B45" w:rsidRPr="000C5050" w14:paraId="2A4D272A" w14:textId="77777777" w:rsidTr="00F97BE9">
        <w:tc>
          <w:tcPr>
            <w:tcW w:w="8505" w:type="dxa"/>
            <w:tcBorders>
              <w:top w:val="single" w:sz="4" w:space="0" w:color="17556C"/>
              <w:bottom w:val="single" w:sz="4" w:space="0" w:color="8BAAB6"/>
            </w:tcBorders>
            <w:shd w:val="clear" w:color="auto" w:fill="17556C"/>
          </w:tcPr>
          <w:p w14:paraId="4203E3F6" w14:textId="77777777" w:rsidR="00EC1A86" w:rsidRPr="000C5050" w:rsidRDefault="00EC1A86" w:rsidP="00E148E9">
            <w:pPr>
              <w:pStyle w:val="TableTextbold"/>
              <w:rPr>
                <w:color w:val="FFFFFF" w:themeColor="background1"/>
              </w:rPr>
            </w:pPr>
            <w:r w:rsidRPr="000C5050">
              <w:rPr>
                <w:color w:val="FFFFFF" w:themeColor="background1"/>
              </w:rPr>
              <w:t>NESCS activities and planning controls</w:t>
            </w:r>
          </w:p>
        </w:tc>
      </w:tr>
      <w:tr w:rsidR="00EC1A86" w:rsidRPr="000C5050" w14:paraId="0C3B13C5" w14:textId="77777777" w:rsidTr="00F97BE9">
        <w:tc>
          <w:tcPr>
            <w:tcW w:w="8505" w:type="dxa"/>
            <w:tcBorders>
              <w:top w:val="single" w:sz="4" w:space="0" w:color="8BAAB6"/>
              <w:bottom w:val="single" w:sz="4" w:space="0" w:color="D2DDE2"/>
            </w:tcBorders>
            <w:shd w:val="clear" w:color="auto" w:fill="D2DDE2"/>
          </w:tcPr>
          <w:p w14:paraId="6CE44514" w14:textId="77777777" w:rsidR="00EC1A86" w:rsidRPr="000C5050" w:rsidRDefault="00EC1A86" w:rsidP="00E148E9">
            <w:pPr>
              <w:pStyle w:val="Tablebullet"/>
              <w:spacing w:before="60"/>
              <w:rPr>
                <w:i/>
              </w:rPr>
            </w:pPr>
            <w:r w:rsidRPr="000C5050">
              <w:rPr>
                <w:i/>
              </w:rPr>
              <w:t xml:space="preserve">Remove consent requirements for low-risk activities </w:t>
            </w:r>
          </w:p>
        </w:tc>
      </w:tr>
      <w:tr w:rsidR="00EC1A86" w:rsidRPr="000C5050" w14:paraId="21022628" w14:textId="77777777" w:rsidTr="00F97BE9">
        <w:tc>
          <w:tcPr>
            <w:tcW w:w="8505" w:type="dxa"/>
            <w:tcBorders>
              <w:top w:val="single" w:sz="4" w:space="0" w:color="D2DDE2"/>
              <w:bottom w:val="single" w:sz="4" w:space="0" w:color="17556C"/>
            </w:tcBorders>
            <w:shd w:val="clear" w:color="auto" w:fill="FFFFFF" w:themeFill="background1"/>
          </w:tcPr>
          <w:p w14:paraId="517217A6" w14:textId="77777777" w:rsidR="00EC1A86" w:rsidRPr="000C5050" w:rsidRDefault="00EC1A86" w:rsidP="00EC1A86">
            <w:pPr>
              <w:pStyle w:val="Tabletext"/>
              <w:rPr>
                <w:bdr w:val="none" w:sz="0" w:space="0" w:color="auto" w:frame="1"/>
              </w:rPr>
            </w:pPr>
            <w:r w:rsidRPr="000C5050">
              <w:rPr>
                <w:bdr w:val="none" w:sz="0" w:space="0" w:color="auto" w:frame="1"/>
              </w:rPr>
              <w:t xml:space="preserve">No resource consent required for activities on sites found to be have contamination below soil contaminant standards or Tier 1 soil acceptance criteria (except for </w:t>
            </w:r>
            <w:r w:rsidRPr="000C5050">
              <w:t xml:space="preserve">soil disposal or </w:t>
            </w:r>
            <w:r w:rsidRPr="000C5050">
              <w:rPr>
                <w:iCs/>
              </w:rPr>
              <w:t>where a site-specific soil guideline value has been used)</w:t>
            </w:r>
          </w:p>
        </w:tc>
      </w:tr>
      <w:tr w:rsidR="00EC1A86" w:rsidRPr="000C5050" w14:paraId="121E5D1C" w14:textId="77777777" w:rsidTr="00917E3F">
        <w:tc>
          <w:tcPr>
            <w:tcW w:w="8505" w:type="dxa"/>
            <w:tcBorders>
              <w:top w:val="single" w:sz="4" w:space="0" w:color="17556C"/>
              <w:bottom w:val="single" w:sz="4" w:space="0" w:color="17556C"/>
            </w:tcBorders>
            <w:shd w:val="clear" w:color="auto" w:fill="FFFFFF" w:themeFill="background1"/>
          </w:tcPr>
          <w:p w14:paraId="6A7E80C1" w14:textId="15741E65" w:rsidR="00EC1A86" w:rsidRPr="000C5050" w:rsidRDefault="00EC1A86" w:rsidP="00EC1A86">
            <w:pPr>
              <w:pStyle w:val="Tabletext"/>
              <w:rPr>
                <w:bdr w:val="none" w:sz="0" w:space="0" w:color="auto" w:frame="1"/>
              </w:rPr>
            </w:pPr>
            <w:r w:rsidRPr="000C5050">
              <w:rPr>
                <w:bdr w:val="none" w:sz="0" w:space="0" w:color="auto" w:frame="1"/>
              </w:rPr>
              <w:t>No resource consent required for soil disturbance by</w:t>
            </w:r>
            <w:r w:rsidR="001A7FA2" w:rsidRPr="000C5050">
              <w:rPr>
                <w:bdr w:val="none" w:sz="0" w:space="0" w:color="auto" w:frame="1"/>
              </w:rPr>
              <w:t xml:space="preserve"> a</w:t>
            </w:r>
            <w:r w:rsidRPr="000C5050">
              <w:rPr>
                <w:bdr w:val="none" w:sz="0" w:space="0" w:color="auto" w:frame="1"/>
              </w:rPr>
              <w:t xml:space="preserve"> network utility operator </w:t>
            </w:r>
          </w:p>
        </w:tc>
      </w:tr>
      <w:tr w:rsidR="00EC1A86" w:rsidRPr="000C5050" w14:paraId="79486DAA" w14:textId="77777777" w:rsidTr="00F97BE9">
        <w:tc>
          <w:tcPr>
            <w:tcW w:w="8505" w:type="dxa"/>
            <w:tcBorders>
              <w:top w:val="single" w:sz="4" w:space="0" w:color="17556C"/>
              <w:bottom w:val="single" w:sz="4" w:space="0" w:color="D2DDE2"/>
            </w:tcBorders>
            <w:shd w:val="clear" w:color="auto" w:fill="FFFFFF" w:themeFill="background1"/>
          </w:tcPr>
          <w:p w14:paraId="31E6AB5A" w14:textId="294FAFF5" w:rsidR="00EC1A86" w:rsidRPr="000C5050" w:rsidRDefault="00EC1A86" w:rsidP="00EC1A86">
            <w:pPr>
              <w:pStyle w:val="Tabletext"/>
              <w:rPr>
                <w:bdr w:val="none" w:sz="0" w:space="0" w:color="auto" w:frame="1"/>
              </w:rPr>
            </w:pPr>
            <w:r w:rsidRPr="000C5050">
              <w:rPr>
                <w:bdr w:val="none" w:sz="0" w:space="0" w:color="auto" w:frame="1"/>
              </w:rPr>
              <w:t xml:space="preserve">No resource consent required for subdivisions that are purely </w:t>
            </w:r>
            <w:r w:rsidR="00580A02" w:rsidRPr="000C5050">
              <w:rPr>
                <w:bdr w:val="none" w:sz="0" w:space="0" w:color="auto" w:frame="1"/>
              </w:rPr>
              <w:t>‘</w:t>
            </w:r>
            <w:r w:rsidRPr="000C5050">
              <w:rPr>
                <w:bdr w:val="none" w:sz="0" w:space="0" w:color="auto" w:frame="1"/>
              </w:rPr>
              <w:t>paper-based</w:t>
            </w:r>
            <w:r w:rsidR="00580A02" w:rsidRPr="000C5050">
              <w:rPr>
                <w:bdr w:val="none" w:sz="0" w:space="0" w:color="auto" w:frame="1"/>
              </w:rPr>
              <w:t>’</w:t>
            </w:r>
            <w:r w:rsidRPr="000C5050">
              <w:rPr>
                <w:bdr w:val="none" w:sz="0" w:space="0" w:color="auto" w:frame="1"/>
              </w:rPr>
              <w:t xml:space="preserve"> or do not facilitate a current or future change in use</w:t>
            </w:r>
          </w:p>
        </w:tc>
      </w:tr>
      <w:tr w:rsidR="00EC1A86" w:rsidRPr="000C5050" w14:paraId="31D48BFF" w14:textId="77777777" w:rsidTr="00F97BE9">
        <w:tc>
          <w:tcPr>
            <w:tcW w:w="8505" w:type="dxa"/>
            <w:tcBorders>
              <w:top w:val="single" w:sz="4" w:space="0" w:color="D2DDE2"/>
              <w:bottom w:val="single" w:sz="4" w:space="0" w:color="D2DDE2"/>
            </w:tcBorders>
            <w:shd w:val="clear" w:color="auto" w:fill="D2DDE2"/>
          </w:tcPr>
          <w:p w14:paraId="6AA40805" w14:textId="77777777" w:rsidR="00EC1A86" w:rsidRPr="000C5050" w:rsidRDefault="00EC1A86" w:rsidP="00E148E9">
            <w:pPr>
              <w:pStyle w:val="Tablebullet"/>
              <w:spacing w:before="60"/>
              <w:rPr>
                <w:i/>
              </w:rPr>
            </w:pPr>
            <w:r w:rsidRPr="000C5050">
              <w:rPr>
                <w:i/>
              </w:rPr>
              <w:t>Increase certainty of consenting process and target controls more closely to effects</w:t>
            </w:r>
          </w:p>
        </w:tc>
      </w:tr>
      <w:tr w:rsidR="00EC1A86" w:rsidRPr="000C5050" w14:paraId="4FB476B1" w14:textId="77777777" w:rsidTr="00F97BE9">
        <w:tc>
          <w:tcPr>
            <w:tcW w:w="8505" w:type="dxa"/>
            <w:tcBorders>
              <w:top w:val="single" w:sz="4" w:space="0" w:color="D2DDE2"/>
              <w:bottom w:val="single" w:sz="4" w:space="0" w:color="17556C"/>
            </w:tcBorders>
            <w:shd w:val="clear" w:color="auto" w:fill="FFFFFF" w:themeFill="background1"/>
          </w:tcPr>
          <w:p w14:paraId="420B89DB" w14:textId="22BEBEDC" w:rsidR="00EC1A86" w:rsidRPr="000C5050" w:rsidRDefault="005C4008" w:rsidP="00EC1A86">
            <w:pPr>
              <w:pStyle w:val="Tabletext"/>
              <w:rPr>
                <w:bdr w:val="none" w:sz="0" w:space="0" w:color="auto" w:frame="1"/>
              </w:rPr>
            </w:pPr>
            <w:r w:rsidRPr="000C5050">
              <w:rPr>
                <w:bdr w:val="none" w:sz="0" w:space="0" w:color="auto" w:frame="1"/>
              </w:rPr>
              <w:t>Class s</w:t>
            </w:r>
            <w:r w:rsidR="00EC1A86" w:rsidRPr="000C5050">
              <w:rPr>
                <w:bdr w:val="none" w:sz="0" w:space="0" w:color="auto" w:frame="1"/>
              </w:rPr>
              <w:t>oil disposal as a stand-alone NESCS-controlled activity</w:t>
            </w:r>
          </w:p>
        </w:tc>
      </w:tr>
      <w:tr w:rsidR="00EC1A86" w:rsidRPr="000C5050" w14:paraId="2AB0D9C7" w14:textId="77777777" w:rsidTr="00917E3F">
        <w:tc>
          <w:tcPr>
            <w:tcW w:w="8505" w:type="dxa"/>
            <w:tcBorders>
              <w:top w:val="single" w:sz="4" w:space="0" w:color="17556C"/>
              <w:bottom w:val="single" w:sz="4" w:space="0" w:color="17556C"/>
            </w:tcBorders>
            <w:shd w:val="clear" w:color="auto" w:fill="FFFFFF" w:themeFill="background1"/>
          </w:tcPr>
          <w:p w14:paraId="593A3FDD" w14:textId="77777777" w:rsidR="00EC1A86" w:rsidRPr="000C5050" w:rsidRDefault="00EC1A86" w:rsidP="00EC1A86">
            <w:pPr>
              <w:pStyle w:val="Tabletext"/>
              <w:rPr>
                <w:bdr w:val="none" w:sz="0" w:space="0" w:color="auto" w:frame="1"/>
              </w:rPr>
            </w:pPr>
            <w:r w:rsidRPr="000C5050">
              <w:rPr>
                <w:bdr w:val="none" w:sz="0" w:space="0" w:color="auto" w:frame="1"/>
              </w:rPr>
              <w:t xml:space="preserve">Amendments to the consent status and planning controls for the NESCS-controlled activities </w:t>
            </w:r>
          </w:p>
        </w:tc>
      </w:tr>
      <w:tr w:rsidR="00EC1A86" w:rsidRPr="000C5050" w14:paraId="4863C6F7" w14:textId="77777777" w:rsidTr="00917E3F">
        <w:tc>
          <w:tcPr>
            <w:tcW w:w="8505" w:type="dxa"/>
            <w:tcBorders>
              <w:top w:val="single" w:sz="4" w:space="0" w:color="17556C"/>
              <w:bottom w:val="single" w:sz="4" w:space="0" w:color="17556C"/>
            </w:tcBorders>
            <w:shd w:val="clear" w:color="auto" w:fill="FFFFFF" w:themeFill="background1"/>
          </w:tcPr>
          <w:p w14:paraId="5D9F6EA0" w14:textId="77777777" w:rsidR="00EC1A86" w:rsidRPr="000C5050" w:rsidRDefault="00EC1A86" w:rsidP="00EC1A86">
            <w:pPr>
              <w:pStyle w:val="Tabletext"/>
              <w:rPr>
                <w:bdr w:val="none" w:sz="0" w:space="0" w:color="auto" w:frame="1"/>
              </w:rPr>
            </w:pPr>
            <w:r w:rsidRPr="000C5050">
              <w:rPr>
                <w:bdr w:val="none" w:sz="0" w:space="0" w:color="auto" w:frame="1"/>
              </w:rPr>
              <w:t xml:space="preserve">Clarification of key terms </w:t>
            </w:r>
          </w:p>
        </w:tc>
      </w:tr>
      <w:tr w:rsidR="00EC1A86" w:rsidRPr="000C5050" w14:paraId="1F91EF2F" w14:textId="77777777" w:rsidTr="00917E3F">
        <w:tc>
          <w:tcPr>
            <w:tcW w:w="8505" w:type="dxa"/>
            <w:tcBorders>
              <w:top w:val="single" w:sz="4" w:space="0" w:color="17556C"/>
              <w:bottom w:val="single" w:sz="4" w:space="0" w:color="17556C"/>
            </w:tcBorders>
            <w:shd w:val="clear" w:color="auto" w:fill="FFFFFF" w:themeFill="background1"/>
          </w:tcPr>
          <w:p w14:paraId="36D4DF94" w14:textId="0AACD127" w:rsidR="00EC1A86" w:rsidRPr="000C5050" w:rsidRDefault="00EC1A86" w:rsidP="00EC1A86">
            <w:pPr>
              <w:pStyle w:val="Tabletext"/>
              <w:rPr>
                <w:bdr w:val="none" w:sz="0" w:space="0" w:color="auto" w:frame="1"/>
              </w:rPr>
            </w:pPr>
            <w:r w:rsidRPr="000C5050">
              <w:rPr>
                <w:bdr w:val="none" w:sz="0" w:space="0" w:color="auto" w:frame="1"/>
              </w:rPr>
              <w:t>Contaminated Land Management Guidelines updated</w:t>
            </w:r>
          </w:p>
        </w:tc>
      </w:tr>
      <w:tr w:rsidR="00EC1A86" w:rsidRPr="000C5050" w14:paraId="394CEB97" w14:textId="77777777" w:rsidTr="00917E3F">
        <w:tc>
          <w:tcPr>
            <w:tcW w:w="8505" w:type="dxa"/>
            <w:tcBorders>
              <w:top w:val="single" w:sz="4" w:space="0" w:color="17556C"/>
              <w:bottom w:val="single" w:sz="4" w:space="0" w:color="17556C"/>
            </w:tcBorders>
            <w:shd w:val="clear" w:color="auto" w:fill="FFFFFF" w:themeFill="background1"/>
          </w:tcPr>
          <w:p w14:paraId="3C919D50" w14:textId="77777777" w:rsidR="00EC1A86" w:rsidRPr="000C5050" w:rsidRDefault="00EC1A86" w:rsidP="00EC1A86">
            <w:pPr>
              <w:pStyle w:val="Tabletext"/>
              <w:rPr>
                <w:bdr w:val="none" w:sz="0" w:space="0" w:color="auto" w:frame="1"/>
              </w:rPr>
            </w:pPr>
            <w:r w:rsidRPr="000C5050">
              <w:rPr>
                <w:bdr w:val="none" w:sz="0" w:space="0" w:color="auto" w:frame="1"/>
              </w:rPr>
              <w:t>Require suitably qualified and experienced practitioners to use a standardised certifying statement in their reports to provide clarity to report readers</w:t>
            </w:r>
          </w:p>
        </w:tc>
      </w:tr>
      <w:tr w:rsidR="00D75B45" w:rsidRPr="000C5050" w14:paraId="57BF6B30" w14:textId="77777777" w:rsidTr="00917E3F">
        <w:tc>
          <w:tcPr>
            <w:tcW w:w="8505" w:type="dxa"/>
            <w:tcBorders>
              <w:top w:val="single" w:sz="4" w:space="0" w:color="17556C"/>
              <w:bottom w:val="single" w:sz="4" w:space="0" w:color="17556C"/>
            </w:tcBorders>
            <w:shd w:val="clear" w:color="auto" w:fill="17556C"/>
          </w:tcPr>
          <w:p w14:paraId="56F6DE6A" w14:textId="77777777" w:rsidR="00EC1A86" w:rsidRPr="000C5050" w:rsidRDefault="00EC1A86" w:rsidP="00E148E9">
            <w:pPr>
              <w:pStyle w:val="TableTextbold"/>
              <w:rPr>
                <w:color w:val="FFFFFF" w:themeColor="background1"/>
              </w:rPr>
            </w:pPr>
            <w:r w:rsidRPr="000C5050">
              <w:rPr>
                <w:color w:val="FFFFFF" w:themeColor="background1"/>
              </w:rPr>
              <w:t>Management of contaminated land</w:t>
            </w:r>
          </w:p>
        </w:tc>
      </w:tr>
      <w:tr w:rsidR="00EC1A86" w:rsidRPr="000C5050" w14:paraId="789048D9" w14:textId="77777777" w:rsidTr="00917E3F">
        <w:tc>
          <w:tcPr>
            <w:tcW w:w="8505" w:type="dxa"/>
            <w:tcBorders>
              <w:top w:val="single" w:sz="4" w:space="0" w:color="17556C"/>
              <w:bottom w:val="single" w:sz="4" w:space="0" w:color="17556C"/>
            </w:tcBorders>
            <w:shd w:val="clear" w:color="auto" w:fill="FFFFFF" w:themeFill="background1"/>
          </w:tcPr>
          <w:p w14:paraId="657FF2BE" w14:textId="77777777" w:rsidR="00EC1A86" w:rsidRPr="000C5050" w:rsidRDefault="00EC1A86" w:rsidP="00EC1A86">
            <w:pPr>
              <w:pStyle w:val="Tabletext"/>
              <w:rPr>
                <w:bdr w:val="none" w:sz="0" w:space="0" w:color="auto" w:frame="1"/>
              </w:rPr>
            </w:pPr>
            <w:r w:rsidRPr="000C5050">
              <w:rPr>
                <w:bdr w:val="none" w:sz="0" w:space="0" w:color="auto" w:frame="1"/>
              </w:rPr>
              <w:t>Option of a template for an ongoing site management plan (with controls) for residential property owners</w:t>
            </w:r>
          </w:p>
        </w:tc>
      </w:tr>
      <w:tr w:rsidR="00EC1A86" w:rsidRPr="000C5050" w14:paraId="21E8AE0D" w14:textId="77777777" w:rsidTr="00917E3F">
        <w:tc>
          <w:tcPr>
            <w:tcW w:w="8505" w:type="dxa"/>
            <w:tcBorders>
              <w:top w:val="single" w:sz="4" w:space="0" w:color="17556C"/>
              <w:bottom w:val="single" w:sz="4" w:space="0" w:color="17556C"/>
            </w:tcBorders>
            <w:shd w:val="clear" w:color="auto" w:fill="FFFFFF" w:themeFill="background1"/>
          </w:tcPr>
          <w:p w14:paraId="5247A744" w14:textId="32E38E14" w:rsidR="00EC1A86" w:rsidRPr="000C5050" w:rsidRDefault="005C1EBB" w:rsidP="00EC1A86">
            <w:pPr>
              <w:pStyle w:val="Tabletext"/>
              <w:rPr>
                <w:bdr w:val="none" w:sz="0" w:space="0" w:color="auto" w:frame="1"/>
              </w:rPr>
            </w:pPr>
            <w:r w:rsidRPr="000C5050">
              <w:t>Option to enable site-specific soil guideline values to be calculated using the site-specific bioavailable concentration of arsenic and lead</w:t>
            </w:r>
          </w:p>
        </w:tc>
      </w:tr>
    </w:tbl>
    <w:p w14:paraId="59C658F1" w14:textId="2315B34C" w:rsidR="00E148E9" w:rsidRPr="000C5050" w:rsidRDefault="00E148E9" w:rsidP="00E148E9">
      <w:pPr>
        <w:pStyle w:val="Note"/>
        <w:rPr>
          <w:bdr w:val="none" w:sz="0" w:space="0" w:color="auto" w:frame="1"/>
        </w:rPr>
      </w:pPr>
      <w:r w:rsidRPr="000C5050">
        <w:rPr>
          <w:bdr w:val="none" w:sz="0" w:space="0" w:color="auto" w:frame="1"/>
        </w:rPr>
        <w:t xml:space="preserve"> </w:t>
      </w:r>
    </w:p>
    <w:p w14:paraId="294F0B1D" w14:textId="5C45CDB9" w:rsidR="00B427D9" w:rsidRPr="000C5050" w:rsidRDefault="00CA1FF3" w:rsidP="00B427D9">
      <w:pPr>
        <w:pStyle w:val="Heading1"/>
        <w:rPr>
          <w:sz w:val="47"/>
          <w:szCs w:val="47"/>
        </w:rPr>
      </w:pPr>
      <w:bookmarkStart w:id="11" w:name="_Toc460081236"/>
      <w:r w:rsidRPr="000C5050">
        <w:rPr>
          <w:sz w:val="47"/>
          <w:szCs w:val="47"/>
        </w:rPr>
        <w:lastRenderedPageBreak/>
        <w:t>3</w:t>
      </w:r>
      <w:r w:rsidR="00B427D9" w:rsidRPr="000C5050">
        <w:rPr>
          <w:sz w:val="47"/>
          <w:szCs w:val="47"/>
        </w:rPr>
        <w:t xml:space="preserve"> </w:t>
      </w:r>
      <w:r w:rsidR="00B427D9" w:rsidRPr="000C5050">
        <w:rPr>
          <w:sz w:val="47"/>
          <w:szCs w:val="47"/>
        </w:rPr>
        <w:tab/>
        <w:t>Hazardous Activities and Industries List</w:t>
      </w:r>
      <w:r w:rsidR="00FB35C9" w:rsidRPr="000C5050">
        <w:rPr>
          <w:sz w:val="47"/>
          <w:szCs w:val="47"/>
        </w:rPr>
        <w:t> </w:t>
      </w:r>
      <w:r w:rsidR="00B427D9" w:rsidRPr="000C5050">
        <w:rPr>
          <w:sz w:val="47"/>
          <w:szCs w:val="47"/>
        </w:rPr>
        <w:t>(HAIL)</w:t>
      </w:r>
      <w:bookmarkEnd w:id="11"/>
    </w:p>
    <w:p w14:paraId="586A3126" w14:textId="77777777" w:rsidR="00B427D9" w:rsidRPr="000C5050" w:rsidRDefault="00B427D9" w:rsidP="00946B4D">
      <w:pPr>
        <w:pStyle w:val="Heading2"/>
        <w:spacing w:before="120"/>
        <w:rPr>
          <w:bdr w:val="none" w:sz="0" w:space="0" w:color="auto" w:frame="1"/>
        </w:rPr>
      </w:pPr>
      <w:bookmarkStart w:id="12" w:name="_Toc460081237"/>
      <w:r w:rsidRPr="000C5050">
        <w:rPr>
          <w:bdr w:val="none" w:sz="0" w:space="0" w:color="auto" w:frame="1"/>
        </w:rPr>
        <w:t>Consistency in interpretation and application</w:t>
      </w:r>
      <w:bookmarkEnd w:id="12"/>
      <w:r w:rsidRPr="000C5050">
        <w:rPr>
          <w:bdr w:val="none" w:sz="0" w:space="0" w:color="auto" w:frame="1"/>
        </w:rPr>
        <w:t xml:space="preserve"> </w:t>
      </w:r>
    </w:p>
    <w:p w14:paraId="7CEC61EE" w14:textId="77777777" w:rsidR="00B427D9" w:rsidRPr="000C5050" w:rsidRDefault="00B427D9" w:rsidP="00B427D9">
      <w:pPr>
        <w:pStyle w:val="BodyText"/>
        <w:rPr>
          <w:bdr w:val="none" w:sz="0" w:space="0" w:color="auto" w:frame="1"/>
        </w:rPr>
      </w:pPr>
      <w:r w:rsidRPr="000C5050">
        <w:rPr>
          <w:bdr w:val="none" w:sz="0" w:space="0" w:color="auto" w:frame="1"/>
        </w:rPr>
        <w:t>Identifying potentially contaminated land is critical for the implementation of the National Environmental Standard for Assessing and Managing Contaminants in Soil to Protect Human Health (NESCS). The NESCS only applies to land on which an activity or industry on the Hazardous Activities and Industries List (HAIL) is, has been, or is more likely than not to have been undertaken. The wording of many of the HAIL categories is intentionally broad, as the HAIL has multiple uses and is intended as a broad risk categorisation tool.</w:t>
      </w:r>
      <w:r w:rsidR="007D080D" w:rsidRPr="000C5050">
        <w:rPr>
          <w:bdr w:val="none" w:sz="0" w:space="0" w:color="auto" w:frame="1"/>
        </w:rPr>
        <w:t xml:space="preserve"> </w:t>
      </w:r>
      <w:r w:rsidRPr="000C5050">
        <w:rPr>
          <w:bdr w:val="none" w:sz="0" w:space="0" w:color="auto" w:frame="1"/>
        </w:rPr>
        <w:t>The interim review, however, identified considerable variation in how the HAIL is being applied by regional councils across the country. Inconsistency in regional council interpretation causes confusion for developers and landowners, and results in increased costs and delays during development.</w:t>
      </w:r>
    </w:p>
    <w:p w14:paraId="1375F394" w14:textId="77777777" w:rsidR="00B427D9" w:rsidRPr="000C5050" w:rsidRDefault="00B427D9" w:rsidP="00F97BE9">
      <w:pPr>
        <w:pStyle w:val="BodyText"/>
        <w:rPr>
          <w:bdr w:val="none" w:sz="0" w:space="0" w:color="auto" w:frame="1"/>
        </w:rPr>
      </w:pPr>
      <w:r w:rsidRPr="000C5050">
        <w:rPr>
          <w:bdr w:val="none" w:sz="0" w:space="0" w:color="auto" w:frame="1"/>
        </w:rPr>
        <w:t xml:space="preserve">This issue is expected to be magnified as more regional councils undertake a process of identifying HAIL sites in their region. The </w:t>
      </w:r>
      <w:r w:rsidRPr="000C5050">
        <w:rPr>
          <w:i/>
          <w:bdr w:val="none" w:sz="0" w:space="0" w:color="auto" w:frame="1"/>
        </w:rPr>
        <w:t>Resource Management Act: Two-yearly Survey of Local Authorities 2012/13</w:t>
      </w:r>
      <w:r w:rsidRPr="000C5050">
        <w:rPr>
          <w:bdr w:val="none" w:sz="0" w:space="0" w:color="auto" w:frame="1"/>
        </w:rPr>
        <w:t xml:space="preserve"> (Ministry for the Environment, 2014) reported a total of 19,568 sites nationwide that had been identified as HAIL sites. Since then, many regional councils have continued to identify HAIL sites, but it is widely accepted that a significant proportion of HAIL sites remain unidentified. It is estimated that 6,000–20,000 hectares of land will be identified as HAIL sites over the next 20 years. </w:t>
      </w:r>
    </w:p>
    <w:p w14:paraId="2F0E4205" w14:textId="77777777" w:rsidR="00B427D9" w:rsidRPr="000C5050" w:rsidRDefault="00B427D9" w:rsidP="00B427D9">
      <w:pPr>
        <w:pStyle w:val="BodyText"/>
        <w:rPr>
          <w:bdr w:val="none" w:sz="0" w:space="0" w:color="auto" w:frame="1"/>
        </w:rPr>
      </w:pPr>
      <w:r w:rsidRPr="000C5050">
        <w:rPr>
          <w:bdr w:val="none" w:sz="0" w:space="0" w:color="auto" w:frame="1"/>
        </w:rPr>
        <w:t xml:space="preserve">To increase consistency in the interpretation and application of the HAIL, the Ministry proposes to reword and provide guidance on the HAIL. These changes will also help target sites that are likely to present a genuine risk to human health. </w:t>
      </w:r>
    </w:p>
    <w:p w14:paraId="510777B5" w14:textId="77777777" w:rsidR="00EC1A86" w:rsidRPr="000C5050" w:rsidRDefault="00B427D9" w:rsidP="00E15DE5">
      <w:pPr>
        <w:pStyle w:val="Heading2"/>
        <w:spacing w:before="280" w:after="120"/>
        <w:rPr>
          <w:bdr w:val="none" w:sz="0" w:space="0" w:color="auto" w:frame="1"/>
        </w:rPr>
      </w:pPr>
      <w:bookmarkStart w:id="13" w:name="_Toc460081238"/>
      <w:r w:rsidRPr="000C5050">
        <w:rPr>
          <w:bdr w:val="none" w:sz="0" w:space="0" w:color="auto" w:frame="1"/>
        </w:rPr>
        <w:t>Proposals</w:t>
      </w:r>
      <w:bookmarkEnd w:id="13"/>
    </w:p>
    <w:p w14:paraId="53ABD850" w14:textId="28A75DE9" w:rsidR="00C80B8F" w:rsidRPr="000C5050" w:rsidRDefault="00B427D9" w:rsidP="00AB35CD">
      <w:pPr>
        <w:pStyle w:val="Box"/>
      </w:pPr>
      <w:r w:rsidRPr="000C5050">
        <w:t>3.1</w:t>
      </w:r>
      <w:r w:rsidRPr="000C5050">
        <w:tab/>
      </w:r>
      <w:r w:rsidR="00C80B8F" w:rsidRPr="000C5050">
        <w:t>Clarify the HAIL categories to increase consistency</w:t>
      </w:r>
      <w:r w:rsidR="00FD0C75" w:rsidRPr="000C5050">
        <w:t>.</w:t>
      </w:r>
      <w:r w:rsidR="00C80B8F" w:rsidRPr="000C5050">
        <w:t xml:space="preserve"> </w:t>
      </w:r>
      <w:r w:rsidR="003A34A7" w:rsidRPr="000C5050">
        <w:tab/>
      </w:r>
    </w:p>
    <w:p w14:paraId="256B1222" w14:textId="3D39AD93" w:rsidR="00C80B8F" w:rsidRPr="000C5050" w:rsidRDefault="00C80B8F" w:rsidP="00AB35CD">
      <w:pPr>
        <w:pStyle w:val="Box"/>
      </w:pPr>
      <w:r w:rsidRPr="000C5050">
        <w:t>3.2</w:t>
      </w:r>
      <w:r w:rsidRPr="000C5050">
        <w:tab/>
        <w:t>Remove express reference to ‘sports turfs’ in category A.10</w:t>
      </w:r>
      <w:r w:rsidR="00FD0C75" w:rsidRPr="000C5050">
        <w:t>.</w:t>
      </w:r>
    </w:p>
    <w:p w14:paraId="40812158" w14:textId="257377C5" w:rsidR="00C80B8F" w:rsidRPr="000C5050" w:rsidRDefault="00C80B8F" w:rsidP="00AB35CD">
      <w:pPr>
        <w:pStyle w:val="Box"/>
      </w:pPr>
      <w:r w:rsidRPr="000C5050">
        <w:t>3.</w:t>
      </w:r>
      <w:r w:rsidR="004371EF" w:rsidRPr="000C5050">
        <w:t>3</w:t>
      </w:r>
      <w:r w:rsidRPr="000C5050">
        <w:tab/>
        <w:t xml:space="preserve">Remove express reference to ‘environmental discharges’ in category A.14 and ‘risk’ in categories H and </w:t>
      </w:r>
      <w:r w:rsidR="00FD0C75" w:rsidRPr="000C5050">
        <w:t>I.</w:t>
      </w:r>
    </w:p>
    <w:p w14:paraId="528A3A90" w14:textId="59C67816" w:rsidR="00B427D9" w:rsidRPr="000C5050" w:rsidRDefault="00B427D9" w:rsidP="00AB35CD">
      <w:pPr>
        <w:pStyle w:val="Box"/>
      </w:pPr>
      <w:r w:rsidRPr="000C5050">
        <w:t>3.</w:t>
      </w:r>
      <w:r w:rsidR="00C80B8F" w:rsidRPr="000C5050">
        <w:t>4</w:t>
      </w:r>
      <w:r w:rsidRPr="000C5050">
        <w:tab/>
        <w:t>Provide guidance on the HAIL, including the characteristics of activities and industries that have potential to contaminate soil.</w:t>
      </w:r>
    </w:p>
    <w:p w14:paraId="1BF58241" w14:textId="77777777" w:rsidR="002F5E89" w:rsidRPr="000C5050" w:rsidRDefault="002F5E89" w:rsidP="008A105E">
      <w:pPr>
        <w:pStyle w:val="Blueboxheading"/>
        <w:rPr>
          <w:rFonts w:eastAsiaTheme="majorEastAsia"/>
          <w:bCs/>
          <w:color w:val="183C47"/>
        </w:rPr>
      </w:pPr>
      <w:r w:rsidRPr="000C5050">
        <w:t>Amendments to the NESCS framework</w:t>
      </w:r>
    </w:p>
    <w:p w14:paraId="3492A638" w14:textId="2DF9D4B0" w:rsidR="00EC1A86" w:rsidRPr="000C5050" w:rsidRDefault="002F5E89" w:rsidP="002F5E89">
      <w:pPr>
        <w:pStyle w:val="Blueboxtext"/>
      </w:pPr>
      <w:r w:rsidRPr="000C5050">
        <w:t xml:space="preserve">All proposed amendments to the HAIL are </w:t>
      </w:r>
      <w:r w:rsidR="00F83583" w:rsidRPr="000C5050">
        <w:t>detailed</w:t>
      </w:r>
      <w:r w:rsidRPr="000C5050">
        <w:t xml:space="preserve"> in Appendix 3.</w:t>
      </w:r>
    </w:p>
    <w:p w14:paraId="78FF8B6E" w14:textId="64611E9B" w:rsidR="0035520D" w:rsidRPr="000C5050" w:rsidRDefault="001B1815" w:rsidP="003C1400">
      <w:pPr>
        <w:pStyle w:val="Heading3"/>
        <w:spacing w:after="60"/>
      </w:pPr>
      <w:r w:rsidRPr="000C5050">
        <w:t>Clarify the HAIL to increase consistency</w:t>
      </w:r>
    </w:p>
    <w:p w14:paraId="0DDD9FF8" w14:textId="0ABF1BA4" w:rsidR="00DC0F49" w:rsidRPr="000C5050" w:rsidRDefault="00B3135A" w:rsidP="00AB35CD">
      <w:pPr>
        <w:pStyle w:val="Box"/>
        <w:rPr>
          <w:bdr w:val="none" w:sz="0" w:space="0" w:color="auto" w:frame="1"/>
        </w:rPr>
      </w:pPr>
      <w:r w:rsidRPr="000C5050">
        <w:t>3</w:t>
      </w:r>
      <w:r w:rsidR="00DC0F49" w:rsidRPr="000C5050">
        <w:t xml:space="preserve">.1 </w:t>
      </w:r>
      <w:r w:rsidR="00DC0F49" w:rsidRPr="000C5050">
        <w:tab/>
        <w:t>Clarify the HAIL categories to increase consistency.</w:t>
      </w:r>
    </w:p>
    <w:p w14:paraId="7E94FA09" w14:textId="27599436" w:rsidR="0035520D" w:rsidRPr="000C5050" w:rsidRDefault="0035520D" w:rsidP="009E6841">
      <w:pPr>
        <w:pStyle w:val="BodyText"/>
        <w:spacing w:before="240"/>
      </w:pPr>
      <w:r w:rsidRPr="000C5050">
        <w:lastRenderedPageBreak/>
        <w:t>The Ministry proposes to re</w:t>
      </w:r>
      <w:r w:rsidR="001B1815" w:rsidRPr="000C5050">
        <w:t>order</w:t>
      </w:r>
      <w:r w:rsidR="00262ED1" w:rsidRPr="000C5050">
        <w:t xml:space="preserve"> the words</w:t>
      </w:r>
      <w:r w:rsidR="0018504B" w:rsidRPr="000C5050">
        <w:t xml:space="preserve"> in</w:t>
      </w:r>
      <w:r w:rsidRPr="000C5050">
        <w:t xml:space="preserve"> the majority of the HAIL</w:t>
      </w:r>
      <w:r w:rsidR="0018504B" w:rsidRPr="000C5050">
        <w:t xml:space="preserve"> categories</w:t>
      </w:r>
      <w:r w:rsidRPr="000C5050">
        <w:t>.</w:t>
      </w:r>
      <w:r w:rsidR="007D080D" w:rsidRPr="000C5050">
        <w:t xml:space="preserve"> </w:t>
      </w:r>
      <w:r w:rsidRPr="000C5050">
        <w:t>Although there are many changes to</w:t>
      </w:r>
      <w:r w:rsidR="00E37D23" w:rsidRPr="000C5050">
        <w:t> </w:t>
      </w:r>
      <w:r w:rsidRPr="000C5050">
        <w:t xml:space="preserve">the </w:t>
      </w:r>
      <w:r w:rsidR="001B1815" w:rsidRPr="000C5050">
        <w:t xml:space="preserve">order of </w:t>
      </w:r>
      <w:r w:rsidRPr="000C5050">
        <w:t>word</w:t>
      </w:r>
      <w:r w:rsidR="001B1815" w:rsidRPr="000C5050">
        <w:t>s</w:t>
      </w:r>
      <w:r w:rsidRPr="000C5050">
        <w:t>, most of these changes are minor. The proposed re</w:t>
      </w:r>
      <w:r w:rsidR="001B1815" w:rsidRPr="000C5050">
        <w:t>ordering</w:t>
      </w:r>
      <w:r w:rsidRPr="000C5050">
        <w:t xml:space="preserve"> avoids changing the</w:t>
      </w:r>
      <w:r w:rsidR="00CA1FF3" w:rsidRPr="000C5050">
        <w:t> </w:t>
      </w:r>
      <w:r w:rsidRPr="000C5050">
        <w:t>numbering of the HAIL categories, as this would result in significant costs and resources to</w:t>
      </w:r>
      <w:r w:rsidR="00CA1FF3" w:rsidRPr="000C5050">
        <w:t> </w:t>
      </w:r>
      <w:r w:rsidRPr="000C5050">
        <w:t xml:space="preserve">councils. </w:t>
      </w:r>
    </w:p>
    <w:p w14:paraId="5E1D0D7E" w14:textId="7BE5A98C" w:rsidR="0035520D" w:rsidRPr="000C5050" w:rsidRDefault="0035520D" w:rsidP="009E6841">
      <w:pPr>
        <w:pStyle w:val="BodyText"/>
        <w:spacing w:after="240"/>
      </w:pPr>
      <w:r w:rsidRPr="000C5050">
        <w:t>The minor reord</w:t>
      </w:r>
      <w:r w:rsidR="001B1815" w:rsidRPr="000C5050">
        <w:t>er</w:t>
      </w:r>
      <w:r w:rsidRPr="000C5050">
        <w:t>ing changes inten</w:t>
      </w:r>
      <w:r w:rsidR="00DE6BB5" w:rsidRPr="000C5050">
        <w:t xml:space="preserve">d </w:t>
      </w:r>
      <w:r w:rsidRPr="000C5050">
        <w:t xml:space="preserve">to </w:t>
      </w:r>
      <w:r w:rsidR="00DE6BB5" w:rsidRPr="000C5050">
        <w:t>clarify the types of activities that should be identified as HAIL</w:t>
      </w:r>
      <w:r w:rsidR="001B76D2" w:rsidRPr="000C5050">
        <w:t xml:space="preserve">. </w:t>
      </w:r>
      <w:r w:rsidRPr="000C5050">
        <w:t>An industry or activity heading has been added to most categories, to allow the reader to easily scan through before reading the more detailed description</w:t>
      </w:r>
      <w:r w:rsidR="004D17C7" w:rsidRPr="000C5050">
        <w:t xml:space="preserve">, as outlined </w:t>
      </w:r>
      <w:r w:rsidR="00170F8B" w:rsidRPr="000C5050">
        <w:t xml:space="preserve">in the examples </w:t>
      </w:r>
      <w:r w:rsidR="004D17C7" w:rsidRPr="000C5050">
        <w:t>below</w:t>
      </w:r>
      <w:r w:rsidRPr="000C5050">
        <w:t>. This will make the HAIL easier for councils to use when identifying HAIL sites.</w:t>
      </w:r>
      <w:r w:rsidR="007C08A3" w:rsidRPr="000C5050">
        <w:t xml:space="preserve"> </w:t>
      </w:r>
    </w:p>
    <w:tbl>
      <w:tblPr>
        <w:tblW w:w="85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8505"/>
      </w:tblGrid>
      <w:tr w:rsidR="00144430" w:rsidRPr="000C5050" w14:paraId="3EE7F728" w14:textId="77777777" w:rsidTr="005D02C3">
        <w:tc>
          <w:tcPr>
            <w:tcW w:w="8505" w:type="dxa"/>
            <w:tcBorders>
              <w:top w:val="single" w:sz="4" w:space="0" w:color="D5EBE5"/>
              <w:left w:val="single" w:sz="4" w:space="0" w:color="D5EBE5"/>
              <w:bottom w:val="single" w:sz="4" w:space="0" w:color="D5EBE5"/>
              <w:right w:val="single" w:sz="4" w:space="0" w:color="D5EBE5"/>
            </w:tcBorders>
            <w:shd w:val="clear" w:color="auto" w:fill="D5EBE5"/>
          </w:tcPr>
          <w:p w14:paraId="1B9B7750" w14:textId="4E989C67" w:rsidR="006D2380" w:rsidRPr="000C5050" w:rsidRDefault="006D2380" w:rsidP="006D2380">
            <w:pPr>
              <w:pStyle w:val="Greenheading-tables"/>
              <w:rPr>
                <w:b w:val="0"/>
              </w:rPr>
            </w:pPr>
            <w:r w:rsidRPr="000C5050">
              <w:rPr>
                <w:b w:val="0"/>
              </w:rPr>
              <w:t>Example: Category A</w:t>
            </w:r>
            <w:r w:rsidR="009D3A32" w:rsidRPr="000C5050">
              <w:rPr>
                <w:b w:val="0"/>
              </w:rPr>
              <w:t>.</w:t>
            </w:r>
            <w:r w:rsidRPr="000C5050">
              <w:rPr>
                <w:b w:val="0"/>
              </w:rPr>
              <w:t>11</w:t>
            </w:r>
          </w:p>
          <w:p w14:paraId="363CF80D" w14:textId="77777777" w:rsidR="00144430" w:rsidRPr="000C5050" w:rsidRDefault="00144430" w:rsidP="006D2380">
            <w:pPr>
              <w:pStyle w:val="Greentext-tables"/>
            </w:pPr>
            <w:r w:rsidRPr="000C5050">
              <w:t>Current wording: Pest control including the premises of commercial pest control operators or any authorities that carry out pest control where bulk storage</w:t>
            </w:r>
            <w:r w:rsidR="007D080D" w:rsidRPr="000C5050">
              <w:t xml:space="preserve"> </w:t>
            </w:r>
            <w:r w:rsidRPr="000C5050">
              <w:t>or preparation of pesticide occurs, including preparation of poisoned baits or filling or washing of tanks for pesticide application.</w:t>
            </w:r>
          </w:p>
          <w:p w14:paraId="5C04E935" w14:textId="77777777" w:rsidR="00144430" w:rsidRPr="000C5050" w:rsidRDefault="00144430" w:rsidP="001A1796">
            <w:pPr>
              <w:pStyle w:val="Greentext-tables"/>
              <w:rPr>
                <w:i/>
              </w:rPr>
            </w:pPr>
            <w:r w:rsidRPr="000C5050">
              <w:rPr>
                <w:i/>
              </w:rPr>
              <w:t>Proposed wording: Pest control: Premises where commercial pest control operators, or any authorities that carry out pest control, store or prepare pesticides for application.</w:t>
            </w:r>
          </w:p>
          <w:p w14:paraId="437371F7" w14:textId="77777777" w:rsidR="00144430" w:rsidRPr="000C5050" w:rsidRDefault="00144430" w:rsidP="006D2380">
            <w:pPr>
              <w:pStyle w:val="Greentext-tables"/>
              <w:spacing w:after="240"/>
            </w:pPr>
            <w:r w:rsidRPr="000C5050">
              <w:t>Explanation: The proposed wording simplifies the category, removing detailed descriptions of activities that are part of the wider activity (of preparing pesticides for application).</w:t>
            </w:r>
            <w:r w:rsidR="007D080D" w:rsidRPr="000C5050">
              <w:t xml:space="preserve"> </w:t>
            </w:r>
            <w:r w:rsidRPr="000C5050">
              <w:t>In some cases (not just in this category) users of the HAIL have interpreted the examples given as being the only activities covered by the HAIL.</w:t>
            </w:r>
          </w:p>
        </w:tc>
      </w:tr>
    </w:tbl>
    <w:p w14:paraId="2D3D0124" w14:textId="6AB7FA7A" w:rsidR="00A05647" w:rsidRPr="000C5050" w:rsidRDefault="004D17C7" w:rsidP="009E6841">
      <w:pPr>
        <w:pStyle w:val="BodyText"/>
        <w:spacing w:before="240" w:after="240"/>
      </w:pPr>
      <w:r w:rsidRPr="000C5050">
        <w:t>The changes will promote consistent implementation of the HAIL, and HAIL site identification nationwide, as outlined</w:t>
      </w:r>
      <w:r w:rsidR="00170F8B" w:rsidRPr="000C5050">
        <w:t xml:space="preserve"> in the examples</w:t>
      </w:r>
      <w:r w:rsidRPr="000C5050">
        <w:t xml:space="preserve"> below.</w:t>
      </w:r>
    </w:p>
    <w:tbl>
      <w:tblPr>
        <w:tblW w:w="8505" w:type="dxa"/>
        <w:tblInd w:w="113" w:type="dxa"/>
        <w:tblBorders>
          <w:top w:val="single" w:sz="4" w:space="0" w:color="D5EBE5"/>
          <w:left w:val="single" w:sz="4" w:space="0" w:color="D5EBE5"/>
          <w:bottom w:val="single" w:sz="4" w:space="0" w:color="D5EBE5"/>
          <w:right w:val="single" w:sz="4" w:space="0" w:color="D5EBE5"/>
        </w:tblBorders>
        <w:shd w:val="clear" w:color="auto" w:fill="D5EBE5"/>
        <w:tblLook w:val="04A0" w:firstRow="1" w:lastRow="0" w:firstColumn="1" w:lastColumn="0" w:noHBand="0" w:noVBand="1"/>
      </w:tblPr>
      <w:tblGrid>
        <w:gridCol w:w="8505"/>
      </w:tblGrid>
      <w:tr w:rsidR="00A05647" w:rsidRPr="000C5050" w14:paraId="4018FBEF" w14:textId="77777777" w:rsidTr="005D02C3">
        <w:trPr>
          <w:trHeight w:val="3731"/>
        </w:trPr>
        <w:tc>
          <w:tcPr>
            <w:tcW w:w="8505" w:type="dxa"/>
            <w:shd w:val="clear" w:color="auto" w:fill="D5EBE5"/>
          </w:tcPr>
          <w:p w14:paraId="18618285" w14:textId="77777777" w:rsidR="006D2380" w:rsidRPr="000C5050" w:rsidRDefault="006D2380" w:rsidP="006D2380">
            <w:pPr>
              <w:pStyle w:val="Greentext-tables"/>
              <w:spacing w:before="240"/>
            </w:pPr>
            <w:r w:rsidRPr="000C5050">
              <w:t>Example 1: In category A, the words manufacture, formulation and mixing have been adopted for consistency.</w:t>
            </w:r>
            <w:r w:rsidR="007D080D" w:rsidRPr="000C5050">
              <w:t xml:space="preserve"> </w:t>
            </w:r>
            <w:r w:rsidRPr="000C5050">
              <w:t xml:space="preserve">These words will be described in further guidance. </w:t>
            </w:r>
          </w:p>
          <w:p w14:paraId="6FD8E3E2" w14:textId="4FB50DC2" w:rsidR="006D2380" w:rsidRPr="000C5050" w:rsidRDefault="006D2380" w:rsidP="006D2380">
            <w:pPr>
              <w:pStyle w:val="Greentext-tables"/>
            </w:pPr>
            <w:r w:rsidRPr="000C5050">
              <w:t>Example 2: In category A</w:t>
            </w:r>
            <w:r w:rsidR="009D3A32" w:rsidRPr="000C5050">
              <w:t>.</w:t>
            </w:r>
            <w:r w:rsidRPr="000C5050">
              <w:t>15, terminology has been changed to make wording consistent with that used in the Agricultural Compounds and Veterinary Medicines Act 1997.</w:t>
            </w:r>
            <w:r w:rsidR="007D080D" w:rsidRPr="000C5050">
              <w:t xml:space="preserve"> </w:t>
            </w:r>
          </w:p>
          <w:p w14:paraId="6EAB3E73" w14:textId="6FDDAC5B" w:rsidR="006D2380" w:rsidRPr="000C5050" w:rsidRDefault="006D2380" w:rsidP="001A1796">
            <w:pPr>
              <w:pStyle w:val="Greentext-tables"/>
              <w:spacing w:after="0"/>
            </w:pPr>
            <w:r w:rsidRPr="000C5050">
              <w:t>Example 3: Category F</w:t>
            </w:r>
            <w:r w:rsidR="009D3A32" w:rsidRPr="000C5050">
              <w:t>.</w:t>
            </w:r>
            <w:r w:rsidRPr="000C5050">
              <w:t>1:</w:t>
            </w:r>
          </w:p>
          <w:p w14:paraId="3A87AA9A" w14:textId="2C114A14" w:rsidR="006D2380" w:rsidRPr="000C5050" w:rsidRDefault="006D2380" w:rsidP="006D2380">
            <w:pPr>
              <w:pStyle w:val="Greentext-tables"/>
            </w:pPr>
            <w:r w:rsidRPr="000C5050">
              <w:t xml:space="preserve">Current wording: Airports including fuel storage, workshops, </w:t>
            </w:r>
            <w:proofErr w:type="spellStart"/>
            <w:r w:rsidRPr="000C5050">
              <w:t>washdown</w:t>
            </w:r>
            <w:proofErr w:type="spellEnd"/>
            <w:r w:rsidRPr="000C5050">
              <w:t xml:space="preserve"> areas, or fire practice</w:t>
            </w:r>
            <w:r w:rsidR="007E1E3A" w:rsidRPr="000C5050">
              <w:t> </w:t>
            </w:r>
            <w:r w:rsidRPr="000C5050">
              <w:t>areas.</w:t>
            </w:r>
          </w:p>
          <w:p w14:paraId="01A8B449" w14:textId="620BAD91" w:rsidR="00A05647" w:rsidRPr="000C5050" w:rsidRDefault="006D2380" w:rsidP="0064723E">
            <w:pPr>
              <w:pStyle w:val="Greentext-tables"/>
            </w:pPr>
            <w:r w:rsidRPr="000C5050">
              <w:rPr>
                <w:i/>
              </w:rPr>
              <w:t>Proposed wording: Airports: fuel storage, workshops,</w:t>
            </w:r>
            <w:r w:rsidR="00A80D3E">
              <w:rPr>
                <w:i/>
              </w:rPr>
              <w:t xml:space="preserve"> </w:t>
            </w:r>
            <w:proofErr w:type="spellStart"/>
            <w:r w:rsidRPr="000C5050">
              <w:rPr>
                <w:i/>
              </w:rPr>
              <w:t>washdown</w:t>
            </w:r>
            <w:proofErr w:type="spellEnd"/>
            <w:r w:rsidRPr="000C5050">
              <w:rPr>
                <w:i/>
              </w:rPr>
              <w:t xml:space="preserve"> areas or fire practice</w:t>
            </w:r>
            <w:r w:rsidR="0064723E" w:rsidRPr="000C5050">
              <w:rPr>
                <w:i/>
              </w:rPr>
              <w:t xml:space="preserve"> areas</w:t>
            </w:r>
            <w:r w:rsidRPr="000C5050">
              <w:rPr>
                <w:i/>
              </w:rPr>
              <w:t xml:space="preserve">. </w:t>
            </w:r>
          </w:p>
        </w:tc>
      </w:tr>
      <w:tr w:rsidR="001121EB" w:rsidRPr="000C5050" w14:paraId="3C5B8A28" w14:textId="77777777" w:rsidTr="005D02C3">
        <w:trPr>
          <w:trHeight w:val="401"/>
        </w:trPr>
        <w:tc>
          <w:tcPr>
            <w:tcW w:w="8505" w:type="dxa"/>
            <w:shd w:val="clear" w:color="auto" w:fill="D5EBE5"/>
          </w:tcPr>
          <w:p w14:paraId="1985C822" w14:textId="77777777" w:rsidR="001121EB" w:rsidRPr="000C5050" w:rsidRDefault="001121EB" w:rsidP="009E6841">
            <w:pPr>
              <w:pStyle w:val="Greentext-tables"/>
              <w:keepNext/>
              <w:spacing w:before="240" w:after="240"/>
            </w:pPr>
            <w:r w:rsidRPr="000C5050">
              <w:lastRenderedPageBreak/>
              <w:t xml:space="preserve">Explanation: In some cases, whole airports have been listed as HAIL, when in reality it is only small areas of the airport where the listed activities occur that pose a risk. The wording has been changed so that there is an industry title (in this case Airports), followed by an explanation of the specific areas considered to be HAIL. It is proposed that this general format be adopted throughout the HAIL document. </w:t>
            </w:r>
          </w:p>
        </w:tc>
      </w:tr>
    </w:tbl>
    <w:p w14:paraId="35057B2B" w14:textId="77777777" w:rsidR="007819B4" w:rsidRPr="000C5050" w:rsidRDefault="007819B4" w:rsidP="003C1400">
      <w:pPr>
        <w:pStyle w:val="Heading3"/>
        <w:spacing w:before="480" w:after="60"/>
      </w:pPr>
      <w:r w:rsidRPr="000C5050">
        <w:t>Substantial changes</w:t>
      </w:r>
    </w:p>
    <w:p w14:paraId="162ED0C6" w14:textId="77777777" w:rsidR="00B3135A" w:rsidRPr="000C5050" w:rsidRDefault="00B3135A" w:rsidP="00AB35CD">
      <w:pPr>
        <w:pStyle w:val="Box"/>
      </w:pPr>
      <w:r w:rsidRPr="000C5050">
        <w:t>3.2</w:t>
      </w:r>
      <w:r w:rsidRPr="000C5050">
        <w:tab/>
        <w:t>Remove express reference to ‘sports turfs’ in category A.10.</w:t>
      </w:r>
    </w:p>
    <w:p w14:paraId="38DD1751" w14:textId="5263696B" w:rsidR="00DC0F49" w:rsidRPr="000C5050" w:rsidRDefault="004371EF" w:rsidP="00AB35CD">
      <w:pPr>
        <w:pStyle w:val="Box"/>
      </w:pPr>
      <w:r w:rsidRPr="000C5050">
        <w:t>3.3</w:t>
      </w:r>
      <w:r w:rsidR="00B3135A" w:rsidRPr="000C5050">
        <w:tab/>
        <w:t>Remove express reference to ‘environmental discharges’ in category A.14 and ‘risk’ in categories H and I.</w:t>
      </w:r>
    </w:p>
    <w:p w14:paraId="620113B1" w14:textId="3BE9F660" w:rsidR="006B297A" w:rsidRPr="000C5050" w:rsidRDefault="007819B4" w:rsidP="003C1400">
      <w:pPr>
        <w:pStyle w:val="BodyText"/>
        <w:spacing w:before="240" w:after="240"/>
      </w:pPr>
      <w:r w:rsidRPr="000C5050">
        <w:t>Some other changes to the HAIL are more substantial. These changes are intended to remove ambiguity and help clarify the types of activities and industries that should be identified as HAIL.</w:t>
      </w:r>
    </w:p>
    <w:tbl>
      <w:tblPr>
        <w:tblW w:w="8505" w:type="dxa"/>
        <w:tblInd w:w="113" w:type="dxa"/>
        <w:tblBorders>
          <w:top w:val="single" w:sz="4" w:space="0" w:color="D5EBE5"/>
          <w:left w:val="single" w:sz="4" w:space="0" w:color="D5EBE5"/>
          <w:bottom w:val="single" w:sz="4" w:space="0" w:color="D5EBE5"/>
          <w:right w:val="single" w:sz="4" w:space="0" w:color="D5EBE5"/>
          <w:insideH w:val="single" w:sz="4" w:space="0" w:color="D5EBE5"/>
          <w:insideV w:val="single" w:sz="4" w:space="0" w:color="D5EBE5"/>
        </w:tblBorders>
        <w:shd w:val="clear" w:color="auto" w:fill="D5EBE5"/>
        <w:tblLook w:val="04A0" w:firstRow="1" w:lastRow="0" w:firstColumn="1" w:lastColumn="0" w:noHBand="0" w:noVBand="1"/>
      </w:tblPr>
      <w:tblGrid>
        <w:gridCol w:w="8505"/>
      </w:tblGrid>
      <w:tr w:rsidR="00CA1FF3" w:rsidRPr="000C5050" w14:paraId="60BDA49E" w14:textId="77777777" w:rsidTr="005D02C3">
        <w:tc>
          <w:tcPr>
            <w:tcW w:w="8505" w:type="dxa"/>
            <w:shd w:val="clear" w:color="auto" w:fill="D5EBE5"/>
          </w:tcPr>
          <w:bookmarkEnd w:id="0"/>
          <w:bookmarkEnd w:id="1"/>
          <w:p w14:paraId="02FB177A" w14:textId="56142E61" w:rsidR="006B297A" w:rsidRPr="000C5050" w:rsidRDefault="006B297A" w:rsidP="003C1400">
            <w:pPr>
              <w:pStyle w:val="Greentext-tables"/>
              <w:spacing w:before="240" w:after="0"/>
            </w:pPr>
            <w:r w:rsidRPr="000C5050">
              <w:rPr>
                <w:b/>
              </w:rPr>
              <w:t>Remove express reference to sports turfs</w:t>
            </w:r>
          </w:p>
          <w:p w14:paraId="446E64E2" w14:textId="262A19F1" w:rsidR="001121EB" w:rsidRPr="000C5050" w:rsidRDefault="001121EB" w:rsidP="001121EB">
            <w:pPr>
              <w:pStyle w:val="Greentext-tables"/>
            </w:pPr>
            <w:r w:rsidRPr="000C5050">
              <w:t>Current wording</w:t>
            </w:r>
            <w:r w:rsidR="009D3A32" w:rsidRPr="000C5050">
              <w:t xml:space="preserve"> of A.10</w:t>
            </w:r>
            <w:r w:rsidRPr="000C5050">
              <w:t xml:space="preserve">: Persistent pesticide bulk storage or use including sport turfs, market gardens, orchards, glass houses or spray sheds. </w:t>
            </w:r>
          </w:p>
          <w:p w14:paraId="5A20FC81" w14:textId="77777777" w:rsidR="001121EB" w:rsidRPr="000C5050" w:rsidRDefault="001121EB" w:rsidP="001121EB">
            <w:pPr>
              <w:pStyle w:val="Greentext-tables"/>
              <w:rPr>
                <w:i/>
              </w:rPr>
            </w:pPr>
            <w:r w:rsidRPr="000C5050">
              <w:rPr>
                <w:i/>
              </w:rPr>
              <w:t xml:space="preserve">Proposed wording: Use and bulk storage of persistent pesticides, including in market gardens, orchards, glass houses and spray sheds. </w:t>
            </w:r>
          </w:p>
          <w:p w14:paraId="1FC63FC8" w14:textId="77777777" w:rsidR="00CA1FF3" w:rsidRPr="000C5050" w:rsidRDefault="001121EB" w:rsidP="003C1400">
            <w:pPr>
              <w:pStyle w:val="Greentext-tables"/>
            </w:pPr>
            <w:r w:rsidRPr="000C5050">
              <w:t>Explanation:</w:t>
            </w:r>
            <w:r w:rsidR="007D080D" w:rsidRPr="000C5050">
              <w:t xml:space="preserve"> </w:t>
            </w:r>
            <w:r w:rsidRPr="000C5050">
              <w:t xml:space="preserve">Category A10 of HAIL is intended to capture locations where persistent pesticides were handled and regularly used. Sports turfs were originally included in the HAIL to target persistent pesticide use on bowling greens, golf greens and other intensively managed turfs. In practice, many </w:t>
            </w:r>
            <w:proofErr w:type="gramStart"/>
            <w:r w:rsidRPr="000C5050">
              <w:t>councils</w:t>
            </w:r>
            <w:proofErr w:type="gramEnd"/>
            <w:r w:rsidRPr="000C5050">
              <w:t xml:space="preserve"> are identifying a much wider range of playing fields under this classification, including school playing fields and sports fields that were not intended to be classified as HAIL. The Ministry proposes to remove sports fields from the named examples in this category, and provide an explanation and advice in the non-regulatory guidance, so that playing fields that have not been intensively managed are excluded from HAIL classification.</w:t>
            </w:r>
            <w:r w:rsidR="007D080D" w:rsidRPr="000C5050">
              <w:t xml:space="preserve"> </w:t>
            </w:r>
            <w:r w:rsidRPr="000C5050">
              <w:t>On this particular issue, the Ministry is seeking feedback and evidence as to whether this exclusion would pose an unacceptable risk.</w:t>
            </w:r>
          </w:p>
          <w:p w14:paraId="1389A3F7" w14:textId="7057062C" w:rsidR="006B297A" w:rsidRPr="000C5050" w:rsidRDefault="006B297A" w:rsidP="007134A5">
            <w:pPr>
              <w:pStyle w:val="Greentext-tables"/>
              <w:spacing w:before="160"/>
              <w:rPr>
                <w:b/>
              </w:rPr>
            </w:pPr>
            <w:r w:rsidRPr="000C5050">
              <w:rPr>
                <w:b/>
              </w:rPr>
              <w:t>Remove express reference to environment discharges and risk</w:t>
            </w:r>
          </w:p>
          <w:p w14:paraId="199DA582" w14:textId="77777777" w:rsidR="004371EF" w:rsidRPr="000C5050" w:rsidRDefault="006B297A" w:rsidP="003C1400">
            <w:pPr>
              <w:pStyle w:val="Greentext-tables"/>
              <w:spacing w:before="0"/>
            </w:pPr>
            <w:r w:rsidRPr="000C5050">
              <w:t xml:space="preserve">Three categories that specifically referred to environment discharges (A14) and risk (H and I) have been modified to remove these words. </w:t>
            </w:r>
          </w:p>
          <w:p w14:paraId="3E83C8DD" w14:textId="56F0B1D0" w:rsidR="006B297A" w:rsidRPr="000C5050" w:rsidRDefault="004371EF" w:rsidP="003C1400">
            <w:pPr>
              <w:pStyle w:val="Greentext-tables"/>
              <w:spacing w:after="240"/>
            </w:pPr>
            <w:r w:rsidRPr="000C5050">
              <w:t xml:space="preserve">Explanation: </w:t>
            </w:r>
            <w:r w:rsidR="006B297A" w:rsidRPr="000C5050">
              <w:t xml:space="preserve">The words have been removed because all activities on the HAIL have potential for environmental discharges, and all can pose a risk to human health and/or the environment. </w:t>
            </w:r>
          </w:p>
        </w:tc>
      </w:tr>
    </w:tbl>
    <w:p w14:paraId="66613589" w14:textId="77777777" w:rsidR="00CA1FF3" w:rsidRPr="000C5050" w:rsidRDefault="00CA1FF3" w:rsidP="00CA1FF3">
      <w:pPr>
        <w:spacing w:before="0" w:after="0" w:line="240" w:lineRule="auto"/>
      </w:pPr>
    </w:p>
    <w:p w14:paraId="3A4FB770" w14:textId="73D83765" w:rsidR="00A27B07" w:rsidRPr="000C5050" w:rsidRDefault="00A27B07" w:rsidP="00F25DC9">
      <w:pPr>
        <w:pStyle w:val="BodyText"/>
        <w:keepNext/>
      </w:pPr>
      <w:r w:rsidRPr="000C5050">
        <w:t>A full list of the proposed changes and a discussion of these is provided in Appendix 3</w:t>
      </w:r>
      <w:r w:rsidR="00E66FA2" w:rsidRPr="000C5050">
        <w:t>.</w:t>
      </w:r>
    </w:p>
    <w:p w14:paraId="1F3D2865" w14:textId="77777777" w:rsidR="00A27B07" w:rsidRPr="000C5050" w:rsidRDefault="00A27B07" w:rsidP="00A27B07">
      <w:pPr>
        <w:pStyle w:val="BodyText"/>
      </w:pPr>
      <w:r w:rsidRPr="000C5050">
        <w:t xml:space="preserve">The Ministry is seeking feedback on the proposed changes, and any opportunities to further clarify activities and industries captured by the HAIL. </w:t>
      </w:r>
    </w:p>
    <w:p w14:paraId="084362F7" w14:textId="77777777" w:rsidR="00A27B07" w:rsidRPr="000C5050" w:rsidRDefault="00A27B07" w:rsidP="00F25DC9">
      <w:pPr>
        <w:pStyle w:val="Heading3"/>
        <w:spacing w:after="60"/>
      </w:pPr>
      <w:r w:rsidRPr="000C5050">
        <w:lastRenderedPageBreak/>
        <w:t>Guidance on the HAIL</w:t>
      </w:r>
    </w:p>
    <w:p w14:paraId="6C8279EC" w14:textId="77777777" w:rsidR="004371EF" w:rsidRPr="000C5050" w:rsidRDefault="004371EF" w:rsidP="00AB35CD">
      <w:pPr>
        <w:pStyle w:val="Box"/>
      </w:pPr>
      <w:r w:rsidRPr="000C5050">
        <w:t>3.4</w:t>
      </w:r>
      <w:r w:rsidRPr="000C5050">
        <w:tab/>
        <w:t>Provide guidance on the HAIL, including the characteristics of activities and industries that have potential to contaminate soil.</w:t>
      </w:r>
    </w:p>
    <w:p w14:paraId="1C386105" w14:textId="77777777" w:rsidR="00A27B07" w:rsidRPr="000C5050" w:rsidRDefault="00A27B07" w:rsidP="00F25DC9">
      <w:pPr>
        <w:pStyle w:val="BodyText"/>
        <w:spacing w:before="240"/>
      </w:pPr>
      <w:r w:rsidRPr="000C5050">
        <w:t>The Ministry proposes to provide guidance on the HAIL, including the characteristics of activities and industries that have potential to result in soil contamination, to assist councils to identify HAIL sites. Guidance could include information on (amongst other things):</w:t>
      </w:r>
    </w:p>
    <w:p w14:paraId="39EEB4A4" w14:textId="77777777" w:rsidR="00A27B07" w:rsidRPr="000C5050" w:rsidRDefault="00A27B07" w:rsidP="00A27B07">
      <w:pPr>
        <w:pStyle w:val="Bullet"/>
      </w:pPr>
      <w:r w:rsidRPr="000C5050">
        <w:t xml:space="preserve">size, scale and volumes that should be considered to be </w:t>
      </w:r>
      <w:r w:rsidR="0081630C" w:rsidRPr="000C5050">
        <w:t>‘</w:t>
      </w:r>
      <w:r w:rsidRPr="000C5050">
        <w:t>bulk storage and use</w:t>
      </w:r>
      <w:r w:rsidR="0081630C" w:rsidRPr="000C5050">
        <w:t>’</w:t>
      </w:r>
      <w:r w:rsidRPr="000C5050">
        <w:t>, which is referred to in a number of HAIL categories</w:t>
      </w:r>
      <w:r w:rsidR="007D080D" w:rsidRPr="000C5050">
        <w:t xml:space="preserve"> </w:t>
      </w:r>
    </w:p>
    <w:p w14:paraId="1594B76C" w14:textId="77777777" w:rsidR="00A27B07" w:rsidRPr="000C5050" w:rsidRDefault="00A27B07" w:rsidP="00A27B07">
      <w:pPr>
        <w:pStyle w:val="Bullet"/>
      </w:pPr>
      <w:r w:rsidRPr="000C5050">
        <w:t>descriptions of particular activities and industries that could lead to soil contamination</w:t>
      </w:r>
    </w:p>
    <w:p w14:paraId="054D546C" w14:textId="77777777" w:rsidR="00A27B07" w:rsidRPr="000C5050" w:rsidRDefault="00A27B07" w:rsidP="00A27B07">
      <w:pPr>
        <w:pStyle w:val="Bullet"/>
      </w:pPr>
      <w:proofErr w:type="gramStart"/>
      <w:r w:rsidRPr="000C5050">
        <w:t>types</w:t>
      </w:r>
      <w:proofErr w:type="gramEnd"/>
      <w:r w:rsidRPr="000C5050">
        <w:t xml:space="preserve"> of hazardous substances associated with an industry or activity periods of time when hazardous substances were associated with an activity or industry. </w:t>
      </w:r>
    </w:p>
    <w:p w14:paraId="02AC70D4" w14:textId="77777777" w:rsidR="007819B4" w:rsidRPr="000C5050" w:rsidRDefault="00A27B07" w:rsidP="00A27B07">
      <w:pPr>
        <w:pStyle w:val="BodyText"/>
      </w:pPr>
      <w:r w:rsidRPr="000C5050">
        <w:t>The Ministry is seeking evidence on the contamination profiles of HAIL sites through this consultation process to help inform guidance. We are also interested in your views on whether this guidance should be regulatory (incorporated into the NESCS by reference) or non-regulatory (not incorporated by reference).</w:t>
      </w:r>
      <w:r w:rsidRPr="000C5050">
        <w:rPr>
          <w:rStyle w:val="FootnoteReference"/>
          <w:rFonts w:cs="Arial"/>
          <w:szCs w:val="20"/>
        </w:rPr>
        <w:footnoteReference w:id="2"/>
      </w:r>
    </w:p>
    <w:p w14:paraId="2C713455" w14:textId="77777777" w:rsidR="00A27B07" w:rsidRPr="000C5050" w:rsidRDefault="00A27B07" w:rsidP="00A27B07">
      <w:pPr>
        <w:pStyle w:val="Heading3"/>
      </w:pPr>
      <w:r w:rsidRPr="000C5050">
        <w:t>Anticipated impacts of change</w:t>
      </w:r>
    </w:p>
    <w:p w14:paraId="0DF16704" w14:textId="77777777" w:rsidR="00A27B07" w:rsidRPr="000C5050" w:rsidRDefault="00A27B07" w:rsidP="00A27B07">
      <w:pPr>
        <w:pStyle w:val="BodyText"/>
      </w:pPr>
      <w:r w:rsidRPr="000C5050">
        <w:t>It is anticipated that rewording of the HAIL, combined with the provision of HAIL guidance, will</w:t>
      </w:r>
      <w:r w:rsidR="00641FEC" w:rsidRPr="000C5050">
        <w:t> </w:t>
      </w:r>
      <w:r w:rsidRPr="000C5050">
        <w:t>result in more consistent interpretation and application of the HAIL and HAIL site identification.</w:t>
      </w:r>
      <w:r w:rsidR="007D080D" w:rsidRPr="000C5050">
        <w:t xml:space="preserve"> </w:t>
      </w:r>
    </w:p>
    <w:p w14:paraId="0109CF89" w14:textId="2A3E5294" w:rsidR="00A27B07" w:rsidRPr="000C5050" w:rsidRDefault="00A27B07" w:rsidP="00A27B07">
      <w:pPr>
        <w:pStyle w:val="BodyText"/>
      </w:pPr>
      <w:r w:rsidRPr="000C5050">
        <w:t>The guidance and the proposed new risk-based test (described in Proposal 4.1) will help councils and landowners to make decisions about whether land is HAIL land, and if the NESCS should be applied to it.</w:t>
      </w:r>
      <w:r w:rsidR="007D080D" w:rsidRPr="000C5050">
        <w:t xml:space="preserve"> </w:t>
      </w:r>
      <w:r w:rsidRPr="000C5050">
        <w:t xml:space="preserve">It is estimated that the impacts of these changes could be to reduce the number of HAIL sites by 5–10 per cent, or </w:t>
      </w:r>
      <w:r w:rsidR="008824FA" w:rsidRPr="000C5050">
        <w:t>5</w:t>
      </w:r>
      <w:r w:rsidRPr="000C5050">
        <w:t>,</w:t>
      </w:r>
      <w:r w:rsidR="008824FA" w:rsidRPr="000C5050">
        <w:t>500</w:t>
      </w:r>
      <w:r w:rsidRPr="000C5050">
        <w:t>–</w:t>
      </w:r>
      <w:r w:rsidR="008824FA" w:rsidRPr="000C5050">
        <w:t>11</w:t>
      </w:r>
      <w:r w:rsidRPr="000C5050">
        <w:t xml:space="preserve">,000 HAIL sites, over a 20-year period. Overall, there may be a reduction in costs and delays during development for some landowners or developers, because they do not have to comply with the NESCS. </w:t>
      </w:r>
    </w:p>
    <w:p w14:paraId="706B6E64" w14:textId="77777777" w:rsidR="00A27B07" w:rsidRPr="000C5050" w:rsidRDefault="00A27B07" w:rsidP="00A27B07">
      <w:pPr>
        <w:pStyle w:val="BodyText"/>
      </w:pPr>
      <w:r w:rsidRPr="000C5050">
        <w:t>The amendments have not involved any change to the numbering of the HAIL classifications, as this would result in significant costs and resources to councils, as they have existing databases based on the current classifications.</w:t>
      </w:r>
    </w:p>
    <w:p w14:paraId="6476F84D" w14:textId="3E397E4E" w:rsidR="00A27B07" w:rsidRPr="000C5050" w:rsidRDefault="00A27B07" w:rsidP="00A27B07">
      <w:pPr>
        <w:pStyle w:val="Heading2"/>
      </w:pPr>
      <w:bookmarkStart w:id="14" w:name="_Toc460081239"/>
      <w:r w:rsidRPr="000C5050">
        <w:t>Questions</w:t>
      </w:r>
      <w:bookmarkEnd w:id="14"/>
    </w:p>
    <w:p w14:paraId="43207EA9" w14:textId="77777777" w:rsidR="00A27B07" w:rsidRPr="000C5050" w:rsidRDefault="00A27B07" w:rsidP="007A7125">
      <w:pPr>
        <w:pStyle w:val="Bodytextnumbered"/>
        <w:keepNext/>
        <w:numPr>
          <w:ilvl w:val="0"/>
          <w:numId w:val="30"/>
        </w:numPr>
        <w:spacing w:before="120"/>
      </w:pPr>
      <w:r w:rsidRPr="000C5050">
        <w:t>Do you agree with the overall approach to amending the HAIL? Why, or why not?</w:t>
      </w:r>
    </w:p>
    <w:p w14:paraId="50A7E752" w14:textId="56FC45D4" w:rsidR="00A27B07" w:rsidRPr="000C5050" w:rsidRDefault="00A27B07" w:rsidP="00AC0342">
      <w:pPr>
        <w:pStyle w:val="Bodytextnumbered"/>
        <w:numPr>
          <w:ilvl w:val="0"/>
          <w:numId w:val="30"/>
        </w:numPr>
      </w:pPr>
      <w:r w:rsidRPr="000C5050">
        <w:t>Do you agree or disagree with any of the amendments to the HAIL provided in Appendix</w:t>
      </w:r>
      <w:r w:rsidR="005D02C3" w:rsidRPr="000C5050">
        <w:t> </w:t>
      </w:r>
      <w:r w:rsidRPr="000C5050">
        <w:t>3? Why, or why not?</w:t>
      </w:r>
      <w:r w:rsidR="00B318A1" w:rsidRPr="000C5050">
        <w:t xml:space="preserve"> Where possible, please provide quantitative evidence for</w:t>
      </w:r>
      <w:r w:rsidR="007A7125" w:rsidRPr="000C5050">
        <w:t> </w:t>
      </w:r>
      <w:r w:rsidR="00B318A1" w:rsidRPr="000C5050">
        <w:t>or against any of the proposed changes (</w:t>
      </w:r>
      <w:proofErr w:type="spellStart"/>
      <w:r w:rsidR="00B318A1" w:rsidRPr="000C5050">
        <w:t>ie</w:t>
      </w:r>
      <w:proofErr w:type="spellEnd"/>
      <w:r w:rsidR="0063064D">
        <w:t>,</w:t>
      </w:r>
      <w:r w:rsidR="00B318A1" w:rsidRPr="000C5050">
        <w:t xml:space="preserve"> soil testing of playing fields)</w:t>
      </w:r>
      <w:r w:rsidR="00E21D5F" w:rsidRPr="000C5050">
        <w:t>.</w:t>
      </w:r>
    </w:p>
    <w:p w14:paraId="54620B08" w14:textId="02DC15F4" w:rsidR="00A27B07" w:rsidRPr="000C5050" w:rsidRDefault="00A27B07" w:rsidP="00AC0342">
      <w:pPr>
        <w:pStyle w:val="Bodytextnumbered"/>
        <w:numPr>
          <w:ilvl w:val="0"/>
          <w:numId w:val="30"/>
        </w:numPr>
      </w:pPr>
      <w:r w:rsidRPr="000C5050">
        <w:t>Are there any further amendment(s) to the HAIL that should be made? If so, what and why?</w:t>
      </w:r>
      <w:r w:rsidR="007D080D" w:rsidRPr="000C5050">
        <w:t xml:space="preserve"> </w:t>
      </w:r>
      <w:r w:rsidR="00B318A1" w:rsidRPr="000C5050">
        <w:t>Where possible, pleas</w:t>
      </w:r>
      <w:r w:rsidR="00E21D5F" w:rsidRPr="000C5050">
        <w:t>e provide quantitative evidence.</w:t>
      </w:r>
    </w:p>
    <w:p w14:paraId="13E94304" w14:textId="609EA06B" w:rsidR="00A27B07" w:rsidRPr="000C5050" w:rsidRDefault="00A27B07" w:rsidP="003827C3">
      <w:pPr>
        <w:pStyle w:val="Bodytextnumbered"/>
        <w:numPr>
          <w:ilvl w:val="0"/>
          <w:numId w:val="30"/>
        </w:numPr>
      </w:pPr>
      <w:r w:rsidRPr="000C5050">
        <w:lastRenderedPageBreak/>
        <w:t xml:space="preserve">What kind of information would you like to see included in the guidance? </w:t>
      </w:r>
      <w:r w:rsidR="00B318A1" w:rsidRPr="000C5050">
        <w:t>Where possible, please provide information that would support the development of the guidance.</w:t>
      </w:r>
    </w:p>
    <w:p w14:paraId="55308D32" w14:textId="77777777" w:rsidR="00E21D5F" w:rsidRPr="000C5050" w:rsidRDefault="00A27B07" w:rsidP="003827C3">
      <w:pPr>
        <w:pStyle w:val="Bodytextnumbered"/>
        <w:numPr>
          <w:ilvl w:val="0"/>
          <w:numId w:val="30"/>
        </w:numPr>
      </w:pPr>
      <w:r w:rsidRPr="000C5050">
        <w:t xml:space="preserve">What do you expect to be the impacts of the proposed amendment(s) (to landowners, territorial authorities, practitioners, the general public)? </w:t>
      </w:r>
      <w:r w:rsidR="00B318A1" w:rsidRPr="000C5050">
        <w:t>Where possible, please provide quantitative evidence.</w:t>
      </w:r>
    </w:p>
    <w:p w14:paraId="670A3EB4" w14:textId="66A7576C" w:rsidR="00A27B07" w:rsidRPr="000C5050" w:rsidRDefault="00E21D5F" w:rsidP="003827C3">
      <w:r w:rsidRPr="000C5050">
        <w:t>We also seek specific feedback, particularly from territorial authorities and practitioners, on:</w:t>
      </w:r>
    </w:p>
    <w:p w14:paraId="0F14630C" w14:textId="745E6C97" w:rsidR="00A27B07" w:rsidRPr="000C5050" w:rsidRDefault="00E21D5F" w:rsidP="003827C3">
      <w:pPr>
        <w:pStyle w:val="Bodytextnumbered"/>
        <w:numPr>
          <w:ilvl w:val="0"/>
          <w:numId w:val="30"/>
        </w:numPr>
      </w:pPr>
      <w:r w:rsidRPr="000C5050">
        <w:t xml:space="preserve">Could there be </w:t>
      </w:r>
      <w:r w:rsidR="00A27B07" w:rsidRPr="000C5050">
        <w:t>unintended outcomes from the proposed amendment(s)? If so, what are they and how could they be</w:t>
      </w:r>
      <w:r w:rsidRPr="000C5050">
        <w:t xml:space="preserve"> avoided</w:t>
      </w:r>
      <w:r w:rsidR="00A27B07" w:rsidRPr="000C5050">
        <w:t xml:space="preserve">? </w:t>
      </w:r>
      <w:r w:rsidRPr="000C5050">
        <w:t>Where possible, please provide quantitative evidence.</w:t>
      </w:r>
    </w:p>
    <w:p w14:paraId="14D0D134" w14:textId="77777777" w:rsidR="007A7125" w:rsidRPr="000C5050" w:rsidRDefault="00A27B07" w:rsidP="003827C3">
      <w:pPr>
        <w:pStyle w:val="Bodytextnumbered"/>
        <w:numPr>
          <w:ilvl w:val="0"/>
          <w:numId w:val="30"/>
        </w:numPr>
      </w:pPr>
      <w:r w:rsidRPr="000C5050">
        <w:t xml:space="preserve">What implementation support, if any, would be required to ensure effective implementation of the </w:t>
      </w:r>
      <w:r w:rsidR="0060694C" w:rsidRPr="000C5050">
        <w:t>HAIL</w:t>
      </w:r>
      <w:r w:rsidRPr="000C5050">
        <w:t>?</w:t>
      </w:r>
    </w:p>
    <w:p w14:paraId="6C0C17A1" w14:textId="77777777" w:rsidR="007A7125" w:rsidRPr="000C5050" w:rsidRDefault="007A7125" w:rsidP="007A7125">
      <w:pPr>
        <w:pStyle w:val="BodyText"/>
      </w:pPr>
    </w:p>
    <w:p w14:paraId="5ABC5AE0" w14:textId="29F661A1" w:rsidR="00735BCC" w:rsidRPr="000C5050" w:rsidRDefault="00735BCC" w:rsidP="007A7125">
      <w:pPr>
        <w:pStyle w:val="BodyText"/>
      </w:pPr>
      <w:r w:rsidRPr="000C5050">
        <w:br w:type="page"/>
      </w:r>
    </w:p>
    <w:p w14:paraId="06F71C52" w14:textId="77777777" w:rsidR="00735BCC" w:rsidRPr="000C5050" w:rsidRDefault="00735BCC" w:rsidP="00735BCC">
      <w:pPr>
        <w:pStyle w:val="Heading1"/>
      </w:pPr>
      <w:bookmarkStart w:id="15" w:name="_Toc460081240"/>
      <w:r w:rsidRPr="000C5050">
        <w:lastRenderedPageBreak/>
        <w:t xml:space="preserve">4 </w:t>
      </w:r>
      <w:r w:rsidRPr="000C5050">
        <w:tab/>
        <w:t>Does the NESCS apply to my land?</w:t>
      </w:r>
      <w:bookmarkEnd w:id="15"/>
    </w:p>
    <w:p w14:paraId="51061A34" w14:textId="77777777" w:rsidR="00735BCC" w:rsidRPr="000C5050" w:rsidRDefault="00735BCC" w:rsidP="00735BCC">
      <w:pPr>
        <w:pStyle w:val="Heading2"/>
        <w:spacing w:before="240"/>
      </w:pPr>
      <w:bookmarkStart w:id="16" w:name="_Toc460081241"/>
      <w:r w:rsidRPr="000C5050">
        <w:t>Introducing a risk-based approach</w:t>
      </w:r>
      <w:bookmarkEnd w:id="16"/>
    </w:p>
    <w:p w14:paraId="7228215E" w14:textId="11C62695" w:rsidR="00735BCC" w:rsidRPr="000C5050" w:rsidRDefault="00735BCC" w:rsidP="00735BCC">
      <w:pPr>
        <w:pStyle w:val="BodyText"/>
      </w:pPr>
      <w:r w:rsidRPr="000C5050">
        <w:t xml:space="preserve">The National Environmental Standard for Assessing and Managing Contaminants in Soil to Protect Human Health (NESCS) applies to land if it is determined that a Hazardous Activities and Industries List (HAIL) activity has been, is, or is more likely than not to have been undertaken on it. Currently the NESCS does not allow for any judgement to be made about whether </w:t>
      </w:r>
      <w:r w:rsidR="007163D7" w:rsidRPr="000C5050">
        <w:t>the</w:t>
      </w:r>
      <w:r w:rsidRPr="000C5050">
        <w:t xml:space="preserve"> HAIL activity or industry </w:t>
      </w:r>
      <w:r w:rsidR="007163D7" w:rsidRPr="000C5050">
        <w:t xml:space="preserve">on that land </w:t>
      </w:r>
      <w:r w:rsidRPr="000C5050">
        <w:t>is likely to</w:t>
      </w:r>
      <w:r w:rsidR="00506532" w:rsidRPr="000C5050">
        <w:t xml:space="preserve"> have resulted in contamination</w:t>
      </w:r>
      <w:r w:rsidRPr="000C5050">
        <w:t xml:space="preserve"> </w:t>
      </w:r>
      <w:r w:rsidR="00506532" w:rsidRPr="000C5050">
        <w:t>that poses a</w:t>
      </w:r>
      <w:r w:rsidRPr="000C5050">
        <w:t xml:space="preserve"> risk to human health.</w:t>
      </w:r>
      <w:r w:rsidR="007D080D" w:rsidRPr="000C5050">
        <w:t xml:space="preserve"> </w:t>
      </w:r>
    </w:p>
    <w:p w14:paraId="0895033F" w14:textId="54F226B8" w:rsidR="00735BCC" w:rsidRPr="000C5050" w:rsidRDefault="00735BCC" w:rsidP="00735BCC">
      <w:pPr>
        <w:pStyle w:val="BodyText"/>
      </w:pPr>
      <w:r w:rsidRPr="000C5050">
        <w:t xml:space="preserve">Because the HAIL is intentionally broad, the NESCS is being applied to </w:t>
      </w:r>
      <w:r w:rsidR="007163D7" w:rsidRPr="000C5050">
        <w:t xml:space="preserve">some </w:t>
      </w:r>
      <w:r w:rsidRPr="000C5050">
        <w:t>HAIL sites that are unlikely to contain contamination that poses a risk to human health. The interim review found evidence of this, with a substantial proportion of sites identified as HAIL found to have soil concentrations below the soil guideline value after testing (</w:t>
      </w:r>
      <w:proofErr w:type="spellStart"/>
      <w:r w:rsidRPr="000C5050">
        <w:t>ie</w:t>
      </w:r>
      <w:proofErr w:type="spellEnd"/>
      <w:r w:rsidRPr="000C5050">
        <w:t>, the HAIL activity has not resulted in contamination that poses a risk to human health).</w:t>
      </w:r>
      <w:r w:rsidR="007163D7" w:rsidRPr="000C5050">
        <w:t xml:space="preserve"> For example, more than 60 per cent of the 83 </w:t>
      </w:r>
      <w:r w:rsidR="000A4C6A" w:rsidRPr="000C5050">
        <w:t>detailed site investigations (DSIs) provided to Christchurch City Council during a six-month monitoring period found site contamination levels to be below soil guideline values.</w:t>
      </w:r>
    </w:p>
    <w:p w14:paraId="57AA312C" w14:textId="1B948F51" w:rsidR="00735BCC" w:rsidRPr="000C5050" w:rsidRDefault="00735BCC" w:rsidP="00735BCC">
      <w:pPr>
        <w:pStyle w:val="BodyText"/>
      </w:pPr>
      <w:r w:rsidRPr="000C5050">
        <w:t>The Ministry proposes introducing a requirement to conduct a risk-based assessment when</w:t>
      </w:r>
      <w:r w:rsidR="00184F21" w:rsidRPr="000C5050">
        <w:t> </w:t>
      </w:r>
      <w:r w:rsidRPr="000C5050">
        <w:t xml:space="preserve">deciding whether the NESCS applies to a site, to ensure that the NESCS only applies to land where the HAIL activity is likely to </w:t>
      </w:r>
      <w:r w:rsidR="00F61C9E" w:rsidRPr="000C5050">
        <w:t xml:space="preserve">have resulted in contamination that poses </w:t>
      </w:r>
      <w:r w:rsidRPr="000C5050">
        <w:t>a risk to human health.</w:t>
      </w:r>
    </w:p>
    <w:p w14:paraId="372D420C" w14:textId="77777777" w:rsidR="00735BCC" w:rsidRPr="000C5050" w:rsidRDefault="00735BCC" w:rsidP="00184F21">
      <w:pPr>
        <w:pStyle w:val="Heading2"/>
        <w:spacing w:after="60"/>
      </w:pPr>
      <w:bookmarkStart w:id="17" w:name="_Toc460081242"/>
      <w:r w:rsidRPr="000C5050">
        <w:t>Proposals</w:t>
      </w:r>
      <w:bookmarkEnd w:id="17"/>
    </w:p>
    <w:p w14:paraId="13FD70D8" w14:textId="50F2B7D9" w:rsidR="00735BCC" w:rsidRPr="000C5050" w:rsidRDefault="00735BCC" w:rsidP="00AB35CD">
      <w:pPr>
        <w:pStyle w:val="Box"/>
        <w:rPr>
          <w:bdr w:val="none" w:sz="0" w:space="0" w:color="auto" w:frame="1"/>
        </w:rPr>
      </w:pPr>
      <w:r w:rsidRPr="000C5050">
        <w:t xml:space="preserve">4.1 </w:t>
      </w:r>
      <w:r w:rsidRPr="000C5050">
        <w:tab/>
        <w:t xml:space="preserve">Require </w:t>
      </w:r>
      <w:r w:rsidRPr="000C5050">
        <w:rPr>
          <w:bdr w:val="none" w:sz="0" w:space="0" w:color="auto" w:frame="1"/>
        </w:rPr>
        <w:t>a risk-based a</w:t>
      </w:r>
      <w:r w:rsidR="004B45EA" w:rsidRPr="000C5050">
        <w:rPr>
          <w:bdr w:val="none" w:sz="0" w:space="0" w:color="auto" w:frame="1"/>
        </w:rPr>
        <w:t>ssessment</w:t>
      </w:r>
      <w:r w:rsidRPr="000C5050">
        <w:rPr>
          <w:bdr w:val="none" w:sz="0" w:space="0" w:color="auto" w:frame="1"/>
        </w:rPr>
        <w:t xml:space="preserve"> when deciding whether the NESCS applies to a site.</w:t>
      </w:r>
    </w:p>
    <w:p w14:paraId="7CDEC670" w14:textId="77777777" w:rsidR="00735BCC" w:rsidRPr="000C5050" w:rsidRDefault="00735BCC" w:rsidP="00735BCC">
      <w:pPr>
        <w:pStyle w:val="Blueboxheading"/>
        <w:rPr>
          <w:rFonts w:eastAsiaTheme="majorEastAsia"/>
          <w:bCs/>
          <w:color w:val="183C47"/>
        </w:rPr>
      </w:pPr>
      <w:r w:rsidRPr="000C5050">
        <w:t>Amendments to the NESCS framework</w:t>
      </w:r>
    </w:p>
    <w:p w14:paraId="096FAAD4" w14:textId="00BDDC17" w:rsidR="00735BCC" w:rsidRPr="000C5050" w:rsidRDefault="00735BCC" w:rsidP="00735BCC">
      <w:pPr>
        <w:pStyle w:val="Blueboxtext"/>
        <w:rPr>
          <w:rFonts w:eastAsiaTheme="majorEastAsia"/>
          <w:b/>
          <w:bCs/>
        </w:rPr>
      </w:pPr>
      <w:r w:rsidRPr="000C5050">
        <w:rPr>
          <w:rFonts w:eastAsiaTheme="majorEastAsia"/>
        </w:rPr>
        <w:t>An example of what the amendment may look like is below. Th</w:t>
      </w:r>
      <w:r w:rsidR="00052794" w:rsidRPr="000C5050">
        <w:rPr>
          <w:rFonts w:eastAsiaTheme="majorEastAsia"/>
        </w:rPr>
        <w:t>is example shows</w:t>
      </w:r>
      <w:r w:rsidRPr="000C5050">
        <w:rPr>
          <w:rFonts w:eastAsiaTheme="majorEastAsia"/>
        </w:rPr>
        <w:t xml:space="preserve"> regulation 5(7) and 6 of the NESCS.</w:t>
      </w:r>
    </w:p>
    <w:p w14:paraId="1BF94F79" w14:textId="77777777" w:rsidR="00735BCC" w:rsidRPr="000C5050" w:rsidRDefault="00735BCC" w:rsidP="005C4ED7">
      <w:pPr>
        <w:pStyle w:val="Blueboxtext"/>
        <w:tabs>
          <w:tab w:val="left" w:pos="851"/>
        </w:tabs>
        <w:spacing w:after="0"/>
        <w:rPr>
          <w:rFonts w:eastAsiaTheme="majorEastAsia"/>
          <w:b/>
        </w:rPr>
      </w:pPr>
      <w:r w:rsidRPr="000C5050">
        <w:rPr>
          <w:rFonts w:eastAsiaTheme="majorEastAsia"/>
          <w:b/>
        </w:rPr>
        <w:t>5</w:t>
      </w:r>
      <w:r w:rsidR="005C4ED7" w:rsidRPr="000C5050">
        <w:rPr>
          <w:rFonts w:eastAsiaTheme="majorEastAsia"/>
          <w:b/>
        </w:rPr>
        <w:tab/>
      </w:r>
      <w:r w:rsidRPr="000C5050">
        <w:rPr>
          <w:rFonts w:eastAsiaTheme="majorEastAsia"/>
          <w:b/>
        </w:rPr>
        <w:t>Application</w:t>
      </w:r>
    </w:p>
    <w:p w14:paraId="466AA13C" w14:textId="77777777" w:rsidR="00735BCC" w:rsidRPr="000C5050" w:rsidRDefault="00735BCC" w:rsidP="00E37D23">
      <w:pPr>
        <w:pStyle w:val="Blueboxtext"/>
        <w:spacing w:before="0" w:after="60"/>
      </w:pPr>
      <w:r w:rsidRPr="000C5050">
        <w:t>…</w:t>
      </w:r>
    </w:p>
    <w:p w14:paraId="03B85131" w14:textId="77777777" w:rsidR="00735BCC" w:rsidRPr="000C5050" w:rsidRDefault="00735BCC" w:rsidP="00D64EE7">
      <w:pPr>
        <w:pStyle w:val="Blueboxtext"/>
        <w:spacing w:before="0" w:after="60"/>
        <w:rPr>
          <w:i/>
        </w:rPr>
      </w:pPr>
      <w:r w:rsidRPr="000C5050">
        <w:rPr>
          <w:i/>
        </w:rPr>
        <w:t>Land covered</w:t>
      </w:r>
    </w:p>
    <w:p w14:paraId="510F88D6" w14:textId="77777777" w:rsidR="00735BCC" w:rsidRPr="000C5050" w:rsidRDefault="00735BCC" w:rsidP="0021250B">
      <w:pPr>
        <w:pStyle w:val="Blueboxtext"/>
        <w:spacing w:before="0" w:after="80"/>
        <w:ind w:left="851" w:hanging="567"/>
        <w:rPr>
          <w:rFonts w:eastAsiaTheme="majorEastAsia"/>
          <w:bCs/>
        </w:rPr>
      </w:pPr>
      <w:r w:rsidRPr="000C5050">
        <w:rPr>
          <w:rFonts w:eastAsiaTheme="majorEastAsia"/>
          <w:bCs/>
        </w:rPr>
        <w:t xml:space="preserve">(7) </w:t>
      </w:r>
      <w:r w:rsidRPr="000C5050">
        <w:rPr>
          <w:rFonts w:eastAsiaTheme="majorEastAsia"/>
          <w:bCs/>
        </w:rPr>
        <w:tab/>
        <w:t>The piece of land is described by one of the following:</w:t>
      </w:r>
    </w:p>
    <w:p w14:paraId="5C0150E2" w14:textId="77777777" w:rsidR="00735BCC" w:rsidRPr="000C5050" w:rsidRDefault="005C4ED7" w:rsidP="0021250B">
      <w:pPr>
        <w:pStyle w:val="Blueboxtext"/>
        <w:tabs>
          <w:tab w:val="left" w:pos="851"/>
          <w:tab w:val="left" w:pos="1276"/>
        </w:tabs>
        <w:spacing w:before="0" w:after="80"/>
        <w:rPr>
          <w:rFonts w:eastAsiaTheme="minorHAnsi"/>
          <w:lang w:eastAsia="en-US"/>
        </w:rPr>
      </w:pPr>
      <w:r w:rsidRPr="000C5050">
        <w:rPr>
          <w:rFonts w:eastAsiaTheme="minorHAnsi"/>
          <w:lang w:eastAsia="en-US"/>
        </w:rPr>
        <w:tab/>
        <w:t>(a)</w:t>
      </w:r>
      <w:r w:rsidRPr="000C5050">
        <w:rPr>
          <w:rFonts w:eastAsiaTheme="minorHAnsi"/>
          <w:lang w:eastAsia="en-US"/>
        </w:rPr>
        <w:tab/>
      </w:r>
      <w:proofErr w:type="gramStart"/>
      <w:r w:rsidR="00735BCC" w:rsidRPr="000C5050">
        <w:rPr>
          <w:rFonts w:eastAsiaTheme="minorHAnsi"/>
          <w:lang w:eastAsia="en-US"/>
        </w:rPr>
        <w:t>an</w:t>
      </w:r>
      <w:proofErr w:type="gramEnd"/>
      <w:r w:rsidR="00735BCC" w:rsidRPr="000C5050">
        <w:rPr>
          <w:rFonts w:eastAsiaTheme="minorHAnsi"/>
          <w:lang w:eastAsia="en-US"/>
        </w:rPr>
        <w:t xml:space="preserve"> activity or industry described in the HAIL is being undertaken on it</w:t>
      </w:r>
    </w:p>
    <w:p w14:paraId="3988D175" w14:textId="77777777" w:rsidR="00735BCC" w:rsidRPr="000C5050" w:rsidRDefault="005C4ED7" w:rsidP="0021250B">
      <w:pPr>
        <w:pStyle w:val="Blueboxtext"/>
        <w:tabs>
          <w:tab w:val="left" w:pos="851"/>
          <w:tab w:val="left" w:pos="1276"/>
        </w:tabs>
        <w:spacing w:before="0" w:after="80"/>
        <w:rPr>
          <w:rFonts w:eastAsiaTheme="minorHAnsi"/>
          <w:lang w:eastAsia="en-US"/>
        </w:rPr>
      </w:pPr>
      <w:r w:rsidRPr="000C5050">
        <w:rPr>
          <w:rFonts w:eastAsiaTheme="minorHAnsi"/>
          <w:lang w:eastAsia="en-US"/>
        </w:rPr>
        <w:tab/>
        <w:t>(b)</w:t>
      </w:r>
      <w:r w:rsidRPr="000C5050">
        <w:rPr>
          <w:rFonts w:eastAsiaTheme="minorHAnsi"/>
          <w:lang w:eastAsia="en-US"/>
        </w:rPr>
        <w:tab/>
      </w:r>
      <w:proofErr w:type="gramStart"/>
      <w:r w:rsidR="00735BCC" w:rsidRPr="000C5050">
        <w:rPr>
          <w:rFonts w:eastAsiaTheme="minorHAnsi"/>
          <w:lang w:eastAsia="en-US"/>
        </w:rPr>
        <w:t>an</w:t>
      </w:r>
      <w:proofErr w:type="gramEnd"/>
      <w:r w:rsidR="00735BCC" w:rsidRPr="000C5050">
        <w:rPr>
          <w:rFonts w:eastAsiaTheme="minorHAnsi"/>
          <w:lang w:eastAsia="en-US"/>
        </w:rPr>
        <w:t xml:space="preserve"> activity or industry described in the HAIL has been undertaken on it</w:t>
      </w:r>
    </w:p>
    <w:p w14:paraId="50D849CC" w14:textId="77777777" w:rsidR="00735BCC" w:rsidRPr="000C5050" w:rsidRDefault="005C4ED7" w:rsidP="005C4ED7">
      <w:pPr>
        <w:pStyle w:val="Blueboxtext"/>
        <w:tabs>
          <w:tab w:val="left" w:pos="851"/>
        </w:tabs>
        <w:spacing w:before="0"/>
        <w:ind w:left="1276" w:hanging="992"/>
        <w:rPr>
          <w:rFonts w:eastAsiaTheme="minorHAnsi"/>
          <w:lang w:eastAsia="en-US"/>
        </w:rPr>
      </w:pPr>
      <w:r w:rsidRPr="000C5050">
        <w:rPr>
          <w:rFonts w:eastAsiaTheme="minorHAnsi"/>
          <w:lang w:eastAsia="en-US"/>
        </w:rPr>
        <w:tab/>
        <w:t>(c)</w:t>
      </w:r>
      <w:r w:rsidRPr="000C5050">
        <w:rPr>
          <w:rFonts w:eastAsiaTheme="minorHAnsi"/>
          <w:lang w:eastAsia="en-US"/>
        </w:rPr>
        <w:tab/>
      </w:r>
      <w:proofErr w:type="gramStart"/>
      <w:r w:rsidR="00735BCC" w:rsidRPr="000C5050">
        <w:rPr>
          <w:rFonts w:eastAsiaTheme="minorHAnsi"/>
          <w:lang w:eastAsia="en-US"/>
        </w:rPr>
        <w:t>it</w:t>
      </w:r>
      <w:proofErr w:type="gramEnd"/>
      <w:r w:rsidR="00735BCC" w:rsidRPr="000C5050">
        <w:rPr>
          <w:rFonts w:eastAsiaTheme="minorHAnsi"/>
          <w:lang w:eastAsia="en-US"/>
        </w:rPr>
        <w:t xml:space="preserve"> is more likely than not that an activity or industry described in the HAIL is being or has been undertaken on it</w:t>
      </w:r>
    </w:p>
    <w:p w14:paraId="1493FE37" w14:textId="0E9E52D6" w:rsidR="00735BCC" w:rsidRPr="000C5050" w:rsidRDefault="005C4ED7" w:rsidP="005C4ED7">
      <w:pPr>
        <w:pStyle w:val="Blueboxtext"/>
        <w:spacing w:before="0"/>
        <w:ind w:left="851" w:hanging="567"/>
        <w:rPr>
          <w:rFonts w:eastAsiaTheme="majorEastAsia"/>
          <w:bCs/>
          <w:i/>
          <w:u w:val="single"/>
        </w:rPr>
      </w:pPr>
      <w:r w:rsidRPr="000C5050">
        <w:rPr>
          <w:rFonts w:eastAsiaTheme="majorEastAsia"/>
          <w:bCs/>
          <w:i/>
        </w:rPr>
        <w:tab/>
      </w:r>
      <w:proofErr w:type="gramStart"/>
      <w:r w:rsidR="00735BCC" w:rsidRPr="000C5050">
        <w:rPr>
          <w:rFonts w:eastAsiaTheme="majorEastAsia"/>
          <w:bCs/>
          <w:i/>
          <w:u w:val="single"/>
        </w:rPr>
        <w:t>and</w:t>
      </w:r>
      <w:proofErr w:type="gramEnd"/>
      <w:r w:rsidR="00735BCC" w:rsidRPr="000C5050">
        <w:rPr>
          <w:rFonts w:eastAsiaTheme="majorEastAsia"/>
          <w:bCs/>
          <w:i/>
          <w:u w:val="single"/>
        </w:rPr>
        <w:t xml:space="preserve"> where it is</w:t>
      </w:r>
      <w:r w:rsidR="00CA7D65" w:rsidRPr="000C5050">
        <w:rPr>
          <w:rFonts w:eastAsiaTheme="majorEastAsia"/>
          <w:bCs/>
          <w:i/>
          <w:u w:val="single"/>
        </w:rPr>
        <w:t xml:space="preserve"> more</w:t>
      </w:r>
      <w:r w:rsidR="009637E0" w:rsidRPr="000C5050">
        <w:rPr>
          <w:rFonts w:eastAsiaTheme="majorEastAsia"/>
          <w:bCs/>
          <w:i/>
          <w:u w:val="single"/>
        </w:rPr>
        <w:t xml:space="preserve"> </w:t>
      </w:r>
      <w:r w:rsidR="00735BCC" w:rsidRPr="000C5050">
        <w:rPr>
          <w:rFonts w:eastAsiaTheme="majorEastAsia"/>
          <w:bCs/>
          <w:i/>
          <w:u w:val="single"/>
        </w:rPr>
        <w:t>likely</w:t>
      </w:r>
      <w:r w:rsidR="00CA7D65" w:rsidRPr="000C5050">
        <w:rPr>
          <w:rFonts w:eastAsiaTheme="majorEastAsia"/>
          <w:bCs/>
          <w:i/>
          <w:u w:val="single"/>
        </w:rPr>
        <w:t xml:space="preserve"> than not</w:t>
      </w:r>
      <w:r w:rsidR="00735BCC" w:rsidRPr="000C5050">
        <w:rPr>
          <w:rFonts w:eastAsiaTheme="majorEastAsia"/>
          <w:bCs/>
          <w:i/>
          <w:u w:val="single"/>
        </w:rPr>
        <w:t xml:space="preserve"> that the activity or industry has </w:t>
      </w:r>
      <w:r w:rsidR="00CD19EA" w:rsidRPr="000C5050">
        <w:rPr>
          <w:rFonts w:eastAsiaTheme="majorEastAsia"/>
          <w:bCs/>
          <w:i/>
          <w:u w:val="single"/>
        </w:rPr>
        <w:t xml:space="preserve">resulted in </w:t>
      </w:r>
      <w:r w:rsidR="00B310F4" w:rsidRPr="000C5050">
        <w:rPr>
          <w:rFonts w:eastAsiaTheme="majorEastAsia"/>
          <w:bCs/>
          <w:i/>
          <w:u w:val="single"/>
        </w:rPr>
        <w:t>contaminants in soil</w:t>
      </w:r>
      <w:r w:rsidR="00CD19EA" w:rsidRPr="000C5050">
        <w:rPr>
          <w:rFonts w:eastAsiaTheme="majorEastAsia"/>
          <w:bCs/>
          <w:i/>
          <w:u w:val="single"/>
        </w:rPr>
        <w:t xml:space="preserve"> </w:t>
      </w:r>
      <w:r w:rsidR="00735BCC" w:rsidRPr="000C5050">
        <w:rPr>
          <w:rFonts w:eastAsiaTheme="majorEastAsia"/>
          <w:bCs/>
          <w:i/>
          <w:u w:val="single"/>
        </w:rPr>
        <w:t>that could pose a risk to human health.</w:t>
      </w:r>
    </w:p>
    <w:p w14:paraId="0C8C3510" w14:textId="77777777" w:rsidR="00735BCC" w:rsidRPr="000C5050" w:rsidRDefault="00735BCC" w:rsidP="0021250B">
      <w:pPr>
        <w:pStyle w:val="Blueboxtext"/>
        <w:keepNext/>
        <w:tabs>
          <w:tab w:val="left" w:pos="851"/>
        </w:tabs>
        <w:spacing w:after="60"/>
        <w:rPr>
          <w:rFonts w:eastAsiaTheme="minorHAnsi"/>
          <w:b/>
          <w:lang w:eastAsia="en-US"/>
        </w:rPr>
      </w:pPr>
      <w:r w:rsidRPr="000C5050">
        <w:rPr>
          <w:rFonts w:eastAsiaTheme="minorHAnsi"/>
          <w:b/>
          <w:lang w:eastAsia="en-US"/>
        </w:rPr>
        <w:t>6</w:t>
      </w:r>
      <w:r w:rsidRPr="000C5050">
        <w:rPr>
          <w:rFonts w:eastAsiaTheme="minorHAnsi"/>
          <w:b/>
          <w:lang w:eastAsia="en-US"/>
        </w:rPr>
        <w:tab/>
        <w:t>Methods</w:t>
      </w:r>
    </w:p>
    <w:p w14:paraId="79DC5950" w14:textId="77777777" w:rsidR="00735BCC" w:rsidRPr="000C5050" w:rsidRDefault="005C4ED7" w:rsidP="0021250B">
      <w:pPr>
        <w:pStyle w:val="Blueboxtext"/>
        <w:tabs>
          <w:tab w:val="left" w:pos="851"/>
        </w:tabs>
        <w:spacing w:before="0" w:after="80"/>
        <w:ind w:left="1276" w:hanging="992"/>
        <w:rPr>
          <w:rFonts w:eastAsiaTheme="minorHAnsi"/>
          <w:lang w:eastAsia="en-US"/>
        </w:rPr>
      </w:pPr>
      <w:r w:rsidRPr="000C5050">
        <w:rPr>
          <w:rFonts w:eastAsiaTheme="minorHAnsi"/>
          <w:lang w:eastAsia="en-US"/>
        </w:rPr>
        <w:tab/>
      </w:r>
      <w:r w:rsidR="00735BCC" w:rsidRPr="000C5050">
        <w:rPr>
          <w:rFonts w:eastAsiaTheme="minorHAnsi"/>
          <w:lang w:eastAsia="en-US"/>
        </w:rPr>
        <w:t xml:space="preserve">(1) </w:t>
      </w:r>
      <w:r w:rsidR="00735BCC" w:rsidRPr="000C5050">
        <w:rPr>
          <w:rFonts w:eastAsiaTheme="minorHAnsi"/>
          <w:lang w:eastAsia="en-US"/>
        </w:rPr>
        <w:tab/>
        <w:t>Sub clauses (2) and (3) prescribe the only two methods that a person may use for establishing whether a piece of land is as described in regulation 5(7).</w:t>
      </w:r>
    </w:p>
    <w:p w14:paraId="155B3C3D" w14:textId="77777777" w:rsidR="00735BCC" w:rsidRPr="000C5050" w:rsidRDefault="005C4ED7" w:rsidP="0021250B">
      <w:pPr>
        <w:pStyle w:val="Blueboxtext"/>
        <w:tabs>
          <w:tab w:val="left" w:pos="851"/>
        </w:tabs>
        <w:spacing w:before="0" w:after="80"/>
        <w:ind w:left="1276" w:hanging="992"/>
        <w:rPr>
          <w:rFonts w:eastAsiaTheme="minorHAnsi"/>
          <w:lang w:eastAsia="en-US"/>
        </w:rPr>
      </w:pPr>
      <w:r w:rsidRPr="000C5050">
        <w:rPr>
          <w:rFonts w:eastAsiaTheme="minorHAnsi"/>
          <w:lang w:eastAsia="en-US"/>
        </w:rPr>
        <w:lastRenderedPageBreak/>
        <w:tab/>
      </w:r>
      <w:r w:rsidR="00735BCC" w:rsidRPr="000C5050">
        <w:rPr>
          <w:rFonts w:eastAsiaTheme="minorHAnsi"/>
          <w:lang w:eastAsia="en-US"/>
        </w:rPr>
        <w:t xml:space="preserve">(2) </w:t>
      </w:r>
      <w:r w:rsidR="00735BCC" w:rsidRPr="000C5050">
        <w:rPr>
          <w:rFonts w:eastAsiaTheme="minorHAnsi"/>
          <w:lang w:eastAsia="en-US"/>
        </w:rPr>
        <w:tab/>
        <w:t>One method is by using the most up-to-date information about the area where the piece of land is located that the territorial authority—</w:t>
      </w:r>
    </w:p>
    <w:p w14:paraId="6822B278" w14:textId="77777777" w:rsidR="00735BCC" w:rsidRPr="000C5050" w:rsidRDefault="005C4ED7" w:rsidP="0021250B">
      <w:pPr>
        <w:pStyle w:val="Blueboxtext"/>
        <w:tabs>
          <w:tab w:val="left" w:pos="1276"/>
        </w:tabs>
        <w:spacing w:before="0" w:after="80"/>
        <w:ind w:left="1701" w:hanging="1417"/>
        <w:rPr>
          <w:rFonts w:eastAsiaTheme="minorHAnsi"/>
          <w:lang w:eastAsia="en-US"/>
        </w:rPr>
      </w:pPr>
      <w:r w:rsidRPr="000C5050">
        <w:rPr>
          <w:rFonts w:eastAsiaTheme="minorHAnsi"/>
          <w:lang w:eastAsia="en-US"/>
        </w:rPr>
        <w:tab/>
      </w:r>
      <w:r w:rsidR="00735BCC" w:rsidRPr="000C5050">
        <w:rPr>
          <w:rFonts w:eastAsiaTheme="minorHAnsi"/>
          <w:lang w:eastAsia="en-US"/>
        </w:rPr>
        <w:t xml:space="preserve">(a) </w:t>
      </w:r>
      <w:r w:rsidR="00F33EB1" w:rsidRPr="000C5050">
        <w:rPr>
          <w:rFonts w:eastAsiaTheme="minorHAnsi"/>
          <w:lang w:eastAsia="en-US"/>
        </w:rPr>
        <w:tab/>
      </w:r>
      <w:proofErr w:type="gramStart"/>
      <w:r w:rsidR="00735BCC" w:rsidRPr="000C5050">
        <w:rPr>
          <w:rFonts w:eastAsiaTheme="minorHAnsi"/>
          <w:lang w:eastAsia="en-US"/>
        </w:rPr>
        <w:t>holds</w:t>
      </w:r>
      <w:proofErr w:type="gramEnd"/>
      <w:r w:rsidR="00735BCC" w:rsidRPr="000C5050">
        <w:rPr>
          <w:rFonts w:eastAsiaTheme="minorHAnsi"/>
          <w:lang w:eastAsia="en-US"/>
        </w:rPr>
        <w:t xml:space="preserve"> on its dangerous goods files, property files, or resource consent database or relevant registers; or</w:t>
      </w:r>
    </w:p>
    <w:p w14:paraId="16259C48" w14:textId="77777777" w:rsidR="00735BCC" w:rsidRPr="000C5050" w:rsidRDefault="00F33EB1" w:rsidP="0021250B">
      <w:pPr>
        <w:pStyle w:val="Blueboxtext"/>
        <w:tabs>
          <w:tab w:val="left" w:pos="1276"/>
        </w:tabs>
        <w:spacing w:before="0" w:after="80"/>
        <w:ind w:left="1701" w:hanging="1417"/>
        <w:rPr>
          <w:rFonts w:eastAsiaTheme="minorHAnsi"/>
          <w:lang w:eastAsia="en-US"/>
        </w:rPr>
      </w:pPr>
      <w:r w:rsidRPr="000C5050">
        <w:rPr>
          <w:rFonts w:eastAsiaTheme="minorHAnsi"/>
          <w:lang w:eastAsia="en-US"/>
        </w:rPr>
        <w:tab/>
      </w:r>
      <w:r w:rsidR="00735BCC" w:rsidRPr="000C5050">
        <w:rPr>
          <w:rFonts w:eastAsiaTheme="minorHAnsi"/>
          <w:lang w:eastAsia="en-US"/>
        </w:rPr>
        <w:t>(</w:t>
      </w:r>
      <w:proofErr w:type="gramStart"/>
      <w:r w:rsidR="00735BCC" w:rsidRPr="000C5050">
        <w:rPr>
          <w:rFonts w:eastAsiaTheme="minorHAnsi"/>
          <w:lang w:eastAsia="en-US"/>
        </w:rPr>
        <w:t>b</w:t>
      </w:r>
      <w:proofErr w:type="gramEnd"/>
      <w:r w:rsidR="00735BCC" w:rsidRPr="000C5050">
        <w:rPr>
          <w:rFonts w:eastAsiaTheme="minorHAnsi"/>
          <w:lang w:eastAsia="en-US"/>
        </w:rPr>
        <w:t xml:space="preserve">) </w:t>
      </w:r>
      <w:r w:rsidRPr="000C5050">
        <w:rPr>
          <w:rFonts w:eastAsiaTheme="minorHAnsi"/>
          <w:lang w:eastAsia="en-US"/>
        </w:rPr>
        <w:tab/>
      </w:r>
      <w:r w:rsidR="00735BCC" w:rsidRPr="000C5050">
        <w:rPr>
          <w:rFonts w:eastAsiaTheme="minorHAnsi"/>
          <w:lang w:eastAsia="en-US"/>
        </w:rPr>
        <w:t>has available to it from the regional council.</w:t>
      </w:r>
    </w:p>
    <w:p w14:paraId="3BE94535" w14:textId="77777777" w:rsidR="00735BCC" w:rsidRPr="000C5050" w:rsidRDefault="00F33EB1" w:rsidP="0021250B">
      <w:pPr>
        <w:pStyle w:val="Blueboxtext"/>
        <w:tabs>
          <w:tab w:val="left" w:pos="851"/>
        </w:tabs>
        <w:spacing w:before="0" w:after="80"/>
        <w:ind w:left="1276" w:hanging="992"/>
        <w:rPr>
          <w:rFonts w:eastAsiaTheme="minorHAnsi"/>
          <w:lang w:eastAsia="en-US"/>
        </w:rPr>
      </w:pPr>
      <w:r w:rsidRPr="000C5050">
        <w:rPr>
          <w:rFonts w:eastAsiaTheme="minorHAnsi"/>
          <w:lang w:eastAsia="en-US"/>
        </w:rPr>
        <w:tab/>
      </w:r>
      <w:r w:rsidR="00735BCC" w:rsidRPr="000C5050">
        <w:rPr>
          <w:rFonts w:eastAsiaTheme="minorHAnsi"/>
          <w:lang w:eastAsia="en-US"/>
        </w:rPr>
        <w:t xml:space="preserve">(3) </w:t>
      </w:r>
      <w:r w:rsidR="00735BCC" w:rsidRPr="000C5050">
        <w:rPr>
          <w:rFonts w:eastAsiaTheme="minorHAnsi"/>
          <w:lang w:eastAsia="en-US"/>
        </w:rPr>
        <w:tab/>
        <w:t>The other method is by relying on the report of a preliminary site investigation—</w:t>
      </w:r>
    </w:p>
    <w:p w14:paraId="7F10CDEE" w14:textId="77777777" w:rsidR="00735BCC" w:rsidRPr="000C5050" w:rsidRDefault="00F33EB1" w:rsidP="0021250B">
      <w:pPr>
        <w:pStyle w:val="Blueboxtext"/>
        <w:tabs>
          <w:tab w:val="left" w:pos="1276"/>
        </w:tabs>
        <w:spacing w:before="0" w:after="80"/>
        <w:ind w:left="1701" w:hanging="1417"/>
        <w:rPr>
          <w:rFonts w:eastAsiaTheme="minorHAnsi"/>
          <w:lang w:eastAsia="en-US"/>
        </w:rPr>
      </w:pPr>
      <w:r w:rsidRPr="000C5050">
        <w:rPr>
          <w:rFonts w:eastAsiaTheme="minorHAnsi"/>
          <w:lang w:eastAsia="en-US"/>
        </w:rPr>
        <w:tab/>
      </w:r>
      <w:r w:rsidR="00735BCC" w:rsidRPr="000C5050">
        <w:rPr>
          <w:rFonts w:eastAsiaTheme="minorHAnsi"/>
          <w:lang w:eastAsia="en-US"/>
        </w:rPr>
        <w:t xml:space="preserve">(a) </w:t>
      </w:r>
      <w:r w:rsidRPr="000C5050">
        <w:rPr>
          <w:rFonts w:eastAsiaTheme="minorHAnsi"/>
          <w:lang w:eastAsia="en-US"/>
        </w:rPr>
        <w:tab/>
      </w:r>
      <w:proofErr w:type="gramStart"/>
      <w:r w:rsidR="00735BCC" w:rsidRPr="000C5050">
        <w:rPr>
          <w:rFonts w:eastAsiaTheme="minorHAnsi"/>
          <w:lang w:eastAsia="en-US"/>
        </w:rPr>
        <w:t>stating</w:t>
      </w:r>
      <w:proofErr w:type="gramEnd"/>
      <w:r w:rsidR="00735BCC" w:rsidRPr="000C5050">
        <w:rPr>
          <w:rFonts w:eastAsiaTheme="minorHAnsi"/>
          <w:lang w:eastAsia="en-US"/>
        </w:rPr>
        <w:t xml:space="preserve"> that an activity or industry described in the HAIL is, or is not, being undertaken on the piece of land; or</w:t>
      </w:r>
    </w:p>
    <w:p w14:paraId="42B90ED5" w14:textId="77777777" w:rsidR="00735BCC" w:rsidRPr="000C5050" w:rsidRDefault="00F33EB1" w:rsidP="0021250B">
      <w:pPr>
        <w:pStyle w:val="Blueboxtext"/>
        <w:tabs>
          <w:tab w:val="left" w:pos="1276"/>
        </w:tabs>
        <w:spacing w:before="0" w:after="80"/>
        <w:ind w:left="1701" w:hanging="1417"/>
        <w:rPr>
          <w:rFonts w:eastAsiaTheme="minorHAnsi"/>
          <w:lang w:eastAsia="en-US"/>
        </w:rPr>
      </w:pPr>
      <w:r w:rsidRPr="000C5050">
        <w:rPr>
          <w:rFonts w:eastAsiaTheme="minorHAnsi"/>
          <w:lang w:eastAsia="en-US"/>
        </w:rPr>
        <w:tab/>
      </w:r>
      <w:r w:rsidR="00735BCC" w:rsidRPr="000C5050">
        <w:rPr>
          <w:rFonts w:eastAsiaTheme="minorHAnsi"/>
          <w:lang w:eastAsia="en-US"/>
        </w:rPr>
        <w:t xml:space="preserve">(b) </w:t>
      </w:r>
      <w:r w:rsidRPr="000C5050">
        <w:rPr>
          <w:rFonts w:eastAsiaTheme="minorHAnsi"/>
          <w:lang w:eastAsia="en-US"/>
        </w:rPr>
        <w:tab/>
      </w:r>
      <w:proofErr w:type="gramStart"/>
      <w:r w:rsidR="00735BCC" w:rsidRPr="000C5050">
        <w:rPr>
          <w:rFonts w:eastAsiaTheme="minorHAnsi"/>
          <w:lang w:eastAsia="en-US"/>
        </w:rPr>
        <w:t>stating</w:t>
      </w:r>
      <w:proofErr w:type="gramEnd"/>
      <w:r w:rsidR="00735BCC" w:rsidRPr="000C5050">
        <w:rPr>
          <w:rFonts w:eastAsiaTheme="minorHAnsi"/>
          <w:lang w:eastAsia="en-US"/>
        </w:rPr>
        <w:t xml:space="preserve"> that an activity or industry described in the HAIL has, or has not, been undertaken on the piece of land; or</w:t>
      </w:r>
    </w:p>
    <w:p w14:paraId="507AE675" w14:textId="77777777" w:rsidR="00735BCC" w:rsidRPr="000C5050" w:rsidRDefault="00F33EB1" w:rsidP="00F33EB1">
      <w:pPr>
        <w:pStyle w:val="Blueboxtext"/>
        <w:tabs>
          <w:tab w:val="left" w:pos="1276"/>
        </w:tabs>
        <w:spacing w:before="0"/>
        <w:ind w:left="1701" w:hanging="1417"/>
        <w:rPr>
          <w:rFonts w:eastAsiaTheme="minorHAnsi"/>
          <w:lang w:eastAsia="en-US"/>
        </w:rPr>
      </w:pPr>
      <w:r w:rsidRPr="000C5050">
        <w:rPr>
          <w:rFonts w:eastAsiaTheme="minorHAnsi"/>
          <w:lang w:eastAsia="en-US"/>
        </w:rPr>
        <w:tab/>
      </w:r>
      <w:r w:rsidR="00735BCC" w:rsidRPr="000C5050">
        <w:rPr>
          <w:rFonts w:eastAsiaTheme="minorHAnsi"/>
          <w:lang w:eastAsia="en-US"/>
        </w:rPr>
        <w:t xml:space="preserve">(c) </w:t>
      </w:r>
      <w:r w:rsidRPr="000C5050">
        <w:rPr>
          <w:rFonts w:eastAsiaTheme="minorHAnsi"/>
          <w:lang w:eastAsia="en-US"/>
        </w:rPr>
        <w:tab/>
      </w:r>
      <w:proofErr w:type="gramStart"/>
      <w:r w:rsidR="00735BCC" w:rsidRPr="000C5050">
        <w:rPr>
          <w:rFonts w:eastAsiaTheme="minorHAnsi"/>
          <w:lang w:eastAsia="en-US"/>
        </w:rPr>
        <w:t>stating</w:t>
      </w:r>
      <w:proofErr w:type="gramEnd"/>
      <w:r w:rsidR="00735BCC" w:rsidRPr="000C5050">
        <w:rPr>
          <w:rFonts w:eastAsiaTheme="minorHAnsi"/>
          <w:lang w:eastAsia="en-US"/>
        </w:rPr>
        <w:t xml:space="preserve"> the likelihood of an activity or industry described in the HAIL being undertaken, or having been undertaken, on the piece of land.</w:t>
      </w:r>
    </w:p>
    <w:p w14:paraId="15E7F19F" w14:textId="62A28513" w:rsidR="00735BCC" w:rsidRPr="000C5050" w:rsidRDefault="00F33EB1" w:rsidP="00F33EB1">
      <w:pPr>
        <w:pStyle w:val="Blueboxtext"/>
        <w:tabs>
          <w:tab w:val="left" w:pos="851"/>
        </w:tabs>
        <w:spacing w:before="0"/>
        <w:ind w:left="1276" w:hanging="992"/>
        <w:rPr>
          <w:rFonts w:eastAsiaTheme="minorHAnsi"/>
          <w:i/>
          <w:u w:val="single"/>
          <w:lang w:eastAsia="en-US"/>
        </w:rPr>
      </w:pPr>
      <w:r w:rsidRPr="000C5050">
        <w:rPr>
          <w:rFonts w:eastAsiaTheme="minorHAnsi"/>
          <w:lang w:eastAsia="en-US"/>
        </w:rPr>
        <w:tab/>
      </w:r>
      <w:r w:rsidR="00735BCC" w:rsidRPr="000C5050">
        <w:rPr>
          <w:rFonts w:eastAsiaTheme="minorHAnsi"/>
          <w:u w:val="single"/>
          <w:lang w:eastAsia="en-US"/>
        </w:rPr>
        <w:t>(4)</w:t>
      </w:r>
      <w:r w:rsidR="00735BCC" w:rsidRPr="000C5050">
        <w:t xml:space="preserve"> </w:t>
      </w:r>
      <w:r w:rsidR="00735BCC" w:rsidRPr="000C5050">
        <w:tab/>
      </w:r>
      <w:r w:rsidR="00735BCC" w:rsidRPr="000C5050">
        <w:rPr>
          <w:rFonts w:eastAsiaTheme="minorHAnsi"/>
          <w:i/>
          <w:u w:val="single"/>
          <w:lang w:eastAsia="en-US"/>
        </w:rPr>
        <w:t xml:space="preserve">When </w:t>
      </w:r>
      <w:r w:rsidR="00735BCC" w:rsidRPr="000C5050">
        <w:rPr>
          <w:rFonts w:eastAsiaTheme="majorEastAsia"/>
          <w:bCs/>
          <w:i/>
          <w:u w:val="single"/>
        </w:rPr>
        <w:t>using</w:t>
      </w:r>
      <w:r w:rsidR="00735BCC" w:rsidRPr="000C5050">
        <w:rPr>
          <w:rFonts w:eastAsiaTheme="minorHAnsi"/>
          <w:i/>
          <w:u w:val="single"/>
          <w:lang w:eastAsia="en-US"/>
        </w:rPr>
        <w:t xml:space="preserve"> either method described in sub clauses (2) and (3), consideration must be given to the likelihood that the activity or industry has</w:t>
      </w:r>
      <w:r w:rsidR="00104099" w:rsidRPr="000C5050">
        <w:rPr>
          <w:rFonts w:eastAsiaTheme="majorEastAsia"/>
          <w:bCs/>
          <w:i/>
          <w:u w:val="single"/>
        </w:rPr>
        <w:t xml:space="preserve"> resulted in contaminants in soil</w:t>
      </w:r>
      <w:r w:rsidR="00735BCC" w:rsidRPr="000C5050">
        <w:rPr>
          <w:rFonts w:eastAsiaTheme="minorHAnsi"/>
          <w:i/>
          <w:u w:val="single"/>
          <w:lang w:eastAsia="en-US"/>
        </w:rPr>
        <w:t xml:space="preserve"> that could pose a risk to human health.</w:t>
      </w:r>
    </w:p>
    <w:p w14:paraId="7E2D0F70" w14:textId="77777777" w:rsidR="00735BCC" w:rsidRPr="000C5050" w:rsidRDefault="00EB04A3" w:rsidP="00184F21">
      <w:pPr>
        <w:pStyle w:val="Box"/>
        <w:ind w:left="284" w:firstLine="0"/>
      </w:pPr>
      <w:r w:rsidRPr="000C5050">
        <w:rPr>
          <w:b/>
        </w:rPr>
        <w:t>Risk-based</w:t>
      </w:r>
      <w:r w:rsidRPr="000C5050">
        <w:t xml:space="preserve"> means a risk assessment that includes combinatorial analysis of the likelihood (probability) of an adverse effect occurring, and of the significance of the effect (severity of</w:t>
      </w:r>
      <w:r w:rsidR="00D64EE7" w:rsidRPr="000C5050">
        <w:t> </w:t>
      </w:r>
      <w:r w:rsidRPr="000C5050">
        <w:t>consequences).</w:t>
      </w:r>
    </w:p>
    <w:p w14:paraId="21B6421C" w14:textId="16699228" w:rsidR="00DC43C4" w:rsidRPr="000C5050" w:rsidRDefault="00DC43C4" w:rsidP="00397945">
      <w:pPr>
        <w:pStyle w:val="BodyText"/>
        <w:spacing w:before="240"/>
      </w:pPr>
      <w:r w:rsidRPr="000C5050">
        <w:t xml:space="preserve">The purpose of the risk-based approach is to allow landowners and councils the opportunity to demonstrate that a </w:t>
      </w:r>
      <w:r w:rsidR="0081630C" w:rsidRPr="000C5050">
        <w:t>‘</w:t>
      </w:r>
      <w:r w:rsidRPr="000C5050">
        <w:t>piece of land</w:t>
      </w:r>
      <w:r w:rsidR="0081630C" w:rsidRPr="000C5050">
        <w:t>’</w:t>
      </w:r>
      <w:r w:rsidRPr="000C5050">
        <w:t xml:space="preserve"> should not trigger the NESCS </w:t>
      </w:r>
      <w:r w:rsidR="009732FB" w:rsidRPr="000C5050">
        <w:t>if</w:t>
      </w:r>
      <w:r w:rsidRPr="000C5050">
        <w:t xml:space="preserve"> (although a HAIL activity</w:t>
      </w:r>
      <w:r w:rsidR="00BF3274" w:rsidRPr="000C5050">
        <w:t xml:space="preserve"> or industry</w:t>
      </w:r>
      <w:r w:rsidRPr="000C5050">
        <w:t xml:space="preserve"> is, has, or may have been undertaken on the land) it is</w:t>
      </w:r>
      <w:r w:rsidR="00BF3274" w:rsidRPr="000C5050">
        <w:t xml:space="preserve"> not</w:t>
      </w:r>
      <w:r w:rsidRPr="000C5050">
        <w:t xml:space="preserve"> </w:t>
      </w:r>
      <w:r w:rsidR="00BF3274" w:rsidRPr="000C5050">
        <w:t>likely</w:t>
      </w:r>
      <w:r w:rsidR="00AE702A" w:rsidRPr="000C5050">
        <w:rPr>
          <w:vertAlign w:val="superscript"/>
        </w:rPr>
        <w:footnoteReference w:id="3"/>
      </w:r>
      <w:r w:rsidR="00BF3274" w:rsidRPr="000C5050">
        <w:t xml:space="preserve"> that the activity or industry has resulted in contamination that could pose a risk to human health</w:t>
      </w:r>
      <w:r w:rsidRPr="000C5050">
        <w:t>. In some instances it may be necessary for a suitably qualified and experienced practitioner (SQEP) to make the assessment. Wherever possible, though, it is intended that landowners and councils assess and exclude sites where it is clear that there is unlikely to be a risk to human health.</w:t>
      </w:r>
    </w:p>
    <w:p w14:paraId="681300EA" w14:textId="6657D7E4" w:rsidR="00DC43C4" w:rsidRPr="000C5050" w:rsidRDefault="00DC43C4" w:rsidP="00DC43C4">
      <w:pPr>
        <w:pStyle w:val="BodyText"/>
      </w:pPr>
      <w:r w:rsidRPr="000C5050">
        <w:t>Landowners and councils will assess whether the NESCS should apply, not whether the HAIL applies to a site. The determination would be made on the basis that even if a HAIL activity has</w:t>
      </w:r>
      <w:r w:rsidR="00CF4A1C" w:rsidRPr="000C5050">
        <w:t> </w:t>
      </w:r>
      <w:r w:rsidRPr="000C5050">
        <w:t xml:space="preserve">occurred, it is </w:t>
      </w:r>
      <w:r w:rsidR="00045C46" w:rsidRPr="000C5050">
        <w:t xml:space="preserve">not likely </w:t>
      </w:r>
      <w:r w:rsidRPr="000C5050">
        <w:t xml:space="preserve">to have resulted </w:t>
      </w:r>
      <w:r w:rsidR="00045C46" w:rsidRPr="000C5050">
        <w:t xml:space="preserve">in </w:t>
      </w:r>
      <w:r w:rsidRPr="000C5050">
        <w:t>contamination</w:t>
      </w:r>
      <w:r w:rsidR="00045C46" w:rsidRPr="000C5050">
        <w:t xml:space="preserve"> that poses a risk to human health</w:t>
      </w:r>
      <w:r w:rsidRPr="000C5050">
        <w:t>. In a practical sense, this may mean a site is listed in the regional council</w:t>
      </w:r>
      <w:r w:rsidR="0081630C" w:rsidRPr="000C5050">
        <w:t>’</w:t>
      </w:r>
      <w:r w:rsidRPr="000C5050">
        <w:t xml:space="preserve">s database as HAIL, but </w:t>
      </w:r>
      <w:r w:rsidR="009732FB" w:rsidRPr="000C5050">
        <w:t>there would be no requirement under the NESCS</w:t>
      </w:r>
      <w:r w:rsidRPr="000C5050">
        <w:t>. The following are examples where this might apply:</w:t>
      </w:r>
    </w:p>
    <w:p w14:paraId="3C16FB8E" w14:textId="3CAAAA4A" w:rsidR="00DC43C4" w:rsidRPr="000C5050" w:rsidRDefault="00DC43C4" w:rsidP="00DC43C4">
      <w:pPr>
        <w:pStyle w:val="Bodytexta"/>
        <w:ind w:left="357" w:hanging="357"/>
      </w:pPr>
      <w:r w:rsidRPr="000C5050">
        <w:t>A particular orchard has only ever used copper-based sprays. Copper is not toxic to humans (the soil contaminant standards set no limit to the concentration of copper that may be present in soil), so</w:t>
      </w:r>
      <w:r w:rsidR="009732FB" w:rsidRPr="000C5050">
        <w:t xml:space="preserve"> there would be no requirement under the NESCS</w:t>
      </w:r>
      <w:r w:rsidRPr="000C5050">
        <w:t xml:space="preserve">. The site would remain listed as a HAIL site, as copper can be toxic to organisms in water or soil. </w:t>
      </w:r>
    </w:p>
    <w:p w14:paraId="58BD5BAA" w14:textId="77777777" w:rsidR="00DC43C4" w:rsidRPr="000C5050" w:rsidRDefault="00DC43C4" w:rsidP="00DC43C4">
      <w:pPr>
        <w:pStyle w:val="Bodytexta"/>
        <w:ind w:left="397"/>
      </w:pPr>
      <w:r w:rsidRPr="000C5050">
        <w:t xml:space="preserve">A site was recorded on the HAIL register as it once contained an underground fuel storage tank. The tank was removed, soil samples taken, and the results provided to the council in a report in accordance with the </w:t>
      </w:r>
      <w:r w:rsidRPr="000C5050">
        <w:rPr>
          <w:i/>
        </w:rPr>
        <w:t>Guidelines for Assessing and Managing Petroleum Hydrocarbon Contaminated Sites in New Zealand</w:t>
      </w:r>
      <w:r w:rsidRPr="000C5050">
        <w:t xml:space="preserve"> (Ministry for the Environment, 2011d) </w:t>
      </w:r>
      <w:r w:rsidRPr="000C5050">
        <w:lastRenderedPageBreak/>
        <w:t>(the Petroleum Guidelines). The site would remain listed as a HAIL site, as it is important to record that the tank existed, particularly in the event of a change to a more sensitive land-use. If the land owner decided in future to undertake some soil disturbance works in the same area, however, the council could decide that the NESCS does not apply to the works if the soil samples indicate that there is not likely to be a risk to human health from the soil disturbance.</w:t>
      </w:r>
    </w:p>
    <w:p w14:paraId="737263DE" w14:textId="141B2E12" w:rsidR="007D5815" w:rsidRPr="000C5050" w:rsidRDefault="00DC43C4" w:rsidP="0052489B">
      <w:pPr>
        <w:pStyle w:val="BodyText"/>
        <w:spacing w:before="100"/>
      </w:pPr>
      <w:r w:rsidRPr="000C5050">
        <w:t xml:space="preserve">The proposed assessment would apply to all activities regulated by the NESCS. It is similar to the regulation 8(4) test which </w:t>
      </w:r>
      <w:r w:rsidR="007D5815" w:rsidRPr="000C5050">
        <w:t>applies only to the change of use or subdivision activities</w:t>
      </w:r>
      <w:r w:rsidR="009732FB" w:rsidRPr="000C5050">
        <w:t>.</w:t>
      </w:r>
      <w:r w:rsidR="007D5815" w:rsidRPr="000C5050">
        <w:t xml:space="preserve"> </w:t>
      </w:r>
      <w:r w:rsidR="009732FB" w:rsidRPr="000C5050">
        <w:t>T</w:t>
      </w:r>
      <w:r w:rsidR="007D5815" w:rsidRPr="000C5050">
        <w:t>h</w:t>
      </w:r>
      <w:r w:rsidR="009732FB" w:rsidRPr="000C5050">
        <w:t>is</w:t>
      </w:r>
      <w:r w:rsidR="007D5815" w:rsidRPr="000C5050">
        <w:t xml:space="preserve"> allows a preliminary site investigation (PSI) to demonstrate that the proposed activity </w:t>
      </w:r>
      <w:r w:rsidR="000B06DB" w:rsidRPr="000C5050">
        <w:t xml:space="preserve">of </w:t>
      </w:r>
      <w:r w:rsidR="007D5815" w:rsidRPr="000C5050">
        <w:t xml:space="preserve">subdivision or change of use is </w:t>
      </w:r>
      <w:r w:rsidR="00045C46" w:rsidRPr="000C5050">
        <w:t xml:space="preserve">not </w:t>
      </w:r>
      <w:r w:rsidR="007D5815" w:rsidRPr="000C5050">
        <w:t xml:space="preserve">likely to </w:t>
      </w:r>
      <w:r w:rsidR="00045C46" w:rsidRPr="000C5050">
        <w:t xml:space="preserve">have resulted in contamination that </w:t>
      </w:r>
      <w:r w:rsidR="007D5815" w:rsidRPr="000C5050">
        <w:t>pose</w:t>
      </w:r>
      <w:r w:rsidR="00045C46" w:rsidRPr="000C5050">
        <w:t>s</w:t>
      </w:r>
      <w:r w:rsidR="007D5815" w:rsidRPr="000C5050">
        <w:t xml:space="preserve"> a risk</w:t>
      </w:r>
      <w:r w:rsidR="00AE702A" w:rsidRPr="000C5050">
        <w:t xml:space="preserve"> to</w:t>
      </w:r>
      <w:r w:rsidR="00CF4A1C" w:rsidRPr="000C5050">
        <w:t> </w:t>
      </w:r>
      <w:r w:rsidR="00AE702A" w:rsidRPr="000C5050">
        <w:t>human health</w:t>
      </w:r>
      <w:r w:rsidR="007D5815" w:rsidRPr="000C5050">
        <w:t>.</w:t>
      </w:r>
    </w:p>
    <w:p w14:paraId="066E370F" w14:textId="48482017" w:rsidR="00DC43C4" w:rsidRPr="000C5050" w:rsidRDefault="00DC43C4" w:rsidP="0052489B">
      <w:pPr>
        <w:pStyle w:val="BodyText"/>
        <w:spacing w:before="100"/>
      </w:pPr>
      <w:r w:rsidRPr="000C5050">
        <w:t>The Ministry is seeking feedback on the best way to achieve the</w:t>
      </w:r>
      <w:r w:rsidR="007D5815" w:rsidRPr="000C5050">
        <w:t> </w:t>
      </w:r>
      <w:r w:rsidRPr="000C5050">
        <w:t>intent of the risk-based approach, including what terminology should be used in the assessment (</w:t>
      </w:r>
      <w:proofErr w:type="spellStart"/>
      <w:r w:rsidRPr="000C5050">
        <w:t>ie</w:t>
      </w:r>
      <w:proofErr w:type="spellEnd"/>
      <w:r w:rsidRPr="000C5050">
        <w:t>, what likelihood standard should be adopted).</w:t>
      </w:r>
      <w:r w:rsidR="001A56A9" w:rsidRPr="000C5050">
        <w:t xml:space="preserve"> </w:t>
      </w:r>
      <w:r w:rsidRPr="000C5050">
        <w:t xml:space="preserve">To aid feedback, the Ministry has identified one potential option to introduce the assessment – amend regulations 5(7) and 6 of the NESCS (as outlined in the box above). </w:t>
      </w:r>
    </w:p>
    <w:p w14:paraId="4D42F438" w14:textId="0169EE9B" w:rsidR="00DC43C4" w:rsidRPr="000C5050" w:rsidRDefault="001A56A9" w:rsidP="0052489B">
      <w:pPr>
        <w:pStyle w:val="BodyText"/>
        <w:spacing w:before="100" w:after="100"/>
      </w:pPr>
      <w:r w:rsidRPr="000C5050">
        <w:t>The use of the term</w:t>
      </w:r>
      <w:r w:rsidR="00F61C9E" w:rsidRPr="000C5050">
        <w:t xml:space="preserve">s ‘likely’ and </w:t>
      </w:r>
      <w:r w:rsidRPr="000C5050">
        <w:t xml:space="preserve">‘not likely’ in this section </w:t>
      </w:r>
      <w:r w:rsidR="00F61C9E" w:rsidRPr="000C5050">
        <w:t>are</w:t>
      </w:r>
      <w:r w:rsidRPr="000C5050">
        <w:t xml:space="preserve"> to facilitate discussion only. </w:t>
      </w:r>
      <w:r w:rsidR="00DC43C4" w:rsidRPr="000C5050">
        <w:t xml:space="preserve">We have identified two potential options for the likelihood standard that may be appropriate to be used in the assessment: </w:t>
      </w:r>
    </w:p>
    <w:p w14:paraId="1C9FE3E9" w14:textId="77777777" w:rsidR="00DC43C4" w:rsidRPr="000C5050" w:rsidRDefault="005D02C3" w:rsidP="0052489B">
      <w:pPr>
        <w:pStyle w:val="Bullet"/>
        <w:spacing w:after="80"/>
      </w:pPr>
      <w:r w:rsidRPr="000C5050">
        <w:t>“</w:t>
      </w:r>
      <w:r w:rsidR="00DC43C4" w:rsidRPr="000C5050">
        <w:t>more likely than not</w:t>
      </w:r>
      <w:r w:rsidRPr="000C5050">
        <w:t>”</w:t>
      </w:r>
    </w:p>
    <w:p w14:paraId="3CF713C6" w14:textId="77777777" w:rsidR="00DC43C4" w:rsidRPr="000C5050" w:rsidRDefault="005D02C3" w:rsidP="00DC43C4">
      <w:pPr>
        <w:pStyle w:val="Bullet"/>
      </w:pPr>
      <w:r w:rsidRPr="000C5050">
        <w:t>“</w:t>
      </w:r>
      <w:proofErr w:type="gramStart"/>
      <w:r w:rsidR="00DC43C4" w:rsidRPr="000C5050">
        <w:t>reasonably</w:t>
      </w:r>
      <w:proofErr w:type="gramEnd"/>
      <w:r w:rsidR="00DC43C4" w:rsidRPr="000C5050">
        <w:t xml:space="preserve"> likely</w:t>
      </w:r>
      <w:r w:rsidRPr="000C5050">
        <w:t>”</w:t>
      </w:r>
      <w:r w:rsidR="00DC43C4" w:rsidRPr="000C5050">
        <w:t>.</w:t>
      </w:r>
      <w:r w:rsidR="007D080D" w:rsidRPr="000C5050">
        <w:t xml:space="preserve"> </w:t>
      </w:r>
    </w:p>
    <w:p w14:paraId="6DBE5A42" w14:textId="77777777" w:rsidR="00DC43C4" w:rsidRPr="000C5050" w:rsidRDefault="00DC43C4" w:rsidP="0052489B">
      <w:pPr>
        <w:pStyle w:val="BodyText"/>
        <w:spacing w:after="100"/>
      </w:pPr>
      <w:r w:rsidRPr="000C5050">
        <w:t>Both of these terms are currently used in the NESCS.</w:t>
      </w:r>
    </w:p>
    <w:p w14:paraId="3A99932F" w14:textId="77777777" w:rsidR="00DC43C4" w:rsidRPr="000C5050" w:rsidRDefault="00DC43C4" w:rsidP="0052489B">
      <w:pPr>
        <w:pStyle w:val="BodyText"/>
        <w:spacing w:after="100"/>
      </w:pPr>
      <w:r w:rsidRPr="000C5050">
        <w:t>To aid feedback on what terminology should be used, we set out below what each term could look like in the potential amendment to regulation 5(7):</w:t>
      </w:r>
    </w:p>
    <w:p w14:paraId="30B039A2" w14:textId="2C2E8B63" w:rsidR="00DC43C4" w:rsidRPr="000C5050" w:rsidRDefault="007E1E3A" w:rsidP="0052489B">
      <w:pPr>
        <w:pStyle w:val="BodyText"/>
        <w:spacing w:before="0" w:after="80"/>
        <w:ind w:left="397" w:hanging="397"/>
      </w:pPr>
      <w:r w:rsidRPr="000C5050">
        <w:t>1</w:t>
      </w:r>
      <w:r w:rsidRPr="000C5050">
        <w:tab/>
      </w:r>
      <w:r w:rsidR="005D02C3" w:rsidRPr="000C5050">
        <w:rPr>
          <w:i/>
        </w:rPr>
        <w:t>“</w:t>
      </w:r>
      <w:r w:rsidR="00DC43C4" w:rsidRPr="000C5050">
        <w:rPr>
          <w:i/>
        </w:rPr>
        <w:t xml:space="preserve">And where it is </w:t>
      </w:r>
      <w:r w:rsidR="00DC43C4" w:rsidRPr="000C5050">
        <w:rPr>
          <w:i/>
          <w:color w:val="FF0000"/>
          <w:u w:val="single"/>
        </w:rPr>
        <w:t>more likely than not</w:t>
      </w:r>
      <w:r w:rsidR="00DC43C4" w:rsidRPr="000C5050">
        <w:rPr>
          <w:i/>
          <w:color w:val="FF0000"/>
        </w:rPr>
        <w:t xml:space="preserve"> </w:t>
      </w:r>
      <w:r w:rsidR="00DC43C4" w:rsidRPr="000C5050">
        <w:rPr>
          <w:i/>
        </w:rPr>
        <w:t xml:space="preserve">that the activity or industry has </w:t>
      </w:r>
      <w:r w:rsidR="00D23076" w:rsidRPr="000C5050">
        <w:rPr>
          <w:rFonts w:eastAsiaTheme="majorEastAsia"/>
          <w:bCs/>
          <w:i/>
        </w:rPr>
        <w:t xml:space="preserve">resulted in contaminants in soil </w:t>
      </w:r>
      <w:r w:rsidR="00DC43C4" w:rsidRPr="000C5050">
        <w:rPr>
          <w:i/>
        </w:rPr>
        <w:t>that could pose a risk to human health</w:t>
      </w:r>
      <w:r w:rsidR="005D02C3" w:rsidRPr="000C5050">
        <w:rPr>
          <w:i/>
        </w:rPr>
        <w:t>”</w:t>
      </w:r>
    </w:p>
    <w:p w14:paraId="739FC13B" w14:textId="51FF8AC6" w:rsidR="00DC43C4" w:rsidRPr="000C5050" w:rsidRDefault="007E1E3A" w:rsidP="007E1E3A">
      <w:pPr>
        <w:pStyle w:val="BodyText"/>
        <w:spacing w:before="0"/>
        <w:ind w:left="397" w:hanging="397"/>
      </w:pPr>
      <w:r w:rsidRPr="000C5050">
        <w:t>2</w:t>
      </w:r>
      <w:r w:rsidRPr="000C5050">
        <w:tab/>
      </w:r>
      <w:r w:rsidR="005D02C3" w:rsidRPr="000C5050">
        <w:rPr>
          <w:i/>
        </w:rPr>
        <w:t>“</w:t>
      </w:r>
      <w:r w:rsidR="00DC43C4" w:rsidRPr="000C5050">
        <w:rPr>
          <w:i/>
        </w:rPr>
        <w:t xml:space="preserve">And where it is </w:t>
      </w:r>
      <w:r w:rsidR="00DC43C4" w:rsidRPr="000C5050">
        <w:rPr>
          <w:i/>
          <w:color w:val="FF0000"/>
          <w:u w:val="single"/>
        </w:rPr>
        <w:t>reasonably likely</w:t>
      </w:r>
      <w:r w:rsidR="00DC43C4" w:rsidRPr="000C5050">
        <w:rPr>
          <w:i/>
          <w:color w:val="FF0000"/>
        </w:rPr>
        <w:t xml:space="preserve"> </w:t>
      </w:r>
      <w:r w:rsidR="00DC43C4" w:rsidRPr="000C5050">
        <w:rPr>
          <w:i/>
        </w:rPr>
        <w:t xml:space="preserve">that the activity or industry has </w:t>
      </w:r>
      <w:r w:rsidR="00D23076" w:rsidRPr="000C5050">
        <w:rPr>
          <w:i/>
        </w:rPr>
        <w:t xml:space="preserve">resulted in contaminants in soil </w:t>
      </w:r>
      <w:r w:rsidR="00DC43C4" w:rsidRPr="000C5050">
        <w:rPr>
          <w:i/>
        </w:rPr>
        <w:t>that could pose a risk to human health</w:t>
      </w:r>
      <w:r w:rsidR="005D02C3" w:rsidRPr="000C5050">
        <w:rPr>
          <w:i/>
        </w:rPr>
        <w:t>”</w:t>
      </w:r>
      <w:r w:rsidR="007D5815" w:rsidRPr="000C5050">
        <w:rPr>
          <w:i/>
        </w:rPr>
        <w:t>.</w:t>
      </w:r>
    </w:p>
    <w:p w14:paraId="52C4FC47" w14:textId="4CF0BEEF" w:rsidR="00DC43C4" w:rsidRPr="000C5050" w:rsidRDefault="00DC43C4" w:rsidP="00DC43C4">
      <w:pPr>
        <w:pStyle w:val="BodyText"/>
      </w:pPr>
      <w:r w:rsidRPr="000C5050">
        <w:t xml:space="preserve">The risk-based assessment would be supported by guidance, which would set out how and why a decision about the likelihood of contamination could be made. Guidance would set out the type of information a landowner or council might collate in order to demonstrate that, although a HAIL activity is, has or may have been undertaken on the land, it is </w:t>
      </w:r>
      <w:r w:rsidR="00D23076" w:rsidRPr="000C5050">
        <w:t>not likely</w:t>
      </w:r>
      <w:r w:rsidRPr="000C5050">
        <w:t xml:space="preserve"> to have created a risk for human health. </w:t>
      </w:r>
    </w:p>
    <w:p w14:paraId="6A0F15C5" w14:textId="77777777" w:rsidR="00397945" w:rsidRPr="000C5050" w:rsidRDefault="00397945" w:rsidP="0052489B">
      <w:pPr>
        <w:pStyle w:val="Heading4"/>
        <w:spacing w:before="240"/>
      </w:pPr>
      <w:r w:rsidRPr="000C5050">
        <w:t xml:space="preserve">Anticipated impacts of changes </w:t>
      </w:r>
    </w:p>
    <w:p w14:paraId="5FC30892" w14:textId="4AD9A3B3" w:rsidR="00397945" w:rsidRPr="000C5050" w:rsidRDefault="00397945" w:rsidP="00397945">
      <w:pPr>
        <w:pStyle w:val="BodyText"/>
      </w:pPr>
      <w:r w:rsidRPr="000C5050">
        <w:t xml:space="preserve">The proposed assessment will mean that the NESCS will not apply to HAIL sites where it is </w:t>
      </w:r>
      <w:r w:rsidR="005C2274" w:rsidRPr="000C5050">
        <w:t xml:space="preserve">not </w:t>
      </w:r>
      <w:r w:rsidRPr="000C5050">
        <w:t xml:space="preserve">likely to have resulted in contamination which poses a risk to human health. Overall, this is expected to result in a net reduction in the number of HAIL </w:t>
      </w:r>
      <w:proofErr w:type="gramStart"/>
      <w:r w:rsidRPr="000C5050">
        <w:t>sites</w:t>
      </w:r>
      <w:proofErr w:type="gramEnd"/>
      <w:r w:rsidRPr="000C5050">
        <w:t xml:space="preserve"> to which the NESCS applies, with a follow-on reduction in costs during development for some landowners or developers. It is estimated that the impacts of these changes could be to reduce the number of NESCS consents by 5–10 per cent.</w:t>
      </w:r>
      <w:r w:rsidR="00310645" w:rsidRPr="000C5050">
        <w:t xml:space="preserve"> </w:t>
      </w:r>
    </w:p>
    <w:p w14:paraId="582CB95B" w14:textId="77777777" w:rsidR="00E716FD" w:rsidRPr="000C5050" w:rsidRDefault="00E716FD" w:rsidP="007F5256">
      <w:pPr>
        <w:pStyle w:val="Heading2"/>
        <w:spacing w:after="120"/>
      </w:pPr>
      <w:bookmarkStart w:id="18" w:name="_Toc460081243"/>
      <w:r w:rsidRPr="000C5050">
        <w:t>Questions</w:t>
      </w:r>
      <w:bookmarkEnd w:id="18"/>
    </w:p>
    <w:p w14:paraId="46CFBC9D" w14:textId="6D6E3543" w:rsidR="00E716FD" w:rsidRPr="000C5050" w:rsidRDefault="00E716FD" w:rsidP="00E10EFA">
      <w:pPr>
        <w:pStyle w:val="Bodytextnumbered"/>
      </w:pPr>
      <w:r w:rsidRPr="000C5050">
        <w:t xml:space="preserve">Do you agree with the proposal to introduce a risk-based </w:t>
      </w:r>
      <w:r w:rsidR="0060694C" w:rsidRPr="000C5050">
        <w:t>assessment</w:t>
      </w:r>
      <w:r w:rsidRPr="000C5050">
        <w:t xml:space="preserve"> into the NESCS framework? Why, or why not?</w:t>
      </w:r>
      <w:r w:rsidR="007D080D" w:rsidRPr="000C5050">
        <w:t xml:space="preserve"> </w:t>
      </w:r>
    </w:p>
    <w:p w14:paraId="08160827" w14:textId="77777777" w:rsidR="00756372" w:rsidRPr="000C5050" w:rsidDel="00F169E1" w:rsidRDefault="00756372" w:rsidP="00A97F22">
      <w:pPr>
        <w:pStyle w:val="Bodytextnumbered"/>
      </w:pPr>
      <w:r w:rsidRPr="000C5050">
        <w:lastRenderedPageBreak/>
        <w:t>What terminology should be used in the risk-based assessment (</w:t>
      </w:r>
      <w:proofErr w:type="spellStart"/>
      <w:r w:rsidRPr="000C5050">
        <w:t>ie</w:t>
      </w:r>
      <w:proofErr w:type="spellEnd"/>
      <w:r w:rsidRPr="000C5050">
        <w:t xml:space="preserve">, “reasonably likely”, “more likely than not”)? </w:t>
      </w:r>
    </w:p>
    <w:p w14:paraId="7CA5E852" w14:textId="77777777" w:rsidR="0060694C" w:rsidRPr="000C5050" w:rsidRDefault="00E716FD" w:rsidP="0060694C">
      <w:pPr>
        <w:pStyle w:val="Bodytextnumbered"/>
      </w:pPr>
      <w:r w:rsidRPr="000C5050">
        <w:t xml:space="preserve">What are the expected impacts of this proposal? </w:t>
      </w:r>
      <w:r w:rsidR="0060694C" w:rsidRPr="000C5050">
        <w:t>Where possible, please provide quantitative evidence.</w:t>
      </w:r>
    </w:p>
    <w:p w14:paraId="2A83A3BC" w14:textId="37FE4BD8" w:rsidR="00E716FD" w:rsidRPr="000C5050" w:rsidRDefault="0060694C" w:rsidP="003827C3">
      <w:r w:rsidRPr="000C5050">
        <w:t>We also seek specific feedback, particularly from territorial authorities and practitioners, on:</w:t>
      </w:r>
    </w:p>
    <w:p w14:paraId="172D2ED4" w14:textId="31B064BA" w:rsidR="00E716FD" w:rsidRPr="000C5050" w:rsidRDefault="0060694C" w:rsidP="007F5256">
      <w:pPr>
        <w:pStyle w:val="Bodytextnumbered"/>
      </w:pPr>
      <w:r w:rsidRPr="000C5050">
        <w:t xml:space="preserve">Could there be </w:t>
      </w:r>
      <w:r w:rsidR="00E716FD" w:rsidRPr="000C5050">
        <w:t>unintended outcomes from this proposal? If so, what are they and how could they be avoided?</w:t>
      </w:r>
    </w:p>
    <w:p w14:paraId="77A43725" w14:textId="77777777" w:rsidR="00443C7C" w:rsidRPr="000C5050" w:rsidRDefault="00443C7C" w:rsidP="003827C3">
      <w:pPr>
        <w:pStyle w:val="Bodytextnumbered"/>
      </w:pPr>
      <w:r w:rsidRPr="000C5050">
        <w:br w:type="page"/>
      </w:r>
    </w:p>
    <w:p w14:paraId="71E47D0D" w14:textId="77777777" w:rsidR="00EC1B17" w:rsidRPr="000C5050" w:rsidRDefault="00EC1B17" w:rsidP="00EC1B17">
      <w:pPr>
        <w:pStyle w:val="Heading1"/>
      </w:pPr>
      <w:bookmarkStart w:id="19" w:name="_Toc460081244"/>
      <w:r w:rsidRPr="000C5050">
        <w:lastRenderedPageBreak/>
        <w:t>5</w:t>
      </w:r>
      <w:r w:rsidR="00BC32ED" w:rsidRPr="000C5050">
        <w:tab/>
      </w:r>
      <w:r w:rsidRPr="000C5050">
        <w:t>NESCS activities and planning controls</w:t>
      </w:r>
      <w:bookmarkEnd w:id="19"/>
    </w:p>
    <w:p w14:paraId="659E4A3D" w14:textId="77777777" w:rsidR="00EC1B17" w:rsidRPr="000C5050" w:rsidRDefault="00EC1B17" w:rsidP="00EC1B17">
      <w:pPr>
        <w:pStyle w:val="Heading2"/>
        <w:spacing w:before="240"/>
      </w:pPr>
      <w:bookmarkStart w:id="20" w:name="_Toc460081245"/>
      <w:r w:rsidRPr="000C5050">
        <w:t>Activities related to land development</w:t>
      </w:r>
      <w:bookmarkEnd w:id="20"/>
    </w:p>
    <w:p w14:paraId="0493035F" w14:textId="66CDAF4D" w:rsidR="00DC43C4" w:rsidRPr="000C5050" w:rsidRDefault="00EC1B17" w:rsidP="00EC1B17">
      <w:pPr>
        <w:pStyle w:val="BodyText"/>
      </w:pPr>
      <w:r w:rsidRPr="000C5050">
        <w:t>The National Environmental Standard for Assessing and Managing Contaminants in Soil to Protect Human Health (NESCS) target</w:t>
      </w:r>
      <w:r w:rsidR="000B06DB" w:rsidRPr="000C5050">
        <w:t>s</w:t>
      </w:r>
      <w:r w:rsidRPr="000C5050">
        <w:t xml:space="preserve"> activities related to land development, to appropriately manage risks to human health of contaminated soils. The NESCS provides councils with a set of</w:t>
      </w:r>
      <w:r w:rsidR="007E5EA8" w:rsidRPr="000C5050">
        <w:t> </w:t>
      </w:r>
      <w:r w:rsidRPr="000C5050">
        <w:t>planning requirements for five activities, and criteria to determine the appropriate degree of consenting control for each activity according to the potential risk to human health (collectively termed the NESCS planning controls). The five activities can all be carried out as</w:t>
      </w:r>
      <w:r w:rsidR="007E5EA8" w:rsidRPr="000C5050">
        <w:t> </w:t>
      </w:r>
      <w:r w:rsidRPr="000C5050">
        <w:t>permitted activities if certain criteria are met. Where activities cannot meet the permitted activity requirements, resource consent is required in one of three categories (controlled, restricted discretionary, and discretionary), based on the risk posed to human health on the</w:t>
      </w:r>
      <w:r w:rsidR="007E5EA8" w:rsidRPr="000C5050">
        <w:t> </w:t>
      </w:r>
      <w:r w:rsidRPr="000C5050">
        <w:t>site.</w:t>
      </w:r>
    </w:p>
    <w:p w14:paraId="16F4F4A2" w14:textId="77777777" w:rsidR="00EC1B17" w:rsidRPr="000C5050" w:rsidRDefault="00EC1B17" w:rsidP="00EC1B17">
      <w:pPr>
        <w:pStyle w:val="Tableheading"/>
      </w:pPr>
      <w:bookmarkStart w:id="21" w:name="_Toc460081286"/>
      <w:r w:rsidRPr="000C5050" w:rsidDel="000D1F0F">
        <w:t xml:space="preserve">Table </w:t>
      </w:r>
      <w:r w:rsidRPr="000C5050">
        <w:t xml:space="preserve">1: </w:t>
      </w:r>
      <w:r w:rsidRPr="000C5050">
        <w:tab/>
      </w:r>
      <w:r w:rsidRPr="000C5050" w:rsidDel="000D1F0F">
        <w:t>Types of resource consent under the NESCS and relationship to risk</w:t>
      </w:r>
      <w:bookmarkEnd w:id="21"/>
    </w:p>
    <w:tbl>
      <w:tblPr>
        <w:tblStyle w:val="TableGrid"/>
        <w:tblW w:w="8562" w:type="dxa"/>
        <w:tblInd w:w="108" w:type="dxa"/>
        <w:tblBorders>
          <w:top w:val="single" w:sz="4" w:space="0" w:color="593731"/>
          <w:left w:val="none" w:sz="0" w:space="0" w:color="auto"/>
          <w:bottom w:val="single" w:sz="4" w:space="0" w:color="593731"/>
          <w:right w:val="none" w:sz="0" w:space="0" w:color="auto"/>
          <w:insideH w:val="single" w:sz="4" w:space="0" w:color="593731"/>
          <w:insideV w:val="single" w:sz="4" w:space="0" w:color="593731"/>
        </w:tblBorders>
        <w:tblLook w:val="04A0" w:firstRow="1" w:lastRow="0" w:firstColumn="1" w:lastColumn="0" w:noHBand="0" w:noVBand="1"/>
      </w:tblPr>
      <w:tblGrid>
        <w:gridCol w:w="2268"/>
        <w:gridCol w:w="6294"/>
      </w:tblGrid>
      <w:tr w:rsidR="00BC32ED" w:rsidRPr="000C5050" w14:paraId="2CEA44DE" w14:textId="77777777" w:rsidTr="003A34A7">
        <w:tc>
          <w:tcPr>
            <w:tcW w:w="2268" w:type="dxa"/>
            <w:tcBorders>
              <w:top w:val="single" w:sz="4" w:space="0" w:color="17556C"/>
              <w:bottom w:val="single" w:sz="4" w:space="0" w:color="17556C"/>
              <w:right w:val="single" w:sz="4" w:space="0" w:color="17556C"/>
            </w:tcBorders>
            <w:shd w:val="clear" w:color="auto" w:fill="17556C"/>
          </w:tcPr>
          <w:p w14:paraId="4E59A944" w14:textId="77777777" w:rsidR="00EC1B17" w:rsidRPr="000C5050" w:rsidRDefault="00EC1B17" w:rsidP="00EC1B17">
            <w:pPr>
              <w:pStyle w:val="TableTextbold"/>
              <w:rPr>
                <w:color w:val="FFFFFF" w:themeColor="background1"/>
              </w:rPr>
            </w:pPr>
            <w:r w:rsidRPr="000C5050">
              <w:rPr>
                <w:color w:val="FFFFFF" w:themeColor="background1"/>
              </w:rPr>
              <w:t>Types of NESCS consents</w:t>
            </w:r>
          </w:p>
        </w:tc>
        <w:tc>
          <w:tcPr>
            <w:tcW w:w="6294" w:type="dxa"/>
            <w:tcBorders>
              <w:top w:val="single" w:sz="4" w:space="0" w:color="17556C"/>
              <w:left w:val="single" w:sz="4" w:space="0" w:color="17556C"/>
              <w:bottom w:val="single" w:sz="4" w:space="0" w:color="17556C"/>
            </w:tcBorders>
            <w:shd w:val="clear" w:color="auto" w:fill="17556C"/>
          </w:tcPr>
          <w:p w14:paraId="60BF7B4E" w14:textId="77777777" w:rsidR="00EC1B17" w:rsidRPr="000C5050" w:rsidRDefault="00EC1B17" w:rsidP="00EC1B17">
            <w:pPr>
              <w:pStyle w:val="TableTextbold"/>
              <w:rPr>
                <w:color w:val="FFFFFF" w:themeColor="background1"/>
              </w:rPr>
            </w:pPr>
            <w:r w:rsidRPr="000C5050">
              <w:rPr>
                <w:color w:val="FFFFFF" w:themeColor="background1"/>
              </w:rPr>
              <w:t>Risk to human health</w:t>
            </w:r>
          </w:p>
        </w:tc>
      </w:tr>
      <w:tr w:rsidR="00EC1B17" w:rsidRPr="000C5050" w14:paraId="7203611C" w14:textId="77777777" w:rsidTr="003A34A7">
        <w:tc>
          <w:tcPr>
            <w:tcW w:w="2268" w:type="dxa"/>
            <w:tcBorders>
              <w:top w:val="single" w:sz="4" w:space="0" w:color="17556C"/>
              <w:bottom w:val="single" w:sz="4" w:space="0" w:color="17556C"/>
              <w:right w:val="single" w:sz="4" w:space="0" w:color="17556C"/>
            </w:tcBorders>
            <w:shd w:val="clear" w:color="auto" w:fill="FFFFFF" w:themeFill="background1"/>
          </w:tcPr>
          <w:p w14:paraId="3260B0D9" w14:textId="77777777" w:rsidR="00EC1B17" w:rsidRPr="000C5050" w:rsidRDefault="00EC1B17" w:rsidP="00EC1B17">
            <w:pPr>
              <w:pStyle w:val="Tabletext"/>
            </w:pPr>
            <w:r w:rsidRPr="000C5050">
              <w:t xml:space="preserve">Controlled </w:t>
            </w:r>
          </w:p>
        </w:tc>
        <w:tc>
          <w:tcPr>
            <w:tcW w:w="6294" w:type="dxa"/>
            <w:tcBorders>
              <w:top w:val="single" w:sz="4" w:space="0" w:color="17556C"/>
              <w:left w:val="single" w:sz="4" w:space="0" w:color="17556C"/>
              <w:bottom w:val="single" w:sz="4" w:space="0" w:color="17556C"/>
            </w:tcBorders>
            <w:shd w:val="clear" w:color="auto" w:fill="FFFFFF" w:themeFill="background1"/>
          </w:tcPr>
          <w:p w14:paraId="426D3126" w14:textId="06F9C23D" w:rsidR="00EC1B17" w:rsidRPr="000C5050" w:rsidRDefault="00EC1B17" w:rsidP="00157E70">
            <w:pPr>
              <w:pStyle w:val="Tabletext"/>
            </w:pPr>
            <w:r w:rsidRPr="000C5050">
              <w:t xml:space="preserve">A </w:t>
            </w:r>
            <w:r w:rsidR="00157E70" w:rsidRPr="000C5050">
              <w:t>DSI</w:t>
            </w:r>
            <w:r w:rsidRPr="000C5050">
              <w:t xml:space="preserve"> has found that the contaminants present on site are below human health guideline values, but above background concentrations.</w:t>
            </w:r>
          </w:p>
        </w:tc>
      </w:tr>
      <w:tr w:rsidR="00EC1B17" w:rsidRPr="000C5050" w14:paraId="6E30259B" w14:textId="77777777" w:rsidTr="003A34A7">
        <w:tc>
          <w:tcPr>
            <w:tcW w:w="2268" w:type="dxa"/>
            <w:tcBorders>
              <w:top w:val="single" w:sz="4" w:space="0" w:color="17556C"/>
              <w:bottom w:val="single" w:sz="4" w:space="0" w:color="17556C"/>
              <w:right w:val="single" w:sz="4" w:space="0" w:color="17556C"/>
            </w:tcBorders>
            <w:shd w:val="clear" w:color="auto" w:fill="FFFFFF" w:themeFill="background1"/>
          </w:tcPr>
          <w:p w14:paraId="06B15501" w14:textId="77777777" w:rsidR="00EC1B17" w:rsidRPr="000C5050" w:rsidRDefault="00EC1B17" w:rsidP="00EC1B17">
            <w:pPr>
              <w:pStyle w:val="Tabletext"/>
            </w:pPr>
            <w:r w:rsidRPr="000C5050">
              <w:t>Restricted discretionary</w:t>
            </w:r>
          </w:p>
        </w:tc>
        <w:tc>
          <w:tcPr>
            <w:tcW w:w="6294" w:type="dxa"/>
            <w:tcBorders>
              <w:top w:val="single" w:sz="4" w:space="0" w:color="17556C"/>
              <w:left w:val="single" w:sz="4" w:space="0" w:color="17556C"/>
              <w:bottom w:val="single" w:sz="4" w:space="0" w:color="17556C"/>
            </w:tcBorders>
            <w:shd w:val="clear" w:color="auto" w:fill="FFFFFF" w:themeFill="background1"/>
          </w:tcPr>
          <w:p w14:paraId="5C16B525" w14:textId="77777777" w:rsidR="00EC1B17" w:rsidRPr="000C5050" w:rsidRDefault="00EC1B17" w:rsidP="00EC1B17">
            <w:pPr>
              <w:pStyle w:val="Tabletext"/>
            </w:pPr>
            <w:r w:rsidRPr="000C5050">
              <w:t>A DSI has found that contaminant concentrations on site exceed guideline values.</w:t>
            </w:r>
          </w:p>
        </w:tc>
      </w:tr>
      <w:tr w:rsidR="00EC1B17" w:rsidRPr="000C5050" w14:paraId="6AB2490D" w14:textId="77777777" w:rsidTr="003A34A7">
        <w:tc>
          <w:tcPr>
            <w:tcW w:w="2268" w:type="dxa"/>
            <w:tcBorders>
              <w:top w:val="single" w:sz="4" w:space="0" w:color="17556C"/>
              <w:bottom w:val="single" w:sz="4" w:space="0" w:color="17556C"/>
              <w:right w:val="single" w:sz="4" w:space="0" w:color="17556C"/>
            </w:tcBorders>
            <w:shd w:val="clear" w:color="auto" w:fill="FFFFFF" w:themeFill="background1"/>
          </w:tcPr>
          <w:p w14:paraId="481F8AFE" w14:textId="77777777" w:rsidR="00EC1B17" w:rsidRPr="000C5050" w:rsidRDefault="00EC1B17" w:rsidP="00EC1B17">
            <w:pPr>
              <w:pStyle w:val="Tabletext"/>
            </w:pPr>
            <w:r w:rsidRPr="000C5050">
              <w:t>Discretionary</w:t>
            </w:r>
          </w:p>
        </w:tc>
        <w:tc>
          <w:tcPr>
            <w:tcW w:w="6294" w:type="dxa"/>
            <w:tcBorders>
              <w:top w:val="single" w:sz="4" w:space="0" w:color="17556C"/>
              <w:left w:val="single" w:sz="4" w:space="0" w:color="17556C"/>
              <w:bottom w:val="single" w:sz="4" w:space="0" w:color="17556C"/>
            </w:tcBorders>
            <w:shd w:val="clear" w:color="auto" w:fill="FFFFFF" w:themeFill="background1"/>
          </w:tcPr>
          <w:p w14:paraId="7D240A76" w14:textId="77777777" w:rsidR="00EC1B17" w:rsidRPr="000C5050" w:rsidRDefault="00EC1B17" w:rsidP="00EC1B17">
            <w:pPr>
              <w:pStyle w:val="Tabletext"/>
            </w:pPr>
            <w:r w:rsidRPr="000C5050">
              <w:t>A DSI has not been undertaken, and so the risks to human health on the site have not been established.</w:t>
            </w:r>
          </w:p>
        </w:tc>
      </w:tr>
    </w:tbl>
    <w:p w14:paraId="54A95F0C" w14:textId="77777777" w:rsidR="00E710BE" w:rsidRPr="000C5050" w:rsidRDefault="00E710BE" w:rsidP="00E710BE">
      <w:pPr>
        <w:pStyle w:val="BodyText"/>
        <w:spacing w:before="0" w:after="0" w:line="240" w:lineRule="auto"/>
        <w:rPr>
          <w:lang w:eastAsia="en-US"/>
        </w:rPr>
      </w:pPr>
    </w:p>
    <w:p w14:paraId="00B03BB6" w14:textId="77777777" w:rsidR="00E710BE" w:rsidRPr="000C5050" w:rsidRDefault="00E710BE" w:rsidP="00E710BE">
      <w:pPr>
        <w:pStyle w:val="BodyText"/>
        <w:rPr>
          <w:lang w:eastAsia="en-US"/>
        </w:rPr>
      </w:pPr>
      <w:r w:rsidRPr="000C5050">
        <w:rPr>
          <w:lang w:eastAsia="en-US"/>
        </w:rPr>
        <w:t>The interim review identified that there is considerable variation in how the NESCS planning controls are being applied by councils and practitioners across the country. This is creating differences between districts in terms of what activities require NESCS resource consent,</w:t>
      </w:r>
      <w:r w:rsidR="007D080D" w:rsidRPr="000C5050">
        <w:rPr>
          <w:lang w:eastAsia="en-US"/>
        </w:rPr>
        <w:t xml:space="preserve"> </w:t>
      </w:r>
      <w:r w:rsidRPr="000C5050">
        <w:rPr>
          <w:lang w:eastAsia="en-US"/>
        </w:rPr>
        <w:t>resulting in project delays, increased costs and inefficiencies for landowners.</w:t>
      </w:r>
      <w:r w:rsidR="007D080D" w:rsidRPr="000C5050">
        <w:rPr>
          <w:lang w:eastAsia="en-US"/>
        </w:rPr>
        <w:t xml:space="preserve"> </w:t>
      </w:r>
      <w:r w:rsidRPr="000C5050">
        <w:rPr>
          <w:lang w:eastAsia="en-US"/>
        </w:rPr>
        <w:t xml:space="preserve">On some occasions, consents are being obtained when the NESCS does not require them. Two areas of inconsistent application of the NESCS planning controls have been identified: </w:t>
      </w:r>
    </w:p>
    <w:p w14:paraId="03EF5B42" w14:textId="77777777" w:rsidR="00E710BE" w:rsidRPr="000C5050" w:rsidRDefault="00E710BE" w:rsidP="00E710BE">
      <w:pPr>
        <w:pStyle w:val="Bullet"/>
        <w:rPr>
          <w:lang w:eastAsia="en-US"/>
        </w:rPr>
      </w:pPr>
      <w:r w:rsidRPr="000C5050">
        <w:rPr>
          <w:lang w:eastAsia="en-US"/>
        </w:rPr>
        <w:t>determining whether an activity is permitted, which can be a cumbersome process for some landowners</w:t>
      </w:r>
    </w:p>
    <w:p w14:paraId="108CB7EA" w14:textId="77777777" w:rsidR="00E710BE" w:rsidRPr="000C5050" w:rsidRDefault="00E710BE" w:rsidP="00E710BE">
      <w:pPr>
        <w:pStyle w:val="Bullet"/>
        <w:rPr>
          <w:lang w:eastAsia="en-US"/>
        </w:rPr>
      </w:pPr>
      <w:proofErr w:type="gramStart"/>
      <w:r w:rsidRPr="000C5050">
        <w:rPr>
          <w:lang w:eastAsia="en-US"/>
        </w:rPr>
        <w:t>the</w:t>
      </w:r>
      <w:proofErr w:type="gramEnd"/>
      <w:r w:rsidRPr="000C5050">
        <w:rPr>
          <w:lang w:eastAsia="en-US"/>
        </w:rPr>
        <w:t xml:space="preserve"> area of land that requires investigation and management at the time of obtaining NESCS.</w:t>
      </w:r>
    </w:p>
    <w:p w14:paraId="01784F2E" w14:textId="77777777" w:rsidR="00E710BE" w:rsidRPr="000C5050" w:rsidRDefault="00E710BE" w:rsidP="00E710BE">
      <w:pPr>
        <w:pStyle w:val="BodyText"/>
        <w:rPr>
          <w:lang w:eastAsia="en-US"/>
        </w:rPr>
      </w:pPr>
      <w:r w:rsidRPr="000C5050">
        <w:rPr>
          <w:lang w:eastAsia="en-US"/>
        </w:rPr>
        <w:t>Further, the NESCS currently requires landowners to obtain resource consent where the risks could be managed in other ways. Two areas have been identified where the risk to human health could be managed in other ways:</w:t>
      </w:r>
    </w:p>
    <w:p w14:paraId="7F8250A2" w14:textId="77777777" w:rsidR="00E710BE" w:rsidRPr="000C5050" w:rsidRDefault="00E710BE" w:rsidP="00E710BE">
      <w:pPr>
        <w:pStyle w:val="Bullet"/>
        <w:rPr>
          <w:lang w:eastAsia="en-US"/>
        </w:rPr>
      </w:pPr>
      <w:r w:rsidRPr="000C5050">
        <w:rPr>
          <w:lang w:eastAsia="en-US"/>
        </w:rPr>
        <w:t>sites where soil concentrations are below guideline values</w:t>
      </w:r>
    </w:p>
    <w:p w14:paraId="455C60B4" w14:textId="77777777" w:rsidR="00E710BE" w:rsidRPr="000C5050" w:rsidRDefault="00E710BE" w:rsidP="00E710BE">
      <w:pPr>
        <w:pStyle w:val="Bullet"/>
        <w:rPr>
          <w:lang w:eastAsia="en-US"/>
        </w:rPr>
      </w:pPr>
      <w:proofErr w:type="gramStart"/>
      <w:r w:rsidRPr="000C5050">
        <w:rPr>
          <w:lang w:eastAsia="en-US"/>
        </w:rPr>
        <w:t>network</w:t>
      </w:r>
      <w:proofErr w:type="gramEnd"/>
      <w:r w:rsidRPr="000C5050">
        <w:rPr>
          <w:lang w:eastAsia="en-US"/>
        </w:rPr>
        <w:t xml:space="preserve"> utility operators undertaking soil disturbance. </w:t>
      </w:r>
    </w:p>
    <w:p w14:paraId="03F6A8BE" w14:textId="77777777" w:rsidR="00E710BE" w:rsidRPr="000C5050" w:rsidRDefault="00E710BE" w:rsidP="00E710BE">
      <w:pPr>
        <w:pStyle w:val="BodyText"/>
        <w:rPr>
          <w:lang w:eastAsia="en-US"/>
        </w:rPr>
      </w:pPr>
      <w:r w:rsidRPr="000C5050">
        <w:rPr>
          <w:lang w:eastAsia="en-US"/>
        </w:rPr>
        <w:t>Landowners may be required to remediate their property in circumstances where other management options are available</w:t>
      </w:r>
      <w:r w:rsidR="00465C7C" w:rsidRPr="000C5050">
        <w:rPr>
          <w:lang w:eastAsia="en-US"/>
        </w:rPr>
        <w:t xml:space="preserve"> – </w:t>
      </w:r>
      <w:r w:rsidRPr="000C5050">
        <w:rPr>
          <w:lang w:eastAsia="en-US"/>
        </w:rPr>
        <w:t>some of which may be more cost effective for the landowner (</w:t>
      </w:r>
      <w:proofErr w:type="spellStart"/>
      <w:r w:rsidRPr="000C5050">
        <w:rPr>
          <w:lang w:eastAsia="en-US"/>
        </w:rPr>
        <w:t>ie</w:t>
      </w:r>
      <w:proofErr w:type="spellEnd"/>
      <w:r w:rsidRPr="000C5050">
        <w:rPr>
          <w:lang w:eastAsia="en-US"/>
        </w:rPr>
        <w:t>, soil disposal).</w:t>
      </w:r>
      <w:r w:rsidR="007D080D" w:rsidRPr="000C5050">
        <w:rPr>
          <w:lang w:eastAsia="en-US"/>
        </w:rPr>
        <w:t xml:space="preserve"> </w:t>
      </w:r>
    </w:p>
    <w:p w14:paraId="28B44236" w14:textId="369D639F" w:rsidR="00E710BE" w:rsidRPr="000C5050" w:rsidRDefault="00100AAA" w:rsidP="00A96AC4">
      <w:pPr>
        <w:pStyle w:val="BodyText"/>
        <w:keepNext/>
        <w:rPr>
          <w:lang w:eastAsia="en-US"/>
        </w:rPr>
      </w:pPr>
      <w:r w:rsidRPr="000C5050">
        <w:rPr>
          <w:lang w:eastAsia="en-US"/>
        </w:rPr>
        <w:t>Proposals outlined below are intended</w:t>
      </w:r>
      <w:r w:rsidR="00580A02" w:rsidRPr="000C5050">
        <w:rPr>
          <w:lang w:eastAsia="en-US"/>
        </w:rPr>
        <w:t xml:space="preserve"> </w:t>
      </w:r>
      <w:r w:rsidR="00E710BE" w:rsidRPr="000C5050">
        <w:rPr>
          <w:lang w:eastAsia="en-US"/>
        </w:rPr>
        <w:t>to ensure:</w:t>
      </w:r>
    </w:p>
    <w:p w14:paraId="265CEC82" w14:textId="77777777" w:rsidR="00E710BE" w:rsidRPr="000C5050" w:rsidRDefault="00E710BE" w:rsidP="00A96AC4">
      <w:pPr>
        <w:pStyle w:val="Bullet"/>
        <w:keepNext/>
        <w:rPr>
          <w:lang w:eastAsia="en-US"/>
        </w:rPr>
      </w:pPr>
      <w:r w:rsidRPr="000C5050">
        <w:rPr>
          <w:lang w:eastAsia="en-US"/>
        </w:rPr>
        <w:t>low-risk activities are not being targeted by the NESCS</w:t>
      </w:r>
    </w:p>
    <w:p w14:paraId="55E9F75D" w14:textId="77777777" w:rsidR="00E710BE" w:rsidRPr="000C5050" w:rsidRDefault="00E710BE" w:rsidP="00E710BE">
      <w:pPr>
        <w:pStyle w:val="Bullet"/>
        <w:rPr>
          <w:lang w:eastAsia="en-US"/>
        </w:rPr>
      </w:pPr>
      <w:r w:rsidRPr="000C5050">
        <w:rPr>
          <w:lang w:eastAsia="en-US"/>
        </w:rPr>
        <w:t>certainty of the consenting process</w:t>
      </w:r>
    </w:p>
    <w:p w14:paraId="0BC39736" w14:textId="77777777" w:rsidR="00E710BE" w:rsidRPr="000C5050" w:rsidRDefault="00E710BE" w:rsidP="00E710BE">
      <w:pPr>
        <w:pStyle w:val="Bullet"/>
        <w:rPr>
          <w:lang w:eastAsia="en-US"/>
        </w:rPr>
      </w:pPr>
      <w:proofErr w:type="gramStart"/>
      <w:r w:rsidRPr="000C5050">
        <w:rPr>
          <w:lang w:eastAsia="en-US"/>
        </w:rPr>
        <w:t>consenting</w:t>
      </w:r>
      <w:proofErr w:type="gramEnd"/>
      <w:r w:rsidRPr="000C5050">
        <w:rPr>
          <w:lang w:eastAsia="en-US"/>
        </w:rPr>
        <w:t xml:space="preserve"> controls are targeted closely to the effects of the activity.</w:t>
      </w:r>
    </w:p>
    <w:p w14:paraId="698C9FB9" w14:textId="77777777" w:rsidR="00EC1B17" w:rsidRPr="000C5050" w:rsidRDefault="00E710BE" w:rsidP="007134A5">
      <w:pPr>
        <w:pStyle w:val="Heading2"/>
        <w:spacing w:after="60"/>
        <w:rPr>
          <w:lang w:eastAsia="en-US"/>
        </w:rPr>
      </w:pPr>
      <w:bookmarkStart w:id="22" w:name="_Toc460081246"/>
      <w:r w:rsidRPr="000C5050">
        <w:rPr>
          <w:lang w:eastAsia="en-US"/>
        </w:rPr>
        <w:lastRenderedPageBreak/>
        <w:t>Proposals</w:t>
      </w:r>
      <w:bookmarkEnd w:id="22"/>
    </w:p>
    <w:p w14:paraId="52D86362" w14:textId="77777777" w:rsidR="00E710BE" w:rsidRPr="000C5050" w:rsidRDefault="00E710BE" w:rsidP="00AB35CD">
      <w:pPr>
        <w:pStyle w:val="Boxheading"/>
        <w:rPr>
          <w:lang w:eastAsia="en-US"/>
        </w:rPr>
      </w:pPr>
      <w:r w:rsidRPr="000C5050">
        <w:rPr>
          <w:lang w:eastAsia="en-US"/>
        </w:rPr>
        <w:t>Remove resource consent requirements for low-risk activities</w:t>
      </w:r>
    </w:p>
    <w:p w14:paraId="52698503" w14:textId="77777777" w:rsidR="00E710BE" w:rsidRPr="000C5050" w:rsidRDefault="00E710BE" w:rsidP="00B107BE">
      <w:pPr>
        <w:pStyle w:val="Box"/>
        <w:rPr>
          <w:lang w:eastAsia="en-US"/>
        </w:rPr>
      </w:pPr>
      <w:r w:rsidRPr="000C5050">
        <w:rPr>
          <w:lang w:eastAsia="en-US"/>
        </w:rPr>
        <w:t>5.1</w:t>
      </w:r>
      <w:r w:rsidRPr="000C5050">
        <w:rPr>
          <w:lang w:eastAsia="en-US"/>
        </w:rPr>
        <w:tab/>
        <w:t xml:space="preserve">No NESCS resource consent required for activities on sites found to have contamination below soil contaminant standards or Tier 1 soil acceptance criteria. </w:t>
      </w:r>
    </w:p>
    <w:p w14:paraId="352098D6" w14:textId="4F038CD9" w:rsidR="00E710BE" w:rsidRPr="000C5050" w:rsidRDefault="00E710BE" w:rsidP="00B107BE">
      <w:pPr>
        <w:pStyle w:val="Box"/>
        <w:rPr>
          <w:lang w:eastAsia="en-US"/>
        </w:rPr>
      </w:pPr>
      <w:r w:rsidRPr="000C5050">
        <w:rPr>
          <w:lang w:eastAsia="en-US"/>
        </w:rPr>
        <w:t xml:space="preserve">5.2 </w:t>
      </w:r>
      <w:r w:rsidRPr="000C5050">
        <w:rPr>
          <w:lang w:eastAsia="en-US"/>
        </w:rPr>
        <w:tab/>
        <w:t xml:space="preserve">No NESCS resource consent required for soil disturbance by </w:t>
      </w:r>
      <w:r w:rsidR="00F61C9E" w:rsidRPr="000C5050">
        <w:rPr>
          <w:lang w:eastAsia="en-US"/>
        </w:rPr>
        <w:t xml:space="preserve">a </w:t>
      </w:r>
      <w:r w:rsidRPr="000C5050">
        <w:rPr>
          <w:lang w:eastAsia="en-US"/>
        </w:rPr>
        <w:t xml:space="preserve">network utility operator. </w:t>
      </w:r>
    </w:p>
    <w:p w14:paraId="3E940DED" w14:textId="591CC466" w:rsidR="00E710BE" w:rsidRPr="000C5050" w:rsidRDefault="00E710BE" w:rsidP="00B107BE">
      <w:pPr>
        <w:pStyle w:val="Box"/>
        <w:rPr>
          <w:lang w:eastAsia="en-US"/>
        </w:rPr>
      </w:pPr>
      <w:r w:rsidRPr="000C5050">
        <w:rPr>
          <w:lang w:eastAsia="en-US"/>
        </w:rPr>
        <w:t xml:space="preserve">5.3 </w:t>
      </w:r>
      <w:r w:rsidRPr="000C5050">
        <w:rPr>
          <w:lang w:eastAsia="en-US"/>
        </w:rPr>
        <w:tab/>
        <w:t xml:space="preserve">No NESCS resource consent required for subdivisions that are purely </w:t>
      </w:r>
      <w:r w:rsidR="00580A02" w:rsidRPr="000C5050">
        <w:rPr>
          <w:lang w:eastAsia="en-US"/>
        </w:rPr>
        <w:t>‘</w:t>
      </w:r>
      <w:r w:rsidRPr="000C5050">
        <w:rPr>
          <w:lang w:eastAsia="en-US"/>
        </w:rPr>
        <w:t>paper-based</w:t>
      </w:r>
      <w:r w:rsidR="00580A02" w:rsidRPr="000C5050">
        <w:rPr>
          <w:lang w:eastAsia="en-US"/>
        </w:rPr>
        <w:t>’</w:t>
      </w:r>
      <w:r w:rsidRPr="000C5050">
        <w:rPr>
          <w:lang w:eastAsia="en-US"/>
        </w:rPr>
        <w:t xml:space="preserve"> or do not facilitate a current or future change.</w:t>
      </w:r>
    </w:p>
    <w:p w14:paraId="50E7222D" w14:textId="77777777" w:rsidR="000547E3" w:rsidRPr="000C5050" w:rsidRDefault="000547E3" w:rsidP="007134A5">
      <w:pPr>
        <w:pStyle w:val="Boxheading"/>
        <w:spacing w:before="240"/>
        <w:rPr>
          <w:lang w:eastAsia="en-US"/>
        </w:rPr>
      </w:pPr>
      <w:r w:rsidRPr="000C5050">
        <w:rPr>
          <w:lang w:eastAsia="en-US"/>
        </w:rPr>
        <w:t>Increase certainty of consenting process and target controls more closely to effects</w:t>
      </w:r>
    </w:p>
    <w:p w14:paraId="4E16F376" w14:textId="563F429D" w:rsidR="000547E3" w:rsidRPr="000C5050" w:rsidRDefault="000547E3" w:rsidP="00B107BE">
      <w:pPr>
        <w:pStyle w:val="Box"/>
        <w:rPr>
          <w:lang w:eastAsia="en-US"/>
        </w:rPr>
      </w:pPr>
      <w:r w:rsidRPr="000C5050">
        <w:rPr>
          <w:lang w:eastAsia="en-US"/>
        </w:rPr>
        <w:t>5.4</w:t>
      </w:r>
      <w:r w:rsidRPr="000C5050">
        <w:rPr>
          <w:lang w:eastAsia="en-US"/>
        </w:rPr>
        <w:tab/>
      </w:r>
      <w:r w:rsidR="00F61C9E" w:rsidRPr="000C5050">
        <w:rPr>
          <w:lang w:eastAsia="en-US"/>
        </w:rPr>
        <w:t>Class s</w:t>
      </w:r>
      <w:r w:rsidRPr="000C5050">
        <w:rPr>
          <w:lang w:eastAsia="en-US"/>
        </w:rPr>
        <w:t>oil disposal as a stand-alone controlled activity.</w:t>
      </w:r>
    </w:p>
    <w:p w14:paraId="6186CAE9" w14:textId="77777777" w:rsidR="000547E3" w:rsidRPr="000C5050" w:rsidRDefault="000547E3" w:rsidP="00B107BE">
      <w:pPr>
        <w:pStyle w:val="Box"/>
        <w:rPr>
          <w:lang w:eastAsia="en-US"/>
        </w:rPr>
      </w:pPr>
      <w:r w:rsidRPr="000C5050">
        <w:rPr>
          <w:lang w:eastAsia="en-US"/>
        </w:rPr>
        <w:t>5.5</w:t>
      </w:r>
      <w:r w:rsidRPr="000C5050">
        <w:rPr>
          <w:lang w:eastAsia="en-US"/>
        </w:rPr>
        <w:tab/>
        <w:t>Remove option of discretionary activity class for soil disturbance and removal or replacement of fuel tank storage systems.</w:t>
      </w:r>
    </w:p>
    <w:p w14:paraId="0B232CB5" w14:textId="77777777" w:rsidR="000547E3" w:rsidRPr="000C5050" w:rsidRDefault="000547E3" w:rsidP="00B107BE">
      <w:pPr>
        <w:pStyle w:val="Box"/>
        <w:rPr>
          <w:lang w:eastAsia="en-US"/>
        </w:rPr>
      </w:pPr>
      <w:r w:rsidRPr="000C5050">
        <w:rPr>
          <w:lang w:eastAsia="en-US"/>
        </w:rPr>
        <w:t>5.6</w:t>
      </w:r>
      <w:r w:rsidRPr="000C5050">
        <w:rPr>
          <w:lang w:eastAsia="en-US"/>
        </w:rPr>
        <w:tab/>
        <w:t xml:space="preserve">Remove option of restricted discretionary and discretionary activity classes for soil sampling. </w:t>
      </w:r>
    </w:p>
    <w:p w14:paraId="5F76C9FC" w14:textId="2C3B4A53" w:rsidR="000547E3" w:rsidRPr="000C5050" w:rsidRDefault="000547E3" w:rsidP="00B107BE">
      <w:pPr>
        <w:pStyle w:val="Box"/>
        <w:rPr>
          <w:lang w:eastAsia="en-US"/>
        </w:rPr>
      </w:pPr>
      <w:r w:rsidRPr="000C5050">
        <w:rPr>
          <w:lang w:eastAsia="en-US"/>
        </w:rPr>
        <w:t xml:space="preserve">5.7 </w:t>
      </w:r>
      <w:r w:rsidRPr="000C5050">
        <w:rPr>
          <w:lang w:eastAsia="en-US"/>
        </w:rPr>
        <w:tab/>
        <w:t xml:space="preserve">Define </w:t>
      </w:r>
      <w:r w:rsidR="0081630C" w:rsidRPr="000C5050">
        <w:rPr>
          <w:lang w:eastAsia="en-US"/>
        </w:rPr>
        <w:t>‘</w:t>
      </w:r>
      <w:r w:rsidRPr="000C5050">
        <w:rPr>
          <w:lang w:eastAsia="en-US"/>
        </w:rPr>
        <w:t>soil disturbance ratio</w:t>
      </w:r>
      <w:r w:rsidR="0081630C" w:rsidRPr="000C5050">
        <w:rPr>
          <w:lang w:eastAsia="en-US"/>
        </w:rPr>
        <w:t>’</w:t>
      </w:r>
      <w:r w:rsidRPr="000C5050">
        <w:rPr>
          <w:lang w:eastAsia="en-US"/>
        </w:rPr>
        <w:t xml:space="preserve"> in regulation 8(3). </w:t>
      </w:r>
    </w:p>
    <w:p w14:paraId="7D6CB109" w14:textId="39E9EBDF" w:rsidR="00100AAA" w:rsidRPr="000C5050" w:rsidRDefault="00100AAA" w:rsidP="00B107BE">
      <w:pPr>
        <w:pStyle w:val="Box"/>
        <w:rPr>
          <w:lang w:eastAsia="en-US"/>
        </w:rPr>
      </w:pPr>
      <w:r w:rsidRPr="000C5050">
        <w:rPr>
          <w:lang w:eastAsia="en-US"/>
        </w:rPr>
        <w:t>5.8</w:t>
      </w:r>
      <w:r w:rsidRPr="000C5050">
        <w:rPr>
          <w:lang w:eastAsia="en-US"/>
        </w:rPr>
        <w:tab/>
        <w:t>Define ‘piece of land’ in regulation 8(3)</w:t>
      </w:r>
      <w:r w:rsidR="00157E70" w:rsidRPr="000C5050">
        <w:rPr>
          <w:lang w:eastAsia="en-US"/>
        </w:rPr>
        <w:t>.</w:t>
      </w:r>
    </w:p>
    <w:p w14:paraId="6B2FA528" w14:textId="799F1369" w:rsidR="000547E3" w:rsidRPr="000C5050" w:rsidRDefault="000547E3" w:rsidP="00B107BE">
      <w:pPr>
        <w:pStyle w:val="Box"/>
        <w:rPr>
          <w:lang w:eastAsia="en-US"/>
        </w:rPr>
      </w:pPr>
      <w:r w:rsidRPr="000C5050">
        <w:rPr>
          <w:lang w:eastAsia="en-US"/>
        </w:rPr>
        <w:t>5.</w:t>
      </w:r>
      <w:r w:rsidR="00100AAA" w:rsidRPr="000C5050">
        <w:rPr>
          <w:lang w:eastAsia="en-US"/>
        </w:rPr>
        <w:t>9</w:t>
      </w:r>
      <w:r w:rsidRPr="000C5050">
        <w:rPr>
          <w:lang w:eastAsia="en-US"/>
        </w:rPr>
        <w:t xml:space="preserve"> </w:t>
      </w:r>
      <w:r w:rsidRPr="000C5050">
        <w:rPr>
          <w:lang w:eastAsia="en-US"/>
        </w:rPr>
        <w:tab/>
        <w:t xml:space="preserve">Remove term </w:t>
      </w:r>
      <w:r w:rsidR="0081630C" w:rsidRPr="000C5050">
        <w:rPr>
          <w:lang w:eastAsia="en-US"/>
        </w:rPr>
        <w:t>‘</w:t>
      </w:r>
      <w:r w:rsidRPr="000C5050">
        <w:rPr>
          <w:lang w:eastAsia="en-US"/>
        </w:rPr>
        <w:t>per year</w:t>
      </w:r>
      <w:r w:rsidR="0081630C" w:rsidRPr="000C5050">
        <w:rPr>
          <w:lang w:eastAsia="en-US"/>
        </w:rPr>
        <w:t>’</w:t>
      </w:r>
      <w:r w:rsidRPr="000C5050">
        <w:rPr>
          <w:lang w:eastAsia="en-US"/>
        </w:rPr>
        <w:t xml:space="preserve"> from regulation 8(3). </w:t>
      </w:r>
    </w:p>
    <w:p w14:paraId="1DDFDCDB" w14:textId="66B8AB5D" w:rsidR="000547E3" w:rsidRPr="000C5050" w:rsidRDefault="000547E3" w:rsidP="00AB35CD">
      <w:pPr>
        <w:pStyle w:val="Box"/>
        <w:rPr>
          <w:lang w:eastAsia="en-US"/>
        </w:rPr>
      </w:pPr>
      <w:r w:rsidRPr="000C5050">
        <w:rPr>
          <w:lang w:eastAsia="en-US"/>
        </w:rPr>
        <w:t>5.</w:t>
      </w:r>
      <w:r w:rsidR="00100AAA" w:rsidRPr="000C5050">
        <w:rPr>
          <w:lang w:eastAsia="en-US"/>
        </w:rPr>
        <w:t>10</w:t>
      </w:r>
      <w:r w:rsidRPr="000C5050">
        <w:rPr>
          <w:lang w:eastAsia="en-US"/>
        </w:rPr>
        <w:tab/>
        <w:t>Require suitably qualified and experienced practitioners to use a standardised certifying statement in their reports.</w:t>
      </w:r>
    </w:p>
    <w:p w14:paraId="616EC069" w14:textId="2BC259C2" w:rsidR="007126E0" w:rsidRPr="000C5050" w:rsidRDefault="007126E0" w:rsidP="007126E0">
      <w:pPr>
        <w:pStyle w:val="Blueboxtext"/>
        <w:rPr>
          <w:lang w:eastAsia="en-US"/>
        </w:rPr>
      </w:pPr>
      <w:r w:rsidRPr="000C5050">
        <w:rPr>
          <w:b/>
          <w:lang w:eastAsia="en-US"/>
        </w:rPr>
        <w:t>Applicable</w:t>
      </w:r>
      <w:r w:rsidR="009637E0" w:rsidRPr="000C5050">
        <w:rPr>
          <w:b/>
          <w:lang w:eastAsia="en-US"/>
        </w:rPr>
        <w:t xml:space="preserve"> </w:t>
      </w:r>
      <w:r w:rsidRPr="000C5050">
        <w:rPr>
          <w:b/>
          <w:lang w:eastAsia="en-US"/>
        </w:rPr>
        <w:t>standard</w:t>
      </w:r>
      <w:r w:rsidRPr="000C5050">
        <w:rPr>
          <w:lang w:eastAsia="en-US"/>
        </w:rPr>
        <w:t xml:space="preserve"> means if the contaminant of concern is a priority contaminant and the land use fits within an exposure scenario adopted in the </w:t>
      </w:r>
      <w:r w:rsidR="00813E9F" w:rsidRPr="000C5050">
        <w:rPr>
          <w:lang w:eastAsia="en-US"/>
        </w:rPr>
        <w:t>Methodology for Deriving Standards for Contaminants in Soil to Protect Human Health (Ministry for the Environment, 2011e) (the methodology)</w:t>
      </w:r>
      <w:r w:rsidRPr="000C5050">
        <w:rPr>
          <w:lang w:eastAsia="en-US"/>
        </w:rPr>
        <w:t>, the applicable standard is the soil contaminant standard for the priority contaminant.</w:t>
      </w:r>
    </w:p>
    <w:p w14:paraId="4B9CE833" w14:textId="2CC60FC2" w:rsidR="007126E0" w:rsidRPr="000C5050" w:rsidRDefault="007126E0" w:rsidP="00DF598D">
      <w:pPr>
        <w:pStyle w:val="Blueboxtext"/>
        <w:rPr>
          <w:lang w:eastAsia="en-US"/>
        </w:rPr>
      </w:pPr>
      <w:r w:rsidRPr="000C5050">
        <w:rPr>
          <w:lang w:eastAsia="en-US"/>
        </w:rPr>
        <w:t>If the contaminant of concern is a priority contaminant and the land use does not fit within an exposure scenario adopted in the Methodology, the applicable standard is whichever of the following is more appropriate in the circumstances:</w:t>
      </w:r>
      <w:r w:rsidR="00DF598D" w:rsidRPr="000C5050">
        <w:rPr>
          <w:lang w:eastAsia="en-US"/>
        </w:rPr>
        <w:t xml:space="preserve"> </w:t>
      </w:r>
      <w:r w:rsidRPr="000C5050">
        <w:rPr>
          <w:lang w:eastAsia="en-US"/>
        </w:rPr>
        <w:t>the guideline value derived in accordance with the methods and guidance on site-specific risk assessment provided in the Methodology</w:t>
      </w:r>
      <w:r w:rsidR="00DF598D" w:rsidRPr="000C5050">
        <w:rPr>
          <w:lang w:eastAsia="en-US"/>
        </w:rPr>
        <w:t xml:space="preserve">; or </w:t>
      </w:r>
      <w:r w:rsidRPr="000C5050">
        <w:rPr>
          <w:lang w:eastAsia="en-US"/>
        </w:rPr>
        <w:t>the soil contaminant standard for the priority contaminant of the exposure scenario adopted in the Methodology with greater assumed exposure than the actual exposure.</w:t>
      </w:r>
    </w:p>
    <w:p w14:paraId="4B2D6654" w14:textId="6CB4BF9E" w:rsidR="007126E0" w:rsidRPr="000C5050" w:rsidRDefault="007126E0" w:rsidP="00B107BE">
      <w:pPr>
        <w:pStyle w:val="Blueboxtext"/>
        <w:keepLines/>
        <w:rPr>
          <w:lang w:eastAsia="en-US"/>
        </w:rPr>
      </w:pPr>
      <w:r w:rsidRPr="000C5050">
        <w:rPr>
          <w:lang w:eastAsia="en-US"/>
        </w:rPr>
        <w:t xml:space="preserve">If the contaminant of concern is </w:t>
      </w:r>
      <w:r w:rsidRPr="000C5050">
        <w:rPr>
          <w:i/>
          <w:lang w:eastAsia="en-US"/>
        </w:rPr>
        <w:t xml:space="preserve">not </w:t>
      </w:r>
      <w:r w:rsidRPr="000C5050">
        <w:rPr>
          <w:lang w:eastAsia="en-US"/>
        </w:rPr>
        <w:t>a priority contaminant, the applicable standard is whichever of the following is more appropriate in the circumstances: the guideline value derived in accordance with the methods and guidance on site-specific risk assessment provided in the Methodology</w:t>
      </w:r>
      <w:r w:rsidR="00DF598D" w:rsidRPr="000C5050">
        <w:rPr>
          <w:lang w:eastAsia="en-US"/>
        </w:rPr>
        <w:t>; or</w:t>
      </w:r>
      <w:r w:rsidR="009637E0" w:rsidRPr="000C5050">
        <w:rPr>
          <w:lang w:eastAsia="en-US"/>
        </w:rPr>
        <w:t xml:space="preserve"> </w:t>
      </w:r>
      <w:r w:rsidRPr="000C5050">
        <w:rPr>
          <w:lang w:eastAsia="en-US"/>
        </w:rPr>
        <w:t>a guideline value for the protection of human health that is chosen in accordance with the current edition of Contaminated Land Management Guidelines No. 2–Hierarchy and Application in New Zealand of Environmental Guideline Values (Ministry for the Environment, 2011)</w:t>
      </w:r>
      <w:r w:rsidR="00DF598D" w:rsidRPr="000C5050">
        <w:rPr>
          <w:lang w:eastAsia="en-US"/>
        </w:rPr>
        <w:t xml:space="preserve"> (CLMG No.2)</w:t>
      </w:r>
      <w:r w:rsidRPr="000C5050">
        <w:rPr>
          <w:lang w:eastAsia="en-US"/>
        </w:rPr>
        <w:t>.</w:t>
      </w:r>
    </w:p>
    <w:p w14:paraId="302871A3" w14:textId="5592F12A" w:rsidR="00F35DA8" w:rsidRPr="000C5050" w:rsidRDefault="00F35DA8" w:rsidP="00F35DA8">
      <w:pPr>
        <w:pStyle w:val="Blueboxtext"/>
        <w:rPr>
          <w:lang w:eastAsia="en-US"/>
        </w:rPr>
      </w:pPr>
      <w:r w:rsidRPr="000C5050">
        <w:rPr>
          <w:b/>
          <w:lang w:eastAsia="en-US"/>
        </w:rPr>
        <w:t>Soil contaminant</w:t>
      </w:r>
      <w:r w:rsidRPr="000C5050">
        <w:rPr>
          <w:lang w:eastAsia="en-US"/>
        </w:rPr>
        <w:t xml:space="preserve"> </w:t>
      </w:r>
      <w:r w:rsidRPr="000C5050">
        <w:rPr>
          <w:b/>
          <w:lang w:eastAsia="en-US"/>
        </w:rPr>
        <w:t>standard</w:t>
      </w:r>
      <w:r w:rsidRPr="000C5050">
        <w:rPr>
          <w:lang w:eastAsia="en-US"/>
        </w:rPr>
        <w:t xml:space="preserve"> means the Tier 1 or screening criteria in the Methodology for Deriving Standards for Contaminants in Soil to Protect Human Health (the methodology). There are soil contaminant standards for 12 priority contaminants for five land uses (these are shown in tables B2 and B3 in Appendix B of the Users</w:t>
      </w:r>
      <w:r w:rsidR="0081630C" w:rsidRPr="000C5050">
        <w:rPr>
          <w:lang w:eastAsia="en-US"/>
        </w:rPr>
        <w:t>’</w:t>
      </w:r>
      <w:r w:rsidRPr="000C5050">
        <w:rPr>
          <w:lang w:eastAsia="en-US"/>
        </w:rPr>
        <w:t xml:space="preserve"> Guide (Ministry for the Environment, 2012)).</w:t>
      </w:r>
      <w:r w:rsidR="007D080D" w:rsidRPr="000C5050">
        <w:rPr>
          <w:lang w:eastAsia="en-US"/>
        </w:rPr>
        <w:t xml:space="preserve"> </w:t>
      </w:r>
    </w:p>
    <w:p w14:paraId="1A9C36E9" w14:textId="77777777" w:rsidR="00F35DA8" w:rsidRPr="000C5050" w:rsidRDefault="00F35DA8" w:rsidP="00F35DA8">
      <w:pPr>
        <w:pStyle w:val="Blueboxtext"/>
        <w:rPr>
          <w:lang w:eastAsia="en-US"/>
        </w:rPr>
      </w:pPr>
      <w:r w:rsidRPr="000C5050">
        <w:rPr>
          <w:lang w:eastAsia="en-US"/>
        </w:rPr>
        <w:lastRenderedPageBreak/>
        <w:t>The 12 soil contaminant standards were calculated by estimating the level of exposure (or intake) of contaminant that a person may receive in a typical setting, in comparison to the acceptable level of intake for that contaminant. Intake rates vary, depending on the exposure pathways by which people can come into contact with soil, which varies depending on the land use. The greater the amount of contact that a person may have with contaminated soil, the greater the exposure, and therefore the acceptable soil concentration will be lower. As a result, allowable soil concentrations (or soil contaminant standards) vary with land use.</w:t>
      </w:r>
    </w:p>
    <w:p w14:paraId="75F34110" w14:textId="77777777" w:rsidR="00F35DA8" w:rsidRPr="000C5050" w:rsidRDefault="00F35DA8" w:rsidP="00A96AC4">
      <w:pPr>
        <w:pStyle w:val="Blueboxtext"/>
        <w:keepLines/>
        <w:rPr>
          <w:lang w:eastAsia="en-US"/>
        </w:rPr>
      </w:pPr>
      <w:r w:rsidRPr="000C5050">
        <w:rPr>
          <w:b/>
          <w:lang w:eastAsia="en-US"/>
        </w:rPr>
        <w:t>Guideline value</w:t>
      </w:r>
      <w:r w:rsidRPr="000C5050">
        <w:rPr>
          <w:lang w:eastAsia="en-US"/>
        </w:rPr>
        <w:t xml:space="preserve"> means a value derived on a site-specific basis, following the methods and guidance on site-specific risk assessment outlined in the Ministry for the Environment (2011e); or is a guideline value for the protection of human health, chosen following the current Contaminated Land Management Guidelines No. 2: Hierarchy and Application in New Zealand of Environmental Guideline Values (Ministry for the Environment, 2011) (CLMG No.2).</w:t>
      </w:r>
    </w:p>
    <w:p w14:paraId="2F48BE30" w14:textId="3D301493" w:rsidR="009B2109" w:rsidRPr="000C5050" w:rsidRDefault="00F35DA8" w:rsidP="00F35DA8">
      <w:pPr>
        <w:pStyle w:val="Blueboxtext"/>
        <w:rPr>
          <w:lang w:eastAsia="en-US"/>
        </w:rPr>
      </w:pPr>
      <w:r w:rsidRPr="000C5050">
        <w:rPr>
          <w:b/>
          <w:lang w:eastAsia="en-US"/>
        </w:rPr>
        <w:t>Tier 1 soil acceptance criteria</w:t>
      </w:r>
      <w:r w:rsidR="007D080D" w:rsidRPr="000C5050">
        <w:rPr>
          <w:b/>
          <w:lang w:eastAsia="en-US"/>
        </w:rPr>
        <w:t xml:space="preserve"> </w:t>
      </w:r>
      <w:r w:rsidRPr="000C5050">
        <w:rPr>
          <w:lang w:eastAsia="en-US"/>
        </w:rPr>
        <w:t>means the Tier 1 soil acceptance criteria derived in the Guidelines for Assessing and Managing Petroleum Hydrocarbon Contaminated Sites in New Zealand (Revised 2011d) (the Petroleum Guidelines).</w:t>
      </w:r>
      <w:r w:rsidR="00426299" w:rsidRPr="000C5050">
        <w:rPr>
          <w:lang w:eastAsia="en-US"/>
        </w:rPr>
        <w:t xml:space="preserve"> </w:t>
      </w:r>
    </w:p>
    <w:p w14:paraId="6979F0FF" w14:textId="77777777" w:rsidR="00F35DA8" w:rsidRPr="000C5050" w:rsidRDefault="00F35DA8" w:rsidP="009E0F2B">
      <w:pPr>
        <w:pStyle w:val="Heading3"/>
        <w:spacing w:before="480" w:after="60"/>
        <w:rPr>
          <w:lang w:eastAsia="en-US"/>
        </w:rPr>
      </w:pPr>
      <w:r w:rsidRPr="000C5050">
        <w:rPr>
          <w:lang w:eastAsia="en-US"/>
        </w:rPr>
        <w:t>Sites found to have contamination below soil contaminant standards or Tier 1 soil acceptance criteria</w:t>
      </w:r>
    </w:p>
    <w:p w14:paraId="061F4D98" w14:textId="3883085C" w:rsidR="00F35DA8" w:rsidRPr="000C5050" w:rsidRDefault="00F35DA8" w:rsidP="00AB35CD">
      <w:pPr>
        <w:pStyle w:val="Box"/>
        <w:rPr>
          <w:lang w:eastAsia="en-US"/>
        </w:rPr>
      </w:pPr>
      <w:r w:rsidRPr="000C5050">
        <w:rPr>
          <w:lang w:eastAsia="en-US"/>
        </w:rPr>
        <w:t>5.1</w:t>
      </w:r>
      <w:r w:rsidRPr="000C5050">
        <w:rPr>
          <w:lang w:eastAsia="en-US"/>
        </w:rPr>
        <w:tab/>
        <w:t xml:space="preserve">No NESCS resource consent required for activities on sites found to have contamination below </w:t>
      </w:r>
      <w:r w:rsidRPr="000C5050">
        <w:rPr>
          <w:i/>
          <w:lang w:eastAsia="en-US"/>
        </w:rPr>
        <w:t>soil contaminant standards or Tier 1 soil acceptance criteria</w:t>
      </w:r>
      <w:r w:rsidRPr="000C5050">
        <w:rPr>
          <w:lang w:eastAsia="en-US"/>
        </w:rPr>
        <w:t>.</w:t>
      </w:r>
    </w:p>
    <w:p w14:paraId="79F0635B" w14:textId="707C8CDA" w:rsidR="00F92D1C" w:rsidRPr="000C5050" w:rsidRDefault="00F92D1C" w:rsidP="00F92D1C">
      <w:pPr>
        <w:pStyle w:val="BodyText"/>
        <w:spacing w:before="240"/>
      </w:pPr>
      <w:r w:rsidRPr="000C5050">
        <w:t>The NESCS requires landowners to obtain controlled activity resource consent where a DSI finds that contaminants on a site are below</w:t>
      </w:r>
      <w:r w:rsidR="002C5233" w:rsidRPr="000C5050">
        <w:t xml:space="preserve"> an</w:t>
      </w:r>
      <w:r w:rsidRPr="000C5050">
        <w:t xml:space="preserve"> </w:t>
      </w:r>
      <w:r w:rsidR="00407803" w:rsidRPr="000C5050">
        <w:rPr>
          <w:lang w:eastAsia="en-US"/>
        </w:rPr>
        <w:t xml:space="preserve">applicable </w:t>
      </w:r>
      <w:r w:rsidR="002C5233" w:rsidRPr="000C5050">
        <w:rPr>
          <w:lang w:eastAsia="en-US"/>
        </w:rPr>
        <w:t>standard</w:t>
      </w:r>
      <w:r w:rsidR="00914EF4" w:rsidRPr="000C5050" w:rsidDel="00914EF4">
        <w:t xml:space="preserve"> </w:t>
      </w:r>
      <w:r w:rsidRPr="000C5050">
        <w:t xml:space="preserve">but above background concentrations. Controlled activity consents made up almost 30 per cent of all consents collated during the interim review, and more than 60 per cent of the consents that had provided a DSI. </w:t>
      </w:r>
    </w:p>
    <w:p w14:paraId="1620A188" w14:textId="77777777" w:rsidR="00F92D1C" w:rsidRPr="000C5050" w:rsidRDefault="00F92D1C" w:rsidP="00F92D1C">
      <w:pPr>
        <w:pStyle w:val="BodyText"/>
      </w:pPr>
      <w:r w:rsidRPr="000C5050">
        <w:t xml:space="preserve">The NESCS included this consent requirement to allow councils to thoroughly review site investigations, and recover costs. The interim review found, however, that the quality of site investigations varied considerably, indicating that requiring resource consent is not an effective mechanism for controlling the quality of site investigations. Also, requiring consents for land that does not present a risk does not align with the objectives of targeting sites that pose a risk to human health. </w:t>
      </w:r>
    </w:p>
    <w:p w14:paraId="7CE1A177" w14:textId="77777777" w:rsidR="00F92D1C" w:rsidRPr="000C5050" w:rsidRDefault="00F92D1C" w:rsidP="00F92D1C">
      <w:pPr>
        <w:pStyle w:val="BodyText"/>
      </w:pPr>
      <w:r w:rsidRPr="000C5050">
        <w:t>Therefore, rather than requiring landowners to obtain resource consent as a safeguard on quality, the Ministry has updated CLMG No 1 (Ministry for the Environment, 2011a) and CLMG No 5 (Ministry for the Environment, 2011c) to clarify what is required for a site investigation.</w:t>
      </w:r>
      <w:r w:rsidRPr="000C5050">
        <w:rPr>
          <w:vertAlign w:val="superscript"/>
        </w:rPr>
        <w:footnoteReference w:id="4"/>
      </w:r>
      <w:r w:rsidR="007D080D" w:rsidRPr="000C5050">
        <w:t xml:space="preserve"> </w:t>
      </w:r>
    </w:p>
    <w:p w14:paraId="76FC41DF" w14:textId="7D6E4EAB" w:rsidR="00F92D1C" w:rsidRPr="000C5050" w:rsidRDefault="00F92D1C" w:rsidP="008C7A46">
      <w:pPr>
        <w:pStyle w:val="BodyText"/>
      </w:pPr>
      <w:r w:rsidRPr="000C5050">
        <w:t>It is proposed that the NESCS not require resource consent for activities covered by the NESCS if a DSI shows that contamination on the site is below soil contaminant standards or Tier 1 soil</w:t>
      </w:r>
      <w:r w:rsidR="009E0F2B" w:rsidRPr="000C5050">
        <w:t> </w:t>
      </w:r>
      <w:r w:rsidRPr="000C5050">
        <w:t>acceptance criteria</w:t>
      </w:r>
      <w:r w:rsidR="00991E89" w:rsidRPr="000C5050">
        <w:t>.</w:t>
      </w:r>
      <w:r w:rsidR="00426299" w:rsidRPr="000C5050">
        <w:rPr>
          <w:rStyle w:val="FootnoteReference"/>
        </w:rPr>
        <w:footnoteReference w:id="5"/>
      </w:r>
      <w:r w:rsidRPr="000C5050">
        <w:t xml:space="preserve"> </w:t>
      </w:r>
      <w:r w:rsidR="008C7A46" w:rsidRPr="000C5050">
        <w:t xml:space="preserve">The proposed change does not alter the ‘hierarchy of guideline </w:t>
      </w:r>
      <w:r w:rsidR="008C7A46" w:rsidRPr="000C5050">
        <w:lastRenderedPageBreak/>
        <w:t xml:space="preserve">values’ outlined in </w:t>
      </w:r>
      <w:r w:rsidR="00407803" w:rsidRPr="000C5050">
        <w:t>CLMG No</w:t>
      </w:r>
      <w:r w:rsidR="00E52980">
        <w:t xml:space="preserve"> </w:t>
      </w:r>
      <w:r w:rsidR="00407803" w:rsidRPr="000C5050">
        <w:t xml:space="preserve">2. </w:t>
      </w:r>
      <w:r w:rsidRPr="000C5050">
        <w:t>In other words, activities will be a permitted activity under the NESCS as long as they meet certain requirements. The requirements of the permitted activity would be:</w:t>
      </w:r>
    </w:p>
    <w:p w14:paraId="4677FABA" w14:textId="77777777" w:rsidR="00F92D1C" w:rsidRPr="000C5050" w:rsidRDefault="00F92D1C" w:rsidP="00F92D1C">
      <w:pPr>
        <w:pStyle w:val="Bullet"/>
      </w:pPr>
      <w:r w:rsidRPr="000C5050">
        <w:t>the DSI is undertaken by a suitably qualified and experienced practitioner (SQEP) and concludes that contamination is below the soil contaminant standards or Tier 1 soil acceptance criteria</w:t>
      </w:r>
    </w:p>
    <w:p w14:paraId="03DA8F03" w14:textId="33EC82E2" w:rsidR="00F92D1C" w:rsidRPr="000C5050" w:rsidRDefault="00F92D1C" w:rsidP="00F92D1C">
      <w:pPr>
        <w:pStyle w:val="Bullet"/>
      </w:pPr>
      <w:r w:rsidRPr="000C5050">
        <w:t>the DSI is reported in accordance with CLMG No 1 (Ministry for the Environment, 2011a) and is done in</w:t>
      </w:r>
      <w:r w:rsidR="009637E0" w:rsidRPr="000C5050">
        <w:t xml:space="preserve"> </w:t>
      </w:r>
      <w:r w:rsidR="00991E89" w:rsidRPr="000C5050">
        <w:t xml:space="preserve">accordance with </w:t>
      </w:r>
      <w:r w:rsidRPr="000C5050">
        <w:t>CLMG No 5 (Ministry for the Environment, 2011c) and is provided to the responsible council</w:t>
      </w:r>
    </w:p>
    <w:p w14:paraId="72AD069B" w14:textId="0BCCFD12" w:rsidR="00F92D1C" w:rsidRPr="000C5050" w:rsidRDefault="00F92D1C" w:rsidP="00F92D1C">
      <w:pPr>
        <w:pStyle w:val="Bullet"/>
      </w:pPr>
      <w:r w:rsidRPr="000C5050">
        <w:t>if the proposed activity includes soil disturbance, measures must be in place for the duration of the activity to minimise exposure of people to mobilised contaminants (in line with current requirements of the permitted activity for small scale soil disturbance)</w:t>
      </w:r>
    </w:p>
    <w:p w14:paraId="260C08C6" w14:textId="181019A6" w:rsidR="00C60D83" w:rsidRPr="000C5050" w:rsidRDefault="00C60D83" w:rsidP="00F92D1C">
      <w:pPr>
        <w:pStyle w:val="Bullet"/>
      </w:pPr>
      <w:proofErr w:type="gramStart"/>
      <w:r w:rsidRPr="000C5050">
        <w:t>the</w:t>
      </w:r>
      <w:proofErr w:type="gramEnd"/>
      <w:r w:rsidRPr="000C5050">
        <w:t xml:space="preserve"> policy intent of this change is that a certificate of compliance would not be obtained by an applicant before undertaking the proposed works. </w:t>
      </w:r>
    </w:p>
    <w:p w14:paraId="72E36210" w14:textId="311E674C" w:rsidR="00065939" w:rsidRPr="000C5050" w:rsidRDefault="00407803" w:rsidP="00065939">
      <w:pPr>
        <w:pStyle w:val="Heading3"/>
      </w:pPr>
      <w:r w:rsidRPr="000C5050">
        <w:t>Exceptions</w:t>
      </w:r>
      <w:r w:rsidR="008D0D65" w:rsidRPr="000C5050">
        <w:t xml:space="preserve"> </w:t>
      </w:r>
      <w:r w:rsidR="00065939" w:rsidRPr="000C5050">
        <w:t xml:space="preserve">to the proposed amendment </w:t>
      </w:r>
    </w:p>
    <w:p w14:paraId="18360676" w14:textId="77777777" w:rsidR="00065939" w:rsidRPr="000C5050" w:rsidRDefault="00065939" w:rsidP="00065939">
      <w:pPr>
        <w:pStyle w:val="BodyText"/>
      </w:pPr>
      <w:r w:rsidRPr="000C5050">
        <w:t xml:space="preserve">It is proposed that resource consent is required for soil disposal, and for </w:t>
      </w:r>
      <w:r w:rsidRPr="000C5050">
        <w:rPr>
          <w:iCs/>
        </w:rPr>
        <w:t>sites where a site-specific soil guideline value has been used</w:t>
      </w:r>
      <w:r w:rsidRPr="000C5050">
        <w:rPr>
          <w:i/>
          <w:iCs/>
        </w:rPr>
        <w:t xml:space="preserve">, </w:t>
      </w:r>
      <w:r w:rsidRPr="000C5050">
        <w:t>regardless of whether the site is found to have contamination below guideline values.</w:t>
      </w:r>
    </w:p>
    <w:p w14:paraId="6BA2A013" w14:textId="77777777" w:rsidR="00065939" w:rsidRPr="000C5050" w:rsidRDefault="00DB1C76" w:rsidP="004610C5">
      <w:pPr>
        <w:pStyle w:val="Heading4"/>
        <w:tabs>
          <w:tab w:val="clear" w:pos="851"/>
          <w:tab w:val="left" w:pos="567"/>
        </w:tabs>
      </w:pPr>
      <w:r w:rsidRPr="000C5050">
        <w:t>(</w:t>
      </w:r>
      <w:proofErr w:type="spellStart"/>
      <w:r w:rsidRPr="000C5050">
        <w:t>i</w:t>
      </w:r>
      <w:proofErr w:type="spellEnd"/>
      <w:r w:rsidRPr="000C5050">
        <w:t>)</w:t>
      </w:r>
      <w:r w:rsidR="00065939" w:rsidRPr="000C5050">
        <w:tab/>
        <w:t>Soil disposal</w:t>
      </w:r>
    </w:p>
    <w:p w14:paraId="58E3F67B" w14:textId="490B8A9A" w:rsidR="00065939" w:rsidRPr="000C5050" w:rsidRDefault="00065939" w:rsidP="00065939">
      <w:pPr>
        <w:pStyle w:val="BodyText"/>
      </w:pPr>
      <w:r w:rsidRPr="000C5050">
        <w:rPr>
          <w:iCs/>
        </w:rPr>
        <w:t xml:space="preserve">Proposal 5.4 proposes that soil disposal is </w:t>
      </w:r>
      <w:r w:rsidR="005C4008" w:rsidRPr="000C5050">
        <w:rPr>
          <w:iCs/>
        </w:rPr>
        <w:t>classed</w:t>
      </w:r>
      <w:r w:rsidRPr="000C5050">
        <w:rPr>
          <w:iCs/>
        </w:rPr>
        <w:t xml:space="preserve"> as a stand-alone controlled activity under the NESCS.</w:t>
      </w:r>
      <w:r w:rsidR="007D080D" w:rsidRPr="000C5050">
        <w:rPr>
          <w:iCs/>
        </w:rPr>
        <w:t xml:space="preserve"> </w:t>
      </w:r>
      <w:r w:rsidRPr="000C5050">
        <w:t xml:space="preserve">Resource consent would still be required for soil disposal from sites found to have contamination below </w:t>
      </w:r>
      <w:r w:rsidR="00914EF4" w:rsidRPr="000C5050">
        <w:t>soil contaminant standards or Tier 1 soil acceptance criteria</w:t>
      </w:r>
      <w:r w:rsidRPr="000C5050">
        <w:t>, because soil disposal needs to be carefully managed to avoid the creation of new HAIL sites. Soil that might be acceptable for the existing land use may not be acceptable on a more sensitive land use, leading to the creation of a new HAIL site. For example, soil on an industrial site may meet the industrial standards, but if it was moved to a residential site it may exceed the guidelines for residential land use.</w:t>
      </w:r>
      <w:r w:rsidR="007D080D" w:rsidRPr="000C5050">
        <w:t xml:space="preserve"> </w:t>
      </w:r>
    </w:p>
    <w:p w14:paraId="3C73B702" w14:textId="77777777" w:rsidR="00065939" w:rsidRPr="000C5050" w:rsidRDefault="00DB1C76" w:rsidP="004610C5">
      <w:pPr>
        <w:pStyle w:val="Heading4"/>
        <w:tabs>
          <w:tab w:val="clear" w:pos="851"/>
          <w:tab w:val="left" w:pos="567"/>
        </w:tabs>
      </w:pPr>
      <w:r w:rsidRPr="000C5050">
        <w:t>(ii)</w:t>
      </w:r>
      <w:r w:rsidR="00065939" w:rsidRPr="000C5050">
        <w:tab/>
        <w:t>Sites where a site-specific soil guideline value has been used</w:t>
      </w:r>
    </w:p>
    <w:p w14:paraId="3E4097E6" w14:textId="77777777" w:rsidR="00065939" w:rsidRPr="000C5050" w:rsidRDefault="00065939" w:rsidP="00065939">
      <w:pPr>
        <w:pStyle w:val="BodyText"/>
      </w:pPr>
      <w:r w:rsidRPr="000C5050">
        <w:t xml:space="preserve">The NESCS and the </w:t>
      </w:r>
      <w:r w:rsidRPr="000C5050">
        <w:rPr>
          <w:i/>
        </w:rPr>
        <w:t>Methodology for deriving standards for contaminants in soil to protect human health</w:t>
      </w:r>
      <w:r w:rsidRPr="000C5050">
        <w:t xml:space="preserve"> (Ministry for the Environment, 2011e) (the methodology) provide an option to calculate a site-specific soil guideline value for any contaminant, or select a guideline value from another jurisdiction in accordance with the current edition of CLMG No 2 (Ministry for the Environment, 2011b). This option can be used when the contaminant of concern is not one of the 12 priority contaminants, or the generic land-use scenarios in the methodology do not reflect the actual site use. For example, where: </w:t>
      </w:r>
    </w:p>
    <w:p w14:paraId="4F103A08" w14:textId="77777777" w:rsidR="00065939" w:rsidRPr="000C5050" w:rsidRDefault="00065939" w:rsidP="00065939">
      <w:pPr>
        <w:pStyle w:val="Bullet"/>
      </w:pPr>
      <w:r w:rsidRPr="000C5050">
        <w:t>the majority of a site is covered in concrete, with very limited opportunity for human exposure to contaminated soil</w:t>
      </w:r>
    </w:p>
    <w:p w14:paraId="3C8F18D4" w14:textId="77777777" w:rsidR="00065939" w:rsidRPr="000C5050" w:rsidRDefault="00065939" w:rsidP="00065939">
      <w:pPr>
        <w:pStyle w:val="Bullet"/>
      </w:pPr>
      <w:r w:rsidRPr="000C5050">
        <w:t>a residential property has no vegetable garden and no potential for a future vegetable garden</w:t>
      </w:r>
    </w:p>
    <w:p w14:paraId="58B84146" w14:textId="77777777" w:rsidR="00065939" w:rsidRPr="000C5050" w:rsidRDefault="00065939" w:rsidP="00065939">
      <w:pPr>
        <w:pStyle w:val="Bullet"/>
      </w:pPr>
      <w:proofErr w:type="gramStart"/>
      <w:r w:rsidRPr="000C5050">
        <w:t>it</w:t>
      </w:r>
      <w:proofErr w:type="gramEnd"/>
      <w:r w:rsidRPr="000C5050">
        <w:t xml:space="preserve"> has a raised-bed vegetable garden with clean soil.</w:t>
      </w:r>
    </w:p>
    <w:p w14:paraId="2FAD067A" w14:textId="75C6F2D8" w:rsidR="00065939" w:rsidRPr="000C5050" w:rsidRDefault="00065939" w:rsidP="009E0F2B">
      <w:pPr>
        <w:pStyle w:val="BodyText"/>
      </w:pPr>
      <w:r w:rsidRPr="000C5050">
        <w:t xml:space="preserve">The current settings of the NESCS will remain for sites that use a site-specific soil guideline value to evaluate the risk at the site. This is to ensure that the soil guideline values are selected </w:t>
      </w:r>
      <w:r w:rsidRPr="000C5050">
        <w:lastRenderedPageBreak/>
        <w:t>or derived appropriately, and/or ensure that any current site-specific circumstances/measures creating lower exposure will remain into the future.</w:t>
      </w:r>
    </w:p>
    <w:p w14:paraId="1BDE4D51" w14:textId="77777777" w:rsidR="00065939" w:rsidRPr="000C5050" w:rsidRDefault="00065939" w:rsidP="00500144">
      <w:pPr>
        <w:pStyle w:val="Blueboxheading"/>
        <w:rPr>
          <w:lang w:eastAsia="en-US"/>
        </w:rPr>
      </w:pPr>
      <w:r w:rsidRPr="000C5050">
        <w:rPr>
          <w:lang w:eastAsia="en-US"/>
        </w:rPr>
        <w:t>Amendments to the NESCS framework</w:t>
      </w:r>
    </w:p>
    <w:p w14:paraId="3A48CB7B" w14:textId="5AD10C56" w:rsidR="00F92D1C" w:rsidRPr="000C5050" w:rsidRDefault="00065939" w:rsidP="00500144">
      <w:pPr>
        <w:pStyle w:val="Blueboxtext"/>
        <w:ind w:left="1560" w:hanging="1276"/>
        <w:rPr>
          <w:lang w:eastAsia="en-US"/>
        </w:rPr>
      </w:pPr>
      <w:r w:rsidRPr="000C5050">
        <w:rPr>
          <w:lang w:eastAsia="en-US"/>
        </w:rPr>
        <w:t>Proposal 5.1:</w:t>
      </w:r>
      <w:r w:rsidRPr="000C5050">
        <w:rPr>
          <w:lang w:eastAsia="en-US"/>
        </w:rPr>
        <w:tab/>
        <w:t>Amend regulation 8(1)–(4) to require that an activity can be a permitted activity where a DSI demonstrates that contamination is below guidelines values.</w:t>
      </w:r>
      <w:r w:rsidR="007D080D" w:rsidRPr="000C5050">
        <w:rPr>
          <w:lang w:eastAsia="en-US"/>
        </w:rPr>
        <w:t xml:space="preserve"> </w:t>
      </w:r>
      <w:r w:rsidRPr="000C5050">
        <w:rPr>
          <w:lang w:eastAsia="en-US"/>
        </w:rPr>
        <w:t>This requirement will not apply to soil disposal or sites with a site-specific guideline value.</w:t>
      </w:r>
      <w:r w:rsidR="007D080D" w:rsidRPr="000C5050">
        <w:rPr>
          <w:lang w:eastAsia="en-US"/>
        </w:rPr>
        <w:t xml:space="preserve"> </w:t>
      </w:r>
      <w:r w:rsidRPr="000C5050">
        <w:rPr>
          <w:lang w:eastAsia="en-US"/>
        </w:rPr>
        <w:t>How this amendment may look for each activity is provided in Tables 2</w:t>
      </w:r>
      <w:r w:rsidR="00A96AC4" w:rsidRPr="000C5050">
        <w:rPr>
          <w:lang w:eastAsia="en-US"/>
        </w:rPr>
        <w:t>–</w:t>
      </w:r>
      <w:r w:rsidRPr="000C5050">
        <w:rPr>
          <w:lang w:eastAsia="en-US"/>
        </w:rPr>
        <w:t>5 and 7 below. An alternative format of the tables (by consent status) is provided in</w:t>
      </w:r>
      <w:r w:rsidR="00A96AC4" w:rsidRPr="000C5050">
        <w:rPr>
          <w:lang w:eastAsia="en-US"/>
        </w:rPr>
        <w:t> </w:t>
      </w:r>
      <w:r w:rsidRPr="000C5050">
        <w:rPr>
          <w:lang w:eastAsia="en-US"/>
        </w:rPr>
        <w:t>Appendix 4.</w:t>
      </w:r>
    </w:p>
    <w:p w14:paraId="15B30A39" w14:textId="77777777" w:rsidR="003E7883" w:rsidRPr="000C5050" w:rsidRDefault="003E7883" w:rsidP="003E7883">
      <w:pPr>
        <w:pStyle w:val="Heading3"/>
        <w:rPr>
          <w:lang w:eastAsia="en-US"/>
        </w:rPr>
      </w:pPr>
      <w:r w:rsidRPr="000C5050">
        <w:rPr>
          <w:lang w:eastAsia="en-US"/>
        </w:rPr>
        <w:t>Anticipated impacts of the change</w:t>
      </w:r>
    </w:p>
    <w:p w14:paraId="109BECB3" w14:textId="4A000ECD" w:rsidR="003E7883" w:rsidRPr="000C5050" w:rsidRDefault="003E7883" w:rsidP="003E7883">
      <w:pPr>
        <w:pStyle w:val="BodyText"/>
        <w:rPr>
          <w:lang w:eastAsia="en-US"/>
        </w:rPr>
      </w:pPr>
      <w:r w:rsidRPr="000C5050">
        <w:rPr>
          <w:lang w:eastAsia="en-US"/>
        </w:rPr>
        <w:t>This change will mean that landowners will no longer be required to obtain resource consent for sites below the standards set to protect human health. This could reduce the number of NESCS consents by up to a third and so would reduce the administrative burden on landowners. The council consent fees for a stand-alone NESCS resource consent are likely to</w:t>
      </w:r>
      <w:r w:rsidR="007B3F40" w:rsidRPr="000C5050">
        <w:rPr>
          <w:lang w:eastAsia="en-US"/>
        </w:rPr>
        <w:t> </w:t>
      </w:r>
      <w:r w:rsidRPr="000C5050">
        <w:rPr>
          <w:lang w:eastAsia="en-US"/>
        </w:rPr>
        <w:t>be</w:t>
      </w:r>
      <w:r w:rsidR="007B3F40" w:rsidRPr="000C5050">
        <w:rPr>
          <w:lang w:eastAsia="en-US"/>
        </w:rPr>
        <w:t> </w:t>
      </w:r>
      <w:proofErr w:type="gramStart"/>
      <w:r w:rsidRPr="000C5050">
        <w:rPr>
          <w:lang w:eastAsia="en-US"/>
        </w:rPr>
        <w:t>between $500 to $2000</w:t>
      </w:r>
      <w:proofErr w:type="gramEnd"/>
      <w:r w:rsidRPr="000C5050">
        <w:rPr>
          <w:lang w:eastAsia="en-US"/>
        </w:rPr>
        <w:t xml:space="preserve">. </w:t>
      </w:r>
    </w:p>
    <w:p w14:paraId="48D44726" w14:textId="56A061C3" w:rsidR="003E7883" w:rsidRPr="000C5050" w:rsidRDefault="003E7883" w:rsidP="003E7883">
      <w:pPr>
        <w:pStyle w:val="BodyText"/>
      </w:pPr>
      <w:r w:rsidRPr="000C5050">
        <w:rPr>
          <w:lang w:eastAsia="en-US"/>
        </w:rPr>
        <w:t>The cost and time savings may not be significant for individual landowners, as many NESCS consents are obtained as part of a wider application for resource consent. Permitting activities on sites below</w:t>
      </w:r>
      <w:r w:rsidRPr="000C5050">
        <w:t xml:space="preserve"> the soil contaminant standards or Tier 1 soil acceptance criteria, however, will</w:t>
      </w:r>
      <w:r w:rsidR="002D20C2" w:rsidRPr="000C5050">
        <w:t> </w:t>
      </w:r>
      <w:r w:rsidRPr="000C5050">
        <w:t xml:space="preserve">be particularly beneficial for sites that repeatedly </w:t>
      </w:r>
      <w:r w:rsidR="0081630C" w:rsidRPr="000C5050">
        <w:t>‘</w:t>
      </w:r>
      <w:r w:rsidRPr="000C5050">
        <w:t>trigger</w:t>
      </w:r>
      <w:r w:rsidR="0081630C" w:rsidRPr="000C5050">
        <w:t>’</w:t>
      </w:r>
      <w:r w:rsidRPr="000C5050">
        <w:t xml:space="preserve"> the NESCS throughout the development process (</w:t>
      </w:r>
      <w:proofErr w:type="spellStart"/>
      <w:r w:rsidRPr="000C5050">
        <w:t>ie</w:t>
      </w:r>
      <w:proofErr w:type="spellEnd"/>
      <w:r w:rsidRPr="000C5050">
        <w:t xml:space="preserve">, site development involving soil disturbance, followed by subdivision, followed by change of use). </w:t>
      </w:r>
    </w:p>
    <w:p w14:paraId="12BA5885" w14:textId="28C35BC5" w:rsidR="003E7883" w:rsidRPr="000C5050" w:rsidRDefault="003E7883" w:rsidP="003E7883">
      <w:pPr>
        <w:pStyle w:val="BodyText"/>
        <w:rPr>
          <w:lang w:eastAsia="en-US"/>
        </w:rPr>
      </w:pPr>
      <w:r w:rsidRPr="000C5050">
        <w:t>There is a risk that councils won</w:t>
      </w:r>
      <w:r w:rsidR="0081630C" w:rsidRPr="000C5050">
        <w:t>’</w:t>
      </w:r>
      <w:r w:rsidRPr="000C5050">
        <w:t>t be as thorough or timely when reviewing DSIs for permitted activities as wh</w:t>
      </w:r>
      <w:r w:rsidRPr="000C5050">
        <w:rPr>
          <w:lang w:eastAsia="en-US"/>
        </w:rPr>
        <w:t xml:space="preserve">en reviewing DSIs accompanying resource consent applications. There may also be additional costs and people-hours for councils to review site investigations, which will not be able to be recovered through resource consent fees. Requiring landowners to obtain resource consent for sites below </w:t>
      </w:r>
      <w:r w:rsidR="008E1D28" w:rsidRPr="000C5050">
        <w:rPr>
          <w:lang w:eastAsia="en-US"/>
        </w:rPr>
        <w:t>soil contaminants standards or Tier 1 soil acceptance criteria</w:t>
      </w:r>
      <w:r w:rsidRPr="000C5050">
        <w:rPr>
          <w:lang w:eastAsia="en-US"/>
        </w:rPr>
        <w:t>, however, does not align with the NESCS</w:t>
      </w:r>
      <w:r w:rsidR="0081630C" w:rsidRPr="000C5050">
        <w:rPr>
          <w:lang w:eastAsia="en-US"/>
        </w:rPr>
        <w:t>’</w:t>
      </w:r>
      <w:r w:rsidRPr="000C5050">
        <w:rPr>
          <w:lang w:eastAsia="en-US"/>
        </w:rPr>
        <w:t>s</w:t>
      </w:r>
      <w:r w:rsidR="00D469B3" w:rsidRPr="000C5050">
        <w:rPr>
          <w:lang w:eastAsia="en-US"/>
        </w:rPr>
        <w:t xml:space="preserve"> original</w:t>
      </w:r>
      <w:r w:rsidRPr="000C5050">
        <w:rPr>
          <w:lang w:eastAsia="en-US"/>
        </w:rPr>
        <w:t xml:space="preserve"> </w:t>
      </w:r>
      <w:r w:rsidR="00D469B3" w:rsidRPr="000C5050">
        <w:rPr>
          <w:lang w:eastAsia="en-US"/>
        </w:rPr>
        <w:t>policy intent.</w:t>
      </w:r>
      <w:r w:rsidRPr="000C5050">
        <w:rPr>
          <w:lang w:eastAsia="en-US"/>
        </w:rPr>
        <w:t xml:space="preserve"> </w:t>
      </w:r>
    </w:p>
    <w:p w14:paraId="11E2A662" w14:textId="44A38076" w:rsidR="005E0CB8" w:rsidRPr="000C5050" w:rsidRDefault="003E7883" w:rsidP="003E7883">
      <w:pPr>
        <w:pStyle w:val="BodyText"/>
        <w:rPr>
          <w:lang w:eastAsia="en-US"/>
        </w:rPr>
      </w:pPr>
      <w:r w:rsidRPr="000C5050">
        <w:rPr>
          <w:lang w:eastAsia="en-US"/>
        </w:rPr>
        <w:t>The changes to CLMG No 1 and CLMG No 5 clarify what is required for a site investigation</w:t>
      </w:r>
      <w:r w:rsidR="00D12D98" w:rsidRPr="000C5050">
        <w:rPr>
          <w:lang w:eastAsia="en-US"/>
        </w:rPr>
        <w:t>. These</w:t>
      </w:r>
      <w:r w:rsidRPr="000C5050">
        <w:rPr>
          <w:lang w:eastAsia="en-US"/>
        </w:rPr>
        <w:t xml:space="preserve"> are intended to make it simpler for councils and SQEPs to determine whether a site investigation is satisfactory. Further, the introduction of the Environment Institute of Australia and New Zealand (EIANZ) and Cooperative Research Centre for Contamination Assessment and Remediation of the Environment (CRC CARE) certification schemes</w:t>
      </w:r>
      <w:r w:rsidR="00A96AC4" w:rsidRPr="000C5050">
        <w:rPr>
          <w:rStyle w:val="FootnoteReference"/>
          <w:lang w:eastAsia="en-US"/>
        </w:rPr>
        <w:footnoteReference w:id="6"/>
      </w:r>
      <w:r w:rsidR="00A96AC4" w:rsidRPr="000C5050">
        <w:rPr>
          <w:lang w:eastAsia="en-US"/>
        </w:rPr>
        <w:t xml:space="preserve"> </w:t>
      </w:r>
      <w:r w:rsidRPr="000C5050">
        <w:rPr>
          <w:lang w:eastAsia="en-US"/>
        </w:rPr>
        <w:t>are expected to clarify who is an appropriate person to be considered an SQEP. The Ministry is considering what further support could be provided to clarify the requirements for a SQEP, which should reduce the requirement for councils to oversee the quality of site investigations.</w:t>
      </w:r>
    </w:p>
    <w:p w14:paraId="3F15BCB1" w14:textId="77777777" w:rsidR="003E7883" w:rsidRPr="000C5050" w:rsidRDefault="003E7883" w:rsidP="002D20C2">
      <w:pPr>
        <w:pStyle w:val="Heading3"/>
        <w:spacing w:after="60"/>
      </w:pPr>
      <w:r w:rsidRPr="000C5050">
        <w:t>Soil disturbance</w:t>
      </w:r>
    </w:p>
    <w:p w14:paraId="3FF4A9E4" w14:textId="77777777" w:rsidR="003E7883" w:rsidRPr="000C5050" w:rsidRDefault="003E7883" w:rsidP="00AB35CD">
      <w:pPr>
        <w:pStyle w:val="Box"/>
        <w:rPr>
          <w:lang w:eastAsia="en-US"/>
        </w:rPr>
      </w:pPr>
      <w:r w:rsidRPr="000C5050">
        <w:rPr>
          <w:lang w:eastAsia="en-US"/>
        </w:rPr>
        <w:t>5.5</w:t>
      </w:r>
      <w:r w:rsidRPr="000C5050">
        <w:rPr>
          <w:lang w:eastAsia="en-US"/>
        </w:rPr>
        <w:tab/>
        <w:t>Remove option of discretionary activity class for soil disturbance and removal or replacement of fuel tank storage systems.</w:t>
      </w:r>
    </w:p>
    <w:p w14:paraId="282676A2" w14:textId="4A23E36A" w:rsidR="003E7883" w:rsidRPr="000C5050" w:rsidRDefault="003E7883" w:rsidP="003E7883">
      <w:pPr>
        <w:pStyle w:val="BodyText"/>
        <w:spacing w:before="240"/>
      </w:pPr>
      <w:r w:rsidRPr="000C5050">
        <w:lastRenderedPageBreak/>
        <w:t>The effects that need to be managed in soil disturbance activities are the short-term increased mobilisation of soil, and</w:t>
      </w:r>
      <w:r w:rsidR="00A45081" w:rsidRPr="000C5050">
        <w:t xml:space="preserve"> the long-term effects of</w:t>
      </w:r>
      <w:r w:rsidRPr="000C5050">
        <w:t xml:space="preserve"> ensuring contaminated soil is not spread around the site. The NESCS currently links the results of the DSI (which is required to compare soil contaminant concentrations with the applicable standard as per regulation 7 of the NESCS) to the level of council control and resource consent requirements.</w:t>
      </w:r>
      <w:r w:rsidR="007D080D" w:rsidRPr="000C5050">
        <w:t xml:space="preserve"> </w:t>
      </w:r>
      <w:r w:rsidR="00C06197" w:rsidRPr="000C5050">
        <w:t>T</w:t>
      </w:r>
      <w:r w:rsidRPr="000C5050">
        <w:t>he use of applicable standards that are linked to long-term exposure is creating confusion about the effects that need to be controlled. This has resulted in some councils requiring remediation of the site at</w:t>
      </w:r>
      <w:r w:rsidR="00B829DE" w:rsidRPr="000C5050">
        <w:t> </w:t>
      </w:r>
      <w:r w:rsidRPr="000C5050">
        <w:t xml:space="preserve">the time of soil disturbance, </w:t>
      </w:r>
      <w:r w:rsidR="00D12D98" w:rsidRPr="000C5050">
        <w:t>although this is not necessary to manage the effects</w:t>
      </w:r>
      <w:r w:rsidR="00285BBC" w:rsidRPr="000C5050">
        <w:t xml:space="preserve"> of the soil</w:t>
      </w:r>
      <w:r w:rsidR="00B829DE" w:rsidRPr="000C5050">
        <w:t> </w:t>
      </w:r>
      <w:r w:rsidR="00285BBC" w:rsidRPr="000C5050">
        <w:t>disturbance</w:t>
      </w:r>
      <w:r w:rsidRPr="000C5050">
        <w:t>. To target</w:t>
      </w:r>
      <w:r w:rsidR="00A45081" w:rsidRPr="000C5050">
        <w:t xml:space="preserve"> the intended</w:t>
      </w:r>
      <w:r w:rsidR="00806BFA" w:rsidRPr="000C5050">
        <w:t xml:space="preserve"> effects</w:t>
      </w:r>
      <w:r w:rsidR="00A45081" w:rsidRPr="000C5050">
        <w:t xml:space="preserve">, </w:t>
      </w:r>
      <w:r w:rsidRPr="000C5050">
        <w:t>the amended resource consent classes are</w:t>
      </w:r>
      <w:r w:rsidR="00B829DE" w:rsidRPr="000C5050">
        <w:t> </w:t>
      </w:r>
      <w:r w:rsidRPr="000C5050">
        <w:t>proposed:</w:t>
      </w:r>
    </w:p>
    <w:p w14:paraId="66A1E06B" w14:textId="5FBBA724" w:rsidR="003E7883" w:rsidRPr="000C5050" w:rsidRDefault="003E7883" w:rsidP="003E7883">
      <w:pPr>
        <w:pStyle w:val="Bullet"/>
      </w:pPr>
      <w:r w:rsidRPr="000C5050">
        <w:t>permitted: low volume soil disturbance and soil disturbance carried out by network utility operators</w:t>
      </w:r>
      <w:r w:rsidR="00285BBC" w:rsidRPr="000C5050">
        <w:rPr>
          <w:rStyle w:val="FootnoteReference"/>
        </w:rPr>
        <w:footnoteReference w:id="7"/>
      </w:r>
    </w:p>
    <w:p w14:paraId="6B2B5238" w14:textId="4BE5DB9B" w:rsidR="003E7883" w:rsidRPr="000C5050" w:rsidRDefault="003E7883" w:rsidP="003E7883">
      <w:pPr>
        <w:pStyle w:val="Bullet"/>
      </w:pPr>
      <w:proofErr w:type="gramStart"/>
      <w:r w:rsidRPr="000C5050">
        <w:t>controlled</w:t>
      </w:r>
      <w:proofErr w:type="gramEnd"/>
      <w:r w:rsidRPr="000C5050">
        <w:t>: soil disturbance exceeds the permitted volume. A DSI exists and adequately demonstrates the contamination profile for the area of soil disturbance. Council has the</w:t>
      </w:r>
      <w:r w:rsidR="00B829DE" w:rsidRPr="000C5050">
        <w:t> </w:t>
      </w:r>
      <w:r w:rsidRPr="000C5050">
        <w:t>report.</w:t>
      </w:r>
      <w:r w:rsidR="007D080D" w:rsidRPr="000C5050">
        <w:t xml:space="preserve"> </w:t>
      </w:r>
    </w:p>
    <w:p w14:paraId="77FE1704" w14:textId="4F8400D7" w:rsidR="003E7883" w:rsidRPr="000C5050" w:rsidRDefault="003E7883" w:rsidP="003E7883">
      <w:pPr>
        <w:pStyle w:val="Bullet"/>
      </w:pPr>
      <w:proofErr w:type="gramStart"/>
      <w:r w:rsidRPr="000C5050">
        <w:t>restricted</w:t>
      </w:r>
      <w:proofErr w:type="gramEnd"/>
      <w:r w:rsidRPr="000C5050">
        <w:t xml:space="preserve"> discretionary: Soil disturbance exceeds the permitted threshold. No DSI exists</w:t>
      </w:r>
      <w:r w:rsidR="009D5705">
        <w:t xml:space="preserve"> or is </w:t>
      </w:r>
      <w:r w:rsidRPr="000C5050">
        <w:t>provided.</w:t>
      </w:r>
    </w:p>
    <w:p w14:paraId="69C5EB36" w14:textId="77777777" w:rsidR="003E7883" w:rsidRPr="000C5050" w:rsidRDefault="003E7883" w:rsidP="003E7883">
      <w:pPr>
        <w:pStyle w:val="BodyText"/>
      </w:pPr>
      <w:r w:rsidRPr="000C5050">
        <w:t>The effects to be regulated by the NESCS will be clarified by setting out the areas that councils can control (</w:t>
      </w:r>
      <w:proofErr w:type="spellStart"/>
      <w:r w:rsidRPr="000C5050">
        <w:t>ie</w:t>
      </w:r>
      <w:proofErr w:type="spellEnd"/>
      <w:r w:rsidRPr="000C5050">
        <w:t>, the matters of discretion).</w:t>
      </w:r>
    </w:p>
    <w:p w14:paraId="68DD7312" w14:textId="221F8378" w:rsidR="003E7883" w:rsidRPr="000C5050" w:rsidRDefault="003E7883" w:rsidP="003E7883">
      <w:pPr>
        <w:pStyle w:val="BodyText"/>
      </w:pPr>
      <w:r w:rsidRPr="000C5050">
        <w:t xml:space="preserve">The anticipated impacts of this proposal are discussed at page </w:t>
      </w:r>
      <w:r w:rsidR="00395A79">
        <w:t>35</w:t>
      </w:r>
      <w:r w:rsidRPr="000C5050">
        <w:t>.</w:t>
      </w:r>
    </w:p>
    <w:p w14:paraId="12946E6E" w14:textId="2E48094A" w:rsidR="003E7883" w:rsidRPr="000C5050" w:rsidRDefault="003E7883" w:rsidP="00B829DE">
      <w:pPr>
        <w:pStyle w:val="Heading3"/>
        <w:spacing w:after="60"/>
        <w:rPr>
          <w:lang w:eastAsia="en-US"/>
        </w:rPr>
      </w:pPr>
      <w:r w:rsidRPr="000C5050">
        <w:rPr>
          <w:lang w:eastAsia="en-US"/>
        </w:rPr>
        <w:t>Soil disturbance by network utility operators</w:t>
      </w:r>
    </w:p>
    <w:p w14:paraId="635D3339" w14:textId="2AD252C8" w:rsidR="003E7883" w:rsidRPr="000C5050" w:rsidRDefault="003E7883" w:rsidP="00AB35CD">
      <w:pPr>
        <w:pStyle w:val="Box"/>
        <w:rPr>
          <w:lang w:eastAsia="en-US"/>
        </w:rPr>
      </w:pPr>
      <w:r w:rsidRPr="000C5050">
        <w:rPr>
          <w:lang w:eastAsia="en-US"/>
        </w:rPr>
        <w:t xml:space="preserve">5.2 </w:t>
      </w:r>
      <w:r w:rsidRPr="000C5050">
        <w:rPr>
          <w:lang w:eastAsia="en-US"/>
        </w:rPr>
        <w:tab/>
        <w:t xml:space="preserve">No NESCS resource consent required for soil disturbance by </w:t>
      </w:r>
      <w:r w:rsidR="001A7FA2" w:rsidRPr="000C5050">
        <w:rPr>
          <w:lang w:eastAsia="en-US"/>
        </w:rPr>
        <w:t xml:space="preserve">a </w:t>
      </w:r>
      <w:r w:rsidRPr="000C5050">
        <w:rPr>
          <w:lang w:eastAsia="en-US"/>
        </w:rPr>
        <w:t>network utility operator.</w:t>
      </w:r>
    </w:p>
    <w:p w14:paraId="0982F391" w14:textId="77777777" w:rsidR="00A16226" w:rsidRPr="000C5050" w:rsidRDefault="00A16226" w:rsidP="00A16226">
      <w:pPr>
        <w:pStyle w:val="Heading4"/>
        <w:rPr>
          <w:lang w:eastAsia="en-US"/>
        </w:rPr>
      </w:pPr>
      <w:r w:rsidRPr="000C5050">
        <w:rPr>
          <w:lang w:eastAsia="en-US"/>
        </w:rPr>
        <w:t>Purpose</w:t>
      </w:r>
    </w:p>
    <w:p w14:paraId="7FC6BDB1" w14:textId="0DED4DDF" w:rsidR="00A16226" w:rsidRPr="000C5050" w:rsidRDefault="00A16226" w:rsidP="00A16226">
      <w:pPr>
        <w:pStyle w:val="BodyText"/>
      </w:pPr>
      <w:r w:rsidRPr="000C5050">
        <w:rPr>
          <w:lang w:eastAsia="en-US"/>
        </w:rPr>
        <w:t xml:space="preserve">Network utility operators often trigger the NESCS when installing or maintaining </w:t>
      </w:r>
      <w:r w:rsidR="002D1779" w:rsidRPr="000C5050">
        <w:rPr>
          <w:lang w:eastAsia="en-US"/>
        </w:rPr>
        <w:t xml:space="preserve">network </w:t>
      </w:r>
      <w:r w:rsidRPr="000C5050">
        <w:rPr>
          <w:lang w:eastAsia="en-US"/>
        </w:rPr>
        <w:t>infrastructur</w:t>
      </w:r>
      <w:r w:rsidR="002D1779" w:rsidRPr="000C5050">
        <w:rPr>
          <w:lang w:eastAsia="en-US"/>
        </w:rPr>
        <w:t>e</w:t>
      </w:r>
      <w:r w:rsidR="001655A7" w:rsidRPr="000C5050">
        <w:rPr>
          <w:lang w:eastAsia="en-US"/>
        </w:rPr>
        <w:t xml:space="preserve"> such as </w:t>
      </w:r>
      <w:r w:rsidRPr="000C5050">
        <w:rPr>
          <w:lang w:eastAsia="en-US"/>
        </w:rPr>
        <w:t>broadband cables or was</w:t>
      </w:r>
      <w:r w:rsidRPr="000C5050">
        <w:t>te water systems, due to the volume of soil disturbance.</w:t>
      </w:r>
    </w:p>
    <w:p w14:paraId="06681C1A" w14:textId="1E7E225E" w:rsidR="00A16226" w:rsidRPr="000C5050" w:rsidRDefault="00A16226" w:rsidP="00A16226">
      <w:pPr>
        <w:pStyle w:val="BodyText"/>
        <w:rPr>
          <w:lang w:eastAsia="en-US"/>
        </w:rPr>
      </w:pPr>
      <w:r w:rsidRPr="000C5050">
        <w:t>The interim review identified that i</w:t>
      </w:r>
      <w:r w:rsidRPr="000C5050">
        <w:rPr>
          <w:lang w:eastAsia="en-US"/>
        </w:rPr>
        <w:t>t may not be appropriate or necessary for the NESCS to require consent for soil disturbances by network utility operators as:</w:t>
      </w:r>
    </w:p>
    <w:p w14:paraId="630ABB07" w14:textId="52155442" w:rsidR="00A16226" w:rsidRPr="000C5050" w:rsidRDefault="00A16226" w:rsidP="00A16226">
      <w:pPr>
        <w:pStyle w:val="Bullet"/>
        <w:rPr>
          <w:lang w:eastAsia="en-US"/>
        </w:rPr>
      </w:pPr>
      <w:proofErr w:type="gramStart"/>
      <w:r w:rsidRPr="000C5050">
        <w:rPr>
          <w:lang w:eastAsia="en-US"/>
        </w:rPr>
        <w:t>the</w:t>
      </w:r>
      <w:proofErr w:type="gramEnd"/>
      <w:r w:rsidRPr="000C5050">
        <w:rPr>
          <w:lang w:eastAsia="en-US"/>
        </w:rPr>
        <w:t xml:space="preserve"> NESCS resource consent process was imposing unjustified costs and inefficiencies on operators – obtaining NESCS resource consent for </w:t>
      </w:r>
      <w:r w:rsidR="000131F3" w:rsidRPr="000C5050">
        <w:rPr>
          <w:lang w:eastAsia="en-US"/>
        </w:rPr>
        <w:t xml:space="preserve">network utility </w:t>
      </w:r>
      <w:r w:rsidRPr="000C5050">
        <w:rPr>
          <w:lang w:eastAsia="en-US"/>
        </w:rPr>
        <w:t>projects can cause significant delays on individual projects, and can carry significant costs for operators. To mitigate these costs</w:t>
      </w:r>
      <w:r w:rsidR="009D5705">
        <w:rPr>
          <w:lang w:eastAsia="en-US"/>
        </w:rPr>
        <w:t xml:space="preserve"> and </w:t>
      </w:r>
      <w:r w:rsidRPr="000C5050">
        <w:rPr>
          <w:lang w:eastAsia="en-US"/>
        </w:rPr>
        <w:t>inefficiencies, some network utility operators have been successful in obtaining global resource consents, which enable them to carry out activities across a district without needing to obtain individual consents for each activity. Councils are not consistently granting global consents, however, and even if an operator was able to obtain global consents in all districts, they would need to obtain a minimum of 67 consents (one in each district) at an estimated cost of more than $1.3 million per operator. This cost would be duplicated across all network utility operators, despite the risks being reasonably low.</w:t>
      </w:r>
    </w:p>
    <w:p w14:paraId="2DB5F47B" w14:textId="77777777" w:rsidR="00A16226" w:rsidRPr="000C5050" w:rsidRDefault="00A16226" w:rsidP="00297738">
      <w:pPr>
        <w:pStyle w:val="Bullet"/>
        <w:rPr>
          <w:lang w:eastAsia="en-US"/>
        </w:rPr>
      </w:pPr>
      <w:r w:rsidRPr="000C5050">
        <w:rPr>
          <w:lang w:eastAsia="en-US"/>
        </w:rPr>
        <w:lastRenderedPageBreak/>
        <w:t xml:space="preserve">The risks associated with these types of soil disturbance are generally low in relation to the NESCS objectives, as: </w:t>
      </w:r>
    </w:p>
    <w:p w14:paraId="3870CC9B" w14:textId="77777777" w:rsidR="00A16226" w:rsidRPr="000C5050" w:rsidRDefault="00A16226" w:rsidP="00297738">
      <w:pPr>
        <w:pStyle w:val="Sub-bullet"/>
        <w:rPr>
          <w:lang w:eastAsia="en-US"/>
        </w:rPr>
      </w:pPr>
      <w:r w:rsidRPr="000C5050">
        <w:rPr>
          <w:lang w:eastAsia="en-US"/>
        </w:rPr>
        <w:t xml:space="preserve">soil is usually replaced under a sealed surface </w:t>
      </w:r>
    </w:p>
    <w:p w14:paraId="5A661971" w14:textId="77777777" w:rsidR="00A16226" w:rsidRPr="000C5050" w:rsidRDefault="00A16226" w:rsidP="00297738">
      <w:pPr>
        <w:pStyle w:val="Sub-bullet"/>
        <w:rPr>
          <w:lang w:eastAsia="en-US"/>
        </w:rPr>
      </w:pPr>
      <w:r w:rsidRPr="000C5050">
        <w:rPr>
          <w:lang w:eastAsia="en-US"/>
        </w:rPr>
        <w:t>the effects are often consistent (so can be managed in a consistent manner)</w:t>
      </w:r>
    </w:p>
    <w:p w14:paraId="19EAFAAA" w14:textId="3E0B25C3" w:rsidR="00A16226" w:rsidRPr="000C5050" w:rsidRDefault="00A16226" w:rsidP="00297738">
      <w:pPr>
        <w:pStyle w:val="Sub-bullet"/>
        <w:rPr>
          <w:lang w:eastAsia="en-US"/>
        </w:rPr>
      </w:pPr>
      <w:r w:rsidRPr="000C5050">
        <w:rPr>
          <w:lang w:eastAsia="en-US"/>
        </w:rPr>
        <w:t>the operators are experienced in appropriately managing risks</w:t>
      </w:r>
    </w:p>
    <w:p w14:paraId="669F13D6" w14:textId="663A16B2" w:rsidR="00A16226" w:rsidRPr="000C5050" w:rsidRDefault="00A16226" w:rsidP="00580014">
      <w:pPr>
        <w:pStyle w:val="Sub-bullet"/>
        <w:rPr>
          <w:lang w:eastAsia="en-US"/>
        </w:rPr>
      </w:pPr>
      <w:proofErr w:type="gramStart"/>
      <w:r w:rsidRPr="000C5050">
        <w:rPr>
          <w:lang w:eastAsia="en-US"/>
        </w:rPr>
        <w:t>the</w:t>
      </w:r>
      <w:proofErr w:type="gramEnd"/>
      <w:r w:rsidRPr="000C5050">
        <w:rPr>
          <w:lang w:eastAsia="en-US"/>
        </w:rPr>
        <w:t xml:space="preserve"> main people exposed to the soil are workers (not the general public), and risks to their health are addressed by health and safety regulations. The NESCS was not intended to cover risks to workers undertaking soil disturbance, as they are covered by health and safety regulations.</w:t>
      </w:r>
      <w:r w:rsidR="00580014" w:rsidRPr="000C5050">
        <w:rPr>
          <w:lang w:eastAsia="en-US"/>
        </w:rPr>
        <w:t xml:space="preserve"> </w:t>
      </w:r>
    </w:p>
    <w:p w14:paraId="1B852A38" w14:textId="66C681EA" w:rsidR="00070E4D" w:rsidRPr="000C5050" w:rsidRDefault="00070E4D" w:rsidP="00A16226">
      <w:pPr>
        <w:pStyle w:val="BodyText"/>
        <w:rPr>
          <w:lang w:eastAsia="en-US"/>
        </w:rPr>
      </w:pPr>
      <w:r w:rsidRPr="000C5050">
        <w:rPr>
          <w:lang w:eastAsia="en-US"/>
        </w:rPr>
        <w:t>Network utility operators are also generally subject to a robust industry management system (</w:t>
      </w:r>
      <w:proofErr w:type="spellStart"/>
      <w:r w:rsidRPr="000C5050">
        <w:rPr>
          <w:lang w:eastAsia="en-US"/>
        </w:rPr>
        <w:t>ie</w:t>
      </w:r>
      <w:proofErr w:type="spellEnd"/>
      <w:r w:rsidRPr="000C5050">
        <w:rPr>
          <w:lang w:eastAsia="en-US"/>
        </w:rPr>
        <w:t>, there are existing controls in place to manage adverse effects to human health).</w:t>
      </w:r>
    </w:p>
    <w:p w14:paraId="5A8F63B0" w14:textId="174E5513" w:rsidR="00952126" w:rsidRPr="000C5050" w:rsidRDefault="00070E4D" w:rsidP="00952126">
      <w:pPr>
        <w:pStyle w:val="BodyText"/>
        <w:rPr>
          <w:rFonts w:eastAsia="Times New Roman" w:cs="Times New Roman"/>
        </w:rPr>
      </w:pPr>
      <w:r w:rsidRPr="000C5050">
        <w:rPr>
          <w:lang w:eastAsia="en-US"/>
        </w:rPr>
        <w:t xml:space="preserve">There is a definition of ‘network utility operators’ in section 166 of </w:t>
      </w:r>
      <w:r w:rsidR="00A16226" w:rsidRPr="000C5050">
        <w:rPr>
          <w:lang w:eastAsia="en-US"/>
        </w:rPr>
        <w:t>the Resource Management Act 1991 (RMA) and</w:t>
      </w:r>
      <w:r w:rsidR="000D642C" w:rsidRPr="000C5050">
        <w:rPr>
          <w:lang w:eastAsia="en-US"/>
        </w:rPr>
        <w:t xml:space="preserve"> the </w:t>
      </w:r>
      <w:r w:rsidR="00952126" w:rsidRPr="000C5050">
        <w:rPr>
          <w:lang w:eastAsia="en-US"/>
        </w:rPr>
        <w:t>Ministry</w:t>
      </w:r>
      <w:r w:rsidR="000D642C" w:rsidRPr="000C5050">
        <w:rPr>
          <w:lang w:eastAsia="en-US"/>
        </w:rPr>
        <w:t xml:space="preserve"> considers that</w:t>
      </w:r>
      <w:r w:rsidRPr="000C5050">
        <w:rPr>
          <w:lang w:eastAsia="en-US"/>
        </w:rPr>
        <w:t xml:space="preserve"> the </w:t>
      </w:r>
      <w:r w:rsidR="00952126" w:rsidRPr="000C5050">
        <w:rPr>
          <w:lang w:eastAsia="en-US"/>
        </w:rPr>
        <w:t xml:space="preserve">group of people covered by </w:t>
      </w:r>
      <w:r w:rsidRPr="000C5050">
        <w:rPr>
          <w:lang w:eastAsia="en-US"/>
        </w:rPr>
        <w:t xml:space="preserve">proposal </w:t>
      </w:r>
      <w:r w:rsidR="00952126" w:rsidRPr="000C5050">
        <w:rPr>
          <w:lang w:eastAsia="en-US"/>
        </w:rPr>
        <w:t xml:space="preserve">5.2 </w:t>
      </w:r>
      <w:r w:rsidRPr="000C5050">
        <w:rPr>
          <w:lang w:eastAsia="en-US"/>
        </w:rPr>
        <w:t xml:space="preserve">will be linked </w:t>
      </w:r>
      <w:r w:rsidR="000D642C" w:rsidRPr="000C5050">
        <w:rPr>
          <w:lang w:eastAsia="en-US"/>
        </w:rPr>
        <w:t xml:space="preserve">to this definition. </w:t>
      </w:r>
      <w:r w:rsidR="00952126" w:rsidRPr="000C5050">
        <w:rPr>
          <w:rFonts w:eastAsia="Times New Roman" w:cs="Times New Roman"/>
          <w:lang w:eastAsia="en-US"/>
        </w:rPr>
        <w:t>However,</w:t>
      </w:r>
      <w:r w:rsidR="00952126" w:rsidRPr="000C5050">
        <w:rPr>
          <w:rFonts w:eastAsia="Times New Roman" w:cs="Times New Roman"/>
        </w:rPr>
        <w:t xml:space="preserve"> the Ministry is seeking feedback on:</w:t>
      </w:r>
    </w:p>
    <w:p w14:paraId="49F03F50" w14:textId="33227F5D" w:rsidR="00952126" w:rsidRPr="000C5050" w:rsidRDefault="00952126" w:rsidP="002F0CD0">
      <w:pPr>
        <w:pStyle w:val="Bullet"/>
        <w:rPr>
          <w:lang w:eastAsia="en-US"/>
        </w:rPr>
      </w:pPr>
      <w:r w:rsidRPr="000C5050">
        <w:t>anticipated impacts of adopting the definition of ‘network utility operator’ in section 166 of the RMA</w:t>
      </w:r>
    </w:p>
    <w:p w14:paraId="7FC8EEE7" w14:textId="3242C2FE" w:rsidR="00A16226" w:rsidRPr="000C5050" w:rsidRDefault="00952126" w:rsidP="002F0CD0">
      <w:pPr>
        <w:pStyle w:val="Bullet"/>
        <w:rPr>
          <w:lang w:eastAsia="en-US"/>
        </w:rPr>
      </w:pPr>
      <w:proofErr w:type="gramStart"/>
      <w:r w:rsidRPr="000C5050">
        <w:rPr>
          <w:lang w:eastAsia="en-US"/>
        </w:rPr>
        <w:t>whether</w:t>
      </w:r>
      <w:proofErr w:type="gramEnd"/>
      <w:r w:rsidRPr="000C5050">
        <w:rPr>
          <w:lang w:eastAsia="en-US"/>
        </w:rPr>
        <w:t xml:space="preserve"> other groups should be included in proposal 5.2, for example, a ‘requiring authority’ as defined in section 166 of the RMA.</w:t>
      </w:r>
    </w:p>
    <w:p w14:paraId="481D3F88" w14:textId="77777777" w:rsidR="00A16226" w:rsidRPr="000C5050" w:rsidRDefault="00A16226" w:rsidP="00A16226">
      <w:pPr>
        <w:pStyle w:val="Heading4"/>
        <w:rPr>
          <w:lang w:eastAsia="en-US"/>
        </w:rPr>
      </w:pPr>
      <w:r w:rsidRPr="000C5050">
        <w:rPr>
          <w:lang w:eastAsia="en-US"/>
        </w:rPr>
        <w:t>Application</w:t>
      </w:r>
    </w:p>
    <w:p w14:paraId="251B2D28" w14:textId="05168A92" w:rsidR="00A16226" w:rsidRPr="000C5050" w:rsidRDefault="00A16226" w:rsidP="00B829DE">
      <w:pPr>
        <w:pStyle w:val="BodyText"/>
        <w:keepNext/>
        <w:rPr>
          <w:lang w:eastAsia="en-US"/>
        </w:rPr>
      </w:pPr>
      <w:r w:rsidRPr="000C5050">
        <w:rPr>
          <w:lang w:eastAsia="en-US"/>
        </w:rPr>
        <w:t>The main effects associated with works carried out by network utility operators are:</w:t>
      </w:r>
    </w:p>
    <w:p w14:paraId="1EA02ED3" w14:textId="77777777" w:rsidR="00A16226" w:rsidRPr="000C5050" w:rsidRDefault="00A16226" w:rsidP="00A16226">
      <w:pPr>
        <w:pStyle w:val="Bullet"/>
        <w:rPr>
          <w:lang w:eastAsia="en-US"/>
        </w:rPr>
      </w:pPr>
      <w:proofErr w:type="gramStart"/>
      <w:r w:rsidRPr="000C5050">
        <w:rPr>
          <w:lang w:eastAsia="en-US"/>
        </w:rPr>
        <w:t>contaminated</w:t>
      </w:r>
      <w:proofErr w:type="gramEnd"/>
      <w:r w:rsidRPr="000C5050">
        <w:rPr>
          <w:lang w:eastAsia="en-US"/>
        </w:rPr>
        <w:t xml:space="preserve"> soil is brought to the surface, where the public may come into contact with it. Workers may also come into contact, but are covered by health and safety regulations.</w:t>
      </w:r>
    </w:p>
    <w:p w14:paraId="02311F96" w14:textId="77777777" w:rsidR="00A16226" w:rsidRPr="000C5050" w:rsidRDefault="00A16226" w:rsidP="00A16226">
      <w:pPr>
        <w:pStyle w:val="Bullet"/>
        <w:rPr>
          <w:lang w:eastAsia="en-US"/>
        </w:rPr>
      </w:pPr>
      <w:proofErr w:type="gramStart"/>
      <w:r w:rsidRPr="000C5050">
        <w:rPr>
          <w:lang w:eastAsia="en-US"/>
        </w:rPr>
        <w:t>contaminated</w:t>
      </w:r>
      <w:proofErr w:type="gramEnd"/>
      <w:r w:rsidRPr="000C5050">
        <w:rPr>
          <w:lang w:eastAsia="en-US"/>
        </w:rPr>
        <w:t xml:space="preserve"> soil may be transported off site, and, if it is disposed of poorly, the public may come into contact with it, or it may create a new HAIL site.</w:t>
      </w:r>
    </w:p>
    <w:p w14:paraId="3195632F" w14:textId="77777777" w:rsidR="00A16226" w:rsidRPr="000C5050" w:rsidRDefault="00A16226" w:rsidP="00A16226">
      <w:pPr>
        <w:pStyle w:val="BodyText"/>
        <w:rPr>
          <w:lang w:eastAsia="en-US"/>
        </w:rPr>
      </w:pPr>
      <w:r w:rsidRPr="000C5050">
        <w:rPr>
          <w:lang w:eastAsia="en-US"/>
        </w:rPr>
        <w:t>To address these risks, the following controls are proposed as conditions of the permitted activity:</w:t>
      </w:r>
    </w:p>
    <w:p w14:paraId="4B0AC390" w14:textId="77777777" w:rsidR="00A16226" w:rsidRPr="000C5050" w:rsidRDefault="00A16226" w:rsidP="00A16226">
      <w:pPr>
        <w:pStyle w:val="Bullet"/>
        <w:rPr>
          <w:lang w:eastAsia="en-US"/>
        </w:rPr>
      </w:pPr>
      <w:proofErr w:type="gramStart"/>
      <w:r w:rsidRPr="000C5050">
        <w:rPr>
          <w:lang w:eastAsia="en-US"/>
        </w:rPr>
        <w:t>a</w:t>
      </w:r>
      <w:proofErr w:type="gramEnd"/>
      <w:r w:rsidRPr="000C5050">
        <w:rPr>
          <w:lang w:eastAsia="en-US"/>
        </w:rPr>
        <w:t xml:space="preserve"> site management plan (SMP) should be prepared in accordance with the requirements of CLMG No 1, and provided to council as part of notice of commencement. The SMP will include:</w:t>
      </w:r>
    </w:p>
    <w:p w14:paraId="76FD52B6" w14:textId="77777777" w:rsidR="00A16226" w:rsidRPr="000C5050" w:rsidRDefault="00A16226" w:rsidP="00A16226">
      <w:pPr>
        <w:pStyle w:val="Sub-bullet"/>
        <w:rPr>
          <w:lang w:eastAsia="en-US"/>
        </w:rPr>
      </w:pPr>
      <w:r w:rsidRPr="000C5050">
        <w:rPr>
          <w:lang w:eastAsia="en-US"/>
        </w:rPr>
        <w:t>an unexpected discovery protocol</w:t>
      </w:r>
    </w:p>
    <w:p w14:paraId="6F5B036E" w14:textId="77777777" w:rsidR="00A16226" w:rsidRPr="000C5050" w:rsidRDefault="00A16226" w:rsidP="00A16226">
      <w:pPr>
        <w:pStyle w:val="Sub-bullet"/>
        <w:rPr>
          <w:lang w:eastAsia="en-US"/>
        </w:rPr>
      </w:pPr>
      <w:r w:rsidRPr="000C5050">
        <w:rPr>
          <w:lang w:eastAsia="en-US"/>
        </w:rPr>
        <w:t>sediment and dust control</w:t>
      </w:r>
    </w:p>
    <w:p w14:paraId="119F81C8" w14:textId="77777777" w:rsidR="00A16226" w:rsidRPr="000C5050" w:rsidRDefault="00A16226" w:rsidP="00A16226">
      <w:pPr>
        <w:pStyle w:val="Sub-bullet"/>
        <w:rPr>
          <w:lang w:eastAsia="en-US"/>
        </w:rPr>
      </w:pPr>
      <w:r w:rsidRPr="000C5050">
        <w:rPr>
          <w:lang w:eastAsia="en-US"/>
        </w:rPr>
        <w:t xml:space="preserve">controls for handling and transport of soil, including testing to be carried out to inform disposal </w:t>
      </w:r>
    </w:p>
    <w:p w14:paraId="2F42A202" w14:textId="77777777" w:rsidR="00A16226" w:rsidRPr="000C5050" w:rsidRDefault="00A16226" w:rsidP="00A16226">
      <w:pPr>
        <w:pStyle w:val="Sub-bullet"/>
        <w:rPr>
          <w:lang w:eastAsia="en-US"/>
        </w:rPr>
      </w:pPr>
      <w:proofErr w:type="gramStart"/>
      <w:r w:rsidRPr="000C5050">
        <w:rPr>
          <w:lang w:eastAsia="en-US"/>
        </w:rPr>
        <w:t>description</w:t>
      </w:r>
      <w:proofErr w:type="gramEnd"/>
      <w:r w:rsidRPr="000C5050">
        <w:rPr>
          <w:lang w:eastAsia="en-US"/>
        </w:rPr>
        <w:t xml:space="preserve"> of the condition in which the land will be left on completion of works.</w:t>
      </w:r>
    </w:p>
    <w:p w14:paraId="2A4E0417" w14:textId="0EFEEBA1" w:rsidR="00A16226" w:rsidRPr="000C5050" w:rsidRDefault="00A16226" w:rsidP="00A16226">
      <w:pPr>
        <w:pStyle w:val="Bullet"/>
        <w:rPr>
          <w:lang w:eastAsia="en-US"/>
        </w:rPr>
      </w:pPr>
      <w:proofErr w:type="gramStart"/>
      <w:r w:rsidRPr="000C5050">
        <w:rPr>
          <w:lang w:eastAsia="en-US"/>
        </w:rPr>
        <w:t>the</w:t>
      </w:r>
      <w:proofErr w:type="gramEnd"/>
      <w:r w:rsidRPr="000C5050">
        <w:rPr>
          <w:lang w:eastAsia="en-US"/>
        </w:rPr>
        <w:t xml:space="preserve"> SMP will be required to be held on site and be presented on request. Non-regulatory guidance on SMPs for network utility operators would be developed to support implementation of this option. </w:t>
      </w:r>
    </w:p>
    <w:p w14:paraId="0DFFA646" w14:textId="0D256C7B" w:rsidR="00A16226" w:rsidRPr="000C5050" w:rsidRDefault="00A16226" w:rsidP="00A16226">
      <w:pPr>
        <w:pStyle w:val="Bullet"/>
        <w:rPr>
          <w:lang w:eastAsia="en-US"/>
        </w:rPr>
      </w:pPr>
      <w:proofErr w:type="gramStart"/>
      <w:r w:rsidRPr="000C5050">
        <w:rPr>
          <w:lang w:eastAsia="en-US"/>
        </w:rPr>
        <w:t>proposed</w:t>
      </w:r>
      <w:proofErr w:type="gramEnd"/>
      <w:r w:rsidRPr="000C5050">
        <w:rPr>
          <w:lang w:eastAsia="en-US"/>
        </w:rPr>
        <w:t xml:space="preserve"> disposal location to be provided to council in notice of commencement of work. Results of testing and confirmation of disposal location to be provided at completion of</w:t>
      </w:r>
      <w:r w:rsidR="009632A9" w:rsidRPr="000C5050">
        <w:rPr>
          <w:lang w:eastAsia="en-US"/>
        </w:rPr>
        <w:t> </w:t>
      </w:r>
      <w:r w:rsidRPr="000C5050">
        <w:rPr>
          <w:lang w:eastAsia="en-US"/>
        </w:rPr>
        <w:t>works.</w:t>
      </w:r>
    </w:p>
    <w:p w14:paraId="239A7C96" w14:textId="1DFC8437" w:rsidR="00A16226" w:rsidRPr="000C5050" w:rsidRDefault="00A16226" w:rsidP="009C66E3">
      <w:pPr>
        <w:pStyle w:val="BodyText"/>
        <w:spacing w:after="60"/>
        <w:rPr>
          <w:lang w:eastAsia="en-US"/>
        </w:rPr>
      </w:pPr>
      <w:r w:rsidRPr="000C5050">
        <w:rPr>
          <w:lang w:eastAsia="en-US"/>
        </w:rPr>
        <w:t>Where a network utility operator cannot meet the permitted activity requirements, the normal soil disturbance controls will apply.</w:t>
      </w:r>
    </w:p>
    <w:p w14:paraId="78AA3FF6" w14:textId="77777777" w:rsidR="00F3647B" w:rsidRPr="000C5050" w:rsidRDefault="00F3647B" w:rsidP="00004369">
      <w:pPr>
        <w:pStyle w:val="Blueboxheading"/>
        <w:rPr>
          <w:lang w:eastAsia="en-US"/>
        </w:rPr>
      </w:pPr>
      <w:r w:rsidRPr="000C5050">
        <w:rPr>
          <w:lang w:eastAsia="en-US"/>
        </w:rPr>
        <w:lastRenderedPageBreak/>
        <w:t>Amendments to the NESCS framework</w:t>
      </w:r>
    </w:p>
    <w:p w14:paraId="3664A66C" w14:textId="4CCEB025" w:rsidR="00F3647B" w:rsidRPr="000C5050" w:rsidRDefault="00F3647B" w:rsidP="00004369">
      <w:pPr>
        <w:pStyle w:val="Blueboxtext"/>
        <w:tabs>
          <w:tab w:val="left" w:pos="1985"/>
        </w:tabs>
        <w:spacing w:after="60"/>
        <w:ind w:left="1560" w:hanging="1276"/>
        <w:rPr>
          <w:lang w:eastAsia="en-US"/>
        </w:rPr>
      </w:pPr>
      <w:r w:rsidRPr="000C5050">
        <w:rPr>
          <w:lang w:eastAsia="en-US"/>
        </w:rPr>
        <w:t xml:space="preserve">Proposal 5.2: </w:t>
      </w:r>
      <w:r w:rsidRPr="000C5050">
        <w:rPr>
          <w:lang w:eastAsia="en-US"/>
        </w:rPr>
        <w:tab/>
        <w:t xml:space="preserve">Amend regulation 8 to provide that soil disturbance by </w:t>
      </w:r>
      <w:r w:rsidR="001401AE" w:rsidRPr="000C5050">
        <w:rPr>
          <w:lang w:eastAsia="en-US"/>
        </w:rPr>
        <w:t xml:space="preserve">a </w:t>
      </w:r>
      <w:r w:rsidRPr="000C5050">
        <w:rPr>
          <w:lang w:eastAsia="en-US"/>
        </w:rPr>
        <w:t>network utility operator is a permitted activity.</w:t>
      </w:r>
      <w:r w:rsidR="007D080D" w:rsidRPr="000C5050">
        <w:rPr>
          <w:lang w:eastAsia="en-US"/>
        </w:rPr>
        <w:t xml:space="preserve"> </w:t>
      </w:r>
    </w:p>
    <w:p w14:paraId="4E513FFF" w14:textId="0A410685" w:rsidR="00F3647B" w:rsidRPr="000C5050" w:rsidRDefault="00F3647B" w:rsidP="00004369">
      <w:pPr>
        <w:pStyle w:val="Blueboxtext"/>
        <w:tabs>
          <w:tab w:val="left" w:pos="1985"/>
        </w:tabs>
        <w:spacing w:after="60"/>
        <w:ind w:left="1560" w:hanging="1276"/>
        <w:rPr>
          <w:lang w:eastAsia="en-US"/>
        </w:rPr>
      </w:pPr>
      <w:r w:rsidRPr="000C5050">
        <w:rPr>
          <w:lang w:eastAsia="en-US"/>
        </w:rPr>
        <w:t>Proposal 5.5</w:t>
      </w:r>
      <w:r w:rsidR="00483BC4">
        <w:rPr>
          <w:lang w:eastAsia="en-US"/>
        </w:rPr>
        <w:t>:</w:t>
      </w:r>
      <w:r w:rsidRPr="000C5050">
        <w:rPr>
          <w:lang w:eastAsia="en-US"/>
        </w:rPr>
        <w:tab/>
      </w:r>
      <w:r w:rsidR="00A434B7" w:rsidRPr="000C5050">
        <w:rPr>
          <w:lang w:eastAsia="en-US"/>
        </w:rPr>
        <w:sym w:font="Symbol" w:char="F0B7"/>
      </w:r>
      <w:r w:rsidR="00A434B7" w:rsidRPr="000C5050">
        <w:rPr>
          <w:sz w:val="18"/>
          <w:lang w:eastAsia="en-US"/>
        </w:rPr>
        <w:tab/>
      </w:r>
      <w:r w:rsidR="00A434B7" w:rsidRPr="000C5050">
        <w:rPr>
          <w:lang w:eastAsia="en-US"/>
        </w:rPr>
        <w:t>Amend regulation 11 so that it does not apply to soil disturbance.</w:t>
      </w:r>
    </w:p>
    <w:p w14:paraId="1E10ED69" w14:textId="63FC25CE" w:rsidR="00F3647B" w:rsidRPr="000C5050" w:rsidRDefault="00A434B7" w:rsidP="00004369">
      <w:pPr>
        <w:pStyle w:val="Blueboxtext"/>
        <w:tabs>
          <w:tab w:val="left" w:pos="1560"/>
        </w:tabs>
        <w:spacing w:after="60"/>
        <w:ind w:left="1985" w:hanging="1701"/>
        <w:rPr>
          <w:lang w:eastAsia="en-US"/>
        </w:rPr>
      </w:pPr>
      <w:r w:rsidRPr="000C5050">
        <w:rPr>
          <w:lang w:eastAsia="en-US"/>
        </w:rPr>
        <w:tab/>
      </w:r>
      <w:r w:rsidRPr="000C5050">
        <w:rPr>
          <w:lang w:eastAsia="en-US"/>
        </w:rPr>
        <w:sym w:font="Symbol" w:char="F0B7"/>
      </w:r>
      <w:r w:rsidRPr="000C5050">
        <w:rPr>
          <w:lang w:eastAsia="en-US"/>
        </w:rPr>
        <w:tab/>
      </w:r>
      <w:r w:rsidR="00F3647B" w:rsidRPr="000C5050">
        <w:rPr>
          <w:lang w:eastAsia="en-US"/>
        </w:rPr>
        <w:t xml:space="preserve">Amend regulation 9 so that soil disturbance is a controlled activity where it cannot meet the permitted activity controls and a DSI is provided and soil contamination exceeds </w:t>
      </w:r>
      <w:r w:rsidR="00914EF4" w:rsidRPr="000C5050">
        <w:rPr>
          <w:lang w:eastAsia="en-US"/>
        </w:rPr>
        <w:t>soil contaminant standards or Tier 1 soil acceptance criteria</w:t>
      </w:r>
      <w:r w:rsidR="00F3647B" w:rsidRPr="000C5050">
        <w:rPr>
          <w:lang w:eastAsia="en-US"/>
        </w:rPr>
        <w:t>.</w:t>
      </w:r>
    </w:p>
    <w:p w14:paraId="0A708B79" w14:textId="3FA19133" w:rsidR="00F3647B" w:rsidRPr="000C5050" w:rsidRDefault="00A434B7" w:rsidP="00004369">
      <w:pPr>
        <w:pStyle w:val="Blueboxtext"/>
        <w:tabs>
          <w:tab w:val="left" w:pos="1560"/>
        </w:tabs>
        <w:spacing w:after="60"/>
        <w:ind w:left="1985" w:hanging="1701"/>
        <w:rPr>
          <w:lang w:eastAsia="en-US"/>
        </w:rPr>
      </w:pPr>
      <w:r w:rsidRPr="000C5050">
        <w:rPr>
          <w:lang w:eastAsia="en-US"/>
        </w:rPr>
        <w:tab/>
      </w:r>
      <w:r w:rsidRPr="000C5050">
        <w:rPr>
          <w:lang w:eastAsia="en-US"/>
        </w:rPr>
        <w:sym w:font="Symbol" w:char="F0B7"/>
      </w:r>
      <w:r w:rsidRPr="000C5050">
        <w:rPr>
          <w:lang w:eastAsia="en-US"/>
        </w:rPr>
        <w:tab/>
      </w:r>
      <w:r w:rsidR="00F3647B" w:rsidRPr="000C5050">
        <w:rPr>
          <w:lang w:eastAsia="en-US"/>
        </w:rPr>
        <w:t>Amend regulation 10 so that soil disturbance is a restricted discretionary activity where it cannot meet the permitted activity controls and no DSI is</w:t>
      </w:r>
      <w:r w:rsidR="00424CC2" w:rsidRPr="000C5050">
        <w:rPr>
          <w:lang w:eastAsia="en-US"/>
        </w:rPr>
        <w:t> </w:t>
      </w:r>
      <w:r w:rsidR="00F3647B" w:rsidRPr="000C5050">
        <w:rPr>
          <w:lang w:eastAsia="en-US"/>
        </w:rPr>
        <w:t>provided.</w:t>
      </w:r>
    </w:p>
    <w:p w14:paraId="1AA34886" w14:textId="77777777" w:rsidR="00F3647B" w:rsidRPr="000C5050" w:rsidRDefault="00F3647B" w:rsidP="00004369">
      <w:pPr>
        <w:pStyle w:val="Blueboxtext"/>
        <w:rPr>
          <w:lang w:eastAsia="en-US"/>
        </w:rPr>
      </w:pPr>
      <w:r w:rsidRPr="000C5050">
        <w:rPr>
          <w:lang w:eastAsia="en-US"/>
        </w:rPr>
        <w:t>Table 2 provides an overview of the proposed changes for the activity of soil disturbance, including the application to network utility operators, and corresponding planning controls. An alternative format of the changes (by activity classification) is provided in Appendix 4.</w:t>
      </w:r>
    </w:p>
    <w:p w14:paraId="0521EC90" w14:textId="77777777" w:rsidR="00A16226" w:rsidRPr="000C5050" w:rsidRDefault="008F22BA" w:rsidP="00144363">
      <w:pPr>
        <w:pStyle w:val="Tableheading"/>
        <w:spacing w:before="240"/>
      </w:pPr>
      <w:bookmarkStart w:id="23" w:name="_Toc460081287"/>
      <w:r w:rsidRPr="000C5050">
        <w:t xml:space="preserve">Table 2: </w:t>
      </w:r>
      <w:r w:rsidRPr="000C5050">
        <w:tab/>
        <w:t>Proposed consent status and planning controls for the activity of soil disturbance</w:t>
      </w:r>
      <w:bookmarkEnd w:id="23"/>
    </w:p>
    <w:tbl>
      <w:tblPr>
        <w:tblStyle w:val="TableGrid"/>
        <w:tblW w:w="8562" w:type="dxa"/>
        <w:tblInd w:w="108" w:type="dxa"/>
        <w:tblBorders>
          <w:top w:val="single" w:sz="4" w:space="0" w:color="593731"/>
          <w:left w:val="none" w:sz="0" w:space="0" w:color="auto"/>
          <w:bottom w:val="single" w:sz="4" w:space="0" w:color="593731"/>
          <w:right w:val="none" w:sz="0" w:space="0" w:color="auto"/>
          <w:insideH w:val="single" w:sz="4" w:space="0" w:color="593731"/>
          <w:insideV w:val="single" w:sz="4" w:space="0" w:color="593731"/>
        </w:tblBorders>
        <w:tblLook w:val="04A0" w:firstRow="1" w:lastRow="0" w:firstColumn="1" w:lastColumn="0" w:noHBand="0" w:noVBand="1"/>
      </w:tblPr>
      <w:tblGrid>
        <w:gridCol w:w="1390"/>
        <w:gridCol w:w="3005"/>
        <w:gridCol w:w="4167"/>
      </w:tblGrid>
      <w:tr w:rsidR="008F22BA" w:rsidRPr="000C5050" w14:paraId="13812126" w14:textId="77777777" w:rsidTr="009C66E3">
        <w:trPr>
          <w:tblHeader/>
        </w:trPr>
        <w:tc>
          <w:tcPr>
            <w:tcW w:w="1390" w:type="dxa"/>
            <w:tcBorders>
              <w:top w:val="single" w:sz="4" w:space="0" w:color="17556C"/>
              <w:bottom w:val="single" w:sz="4" w:space="0" w:color="17556C"/>
              <w:right w:val="single" w:sz="4" w:space="0" w:color="17556C"/>
            </w:tcBorders>
            <w:shd w:val="clear" w:color="auto" w:fill="17556C"/>
          </w:tcPr>
          <w:p w14:paraId="017D066A" w14:textId="77777777" w:rsidR="008F22BA" w:rsidRPr="000C5050" w:rsidRDefault="008F22BA" w:rsidP="008F22BA">
            <w:pPr>
              <w:pStyle w:val="TableTextbold"/>
              <w:rPr>
                <w:color w:val="FFFFFF" w:themeColor="background1"/>
              </w:rPr>
            </w:pPr>
            <w:r w:rsidRPr="000C5050">
              <w:rPr>
                <w:color w:val="FFFFFF" w:themeColor="background1"/>
              </w:rPr>
              <w:t>Activity status</w:t>
            </w:r>
          </w:p>
        </w:tc>
        <w:tc>
          <w:tcPr>
            <w:tcW w:w="3005" w:type="dxa"/>
            <w:tcBorders>
              <w:top w:val="single" w:sz="4" w:space="0" w:color="17556C"/>
              <w:left w:val="single" w:sz="4" w:space="0" w:color="17556C"/>
              <w:bottom w:val="single" w:sz="4" w:space="0" w:color="17556C"/>
              <w:right w:val="single" w:sz="4" w:space="0" w:color="17556C"/>
            </w:tcBorders>
            <w:shd w:val="clear" w:color="auto" w:fill="17556C"/>
          </w:tcPr>
          <w:p w14:paraId="346BC987" w14:textId="77777777" w:rsidR="008F22BA" w:rsidRPr="000C5050" w:rsidRDefault="008F22BA" w:rsidP="008F22BA">
            <w:pPr>
              <w:pStyle w:val="TableTextbold"/>
              <w:rPr>
                <w:color w:val="FFFFFF" w:themeColor="background1"/>
              </w:rPr>
            </w:pPr>
            <w:r w:rsidRPr="000C5050">
              <w:rPr>
                <w:color w:val="FFFFFF" w:themeColor="background1"/>
              </w:rPr>
              <w:t>Application</w:t>
            </w:r>
          </w:p>
        </w:tc>
        <w:tc>
          <w:tcPr>
            <w:tcW w:w="4167" w:type="dxa"/>
            <w:tcBorders>
              <w:top w:val="single" w:sz="4" w:space="0" w:color="17556C"/>
              <w:left w:val="single" w:sz="4" w:space="0" w:color="17556C"/>
              <w:bottom w:val="single" w:sz="4" w:space="0" w:color="17556C"/>
            </w:tcBorders>
            <w:shd w:val="clear" w:color="auto" w:fill="17556C"/>
          </w:tcPr>
          <w:p w14:paraId="261F22A7" w14:textId="77777777" w:rsidR="008F22BA" w:rsidRPr="000C5050" w:rsidRDefault="008F22BA" w:rsidP="008F22BA">
            <w:pPr>
              <w:pStyle w:val="TableTextbold"/>
              <w:rPr>
                <w:color w:val="FFFFFF" w:themeColor="background1"/>
              </w:rPr>
            </w:pPr>
            <w:r w:rsidRPr="000C5050">
              <w:rPr>
                <w:color w:val="FFFFFF" w:themeColor="background1"/>
              </w:rPr>
              <w:t>Requirements</w:t>
            </w:r>
          </w:p>
        </w:tc>
      </w:tr>
      <w:tr w:rsidR="008F22BA" w:rsidRPr="000C5050" w14:paraId="08F40A5D" w14:textId="77777777" w:rsidTr="009C66E3">
        <w:tc>
          <w:tcPr>
            <w:tcW w:w="1390" w:type="dxa"/>
            <w:vMerge w:val="restart"/>
            <w:tcBorders>
              <w:top w:val="single" w:sz="4" w:space="0" w:color="17556C"/>
              <w:bottom w:val="single" w:sz="4" w:space="0" w:color="17556C"/>
              <w:right w:val="single" w:sz="4" w:space="0" w:color="17556C"/>
            </w:tcBorders>
            <w:shd w:val="clear" w:color="auto" w:fill="A4BBC4"/>
          </w:tcPr>
          <w:p w14:paraId="5BE15AAD" w14:textId="77777777" w:rsidR="008F22BA" w:rsidRPr="000C5050" w:rsidRDefault="008F22BA" w:rsidP="008F22BA">
            <w:pPr>
              <w:pStyle w:val="Tabletext"/>
              <w:rPr>
                <w:b/>
              </w:rPr>
            </w:pPr>
            <w:r w:rsidRPr="000C5050">
              <w:rPr>
                <w:b/>
              </w:rPr>
              <w:t>Permitted</w:t>
            </w:r>
          </w:p>
        </w:tc>
        <w:tc>
          <w:tcPr>
            <w:tcW w:w="3005" w:type="dxa"/>
            <w:tcBorders>
              <w:top w:val="single" w:sz="4" w:space="0" w:color="17556C"/>
              <w:left w:val="single" w:sz="4" w:space="0" w:color="17556C"/>
              <w:bottom w:val="single" w:sz="4" w:space="0" w:color="17556C"/>
              <w:right w:val="single" w:sz="4" w:space="0" w:color="17556C"/>
            </w:tcBorders>
            <w:shd w:val="clear" w:color="auto" w:fill="A4BBC4"/>
          </w:tcPr>
          <w:p w14:paraId="6F6072F4" w14:textId="5B434AF1" w:rsidR="008F22BA" w:rsidRPr="000C5050" w:rsidRDefault="008F22BA" w:rsidP="008F22BA">
            <w:pPr>
              <w:pStyle w:val="Tabletext"/>
            </w:pPr>
            <w:r w:rsidRPr="000C5050">
              <w:t>Small scale soil disturbance (</w:t>
            </w:r>
            <w:proofErr w:type="spellStart"/>
            <w:r w:rsidRPr="000C5050">
              <w:t>ie</w:t>
            </w:r>
            <w:proofErr w:type="spellEnd"/>
            <w:r w:rsidRPr="000C5050">
              <w:t>, 25</w:t>
            </w:r>
            <w:r w:rsidR="009D33D8" w:rsidRPr="000C5050">
              <w:t>m³ per 500m²</w:t>
            </w:r>
            <w:r w:rsidRPr="000C5050">
              <w:t>)</w:t>
            </w:r>
          </w:p>
        </w:tc>
        <w:tc>
          <w:tcPr>
            <w:tcW w:w="4167" w:type="dxa"/>
            <w:tcBorders>
              <w:top w:val="single" w:sz="4" w:space="0" w:color="17556C"/>
              <w:left w:val="single" w:sz="4" w:space="0" w:color="17556C"/>
              <w:bottom w:val="single" w:sz="4" w:space="0" w:color="17556C"/>
            </w:tcBorders>
            <w:shd w:val="clear" w:color="auto" w:fill="A4BBC4"/>
          </w:tcPr>
          <w:p w14:paraId="6226E38A" w14:textId="77777777" w:rsidR="008F22BA" w:rsidRPr="000C5050" w:rsidRDefault="008F22BA" w:rsidP="0081270D">
            <w:pPr>
              <w:pStyle w:val="Tabletext"/>
            </w:pPr>
            <w:r w:rsidRPr="000C5050">
              <w:t>Same as existing requirements but with better definitions of volume.</w:t>
            </w:r>
          </w:p>
        </w:tc>
      </w:tr>
      <w:tr w:rsidR="008F22BA" w:rsidRPr="000C5050" w14:paraId="4280560A" w14:textId="77777777" w:rsidTr="009C66E3">
        <w:tc>
          <w:tcPr>
            <w:tcW w:w="1390" w:type="dxa"/>
            <w:vMerge/>
            <w:tcBorders>
              <w:top w:val="single" w:sz="4" w:space="0" w:color="17556C"/>
              <w:bottom w:val="single" w:sz="4" w:space="0" w:color="17556C"/>
              <w:right w:val="single" w:sz="4" w:space="0" w:color="17556C"/>
            </w:tcBorders>
            <w:shd w:val="clear" w:color="auto" w:fill="8BAAB6"/>
          </w:tcPr>
          <w:p w14:paraId="153E5479" w14:textId="77777777" w:rsidR="008F22BA" w:rsidRPr="000C5050" w:rsidRDefault="008F22BA" w:rsidP="008F22BA">
            <w:pPr>
              <w:pStyle w:val="Tabletext"/>
              <w:rPr>
                <w:b/>
              </w:rPr>
            </w:pPr>
          </w:p>
        </w:tc>
        <w:tc>
          <w:tcPr>
            <w:tcW w:w="3005" w:type="dxa"/>
            <w:tcBorders>
              <w:top w:val="single" w:sz="4" w:space="0" w:color="17556C"/>
              <w:left w:val="single" w:sz="4" w:space="0" w:color="17556C"/>
              <w:bottom w:val="single" w:sz="4" w:space="0" w:color="17556C"/>
              <w:right w:val="single" w:sz="4" w:space="0" w:color="17556C"/>
            </w:tcBorders>
            <w:shd w:val="clear" w:color="auto" w:fill="A4BBC4"/>
          </w:tcPr>
          <w:p w14:paraId="133B72C3" w14:textId="0EDEB41F" w:rsidR="008F22BA" w:rsidRPr="000C5050" w:rsidRDefault="008F22BA" w:rsidP="008F22BA">
            <w:pPr>
              <w:pStyle w:val="Tabletext"/>
            </w:pPr>
            <w:r w:rsidRPr="000C5050">
              <w:t>Soil disturbance by network utility operators (as defined in the RMA)</w:t>
            </w:r>
          </w:p>
        </w:tc>
        <w:tc>
          <w:tcPr>
            <w:tcW w:w="4167" w:type="dxa"/>
            <w:tcBorders>
              <w:top w:val="single" w:sz="4" w:space="0" w:color="17556C"/>
              <w:left w:val="single" w:sz="4" w:space="0" w:color="17556C"/>
              <w:bottom w:val="single" w:sz="4" w:space="0" w:color="17556C"/>
            </w:tcBorders>
            <w:shd w:val="clear" w:color="auto" w:fill="A4BBC4"/>
          </w:tcPr>
          <w:p w14:paraId="6AAE5D48" w14:textId="77777777" w:rsidR="008F22BA" w:rsidRPr="000C5050" w:rsidRDefault="008F22BA" w:rsidP="00F006D2">
            <w:pPr>
              <w:pStyle w:val="Tablebullet"/>
              <w:spacing w:before="60"/>
            </w:pPr>
            <w:r w:rsidRPr="000C5050">
              <w:t>SMP prepared in accordance with CLMG No 1 and provided to council as part of notice of commencement</w:t>
            </w:r>
          </w:p>
          <w:p w14:paraId="3E3D8712" w14:textId="77777777" w:rsidR="008F22BA" w:rsidRPr="000C5050" w:rsidRDefault="008F22BA" w:rsidP="008F22BA">
            <w:pPr>
              <w:pStyle w:val="Tablebullet"/>
            </w:pPr>
            <w:r w:rsidRPr="000C5050">
              <w:t>SMP implemented for duration of works</w:t>
            </w:r>
          </w:p>
          <w:p w14:paraId="5973974D" w14:textId="221CEEB9" w:rsidR="008F22BA" w:rsidRPr="000C5050" w:rsidRDefault="00772380" w:rsidP="00E24F5D">
            <w:pPr>
              <w:pStyle w:val="Tablebullet"/>
            </w:pPr>
            <w:r w:rsidRPr="000C5050">
              <w:t>A</w:t>
            </w:r>
            <w:r w:rsidR="008F22BA" w:rsidRPr="000C5050">
              <w:t xml:space="preserve"> surface</w:t>
            </w:r>
            <w:r w:rsidR="00E60353" w:rsidRPr="000C5050">
              <w:t xml:space="preserve"> which appropriately mitigates </w:t>
            </w:r>
            <w:r w:rsidR="00166968" w:rsidRPr="000C5050">
              <w:t xml:space="preserve">risks </w:t>
            </w:r>
            <w:r w:rsidR="00E60353" w:rsidRPr="000C5050">
              <w:t>from</w:t>
            </w:r>
            <w:r w:rsidRPr="000C5050">
              <w:t xml:space="preserve"> the contaminants of concern is</w:t>
            </w:r>
            <w:r w:rsidR="008F22BA" w:rsidRPr="000C5050">
              <w:t xml:space="preserve"> </w:t>
            </w:r>
            <w:r w:rsidR="00166968" w:rsidRPr="000C5050">
              <w:t>installed</w:t>
            </w:r>
            <w:r w:rsidR="00E24F5D" w:rsidRPr="000C5050">
              <w:t>, over the area of disturbance only,</w:t>
            </w:r>
            <w:r w:rsidR="00166968" w:rsidRPr="000C5050">
              <w:t xml:space="preserve"> </w:t>
            </w:r>
            <w:r w:rsidR="008F22BA" w:rsidRPr="000C5050">
              <w:t xml:space="preserve">at </w:t>
            </w:r>
            <w:r w:rsidRPr="000C5050">
              <w:t xml:space="preserve">the </w:t>
            </w:r>
            <w:r w:rsidR="008F22BA" w:rsidRPr="000C5050">
              <w:t>completion of works.</w:t>
            </w:r>
          </w:p>
        </w:tc>
      </w:tr>
      <w:tr w:rsidR="008F22BA" w:rsidRPr="000C5050" w14:paraId="4A92DA70" w14:textId="77777777" w:rsidTr="009C66E3">
        <w:tc>
          <w:tcPr>
            <w:tcW w:w="1390" w:type="dxa"/>
            <w:vMerge/>
            <w:tcBorders>
              <w:top w:val="single" w:sz="4" w:space="0" w:color="17556C"/>
              <w:bottom w:val="single" w:sz="4" w:space="0" w:color="17556C"/>
              <w:right w:val="single" w:sz="4" w:space="0" w:color="17556C"/>
            </w:tcBorders>
            <w:shd w:val="clear" w:color="auto" w:fill="8BAAB6"/>
          </w:tcPr>
          <w:p w14:paraId="50719B25" w14:textId="77777777" w:rsidR="008F22BA" w:rsidRPr="000C5050" w:rsidRDefault="008F22BA" w:rsidP="008F22BA">
            <w:pPr>
              <w:pStyle w:val="Tabletext"/>
              <w:rPr>
                <w:b/>
              </w:rPr>
            </w:pPr>
          </w:p>
        </w:tc>
        <w:tc>
          <w:tcPr>
            <w:tcW w:w="3005" w:type="dxa"/>
            <w:tcBorders>
              <w:top w:val="single" w:sz="4" w:space="0" w:color="17556C"/>
              <w:left w:val="single" w:sz="4" w:space="0" w:color="17556C"/>
              <w:bottom w:val="single" w:sz="4" w:space="0" w:color="17556C"/>
              <w:right w:val="single" w:sz="4" w:space="0" w:color="17556C"/>
            </w:tcBorders>
            <w:shd w:val="clear" w:color="auto" w:fill="A4BBC4"/>
          </w:tcPr>
          <w:p w14:paraId="3159A84B" w14:textId="77777777" w:rsidR="008F22BA" w:rsidRPr="000C5050" w:rsidRDefault="008F22BA" w:rsidP="008F22BA">
            <w:pPr>
              <w:pStyle w:val="Tabletext"/>
            </w:pPr>
            <w:r w:rsidRPr="000C5050">
              <w:t>Soil disturbance on a site where a DSI demonstrates that it is below soil contaminant standards or Tier 1 soil acceptance criteria (but above background concentrations)</w:t>
            </w:r>
          </w:p>
        </w:tc>
        <w:tc>
          <w:tcPr>
            <w:tcW w:w="4167" w:type="dxa"/>
            <w:tcBorders>
              <w:top w:val="single" w:sz="4" w:space="0" w:color="17556C"/>
              <w:left w:val="single" w:sz="4" w:space="0" w:color="17556C"/>
              <w:bottom w:val="single" w:sz="4" w:space="0" w:color="17556C"/>
            </w:tcBorders>
            <w:shd w:val="clear" w:color="auto" w:fill="A4BBC4"/>
          </w:tcPr>
          <w:p w14:paraId="579A1485" w14:textId="77777777" w:rsidR="008F22BA" w:rsidRPr="000C5050" w:rsidRDefault="008F22BA" w:rsidP="00F006D2">
            <w:pPr>
              <w:pStyle w:val="Tablebullet"/>
              <w:spacing w:before="60"/>
            </w:pPr>
            <w:r w:rsidRPr="000C5050">
              <w:t>DSI in accordance with CLMGs</w:t>
            </w:r>
          </w:p>
          <w:p w14:paraId="4D1212E6" w14:textId="77777777" w:rsidR="008F22BA" w:rsidRPr="000C5050" w:rsidRDefault="008F22BA" w:rsidP="008F22BA">
            <w:pPr>
              <w:pStyle w:val="Tablebullet"/>
            </w:pPr>
            <w:r w:rsidRPr="000C5050">
              <w:t>DSI provided to council</w:t>
            </w:r>
          </w:p>
          <w:p w14:paraId="496BE090" w14:textId="77777777" w:rsidR="008F22BA" w:rsidRPr="000C5050" w:rsidRDefault="008F22BA" w:rsidP="008F22BA">
            <w:pPr>
              <w:pStyle w:val="Tablebullet"/>
            </w:pPr>
            <w:r w:rsidRPr="000C5050">
              <w:t xml:space="preserve">Site management practices in place for duration of works to avoid discharges to the environment and minimise exposure to people. </w:t>
            </w:r>
          </w:p>
        </w:tc>
      </w:tr>
      <w:tr w:rsidR="008F22BA" w:rsidRPr="000C5050" w14:paraId="4198CA3E" w14:textId="77777777" w:rsidTr="00B9359D">
        <w:trPr>
          <w:trHeight w:val="711"/>
        </w:trPr>
        <w:tc>
          <w:tcPr>
            <w:tcW w:w="1390" w:type="dxa"/>
            <w:tcBorders>
              <w:top w:val="single" w:sz="4" w:space="0" w:color="17556C"/>
              <w:bottom w:val="single" w:sz="4" w:space="0" w:color="17556C"/>
              <w:right w:val="single" w:sz="4" w:space="0" w:color="17556C"/>
            </w:tcBorders>
            <w:shd w:val="clear" w:color="auto" w:fill="D5EBE5"/>
          </w:tcPr>
          <w:p w14:paraId="7ED2EAA0" w14:textId="77777777" w:rsidR="008F22BA" w:rsidRPr="000C5050" w:rsidRDefault="008F22BA" w:rsidP="008F22BA">
            <w:pPr>
              <w:pStyle w:val="Tabletext"/>
              <w:rPr>
                <w:b/>
              </w:rPr>
            </w:pPr>
            <w:r w:rsidRPr="000C5050">
              <w:rPr>
                <w:b/>
              </w:rPr>
              <w:t>Controlled</w:t>
            </w:r>
          </w:p>
        </w:tc>
        <w:tc>
          <w:tcPr>
            <w:tcW w:w="3005" w:type="dxa"/>
            <w:tcBorders>
              <w:top w:val="single" w:sz="4" w:space="0" w:color="17556C"/>
              <w:left w:val="single" w:sz="4" w:space="0" w:color="17556C"/>
              <w:bottom w:val="single" w:sz="4" w:space="0" w:color="17556C"/>
              <w:right w:val="single" w:sz="4" w:space="0" w:color="17556C"/>
            </w:tcBorders>
            <w:shd w:val="clear" w:color="auto" w:fill="D5EBE5"/>
          </w:tcPr>
          <w:p w14:paraId="7C800A8F" w14:textId="4AFEE588" w:rsidR="008F22BA" w:rsidRPr="000C5050" w:rsidRDefault="008F22BA" w:rsidP="008F22BA">
            <w:pPr>
              <w:pStyle w:val="Tabletext"/>
            </w:pPr>
            <w:r w:rsidRPr="000C5050">
              <w:t xml:space="preserve">Soil disturbance exceeds the permitted volume/other </w:t>
            </w:r>
            <w:r w:rsidR="00CD4780" w:rsidRPr="000C5050">
              <w:t>permitted activity</w:t>
            </w:r>
            <w:r w:rsidRPr="000C5050">
              <w:t xml:space="preserve"> requirements.</w:t>
            </w:r>
          </w:p>
          <w:p w14:paraId="57221BB0" w14:textId="77777777" w:rsidR="008F22BA" w:rsidRPr="000C5050" w:rsidRDefault="008F22BA" w:rsidP="008F22BA">
            <w:pPr>
              <w:pStyle w:val="Tabletext"/>
            </w:pPr>
            <w:r w:rsidRPr="000C5050">
              <w:t xml:space="preserve">A DSI exists and adequately demonstrates the contamination profile for the area of soil disturbance. Contamination exceeds soil contaminant standards or Tier 1 soil acceptance criteria and/or uses soil guideline values. </w:t>
            </w:r>
          </w:p>
        </w:tc>
        <w:tc>
          <w:tcPr>
            <w:tcW w:w="4167" w:type="dxa"/>
            <w:tcBorders>
              <w:top w:val="single" w:sz="4" w:space="0" w:color="17556C"/>
              <w:left w:val="single" w:sz="4" w:space="0" w:color="17556C"/>
              <w:bottom w:val="single" w:sz="4" w:space="0" w:color="17556C"/>
            </w:tcBorders>
            <w:shd w:val="clear" w:color="auto" w:fill="D5EBE5"/>
          </w:tcPr>
          <w:p w14:paraId="528D25FF" w14:textId="77777777" w:rsidR="008F22BA" w:rsidRPr="000C5050" w:rsidRDefault="008F22BA" w:rsidP="008F22BA">
            <w:pPr>
              <w:pStyle w:val="Tablebullet"/>
              <w:spacing w:before="60"/>
            </w:pPr>
            <w:r w:rsidRPr="000C5050">
              <w:t>DSI in accordance with CLMGs</w:t>
            </w:r>
          </w:p>
          <w:p w14:paraId="0BF79988" w14:textId="4D7CD4DF" w:rsidR="008F22BA" w:rsidRPr="000C5050" w:rsidRDefault="008F22BA" w:rsidP="008F22BA">
            <w:pPr>
              <w:pStyle w:val="Tablebullet"/>
            </w:pPr>
            <w:r w:rsidRPr="000C5050">
              <w:t>Consent authority has the report</w:t>
            </w:r>
          </w:p>
          <w:p w14:paraId="34C9AD7B" w14:textId="77777777" w:rsidR="008F22BA" w:rsidRPr="000C5050" w:rsidRDefault="008F22BA" w:rsidP="00A02FFA">
            <w:pPr>
              <w:pStyle w:val="Tablebullet"/>
              <w:spacing w:after="20"/>
            </w:pPr>
            <w:r w:rsidRPr="000C5050">
              <w:t>Matters of control:</w:t>
            </w:r>
          </w:p>
          <w:p w14:paraId="38110E91" w14:textId="77777777" w:rsidR="008F22BA" w:rsidRPr="000C5050" w:rsidRDefault="008F22BA" w:rsidP="00A02FFA">
            <w:pPr>
              <w:pStyle w:val="TableDash"/>
              <w:spacing w:after="20"/>
            </w:pPr>
            <w:r w:rsidRPr="000C5050">
              <w:t>adequacy of DSI</w:t>
            </w:r>
          </w:p>
          <w:p w14:paraId="0168A413" w14:textId="77777777" w:rsidR="008F22BA" w:rsidRPr="000C5050" w:rsidRDefault="008F22BA" w:rsidP="00A02FFA">
            <w:pPr>
              <w:pStyle w:val="TableDash"/>
              <w:spacing w:after="20"/>
            </w:pPr>
            <w:r w:rsidRPr="000C5050">
              <w:t>the approach to managing the soil disturbance, including adequacy of SMP, how it must be monitored and reported on</w:t>
            </w:r>
          </w:p>
          <w:p w14:paraId="266B26C0" w14:textId="77777777" w:rsidR="008F22BA" w:rsidRPr="000C5050" w:rsidRDefault="008F22BA" w:rsidP="00A02FFA">
            <w:pPr>
              <w:pStyle w:val="TableDash"/>
              <w:spacing w:after="20"/>
            </w:pPr>
            <w:r w:rsidRPr="000C5050">
              <w:t>duration of consent</w:t>
            </w:r>
          </w:p>
          <w:p w14:paraId="77BA4FEA" w14:textId="77777777" w:rsidR="008F22BA" w:rsidRPr="000C5050" w:rsidRDefault="008F22BA" w:rsidP="008F22BA">
            <w:pPr>
              <w:pStyle w:val="TableDash"/>
            </w:pPr>
            <w:proofErr w:type="gramStart"/>
            <w:r w:rsidRPr="000C5050">
              <w:t>timing</w:t>
            </w:r>
            <w:proofErr w:type="gramEnd"/>
            <w:r w:rsidRPr="000C5050">
              <w:t xml:space="preserve"> and nature of review of conditions.</w:t>
            </w:r>
          </w:p>
        </w:tc>
      </w:tr>
      <w:tr w:rsidR="008F22BA" w:rsidRPr="000C5050" w14:paraId="3DADAFB3" w14:textId="77777777" w:rsidTr="00B9359D">
        <w:trPr>
          <w:trHeight w:val="2789"/>
        </w:trPr>
        <w:tc>
          <w:tcPr>
            <w:tcW w:w="1390" w:type="dxa"/>
            <w:tcBorders>
              <w:top w:val="single" w:sz="4" w:space="0" w:color="17556C"/>
              <w:bottom w:val="single" w:sz="4" w:space="0" w:color="17556C"/>
              <w:right w:val="single" w:sz="4" w:space="0" w:color="17556C"/>
            </w:tcBorders>
            <w:shd w:val="clear" w:color="auto" w:fill="D2DDE2"/>
          </w:tcPr>
          <w:p w14:paraId="1D9382EB" w14:textId="77777777" w:rsidR="008F22BA" w:rsidRPr="000C5050" w:rsidRDefault="008F22BA" w:rsidP="008F22BA">
            <w:pPr>
              <w:pStyle w:val="Tabletext"/>
              <w:rPr>
                <w:b/>
              </w:rPr>
            </w:pPr>
            <w:r w:rsidRPr="000C5050">
              <w:rPr>
                <w:b/>
              </w:rPr>
              <w:lastRenderedPageBreak/>
              <w:t>Restricted discretionary</w:t>
            </w:r>
          </w:p>
        </w:tc>
        <w:tc>
          <w:tcPr>
            <w:tcW w:w="3005" w:type="dxa"/>
            <w:tcBorders>
              <w:top w:val="single" w:sz="4" w:space="0" w:color="17556C"/>
              <w:left w:val="single" w:sz="4" w:space="0" w:color="17556C"/>
              <w:bottom w:val="single" w:sz="4" w:space="0" w:color="17556C"/>
              <w:right w:val="single" w:sz="4" w:space="0" w:color="17556C"/>
            </w:tcBorders>
            <w:shd w:val="clear" w:color="auto" w:fill="D2DDE2"/>
          </w:tcPr>
          <w:p w14:paraId="3F123568" w14:textId="4F54731F" w:rsidR="008F22BA" w:rsidRPr="000C5050" w:rsidRDefault="008F22BA" w:rsidP="008F22BA">
            <w:pPr>
              <w:pStyle w:val="Tabletext"/>
            </w:pPr>
            <w:r w:rsidRPr="000C5050">
              <w:t xml:space="preserve">Soil disturbance exceeds the permitted threshold/other </w:t>
            </w:r>
            <w:r w:rsidR="00CD4780" w:rsidRPr="000C5050">
              <w:t>permitted activity</w:t>
            </w:r>
            <w:r w:rsidRPr="000C5050">
              <w:t xml:space="preserve"> requirements.</w:t>
            </w:r>
          </w:p>
          <w:p w14:paraId="3897ADEC" w14:textId="3069422E" w:rsidR="008F22BA" w:rsidRPr="000C5050" w:rsidRDefault="008F22BA" w:rsidP="008F22BA">
            <w:pPr>
              <w:pStyle w:val="Tabletext"/>
            </w:pPr>
            <w:r w:rsidRPr="000C5050">
              <w:t>No DSI exists</w:t>
            </w:r>
            <w:r w:rsidR="00483BC4">
              <w:t xml:space="preserve"> or is</w:t>
            </w:r>
            <w:r w:rsidR="001A63DB">
              <w:t xml:space="preserve"> </w:t>
            </w:r>
            <w:r w:rsidRPr="000C5050">
              <w:t>provided.</w:t>
            </w:r>
          </w:p>
        </w:tc>
        <w:tc>
          <w:tcPr>
            <w:tcW w:w="4167" w:type="dxa"/>
            <w:tcBorders>
              <w:top w:val="single" w:sz="4" w:space="0" w:color="17556C"/>
              <w:left w:val="single" w:sz="4" w:space="0" w:color="17556C"/>
              <w:bottom w:val="single" w:sz="4" w:space="0" w:color="17556C"/>
            </w:tcBorders>
            <w:shd w:val="clear" w:color="auto" w:fill="D2DDE2"/>
          </w:tcPr>
          <w:p w14:paraId="2DF81A17" w14:textId="77777777" w:rsidR="008F22BA" w:rsidRPr="000C5050" w:rsidRDefault="008F22BA" w:rsidP="0081270D">
            <w:pPr>
              <w:pStyle w:val="Tabletext"/>
            </w:pPr>
            <w:r w:rsidRPr="000C5050">
              <w:t>Matters of discretion:</w:t>
            </w:r>
          </w:p>
          <w:p w14:paraId="220DB8A7" w14:textId="77777777" w:rsidR="008F22BA" w:rsidRPr="000C5050" w:rsidRDefault="008F22BA" w:rsidP="008F22BA">
            <w:pPr>
              <w:pStyle w:val="Tablebullet"/>
            </w:pPr>
            <w:r w:rsidRPr="000C5050">
              <w:t>suitability of the piece of land for the proposed disturbance</w:t>
            </w:r>
          </w:p>
          <w:p w14:paraId="03719F69" w14:textId="77777777" w:rsidR="008F22BA" w:rsidRPr="000C5050" w:rsidRDefault="008F22BA" w:rsidP="008F22BA">
            <w:pPr>
              <w:pStyle w:val="Tablebullet"/>
            </w:pPr>
            <w:r w:rsidRPr="000C5050">
              <w:t>approach to managing the soil disturbance, including adequacy of SMP, how it must be monitored and reported on, and whether soil testing is required to inform management</w:t>
            </w:r>
          </w:p>
          <w:p w14:paraId="38FD3039" w14:textId="77777777" w:rsidR="008F22BA" w:rsidRPr="000C5050" w:rsidRDefault="008F22BA" w:rsidP="008F22BA">
            <w:pPr>
              <w:pStyle w:val="Tablebullet"/>
            </w:pPr>
            <w:r w:rsidRPr="000C5050">
              <w:t>adequacy of site validation report, as appropriate</w:t>
            </w:r>
          </w:p>
          <w:p w14:paraId="642FD392" w14:textId="77777777" w:rsidR="008F22BA" w:rsidRPr="000C5050" w:rsidRDefault="008F22BA" w:rsidP="008F22BA">
            <w:pPr>
              <w:pStyle w:val="Tablebullet"/>
            </w:pPr>
            <w:r w:rsidRPr="000C5050">
              <w:t>duration of consent</w:t>
            </w:r>
          </w:p>
          <w:p w14:paraId="19D47237" w14:textId="77777777" w:rsidR="008F22BA" w:rsidRPr="000C5050" w:rsidRDefault="008F22BA" w:rsidP="008F22BA">
            <w:pPr>
              <w:pStyle w:val="Tablebullet"/>
            </w:pPr>
            <w:r w:rsidRPr="000C5050">
              <w:t>timing and nature of review of conditions</w:t>
            </w:r>
          </w:p>
          <w:p w14:paraId="062E6A39" w14:textId="77777777" w:rsidR="008F22BA" w:rsidRPr="000C5050" w:rsidRDefault="008F22BA" w:rsidP="008F22BA">
            <w:pPr>
              <w:pStyle w:val="Tablebullet"/>
            </w:pPr>
            <w:proofErr w:type="gramStart"/>
            <w:r w:rsidRPr="000C5050">
              <w:t>requirement</w:t>
            </w:r>
            <w:proofErr w:type="gramEnd"/>
            <w:r w:rsidRPr="000C5050">
              <w:t xml:space="preserve"> for and conditions of a financial bond.</w:t>
            </w:r>
          </w:p>
        </w:tc>
      </w:tr>
    </w:tbl>
    <w:p w14:paraId="4B3A3933" w14:textId="77777777" w:rsidR="008F22BA" w:rsidRPr="000C5050" w:rsidRDefault="008F22BA" w:rsidP="008B220D">
      <w:pPr>
        <w:pStyle w:val="BodyText"/>
        <w:spacing w:before="0" w:after="0"/>
      </w:pPr>
    </w:p>
    <w:p w14:paraId="13B124D5" w14:textId="77777777" w:rsidR="008B220D" w:rsidRPr="000C5050" w:rsidRDefault="008B220D" w:rsidP="008B220D">
      <w:pPr>
        <w:pStyle w:val="Heading4"/>
        <w:rPr>
          <w:lang w:eastAsia="en-US"/>
        </w:rPr>
      </w:pPr>
      <w:r w:rsidRPr="000C5050">
        <w:rPr>
          <w:lang w:eastAsia="en-US"/>
        </w:rPr>
        <w:t>Anticipated impacts of the change</w:t>
      </w:r>
    </w:p>
    <w:p w14:paraId="0DDEC7EA" w14:textId="66C19583" w:rsidR="008B220D" w:rsidRPr="000C5050" w:rsidRDefault="008B220D" w:rsidP="008B220D">
      <w:pPr>
        <w:pStyle w:val="BodyText"/>
        <w:rPr>
          <w:lang w:eastAsia="en-US"/>
        </w:rPr>
      </w:pPr>
      <w:r w:rsidRPr="000C5050">
        <w:rPr>
          <w:lang w:eastAsia="en-US"/>
        </w:rPr>
        <w:t xml:space="preserve">The anticipated impacts of proposal 5.5 (remove option of discretionary activity class for </w:t>
      </w:r>
      <w:r w:rsidRPr="000C5050">
        <w:rPr>
          <w:b/>
          <w:lang w:eastAsia="en-US"/>
        </w:rPr>
        <w:t>soil disturbance</w:t>
      </w:r>
      <w:r w:rsidRPr="000C5050">
        <w:rPr>
          <w:lang w:eastAsia="en-US"/>
        </w:rPr>
        <w:t xml:space="preserve"> and removal or replacement of fuel tank storage systems) are discussed at page </w:t>
      </w:r>
      <w:r w:rsidR="00414BB1" w:rsidRPr="000C5050">
        <w:rPr>
          <w:lang w:eastAsia="en-US"/>
        </w:rPr>
        <w:t>3</w:t>
      </w:r>
      <w:r w:rsidR="00395A79">
        <w:rPr>
          <w:lang w:eastAsia="en-US"/>
        </w:rPr>
        <w:t>5</w:t>
      </w:r>
      <w:r w:rsidRPr="000C5050">
        <w:rPr>
          <w:lang w:eastAsia="en-US"/>
        </w:rPr>
        <w:t>.</w:t>
      </w:r>
    </w:p>
    <w:p w14:paraId="36A808E4" w14:textId="45C7DF98" w:rsidR="008B220D" w:rsidRPr="000C5050" w:rsidRDefault="008B220D" w:rsidP="008B220D">
      <w:pPr>
        <w:pStyle w:val="BodyText"/>
        <w:rPr>
          <w:lang w:eastAsia="en-US"/>
        </w:rPr>
      </w:pPr>
      <w:r w:rsidRPr="000C5050">
        <w:rPr>
          <w:lang w:eastAsia="en-US"/>
        </w:rPr>
        <w:t xml:space="preserve">In terms of proposal 5.2, it is expected that this change would reduce costs and delays on </w:t>
      </w:r>
      <w:r w:rsidR="00414BB1" w:rsidRPr="000C5050">
        <w:rPr>
          <w:lang w:eastAsia="en-US"/>
        </w:rPr>
        <w:t xml:space="preserve">network </w:t>
      </w:r>
      <w:r w:rsidRPr="000C5050">
        <w:rPr>
          <w:lang w:eastAsia="en-US"/>
        </w:rPr>
        <w:t xml:space="preserve">infrastructure maintenance. The Ministry is seeking feedback on the likely scale of impact. Anecdotal evidence suggests that the proposed permitted activity requirements align with industry best practice, which many network utility operators are already following, so costs for </w:t>
      </w:r>
      <w:r w:rsidR="000131F3" w:rsidRPr="000C5050">
        <w:rPr>
          <w:lang w:eastAsia="en-US"/>
        </w:rPr>
        <w:t>network utility operators</w:t>
      </w:r>
      <w:r w:rsidRPr="000C5050">
        <w:rPr>
          <w:lang w:eastAsia="en-US"/>
        </w:rPr>
        <w:t xml:space="preserve"> to comply with permitted activity requirements should be</w:t>
      </w:r>
      <w:r w:rsidR="00C053F3" w:rsidRPr="000C5050">
        <w:rPr>
          <w:lang w:eastAsia="en-US"/>
        </w:rPr>
        <w:t> </w:t>
      </w:r>
      <w:r w:rsidRPr="000C5050">
        <w:rPr>
          <w:lang w:eastAsia="en-US"/>
        </w:rPr>
        <w:t xml:space="preserve">minimal. </w:t>
      </w:r>
    </w:p>
    <w:p w14:paraId="6769E519" w14:textId="77777777" w:rsidR="008B220D" w:rsidRPr="000C5050" w:rsidRDefault="008B220D" w:rsidP="008B220D">
      <w:pPr>
        <w:pStyle w:val="BodyText"/>
        <w:rPr>
          <w:lang w:eastAsia="en-US"/>
        </w:rPr>
      </w:pPr>
      <w:r w:rsidRPr="000C5050">
        <w:rPr>
          <w:lang w:eastAsia="en-US"/>
        </w:rPr>
        <w:t xml:space="preserve">This change may result in an increase in processing and monitoring costs for councils, as there will not be a consent. In most instances, however, network utility operators will need to obtain resource consent for other reasons, so councils may be able to consider compliance with the NESCS permitted activity requirements as part of their assessment of the overall consent application. </w:t>
      </w:r>
    </w:p>
    <w:p w14:paraId="6486DADA" w14:textId="49BD33B0" w:rsidR="008F22BA" w:rsidRPr="000C5050" w:rsidRDefault="008B220D" w:rsidP="008B220D">
      <w:pPr>
        <w:pStyle w:val="BodyText"/>
        <w:rPr>
          <w:lang w:eastAsia="en-US"/>
        </w:rPr>
      </w:pPr>
      <w:r w:rsidRPr="000C5050">
        <w:rPr>
          <w:lang w:eastAsia="en-US"/>
        </w:rPr>
        <w:t xml:space="preserve">It is expected that the proposed controls in the permitted activity should be sufficient to control the potential adverse effects of soil disturbance by network utility operators. The Ministry is seeking feedback, however, on whether the permitted activity controls are sufficiently comprehensive. The main risk identified with the proposal is that </w:t>
      </w:r>
      <w:r w:rsidR="001401AE" w:rsidRPr="000C5050">
        <w:rPr>
          <w:lang w:eastAsia="en-US"/>
        </w:rPr>
        <w:t>network utility operators</w:t>
      </w:r>
      <w:r w:rsidR="009637E0" w:rsidRPr="000C5050">
        <w:rPr>
          <w:lang w:eastAsia="en-US"/>
        </w:rPr>
        <w:t xml:space="preserve"> </w:t>
      </w:r>
      <w:r w:rsidRPr="000C5050">
        <w:rPr>
          <w:lang w:eastAsia="en-US"/>
        </w:rPr>
        <w:t>produce poor quality SMPs, or do not comply with the requirements of the permitted activity. It</w:t>
      </w:r>
      <w:r w:rsidR="0081630C" w:rsidRPr="000C5050">
        <w:rPr>
          <w:lang w:eastAsia="en-US"/>
        </w:rPr>
        <w:t>’</w:t>
      </w:r>
      <w:r w:rsidRPr="000C5050">
        <w:rPr>
          <w:lang w:eastAsia="en-US"/>
        </w:rPr>
        <w:t>s anticipated that the risks of non-compliance are low, as network utility operators have other drivers (</w:t>
      </w:r>
      <w:proofErr w:type="spellStart"/>
      <w:r w:rsidRPr="000C5050">
        <w:rPr>
          <w:lang w:eastAsia="en-US"/>
        </w:rPr>
        <w:t>eg</w:t>
      </w:r>
      <w:proofErr w:type="spellEnd"/>
      <w:r w:rsidRPr="000C5050">
        <w:rPr>
          <w:lang w:eastAsia="en-US"/>
        </w:rPr>
        <w:t>, commercial liability) for ensuring effective site management practices, which mean the risks of non-compliance are expected to be low.</w:t>
      </w:r>
    </w:p>
    <w:p w14:paraId="2486D72E" w14:textId="77777777" w:rsidR="008B220D" w:rsidRPr="000C5050" w:rsidRDefault="008B220D" w:rsidP="00C053F3">
      <w:pPr>
        <w:pStyle w:val="Heading3"/>
        <w:spacing w:after="60"/>
      </w:pPr>
      <w:r w:rsidRPr="000C5050">
        <w:t>Soil disposal</w:t>
      </w:r>
    </w:p>
    <w:p w14:paraId="63F9CE75" w14:textId="377D6DC3" w:rsidR="008B220D" w:rsidRPr="000C5050" w:rsidRDefault="008B220D" w:rsidP="00AB35CD">
      <w:pPr>
        <w:pStyle w:val="Box"/>
        <w:rPr>
          <w:lang w:eastAsia="en-US"/>
        </w:rPr>
      </w:pPr>
      <w:r w:rsidRPr="000C5050">
        <w:rPr>
          <w:lang w:eastAsia="en-US"/>
        </w:rPr>
        <w:t xml:space="preserve">5.4 </w:t>
      </w:r>
      <w:r w:rsidRPr="000C5050">
        <w:rPr>
          <w:lang w:eastAsia="en-US"/>
        </w:rPr>
        <w:tab/>
      </w:r>
      <w:r w:rsidR="005C4008" w:rsidRPr="000C5050">
        <w:rPr>
          <w:lang w:eastAsia="en-US"/>
        </w:rPr>
        <w:t>Class s</w:t>
      </w:r>
      <w:r w:rsidRPr="000C5050">
        <w:rPr>
          <w:lang w:eastAsia="en-US"/>
        </w:rPr>
        <w:t>oil disposal as</w:t>
      </w:r>
      <w:r w:rsidR="00A252BC" w:rsidRPr="000C5050">
        <w:rPr>
          <w:lang w:eastAsia="en-US"/>
        </w:rPr>
        <w:t xml:space="preserve"> a</w:t>
      </w:r>
      <w:r w:rsidRPr="000C5050">
        <w:rPr>
          <w:lang w:eastAsia="en-US"/>
        </w:rPr>
        <w:t xml:space="preserve"> stand-alone controlled activity.</w:t>
      </w:r>
    </w:p>
    <w:p w14:paraId="01725B0A" w14:textId="77777777" w:rsidR="008B220D" w:rsidRPr="000C5050" w:rsidRDefault="008B220D" w:rsidP="00C053F3">
      <w:pPr>
        <w:pStyle w:val="BodyText"/>
        <w:spacing w:before="240"/>
      </w:pPr>
      <w:r w:rsidRPr="000C5050">
        <w:t xml:space="preserve">Introducing soil disposal as a stand-alone activity in the NESCS acknowledges that it is important that soil disposal from contaminated sites is carefully </w:t>
      </w:r>
      <w:proofErr w:type="gramStart"/>
      <w:r w:rsidRPr="000C5050">
        <w:t>managed,</w:t>
      </w:r>
      <w:proofErr w:type="gramEnd"/>
      <w:r w:rsidRPr="000C5050">
        <w:t xml:space="preserve"> to avoid creating new contaminated sites. As discussed under proposal 5.1, soil that might be acceptable for the existing land use may not be acceptable on a more sensitive land use, leading to the creation of a new HAIL site.</w:t>
      </w:r>
    </w:p>
    <w:p w14:paraId="1B1B3DC4" w14:textId="77777777" w:rsidR="008B220D" w:rsidRPr="000C5050" w:rsidRDefault="008B220D" w:rsidP="008B220D">
      <w:pPr>
        <w:pStyle w:val="BodyText"/>
      </w:pPr>
      <w:r w:rsidRPr="000C5050">
        <w:lastRenderedPageBreak/>
        <w:t>Currently under the NESCS, the effects of soil disposal that need to be controlled are not clear and can often be overshadowed by other requirements of the controlled activities.</w:t>
      </w:r>
      <w:r w:rsidR="007D080D" w:rsidRPr="000C5050">
        <w:t xml:space="preserve"> </w:t>
      </w:r>
    </w:p>
    <w:p w14:paraId="7F1D4558" w14:textId="61E8B21F" w:rsidR="008B220D" w:rsidRPr="000C5050" w:rsidRDefault="008B220D" w:rsidP="008B220D">
      <w:pPr>
        <w:pStyle w:val="BodyText"/>
      </w:pPr>
      <w:r w:rsidRPr="000C5050">
        <w:t>The main effects associated with soil disposal are:</w:t>
      </w:r>
    </w:p>
    <w:p w14:paraId="20FA2EB4" w14:textId="77777777" w:rsidR="008B220D" w:rsidRPr="000C5050" w:rsidRDefault="008B220D" w:rsidP="008B220D">
      <w:pPr>
        <w:pStyle w:val="Bullet"/>
      </w:pPr>
      <w:r w:rsidRPr="000C5050">
        <w:t>HAIL sites may be accidentally created</w:t>
      </w:r>
    </w:p>
    <w:p w14:paraId="38DE76A6" w14:textId="77777777" w:rsidR="008B220D" w:rsidRPr="000C5050" w:rsidRDefault="008B220D" w:rsidP="008B220D">
      <w:pPr>
        <w:pStyle w:val="Bullet"/>
      </w:pPr>
      <w:proofErr w:type="gramStart"/>
      <w:r w:rsidRPr="000C5050">
        <w:t>soil</w:t>
      </w:r>
      <w:proofErr w:type="gramEnd"/>
      <w:r w:rsidRPr="000C5050">
        <w:t xml:space="preserve"> may be taken from one site to another where it could pose a risk. </w:t>
      </w:r>
    </w:p>
    <w:p w14:paraId="497A8E2E" w14:textId="77777777" w:rsidR="008B220D" w:rsidRPr="000C5050" w:rsidRDefault="008B220D" w:rsidP="008B220D">
      <w:pPr>
        <w:pStyle w:val="BodyText"/>
      </w:pPr>
      <w:r w:rsidRPr="000C5050">
        <w:t>To address these risks, the following controls are proposed for soil disposal:</w:t>
      </w:r>
    </w:p>
    <w:p w14:paraId="7DAD464F" w14:textId="4B3FB58F" w:rsidR="008B220D" w:rsidRPr="000C5050" w:rsidRDefault="00884397" w:rsidP="008B220D">
      <w:pPr>
        <w:pStyle w:val="Bullet"/>
      </w:pPr>
      <w:proofErr w:type="gramStart"/>
      <w:r>
        <w:t>p</w:t>
      </w:r>
      <w:r w:rsidR="008B220D" w:rsidRPr="000C5050">
        <w:t>ermitted</w:t>
      </w:r>
      <w:proofErr w:type="gramEnd"/>
      <w:r w:rsidR="008B220D" w:rsidRPr="000C5050">
        <w:t>: a DSI demonstrates that the soil is at or below background concentrations, or meets clean fill criteria for the area OR if volume is less than 5m³ per 500m² (in line with current permitted activity for disposal).</w:t>
      </w:r>
      <w:r w:rsidR="007D080D" w:rsidRPr="000C5050">
        <w:t xml:space="preserve"> </w:t>
      </w:r>
    </w:p>
    <w:p w14:paraId="7B6F4F77" w14:textId="66250F01" w:rsidR="008B220D" w:rsidRPr="000C5050" w:rsidRDefault="00884397" w:rsidP="008B220D">
      <w:pPr>
        <w:pStyle w:val="Bullet"/>
      </w:pPr>
      <w:proofErr w:type="gramStart"/>
      <w:r>
        <w:t>c</w:t>
      </w:r>
      <w:r w:rsidR="008B220D" w:rsidRPr="000C5050">
        <w:t>ontrolled</w:t>
      </w:r>
      <w:proofErr w:type="gramEnd"/>
      <w:r w:rsidR="008B220D" w:rsidRPr="000C5050">
        <w:t>: a DSI is provided which demonstrates the level of contamination in the soil, (even if soil is below applicable standard as per regulation 7), to allow councils to oversee an appropriate disposal location.</w:t>
      </w:r>
    </w:p>
    <w:p w14:paraId="7848715A" w14:textId="36BD9452" w:rsidR="008B220D" w:rsidRPr="000C5050" w:rsidRDefault="00884397" w:rsidP="008B220D">
      <w:pPr>
        <w:pStyle w:val="Bullet"/>
      </w:pPr>
      <w:proofErr w:type="gramStart"/>
      <w:r>
        <w:t>r</w:t>
      </w:r>
      <w:r w:rsidR="008B220D" w:rsidRPr="000C5050">
        <w:t>estricted</w:t>
      </w:r>
      <w:proofErr w:type="gramEnd"/>
      <w:r w:rsidR="008B220D" w:rsidRPr="000C5050">
        <w:t xml:space="preserve"> discretionary: no DSI provided. Council would control any testing requirements, disposal location, and reporting.</w:t>
      </w:r>
    </w:p>
    <w:p w14:paraId="0E3183E8" w14:textId="74EB9CD5" w:rsidR="008B220D" w:rsidRPr="000C5050" w:rsidRDefault="008B220D" w:rsidP="008B220D">
      <w:pPr>
        <w:pStyle w:val="BodyText"/>
      </w:pPr>
      <w:r w:rsidRPr="000C5050">
        <w:t>The effects regulated by the NESCS will be clarified by setting out the areas that councils can control (</w:t>
      </w:r>
      <w:proofErr w:type="spellStart"/>
      <w:r w:rsidRPr="000C5050">
        <w:t>ie</w:t>
      </w:r>
      <w:proofErr w:type="spellEnd"/>
      <w:r w:rsidRPr="000C5050">
        <w:t>, the matters of discretion).</w:t>
      </w:r>
    </w:p>
    <w:p w14:paraId="1C9E18A6" w14:textId="77777777" w:rsidR="008B220D" w:rsidRPr="000C5050" w:rsidRDefault="008B220D" w:rsidP="008B220D">
      <w:pPr>
        <w:pStyle w:val="BodyText"/>
      </w:pPr>
      <w:r w:rsidRPr="000C5050">
        <w:t>The activity would not have the option of a discretionary consent class (aligning with the proposed consent cascade for soil disturbance and fuel tank storage systems).</w:t>
      </w:r>
    </w:p>
    <w:p w14:paraId="16489058" w14:textId="03BD7C4A" w:rsidR="00C55E91" w:rsidRPr="000C5050" w:rsidRDefault="00C55E91" w:rsidP="0059010C">
      <w:pPr>
        <w:pStyle w:val="BodyText"/>
        <w:spacing w:after="60"/>
      </w:pPr>
      <w:r w:rsidRPr="000C5050">
        <w:t xml:space="preserve">This proposal does not affect the permitted volumes for soil disposal associated with removing or replacing </w:t>
      </w:r>
      <w:r w:rsidR="005A0DCF" w:rsidRPr="000C5050">
        <w:t xml:space="preserve">a </w:t>
      </w:r>
      <w:r w:rsidRPr="000C5050">
        <w:t>fuel storage system under regulation 8(1).</w:t>
      </w:r>
    </w:p>
    <w:p w14:paraId="78246913" w14:textId="77777777" w:rsidR="006C62EB" w:rsidRPr="000C5050" w:rsidRDefault="006C62EB" w:rsidP="006C62EB">
      <w:pPr>
        <w:pStyle w:val="Blueboxheading"/>
      </w:pPr>
      <w:r w:rsidRPr="000C5050">
        <w:t>Amendments to the NESCS framework</w:t>
      </w:r>
    </w:p>
    <w:p w14:paraId="27DFF6C3" w14:textId="77777777" w:rsidR="00A2348A" w:rsidRPr="000C5050" w:rsidRDefault="006C62EB" w:rsidP="00A2348A">
      <w:pPr>
        <w:pStyle w:val="Blueboxtext"/>
        <w:tabs>
          <w:tab w:val="left" w:pos="1701"/>
        </w:tabs>
        <w:ind w:left="2127" w:hanging="1843"/>
      </w:pPr>
      <w:r w:rsidRPr="000C5050">
        <w:t>Proposal 5.4:</w:t>
      </w:r>
    </w:p>
    <w:p w14:paraId="560A703A" w14:textId="77777777" w:rsidR="006C62EB" w:rsidRPr="000C5050" w:rsidRDefault="00A2348A" w:rsidP="00A2348A">
      <w:pPr>
        <w:pStyle w:val="Blueboxbullet"/>
      </w:pPr>
      <w:r w:rsidRPr="000C5050">
        <w:t>Amend regulation 5 to insert soil disposal as a stand-alone activity. The exact amendment to the regulation 5 has not been finalised, however, for example the amendment could look like the following:</w:t>
      </w:r>
    </w:p>
    <w:p w14:paraId="698055A8" w14:textId="77777777" w:rsidR="006C62EB" w:rsidRPr="000C5050" w:rsidRDefault="00A2348A" w:rsidP="00A2348A">
      <w:pPr>
        <w:pStyle w:val="Blueboxtext"/>
        <w:tabs>
          <w:tab w:val="left" w:pos="851"/>
        </w:tabs>
        <w:rPr>
          <w:b/>
        </w:rPr>
      </w:pPr>
      <w:r w:rsidRPr="000C5050">
        <w:rPr>
          <w:b/>
        </w:rPr>
        <w:tab/>
      </w:r>
      <w:r w:rsidR="006C62EB" w:rsidRPr="000C5050">
        <w:rPr>
          <w:b/>
        </w:rPr>
        <w:t>5</w:t>
      </w:r>
      <w:r w:rsidR="006C62EB" w:rsidRPr="000C5050">
        <w:rPr>
          <w:b/>
        </w:rPr>
        <w:tab/>
        <w:t>Application</w:t>
      </w:r>
    </w:p>
    <w:p w14:paraId="7B630025" w14:textId="77777777" w:rsidR="006C62EB" w:rsidRPr="000C5050" w:rsidRDefault="00A2348A" w:rsidP="00A2348A">
      <w:pPr>
        <w:pStyle w:val="Blueboxtext"/>
        <w:tabs>
          <w:tab w:val="left" w:pos="851"/>
        </w:tabs>
        <w:spacing w:before="0" w:after="60"/>
        <w:rPr>
          <w:i/>
        </w:rPr>
      </w:pPr>
      <w:r w:rsidRPr="000C5050">
        <w:tab/>
      </w:r>
      <w:r w:rsidR="006C62EB" w:rsidRPr="000C5050">
        <w:rPr>
          <w:i/>
        </w:rPr>
        <w:t>Activities</w:t>
      </w:r>
    </w:p>
    <w:p w14:paraId="20097DC9" w14:textId="77777777" w:rsidR="006C62EB" w:rsidRPr="000C5050" w:rsidRDefault="00A2348A" w:rsidP="00A2348A">
      <w:pPr>
        <w:pStyle w:val="Blueboxtext"/>
        <w:tabs>
          <w:tab w:val="left" w:pos="851"/>
        </w:tabs>
        <w:spacing w:before="0" w:after="60"/>
      </w:pPr>
      <w:r w:rsidRPr="000C5050">
        <w:tab/>
      </w:r>
      <w:r w:rsidR="006C62EB" w:rsidRPr="000C5050">
        <w:t>…</w:t>
      </w:r>
    </w:p>
    <w:p w14:paraId="272B42B1" w14:textId="77777777" w:rsidR="006C62EB" w:rsidRPr="000C5050" w:rsidRDefault="00A2348A" w:rsidP="00297738">
      <w:pPr>
        <w:pStyle w:val="Blueboxtext"/>
        <w:tabs>
          <w:tab w:val="left" w:pos="851"/>
        </w:tabs>
        <w:spacing w:before="60"/>
        <w:ind w:left="1276" w:hanging="992"/>
      </w:pPr>
      <w:r w:rsidRPr="000C5050">
        <w:tab/>
      </w:r>
      <w:r w:rsidR="006C62EB" w:rsidRPr="000C5050">
        <w:t xml:space="preserve">(x) </w:t>
      </w:r>
      <w:r w:rsidR="006C62EB" w:rsidRPr="000C5050">
        <w:tab/>
        <w:t>An activity is disposing the soil of the piece of land, which means soil taken away in the course of an activity under sub clauses (2)</w:t>
      </w:r>
      <w:r w:rsidRPr="000C5050">
        <w:t>–</w:t>
      </w:r>
      <w:r w:rsidR="006C62EB" w:rsidRPr="000C5050">
        <w:t>(6).</w:t>
      </w:r>
    </w:p>
    <w:p w14:paraId="41AA3C65" w14:textId="1639F462" w:rsidR="006C62EB" w:rsidRPr="000C5050" w:rsidRDefault="006C62EB" w:rsidP="00297738">
      <w:pPr>
        <w:pStyle w:val="Blueboxbullet"/>
      </w:pPr>
      <w:r w:rsidRPr="000C5050">
        <w:t>Amend regulation 9 to provide that soil disposal is a controlled activity.</w:t>
      </w:r>
    </w:p>
    <w:p w14:paraId="3ADBBC18" w14:textId="77777777" w:rsidR="006C62EB" w:rsidRPr="000C5050" w:rsidRDefault="006C62EB" w:rsidP="00A2348A">
      <w:pPr>
        <w:pStyle w:val="Blueboxtext"/>
      </w:pPr>
      <w:r w:rsidRPr="000C5050">
        <w:t xml:space="preserve">Table 3 provides an overview of the proposed changes for the activity of soil disposal and corresponding planning controls. An alternative format of the changes (by activity classification) is provided in Appendix 4. </w:t>
      </w:r>
    </w:p>
    <w:p w14:paraId="1ACBB08C" w14:textId="77777777" w:rsidR="006C62EB" w:rsidRPr="000C5050" w:rsidRDefault="006A22FA" w:rsidP="006A22FA">
      <w:pPr>
        <w:pStyle w:val="Tableheading"/>
      </w:pPr>
      <w:bookmarkStart w:id="24" w:name="_Toc460081288"/>
      <w:r w:rsidRPr="000C5050">
        <w:t xml:space="preserve">Table 3: </w:t>
      </w:r>
      <w:r w:rsidRPr="000C5050">
        <w:tab/>
        <w:t>Proposed consent status and planning controls for the activity of soil disposal</w:t>
      </w:r>
      <w:bookmarkEnd w:id="24"/>
    </w:p>
    <w:tbl>
      <w:tblPr>
        <w:tblStyle w:val="TableGrid"/>
        <w:tblW w:w="8562" w:type="dxa"/>
        <w:tblInd w:w="108" w:type="dxa"/>
        <w:tblBorders>
          <w:top w:val="single" w:sz="4" w:space="0" w:color="593731"/>
          <w:left w:val="none" w:sz="0" w:space="0" w:color="auto"/>
          <w:bottom w:val="single" w:sz="4" w:space="0" w:color="593731"/>
          <w:right w:val="none" w:sz="0" w:space="0" w:color="auto"/>
          <w:insideH w:val="single" w:sz="4" w:space="0" w:color="593731"/>
          <w:insideV w:val="single" w:sz="4" w:space="0" w:color="593731"/>
        </w:tblBorders>
        <w:tblLayout w:type="fixed"/>
        <w:tblLook w:val="04A0" w:firstRow="1" w:lastRow="0" w:firstColumn="1" w:lastColumn="0" w:noHBand="0" w:noVBand="1"/>
      </w:tblPr>
      <w:tblGrid>
        <w:gridCol w:w="1452"/>
        <w:gridCol w:w="2376"/>
        <w:gridCol w:w="4734"/>
      </w:tblGrid>
      <w:tr w:rsidR="005C4F1E" w:rsidRPr="000C5050" w14:paraId="24391872" w14:textId="77777777" w:rsidTr="002B6AA8">
        <w:trPr>
          <w:tblHeader/>
        </w:trPr>
        <w:tc>
          <w:tcPr>
            <w:tcW w:w="1452" w:type="dxa"/>
            <w:tcBorders>
              <w:top w:val="single" w:sz="4" w:space="0" w:color="17556C"/>
              <w:bottom w:val="single" w:sz="4" w:space="0" w:color="17556C"/>
              <w:right w:val="single" w:sz="4" w:space="0" w:color="17556C"/>
            </w:tcBorders>
            <w:shd w:val="clear" w:color="auto" w:fill="17556C"/>
          </w:tcPr>
          <w:p w14:paraId="1340BDCF" w14:textId="77777777" w:rsidR="006A22FA" w:rsidRPr="000C5050" w:rsidRDefault="006A22FA" w:rsidP="00297738">
            <w:pPr>
              <w:pStyle w:val="TableTextbold"/>
              <w:keepNext/>
              <w:rPr>
                <w:color w:val="FFFFFF" w:themeColor="background1"/>
              </w:rPr>
            </w:pPr>
            <w:r w:rsidRPr="000C5050">
              <w:rPr>
                <w:color w:val="FFFFFF" w:themeColor="background1"/>
              </w:rPr>
              <w:t>Activity status</w:t>
            </w:r>
          </w:p>
        </w:tc>
        <w:tc>
          <w:tcPr>
            <w:tcW w:w="2376" w:type="dxa"/>
            <w:tcBorders>
              <w:top w:val="single" w:sz="4" w:space="0" w:color="17556C"/>
              <w:left w:val="single" w:sz="4" w:space="0" w:color="17556C"/>
              <w:bottom w:val="single" w:sz="4" w:space="0" w:color="17556C"/>
              <w:right w:val="single" w:sz="4" w:space="0" w:color="17556C"/>
            </w:tcBorders>
            <w:shd w:val="clear" w:color="auto" w:fill="17556C"/>
          </w:tcPr>
          <w:p w14:paraId="35BE6499" w14:textId="77777777" w:rsidR="006A22FA" w:rsidRPr="000C5050" w:rsidRDefault="006A22FA" w:rsidP="00742F6A">
            <w:pPr>
              <w:pStyle w:val="TableTextbold"/>
              <w:keepNext/>
              <w:rPr>
                <w:color w:val="FFFFFF" w:themeColor="background1"/>
              </w:rPr>
            </w:pPr>
            <w:r w:rsidRPr="000C5050">
              <w:rPr>
                <w:color w:val="FFFFFF" w:themeColor="background1"/>
              </w:rPr>
              <w:t>Application</w:t>
            </w:r>
          </w:p>
        </w:tc>
        <w:tc>
          <w:tcPr>
            <w:tcW w:w="4734" w:type="dxa"/>
            <w:tcBorders>
              <w:top w:val="single" w:sz="4" w:space="0" w:color="17556C"/>
              <w:left w:val="single" w:sz="4" w:space="0" w:color="17556C"/>
              <w:bottom w:val="single" w:sz="4" w:space="0" w:color="17556C"/>
            </w:tcBorders>
            <w:shd w:val="clear" w:color="auto" w:fill="17556C"/>
          </w:tcPr>
          <w:p w14:paraId="64261679" w14:textId="77777777" w:rsidR="006A22FA" w:rsidRPr="000C5050" w:rsidRDefault="006A22FA" w:rsidP="00742F6A">
            <w:pPr>
              <w:pStyle w:val="TableTextbold"/>
              <w:keepNext/>
              <w:rPr>
                <w:color w:val="FFFFFF" w:themeColor="background1"/>
              </w:rPr>
            </w:pPr>
            <w:r w:rsidRPr="000C5050">
              <w:rPr>
                <w:color w:val="FFFFFF" w:themeColor="background1"/>
              </w:rPr>
              <w:t>Requirements</w:t>
            </w:r>
          </w:p>
        </w:tc>
      </w:tr>
      <w:tr w:rsidR="006A22FA" w:rsidRPr="000C5050" w14:paraId="7D95EB98" w14:textId="77777777" w:rsidTr="002B6AA8">
        <w:tc>
          <w:tcPr>
            <w:tcW w:w="1452" w:type="dxa"/>
            <w:vMerge w:val="restart"/>
            <w:tcBorders>
              <w:top w:val="single" w:sz="4" w:space="0" w:color="17556C"/>
              <w:bottom w:val="single" w:sz="4" w:space="0" w:color="17556C"/>
              <w:right w:val="single" w:sz="4" w:space="0" w:color="17556C"/>
            </w:tcBorders>
            <w:shd w:val="clear" w:color="auto" w:fill="8BAAB6"/>
          </w:tcPr>
          <w:p w14:paraId="3D6B83E3" w14:textId="77777777" w:rsidR="006A22FA" w:rsidRPr="000C5050" w:rsidRDefault="006A22FA" w:rsidP="00297738">
            <w:pPr>
              <w:pStyle w:val="Tabletext"/>
              <w:keepNext/>
              <w:rPr>
                <w:b/>
              </w:rPr>
            </w:pPr>
            <w:r w:rsidRPr="000C5050">
              <w:rPr>
                <w:b/>
              </w:rPr>
              <w:t>Permitted</w:t>
            </w:r>
          </w:p>
        </w:tc>
        <w:tc>
          <w:tcPr>
            <w:tcW w:w="2376" w:type="dxa"/>
            <w:tcBorders>
              <w:top w:val="single" w:sz="4" w:space="0" w:color="17556C"/>
              <w:left w:val="single" w:sz="4" w:space="0" w:color="17556C"/>
              <w:bottom w:val="single" w:sz="4" w:space="0" w:color="17556C"/>
              <w:right w:val="single" w:sz="4" w:space="0" w:color="17556C"/>
            </w:tcBorders>
            <w:shd w:val="clear" w:color="auto" w:fill="8BAAB6"/>
          </w:tcPr>
          <w:p w14:paraId="60AF7753" w14:textId="77777777" w:rsidR="006A22FA" w:rsidRPr="000C5050" w:rsidRDefault="006A22FA" w:rsidP="007363A0">
            <w:pPr>
              <w:pStyle w:val="Tabletext"/>
            </w:pPr>
            <w:r w:rsidRPr="000C5050">
              <w:t>Small scale soil disposal</w:t>
            </w:r>
          </w:p>
        </w:tc>
        <w:tc>
          <w:tcPr>
            <w:tcW w:w="4734" w:type="dxa"/>
            <w:tcBorders>
              <w:top w:val="single" w:sz="4" w:space="0" w:color="17556C"/>
              <w:left w:val="single" w:sz="4" w:space="0" w:color="17556C"/>
              <w:bottom w:val="single" w:sz="4" w:space="0" w:color="17556C"/>
            </w:tcBorders>
            <w:shd w:val="clear" w:color="auto" w:fill="8BAAB6"/>
          </w:tcPr>
          <w:p w14:paraId="46819F84" w14:textId="77777777" w:rsidR="006A22FA" w:rsidRPr="000C5050" w:rsidRDefault="006A22FA" w:rsidP="00122BF7">
            <w:pPr>
              <w:pStyle w:val="Tablebullet"/>
              <w:spacing w:before="60"/>
            </w:pPr>
            <w:r w:rsidRPr="000C5050">
              <w:t>same as existing requirements but with better definitions for calculating volume</w:t>
            </w:r>
          </w:p>
          <w:p w14:paraId="75D16829" w14:textId="77777777" w:rsidR="006A22FA" w:rsidRPr="000C5050" w:rsidRDefault="006A22FA" w:rsidP="00742F6A">
            <w:pPr>
              <w:pStyle w:val="Tablebullet"/>
            </w:pPr>
            <w:proofErr w:type="gramStart"/>
            <w:r w:rsidRPr="000C5050">
              <w:t>remove</w:t>
            </w:r>
            <w:proofErr w:type="gramEnd"/>
            <w:r w:rsidRPr="000C5050">
              <w:t xml:space="preserve"> reference to per year.</w:t>
            </w:r>
          </w:p>
        </w:tc>
      </w:tr>
      <w:tr w:rsidR="006A22FA" w:rsidRPr="000C5050" w14:paraId="2D8E9B74" w14:textId="77777777" w:rsidTr="002B6AA8">
        <w:tc>
          <w:tcPr>
            <w:tcW w:w="1452" w:type="dxa"/>
            <w:vMerge/>
            <w:tcBorders>
              <w:top w:val="single" w:sz="4" w:space="0" w:color="17556C"/>
              <w:bottom w:val="single" w:sz="4" w:space="0" w:color="17556C"/>
              <w:right w:val="single" w:sz="4" w:space="0" w:color="17556C"/>
            </w:tcBorders>
            <w:shd w:val="clear" w:color="auto" w:fill="8BAAB6"/>
          </w:tcPr>
          <w:p w14:paraId="0ECCE727" w14:textId="77777777" w:rsidR="006A22FA" w:rsidRPr="000C5050" w:rsidRDefault="006A22FA" w:rsidP="007363A0">
            <w:pPr>
              <w:pStyle w:val="Tabletext"/>
              <w:rPr>
                <w:b/>
              </w:rPr>
            </w:pPr>
          </w:p>
        </w:tc>
        <w:tc>
          <w:tcPr>
            <w:tcW w:w="2376" w:type="dxa"/>
            <w:tcBorders>
              <w:top w:val="single" w:sz="4" w:space="0" w:color="17556C"/>
              <w:left w:val="single" w:sz="4" w:space="0" w:color="17556C"/>
              <w:bottom w:val="single" w:sz="4" w:space="0" w:color="17556C"/>
              <w:right w:val="single" w:sz="4" w:space="0" w:color="17556C"/>
            </w:tcBorders>
            <w:shd w:val="clear" w:color="auto" w:fill="8BAAB6"/>
          </w:tcPr>
          <w:p w14:paraId="65CC8F4B" w14:textId="77777777" w:rsidR="006A22FA" w:rsidRPr="000C5050" w:rsidRDefault="006A22FA" w:rsidP="007363A0">
            <w:pPr>
              <w:pStyle w:val="Tabletext"/>
            </w:pPr>
            <w:r w:rsidRPr="000C5050">
              <w:t xml:space="preserve">Disposal of soil at or below </w:t>
            </w:r>
            <w:r w:rsidRPr="000C5050">
              <w:lastRenderedPageBreak/>
              <w:t>background concentrations</w:t>
            </w:r>
          </w:p>
        </w:tc>
        <w:tc>
          <w:tcPr>
            <w:tcW w:w="4734" w:type="dxa"/>
            <w:tcBorders>
              <w:top w:val="single" w:sz="4" w:space="0" w:color="17556C"/>
              <w:left w:val="single" w:sz="4" w:space="0" w:color="17556C"/>
              <w:bottom w:val="single" w:sz="4" w:space="0" w:color="17556C"/>
            </w:tcBorders>
            <w:shd w:val="clear" w:color="auto" w:fill="8BAAB6"/>
          </w:tcPr>
          <w:p w14:paraId="73A21F10" w14:textId="77777777" w:rsidR="006A22FA" w:rsidRPr="000C5050" w:rsidRDefault="006A22FA" w:rsidP="00122BF7">
            <w:pPr>
              <w:pStyle w:val="Tablebullet"/>
              <w:spacing w:before="60"/>
            </w:pPr>
            <w:proofErr w:type="gramStart"/>
            <w:r w:rsidRPr="000C5050">
              <w:lastRenderedPageBreak/>
              <w:t>soil</w:t>
            </w:r>
            <w:proofErr w:type="gramEnd"/>
            <w:r w:rsidRPr="000C5050">
              <w:t xml:space="preserve"> testing has been done, demonstrates concentrations </w:t>
            </w:r>
            <w:r w:rsidRPr="000C5050">
              <w:lastRenderedPageBreak/>
              <w:t xml:space="preserve">of contaminants are at or below background concentrations. Results of testing provided to council. </w:t>
            </w:r>
          </w:p>
        </w:tc>
      </w:tr>
      <w:tr w:rsidR="006A22FA" w:rsidRPr="000C5050" w14:paraId="039B4085" w14:textId="77777777" w:rsidTr="002B6AA8">
        <w:trPr>
          <w:trHeight w:val="2476"/>
        </w:trPr>
        <w:tc>
          <w:tcPr>
            <w:tcW w:w="1452" w:type="dxa"/>
            <w:tcBorders>
              <w:top w:val="single" w:sz="4" w:space="0" w:color="17556C"/>
              <w:bottom w:val="single" w:sz="4" w:space="0" w:color="17556C"/>
              <w:right w:val="single" w:sz="4" w:space="0" w:color="17556C"/>
            </w:tcBorders>
            <w:shd w:val="clear" w:color="auto" w:fill="D5EBE5"/>
          </w:tcPr>
          <w:p w14:paraId="52EE87AF" w14:textId="77777777" w:rsidR="006A22FA" w:rsidRPr="000C5050" w:rsidRDefault="006A22FA" w:rsidP="007363A0">
            <w:pPr>
              <w:pStyle w:val="Tabletext"/>
              <w:rPr>
                <w:b/>
              </w:rPr>
            </w:pPr>
            <w:r w:rsidRPr="000C5050">
              <w:rPr>
                <w:b/>
              </w:rPr>
              <w:lastRenderedPageBreak/>
              <w:t>Controlled</w:t>
            </w:r>
          </w:p>
        </w:tc>
        <w:tc>
          <w:tcPr>
            <w:tcW w:w="2376" w:type="dxa"/>
            <w:tcBorders>
              <w:top w:val="single" w:sz="4" w:space="0" w:color="17556C"/>
              <w:left w:val="single" w:sz="4" w:space="0" w:color="17556C"/>
              <w:bottom w:val="single" w:sz="4" w:space="0" w:color="17556C"/>
              <w:right w:val="single" w:sz="4" w:space="0" w:color="17556C"/>
            </w:tcBorders>
            <w:shd w:val="clear" w:color="auto" w:fill="D5EBE5"/>
          </w:tcPr>
          <w:p w14:paraId="23D8168C" w14:textId="370638C3" w:rsidR="006A22FA" w:rsidRPr="000C5050" w:rsidRDefault="006A22FA" w:rsidP="007363A0">
            <w:pPr>
              <w:pStyle w:val="Tabletext"/>
            </w:pPr>
            <w:r w:rsidRPr="000C5050">
              <w:t>Soil disposal exceeds the permitted volume</w:t>
            </w:r>
            <w:r w:rsidR="00CD4780" w:rsidRPr="000C5050">
              <w:t>/other permitted activity requirements</w:t>
            </w:r>
          </w:p>
          <w:p w14:paraId="33E5C7C3" w14:textId="77777777" w:rsidR="006A22FA" w:rsidRPr="000C5050" w:rsidRDefault="006A22FA" w:rsidP="007363A0">
            <w:pPr>
              <w:pStyle w:val="Tabletext"/>
            </w:pPr>
            <w:r w:rsidRPr="000C5050">
              <w:t xml:space="preserve">A DSI exists, and finds contamination that exceeds background concentration. </w:t>
            </w:r>
          </w:p>
        </w:tc>
        <w:tc>
          <w:tcPr>
            <w:tcW w:w="4734" w:type="dxa"/>
            <w:tcBorders>
              <w:top w:val="single" w:sz="4" w:space="0" w:color="17556C"/>
              <w:left w:val="single" w:sz="4" w:space="0" w:color="17556C"/>
              <w:bottom w:val="single" w:sz="4" w:space="0" w:color="17556C"/>
            </w:tcBorders>
            <w:shd w:val="clear" w:color="auto" w:fill="D5EBE5"/>
          </w:tcPr>
          <w:p w14:paraId="112D4195" w14:textId="77777777" w:rsidR="006A22FA" w:rsidRPr="000C5050" w:rsidRDefault="006A22FA" w:rsidP="007363A0">
            <w:pPr>
              <w:pStyle w:val="Tabletext"/>
            </w:pPr>
            <w:r w:rsidRPr="000C5050">
              <w:t>DSI adequately demonstrates the contamination profile for the area of soil disposal. Consent authority has the report, and regional council is notified.</w:t>
            </w:r>
          </w:p>
          <w:p w14:paraId="1039BE62" w14:textId="77777777" w:rsidR="006A22FA" w:rsidRPr="000C5050" w:rsidRDefault="006A22FA" w:rsidP="007363A0">
            <w:pPr>
              <w:pStyle w:val="Tabletext"/>
            </w:pPr>
            <w:r w:rsidRPr="000C5050">
              <w:t>Matters of control:</w:t>
            </w:r>
          </w:p>
          <w:p w14:paraId="1249737F" w14:textId="77777777" w:rsidR="006A22FA" w:rsidRPr="000C5050" w:rsidRDefault="006A22FA" w:rsidP="00742F6A">
            <w:pPr>
              <w:pStyle w:val="Tablebullet"/>
            </w:pPr>
            <w:r w:rsidRPr="000C5050">
              <w:t>adequacy of DSI</w:t>
            </w:r>
          </w:p>
          <w:p w14:paraId="26E083F7" w14:textId="77777777" w:rsidR="006A22FA" w:rsidRPr="000C5050" w:rsidRDefault="006A22FA" w:rsidP="00742F6A">
            <w:pPr>
              <w:pStyle w:val="Tablebullet"/>
            </w:pPr>
            <w:r w:rsidRPr="000C5050">
              <w:t>transport method and disposal location</w:t>
            </w:r>
          </w:p>
          <w:p w14:paraId="0E335062" w14:textId="77777777" w:rsidR="006A22FA" w:rsidRPr="000C5050" w:rsidRDefault="006A22FA" w:rsidP="00742F6A">
            <w:pPr>
              <w:pStyle w:val="Tablebullet"/>
            </w:pPr>
            <w:r w:rsidRPr="000C5050">
              <w:t>monitoring and reporting of disposal</w:t>
            </w:r>
          </w:p>
          <w:p w14:paraId="619F752C" w14:textId="77777777" w:rsidR="006A22FA" w:rsidRPr="000C5050" w:rsidRDefault="006A22FA" w:rsidP="00742F6A">
            <w:pPr>
              <w:pStyle w:val="Tablebullet"/>
            </w:pPr>
            <w:r w:rsidRPr="000C5050">
              <w:t>duration of consent</w:t>
            </w:r>
          </w:p>
          <w:p w14:paraId="3D5F1451" w14:textId="77777777" w:rsidR="006A22FA" w:rsidRPr="000C5050" w:rsidRDefault="006A22FA" w:rsidP="00742F6A">
            <w:pPr>
              <w:pStyle w:val="Tablebullet"/>
            </w:pPr>
            <w:proofErr w:type="gramStart"/>
            <w:r w:rsidRPr="000C5050">
              <w:t>timing</w:t>
            </w:r>
            <w:proofErr w:type="gramEnd"/>
            <w:r w:rsidRPr="000C5050">
              <w:t xml:space="preserve"> and nature of review of conditions.</w:t>
            </w:r>
          </w:p>
        </w:tc>
      </w:tr>
      <w:tr w:rsidR="006A22FA" w:rsidRPr="000C5050" w14:paraId="3A87E9E0" w14:textId="77777777" w:rsidTr="002B6AA8">
        <w:trPr>
          <w:trHeight w:val="2202"/>
        </w:trPr>
        <w:tc>
          <w:tcPr>
            <w:tcW w:w="1452" w:type="dxa"/>
            <w:tcBorders>
              <w:top w:val="single" w:sz="4" w:space="0" w:color="17556C"/>
              <w:bottom w:val="single" w:sz="4" w:space="0" w:color="17556C"/>
              <w:right w:val="single" w:sz="4" w:space="0" w:color="17556C"/>
            </w:tcBorders>
            <w:shd w:val="clear" w:color="auto" w:fill="D2DDE2"/>
          </w:tcPr>
          <w:p w14:paraId="7606E0AA" w14:textId="77777777" w:rsidR="006A22FA" w:rsidRPr="000C5050" w:rsidRDefault="006A22FA" w:rsidP="007363A0">
            <w:pPr>
              <w:pStyle w:val="Tabletext"/>
              <w:rPr>
                <w:b/>
              </w:rPr>
            </w:pPr>
            <w:r w:rsidRPr="000C5050">
              <w:rPr>
                <w:b/>
              </w:rPr>
              <w:t>Restricted discretionary</w:t>
            </w:r>
          </w:p>
        </w:tc>
        <w:tc>
          <w:tcPr>
            <w:tcW w:w="2376" w:type="dxa"/>
            <w:tcBorders>
              <w:top w:val="single" w:sz="4" w:space="0" w:color="17556C"/>
              <w:left w:val="single" w:sz="4" w:space="0" w:color="17556C"/>
              <w:bottom w:val="single" w:sz="4" w:space="0" w:color="17556C"/>
              <w:right w:val="single" w:sz="4" w:space="0" w:color="17556C"/>
            </w:tcBorders>
            <w:shd w:val="clear" w:color="auto" w:fill="D2DDE2"/>
          </w:tcPr>
          <w:p w14:paraId="00E5DC5D" w14:textId="77777777" w:rsidR="006A22FA" w:rsidRPr="000C5050" w:rsidRDefault="006A22FA" w:rsidP="007363A0">
            <w:pPr>
              <w:pStyle w:val="Tabletext"/>
            </w:pPr>
            <w:r w:rsidRPr="000C5050">
              <w:t xml:space="preserve">Soil disposal exceeds the permitted volume </w:t>
            </w:r>
          </w:p>
          <w:p w14:paraId="0D437FFB" w14:textId="42C8E796" w:rsidR="006A22FA" w:rsidRPr="000C5050" w:rsidRDefault="006A22FA" w:rsidP="007363A0">
            <w:pPr>
              <w:pStyle w:val="Tabletext"/>
            </w:pPr>
            <w:r w:rsidRPr="000C5050">
              <w:t>No DSI exists</w:t>
            </w:r>
            <w:r w:rsidR="003D573A">
              <w:t xml:space="preserve"> or is</w:t>
            </w:r>
            <w:r w:rsidR="001A63DB">
              <w:t xml:space="preserve"> </w:t>
            </w:r>
            <w:r w:rsidRPr="000C5050">
              <w:t>provided</w:t>
            </w:r>
          </w:p>
        </w:tc>
        <w:tc>
          <w:tcPr>
            <w:tcW w:w="4734" w:type="dxa"/>
            <w:tcBorders>
              <w:top w:val="single" w:sz="4" w:space="0" w:color="17556C"/>
              <w:left w:val="single" w:sz="4" w:space="0" w:color="17556C"/>
              <w:bottom w:val="single" w:sz="4" w:space="0" w:color="17556C"/>
            </w:tcBorders>
            <w:shd w:val="clear" w:color="auto" w:fill="D2DDE2"/>
          </w:tcPr>
          <w:p w14:paraId="71916965" w14:textId="77777777" w:rsidR="006A22FA" w:rsidRPr="000C5050" w:rsidRDefault="006A22FA" w:rsidP="007363A0">
            <w:pPr>
              <w:pStyle w:val="Tabletext"/>
            </w:pPr>
            <w:r w:rsidRPr="000C5050">
              <w:t>Matters of discretion:</w:t>
            </w:r>
          </w:p>
          <w:p w14:paraId="72852948" w14:textId="77777777" w:rsidR="006A22FA" w:rsidRPr="000C5050" w:rsidRDefault="006A22FA" w:rsidP="00742F6A">
            <w:pPr>
              <w:pStyle w:val="Tablebullet"/>
            </w:pPr>
            <w:r w:rsidRPr="000C5050">
              <w:t>the approach to managing the soil disposal including soil testing requirements, disposal location, transport method</w:t>
            </w:r>
          </w:p>
          <w:p w14:paraId="798DB2CD" w14:textId="77777777" w:rsidR="006A22FA" w:rsidRPr="000C5050" w:rsidRDefault="006A22FA" w:rsidP="00742F6A">
            <w:pPr>
              <w:pStyle w:val="Tablebullet"/>
            </w:pPr>
            <w:r w:rsidRPr="000C5050">
              <w:t>monitoring and reporting of disposal</w:t>
            </w:r>
            <w:r w:rsidR="007D080D" w:rsidRPr="000C5050">
              <w:t xml:space="preserve"> </w:t>
            </w:r>
          </w:p>
          <w:p w14:paraId="4C116838" w14:textId="77777777" w:rsidR="006A22FA" w:rsidRPr="000C5050" w:rsidRDefault="006A22FA" w:rsidP="00742F6A">
            <w:pPr>
              <w:pStyle w:val="Tablebullet"/>
            </w:pPr>
            <w:r w:rsidRPr="000C5050">
              <w:t>duration of consent</w:t>
            </w:r>
          </w:p>
          <w:p w14:paraId="52D80F06" w14:textId="77777777" w:rsidR="006A22FA" w:rsidRPr="000C5050" w:rsidRDefault="006A22FA" w:rsidP="00742F6A">
            <w:pPr>
              <w:pStyle w:val="Tablebullet"/>
            </w:pPr>
            <w:r w:rsidRPr="000C5050">
              <w:t>timing and nature of review of conditions</w:t>
            </w:r>
          </w:p>
          <w:p w14:paraId="45C53B7C" w14:textId="77777777" w:rsidR="006A22FA" w:rsidRPr="000C5050" w:rsidRDefault="006A22FA" w:rsidP="00742F6A">
            <w:pPr>
              <w:pStyle w:val="Tablebullet"/>
            </w:pPr>
            <w:proofErr w:type="gramStart"/>
            <w:r w:rsidRPr="000C5050">
              <w:t>requirement</w:t>
            </w:r>
            <w:proofErr w:type="gramEnd"/>
            <w:r w:rsidRPr="000C5050">
              <w:t xml:space="preserve"> for and conditions of a financial bond.</w:t>
            </w:r>
          </w:p>
        </w:tc>
      </w:tr>
    </w:tbl>
    <w:p w14:paraId="0B240A73" w14:textId="0F52A17E" w:rsidR="006A22FA" w:rsidRPr="000C5050" w:rsidRDefault="006A22FA" w:rsidP="00122BF7">
      <w:pPr>
        <w:pStyle w:val="BodyText"/>
        <w:spacing w:before="240"/>
      </w:pPr>
      <w:r w:rsidRPr="000C5050">
        <w:t xml:space="preserve">The anticipated impacts of this proposal are discussed at page </w:t>
      </w:r>
      <w:r w:rsidR="003E5A53" w:rsidRPr="000C5050">
        <w:t>35</w:t>
      </w:r>
      <w:r w:rsidRPr="000C5050">
        <w:t>.</w:t>
      </w:r>
    </w:p>
    <w:p w14:paraId="00B1899D" w14:textId="77777777" w:rsidR="005C4F1E" w:rsidRPr="000C5050" w:rsidRDefault="005C4F1E" w:rsidP="002B6AA8">
      <w:pPr>
        <w:pStyle w:val="Heading3"/>
        <w:spacing w:after="60"/>
      </w:pPr>
      <w:r w:rsidRPr="000C5050">
        <w:t>Fuel tank storage systems</w:t>
      </w:r>
    </w:p>
    <w:p w14:paraId="35F9097A" w14:textId="77777777" w:rsidR="006A22FA" w:rsidRPr="000C5050" w:rsidRDefault="002B6C97" w:rsidP="00AB35CD">
      <w:pPr>
        <w:pStyle w:val="Box"/>
      </w:pPr>
      <w:r w:rsidRPr="000C5050">
        <w:t>5.5</w:t>
      </w:r>
      <w:r w:rsidRPr="000C5050">
        <w:tab/>
        <w:t>Remove option of discretionary consent class for</w:t>
      </w:r>
      <w:r w:rsidRPr="000C5050">
        <w:rPr>
          <w:b/>
        </w:rPr>
        <w:t xml:space="preserve"> </w:t>
      </w:r>
      <w:r w:rsidRPr="000C5050">
        <w:t xml:space="preserve">soil disturbance and </w:t>
      </w:r>
      <w:r w:rsidRPr="000C5050">
        <w:rPr>
          <w:b/>
        </w:rPr>
        <w:t>removal or replacement of</w:t>
      </w:r>
      <w:r w:rsidRPr="000C5050">
        <w:t xml:space="preserve"> </w:t>
      </w:r>
      <w:r w:rsidRPr="000C5050">
        <w:rPr>
          <w:b/>
        </w:rPr>
        <w:t>fuel tank storage systems</w:t>
      </w:r>
      <w:r w:rsidRPr="000C5050">
        <w:t>.</w:t>
      </w:r>
    </w:p>
    <w:p w14:paraId="2DED6510" w14:textId="4694D299" w:rsidR="002B6C97" w:rsidRPr="000C5050" w:rsidRDefault="002B6C97" w:rsidP="002B6C97">
      <w:pPr>
        <w:pStyle w:val="BodyText"/>
        <w:spacing w:before="240"/>
      </w:pPr>
      <w:r w:rsidRPr="000C5050">
        <w:t>Controls for fuel tank removals and replacements were included in the NESCS to encourage the replacement of fuel tank storage systems. Often the reason for replacement is that the existing tanks are old and leaking, or are at risk of leaking. It is important that the regulatory regime does not create incentives to leave tanks underground. Where the regulatory requirements are too great, it can result in projects being cancelled, which is often not the best</w:t>
      </w:r>
      <w:r w:rsidR="002B6AA8" w:rsidRPr="000C5050">
        <w:t> </w:t>
      </w:r>
      <w:r w:rsidRPr="000C5050">
        <w:t>environmental outcome.</w:t>
      </w:r>
    </w:p>
    <w:p w14:paraId="074AF0A8" w14:textId="77777777" w:rsidR="002B6C97" w:rsidRPr="000C5050" w:rsidRDefault="002B6C97" w:rsidP="002B6C97">
      <w:pPr>
        <w:pStyle w:val="BodyText"/>
      </w:pPr>
      <w:r w:rsidRPr="000C5050">
        <w:t xml:space="preserve">Currently, stakeholders report that councils around the country have different expectations about the timing and extent of site investigations, as well as the area of the site that needs to be managed during fuel tank removals. In particular, some </w:t>
      </w:r>
      <w:proofErr w:type="gramStart"/>
      <w:r w:rsidRPr="000C5050">
        <w:t>councils</w:t>
      </w:r>
      <w:proofErr w:type="gramEnd"/>
      <w:r w:rsidRPr="000C5050">
        <w:t xml:space="preserve"> are requesting that site investigations be undertaken prior to tank removal. In most instances, however, soil testing will not be carried out prior to a fuel tank removal. This is because it is either: </w:t>
      </w:r>
    </w:p>
    <w:p w14:paraId="60FF0857" w14:textId="77777777" w:rsidR="002B6C97" w:rsidRPr="000C5050" w:rsidRDefault="002B6C97" w:rsidP="002B6C97">
      <w:pPr>
        <w:pStyle w:val="Bullet"/>
      </w:pPr>
      <w:r w:rsidRPr="000C5050">
        <w:t>not safe to conduct testing (</w:t>
      </w:r>
      <w:proofErr w:type="spellStart"/>
      <w:r w:rsidRPr="000C5050">
        <w:t>ie</w:t>
      </w:r>
      <w:proofErr w:type="spellEnd"/>
      <w:r w:rsidRPr="000C5050">
        <w:t>, there is a risk of piercing pipes and potentially creating a</w:t>
      </w:r>
      <w:r w:rsidR="00122BF7" w:rsidRPr="000C5050">
        <w:t> </w:t>
      </w:r>
      <w:r w:rsidRPr="000C5050">
        <w:t xml:space="preserve">leak) </w:t>
      </w:r>
    </w:p>
    <w:p w14:paraId="32EFCAFF" w14:textId="77777777" w:rsidR="002B6C97" w:rsidRPr="000C5050" w:rsidRDefault="002B6C97" w:rsidP="002B6C97">
      <w:pPr>
        <w:pStyle w:val="Bullet"/>
      </w:pPr>
      <w:proofErr w:type="gramStart"/>
      <w:r w:rsidRPr="000C5050">
        <w:t>not</w:t>
      </w:r>
      <w:proofErr w:type="gramEnd"/>
      <w:r w:rsidRPr="000C5050">
        <w:t xml:space="preserve"> possible to reach the soil to conduct the testing (</w:t>
      </w:r>
      <w:proofErr w:type="spellStart"/>
      <w:r w:rsidRPr="000C5050">
        <w:t>ie</w:t>
      </w:r>
      <w:proofErr w:type="spellEnd"/>
      <w:r w:rsidRPr="000C5050">
        <w:t xml:space="preserve">, as the potentially contaminated soil will be underneath the fuel tank, which is not accessible until the tank is removed). </w:t>
      </w:r>
    </w:p>
    <w:p w14:paraId="344B66DD" w14:textId="77777777" w:rsidR="002B6C97" w:rsidRPr="000C5050" w:rsidRDefault="002B6C97" w:rsidP="002B6C97">
      <w:pPr>
        <w:pStyle w:val="BodyText"/>
      </w:pPr>
      <w:r w:rsidRPr="000C5050">
        <w:t>In practice, soil testing is usually undertaken during the tank removal, and the results are used to inform the activity</w:t>
      </w:r>
      <w:r w:rsidR="0081630C" w:rsidRPr="000C5050">
        <w:t>’</w:t>
      </w:r>
      <w:r w:rsidRPr="000C5050">
        <w:t xml:space="preserve">s remediation action plan. </w:t>
      </w:r>
    </w:p>
    <w:p w14:paraId="4BB5F80A" w14:textId="77777777" w:rsidR="002B6C97" w:rsidRPr="000C5050" w:rsidRDefault="002B6C97" w:rsidP="002B6C97">
      <w:pPr>
        <w:pStyle w:val="BodyText"/>
      </w:pPr>
      <w:r w:rsidRPr="000C5050">
        <w:t>Consequently, if a fuel tank is unable to conduct testing prior to removal or replacement, it will not be a permitted activity and currently, by default, a discretionary consent will likely be obtained.</w:t>
      </w:r>
      <w:r w:rsidR="007D080D" w:rsidRPr="000C5050">
        <w:t xml:space="preserve"> </w:t>
      </w:r>
      <w:r w:rsidRPr="000C5050">
        <w:t xml:space="preserve">This is because under the existing consent cascade, if a DSI cannot be provided prior </w:t>
      </w:r>
      <w:r w:rsidRPr="000C5050">
        <w:lastRenderedPageBreak/>
        <w:t xml:space="preserve">to the removal or replacement, then the applicant does not meet the requirements for controlled or restricted discretionary activity status, and must seek a discretionary consent. </w:t>
      </w:r>
    </w:p>
    <w:p w14:paraId="1EF9639D" w14:textId="77777777" w:rsidR="002B6C97" w:rsidRPr="000C5050" w:rsidRDefault="002B6C97" w:rsidP="002B6C97">
      <w:pPr>
        <w:pStyle w:val="BodyText"/>
      </w:pPr>
      <w:r w:rsidRPr="000C5050">
        <w:t>It is proposed that the consent cascade be amended to remove the option of discretionary consent class for</w:t>
      </w:r>
      <w:r w:rsidRPr="000C5050">
        <w:rPr>
          <w:b/>
        </w:rPr>
        <w:t xml:space="preserve"> </w:t>
      </w:r>
      <w:r w:rsidRPr="000C5050">
        <w:t>removal or replacement of a fuel tank storage system. The following consent requirements are proposed:</w:t>
      </w:r>
    </w:p>
    <w:p w14:paraId="606F388D" w14:textId="0C003861" w:rsidR="002B6C97" w:rsidRPr="000C5050" w:rsidRDefault="003D573A" w:rsidP="002B6C97">
      <w:pPr>
        <w:pStyle w:val="Bullet"/>
      </w:pPr>
      <w:proofErr w:type="gramStart"/>
      <w:r>
        <w:t>p</w:t>
      </w:r>
      <w:r w:rsidR="002B6C97" w:rsidRPr="000C5050">
        <w:t>ermitted</w:t>
      </w:r>
      <w:proofErr w:type="gramEnd"/>
      <w:r w:rsidR="002B6C97" w:rsidRPr="000C5050">
        <w:t xml:space="preserve">: </w:t>
      </w:r>
      <w:r>
        <w:t>f</w:t>
      </w:r>
      <w:r w:rsidR="002B6C97" w:rsidRPr="000C5050">
        <w:t>uel tank removals below permitted volume of soil disturbance (no change from existing permitted activity, except added requirement to report location of any soil disposal.</w:t>
      </w:r>
    </w:p>
    <w:p w14:paraId="25D9741B" w14:textId="5C8D213F" w:rsidR="002B6C97" w:rsidRPr="000C5050" w:rsidRDefault="003D573A" w:rsidP="002B6C97">
      <w:pPr>
        <w:pStyle w:val="Bullet"/>
      </w:pPr>
      <w:proofErr w:type="gramStart"/>
      <w:r>
        <w:t>c</w:t>
      </w:r>
      <w:r w:rsidR="002B6C97" w:rsidRPr="000C5050">
        <w:t>ontrolled</w:t>
      </w:r>
      <w:proofErr w:type="gramEnd"/>
      <w:r w:rsidR="002B6C97" w:rsidRPr="000C5050">
        <w:t xml:space="preserve">: </w:t>
      </w:r>
      <w:r>
        <w:t>f</w:t>
      </w:r>
      <w:r w:rsidR="002B6C97" w:rsidRPr="000C5050">
        <w:t>uel tank removals that exceed the permitted volume of soil disposal, and where a detailed site investigation has been provided to council.</w:t>
      </w:r>
    </w:p>
    <w:p w14:paraId="22480574" w14:textId="3DC82C77" w:rsidR="002B6C97" w:rsidRPr="000C5050" w:rsidRDefault="003D573A" w:rsidP="002B6C97">
      <w:pPr>
        <w:pStyle w:val="Bullet"/>
      </w:pPr>
      <w:proofErr w:type="gramStart"/>
      <w:r>
        <w:t>r</w:t>
      </w:r>
      <w:r w:rsidR="002B6C97" w:rsidRPr="000C5050">
        <w:t>estricted</w:t>
      </w:r>
      <w:proofErr w:type="gramEnd"/>
      <w:r w:rsidR="002B6C97" w:rsidRPr="000C5050">
        <w:t xml:space="preserve"> discretionary: </w:t>
      </w:r>
      <w:r>
        <w:t>f</w:t>
      </w:r>
      <w:r w:rsidR="002B6C97" w:rsidRPr="000C5050">
        <w:t>uel tank removals that exceed the permitted volume of soil disposal, and where no detailed site investigation has been undertaken or provided.</w:t>
      </w:r>
      <w:r w:rsidR="007D080D" w:rsidRPr="000C5050">
        <w:t xml:space="preserve"> </w:t>
      </w:r>
    </w:p>
    <w:p w14:paraId="4005FE38" w14:textId="77777777" w:rsidR="002B6C97" w:rsidRPr="000C5050" w:rsidRDefault="002B6C97" w:rsidP="002B6C97">
      <w:pPr>
        <w:pStyle w:val="BodyText"/>
      </w:pPr>
      <w:r w:rsidRPr="000C5050">
        <w:t>This amendment clarifies that the effects that need to be controlled are those associated with the fuel tank removal, not the surrounding site, and excluding worker safety. The effects regulated by the NESCS will be clarified by setting out the areas that councils can control (</w:t>
      </w:r>
      <w:proofErr w:type="spellStart"/>
      <w:r w:rsidRPr="000C5050">
        <w:t>ie</w:t>
      </w:r>
      <w:proofErr w:type="spellEnd"/>
      <w:r w:rsidRPr="000C5050">
        <w:t>, the matters of discretion).</w:t>
      </w:r>
    </w:p>
    <w:p w14:paraId="40F68455" w14:textId="77777777" w:rsidR="00DA2149" w:rsidRPr="000C5050" w:rsidRDefault="00DA2149" w:rsidP="00DA2149">
      <w:pPr>
        <w:pStyle w:val="Blueboxheading"/>
        <w:rPr>
          <w:lang w:eastAsia="en-US"/>
        </w:rPr>
      </w:pPr>
      <w:r w:rsidRPr="000C5050">
        <w:rPr>
          <w:lang w:eastAsia="en-US"/>
        </w:rPr>
        <w:t>Amendments to the NESCS framework</w:t>
      </w:r>
    </w:p>
    <w:p w14:paraId="4C3F907D" w14:textId="77777777" w:rsidR="00DA2149" w:rsidRPr="000C5050" w:rsidRDefault="00DA2149" w:rsidP="00DA2149">
      <w:pPr>
        <w:pStyle w:val="Blueboxtext"/>
        <w:rPr>
          <w:lang w:eastAsia="en-US"/>
        </w:rPr>
      </w:pPr>
      <w:r w:rsidRPr="000C5050">
        <w:rPr>
          <w:lang w:eastAsia="en-US"/>
        </w:rPr>
        <w:t>Proposal 5.5:</w:t>
      </w:r>
    </w:p>
    <w:p w14:paraId="3D96DC8F" w14:textId="77777777" w:rsidR="00DA2149" w:rsidRPr="000C5050" w:rsidRDefault="00DA2149" w:rsidP="00DA2149">
      <w:pPr>
        <w:pStyle w:val="Blueboxbullet"/>
        <w:rPr>
          <w:lang w:eastAsia="en-US"/>
        </w:rPr>
      </w:pPr>
      <w:r w:rsidRPr="000C5050">
        <w:rPr>
          <w:lang w:eastAsia="en-US"/>
        </w:rPr>
        <w:t xml:space="preserve">Amend regulation 11 so that it does not apply to fuel tank storage systems. </w:t>
      </w:r>
    </w:p>
    <w:p w14:paraId="5F9828EC" w14:textId="77777777" w:rsidR="00DA2149" w:rsidRPr="000C5050" w:rsidRDefault="00DA2149" w:rsidP="00DA2149">
      <w:pPr>
        <w:pStyle w:val="Blueboxbullet"/>
        <w:rPr>
          <w:lang w:eastAsia="en-US"/>
        </w:rPr>
      </w:pPr>
      <w:r w:rsidRPr="000C5050">
        <w:rPr>
          <w:lang w:eastAsia="en-US"/>
        </w:rPr>
        <w:t>Amend regulation 9 so that a fuel tank removal is a controlled activity where it cannot meet the permitted activity controls and a DSI is provided, and soil contamination exceeds the soil guideline values.</w:t>
      </w:r>
    </w:p>
    <w:p w14:paraId="6B66D0CE" w14:textId="77777777" w:rsidR="00DA2149" w:rsidRPr="000C5050" w:rsidRDefault="00DA2149" w:rsidP="00DA2149">
      <w:pPr>
        <w:pStyle w:val="Blueboxbullet"/>
        <w:rPr>
          <w:lang w:eastAsia="en-US"/>
        </w:rPr>
      </w:pPr>
      <w:r w:rsidRPr="000C5050">
        <w:rPr>
          <w:lang w:eastAsia="en-US"/>
        </w:rPr>
        <w:t xml:space="preserve">Amend regulation 10 so that so that a fuel tank removal is a restricted discretionary activity where it cannot meet the permitted activity controls and no DSI is provided. </w:t>
      </w:r>
    </w:p>
    <w:p w14:paraId="62655E54" w14:textId="77777777" w:rsidR="00DA2149" w:rsidRPr="000C5050" w:rsidRDefault="00DA2149" w:rsidP="00571258">
      <w:pPr>
        <w:pStyle w:val="Blueboxtext"/>
        <w:rPr>
          <w:lang w:eastAsia="en-US"/>
        </w:rPr>
      </w:pPr>
      <w:r w:rsidRPr="000C5050">
        <w:rPr>
          <w:lang w:eastAsia="en-US"/>
        </w:rPr>
        <w:t>Table 4 provides an overview of the proposed changes for the activity of removing and/or replacing a fuel tank storage system and corresponding planning controls. An alternative format of the changes (by activity classification) is provided in Appendix 4.</w:t>
      </w:r>
    </w:p>
    <w:p w14:paraId="65E0A124" w14:textId="77777777" w:rsidR="00DA2149" w:rsidRPr="000C5050" w:rsidRDefault="00DA2149" w:rsidP="00DA2149">
      <w:pPr>
        <w:pStyle w:val="Tableheading"/>
      </w:pPr>
      <w:bookmarkStart w:id="25" w:name="_Toc460081289"/>
      <w:r w:rsidRPr="000C5050">
        <w:t xml:space="preserve">Table 4: </w:t>
      </w:r>
      <w:r w:rsidRPr="000C5050">
        <w:tab/>
        <w:t>Proposed consent status and planning controls for the activity of the removal and/or replacement of a fuel storage system</w:t>
      </w:r>
      <w:bookmarkEnd w:id="25"/>
    </w:p>
    <w:tbl>
      <w:tblPr>
        <w:tblStyle w:val="TableGrid"/>
        <w:tblW w:w="8562" w:type="dxa"/>
        <w:tblInd w:w="108" w:type="dxa"/>
        <w:tblBorders>
          <w:top w:val="single" w:sz="4" w:space="0" w:color="593731"/>
          <w:left w:val="none" w:sz="0" w:space="0" w:color="auto"/>
          <w:bottom w:val="single" w:sz="4" w:space="0" w:color="593731"/>
          <w:right w:val="none" w:sz="0" w:space="0" w:color="auto"/>
          <w:insideH w:val="single" w:sz="4" w:space="0" w:color="593731"/>
          <w:insideV w:val="single" w:sz="4" w:space="0" w:color="593731"/>
        </w:tblBorders>
        <w:tblLook w:val="04A0" w:firstRow="1" w:lastRow="0" w:firstColumn="1" w:lastColumn="0" w:noHBand="0" w:noVBand="1"/>
      </w:tblPr>
      <w:tblGrid>
        <w:gridCol w:w="1347"/>
        <w:gridCol w:w="2764"/>
        <w:gridCol w:w="4451"/>
      </w:tblGrid>
      <w:tr w:rsidR="00DA2149" w:rsidRPr="000C5050" w14:paraId="6489B0FF" w14:textId="77777777" w:rsidTr="00F860A3">
        <w:trPr>
          <w:tblHeader/>
        </w:trPr>
        <w:tc>
          <w:tcPr>
            <w:tcW w:w="1347" w:type="dxa"/>
            <w:tcBorders>
              <w:top w:val="single" w:sz="4" w:space="0" w:color="17556C"/>
              <w:bottom w:val="single" w:sz="4" w:space="0" w:color="17556C"/>
              <w:right w:val="single" w:sz="4" w:space="0" w:color="17556C"/>
            </w:tcBorders>
            <w:shd w:val="clear" w:color="auto" w:fill="17556C"/>
          </w:tcPr>
          <w:p w14:paraId="7592E01B" w14:textId="77777777" w:rsidR="00DA2149" w:rsidRPr="000C5050" w:rsidRDefault="00DA2149" w:rsidP="00DA2149">
            <w:pPr>
              <w:pStyle w:val="TableTextbold"/>
              <w:rPr>
                <w:color w:val="FFFFFF" w:themeColor="background1"/>
              </w:rPr>
            </w:pPr>
            <w:r w:rsidRPr="000C5050">
              <w:rPr>
                <w:color w:val="FFFFFF" w:themeColor="background1"/>
              </w:rPr>
              <w:t>Activity status</w:t>
            </w:r>
          </w:p>
        </w:tc>
        <w:tc>
          <w:tcPr>
            <w:tcW w:w="2764" w:type="dxa"/>
            <w:tcBorders>
              <w:top w:val="single" w:sz="4" w:space="0" w:color="17556C"/>
              <w:left w:val="single" w:sz="4" w:space="0" w:color="17556C"/>
              <w:bottom w:val="single" w:sz="4" w:space="0" w:color="17556C"/>
              <w:right w:val="single" w:sz="4" w:space="0" w:color="17556C"/>
            </w:tcBorders>
            <w:shd w:val="clear" w:color="auto" w:fill="17556C"/>
          </w:tcPr>
          <w:p w14:paraId="1EAC5995" w14:textId="77777777" w:rsidR="00DA2149" w:rsidRPr="000C5050" w:rsidRDefault="00DA2149" w:rsidP="00DA2149">
            <w:pPr>
              <w:pStyle w:val="TableTextbold"/>
              <w:rPr>
                <w:color w:val="FFFFFF" w:themeColor="background1"/>
              </w:rPr>
            </w:pPr>
            <w:r w:rsidRPr="000C5050">
              <w:rPr>
                <w:color w:val="FFFFFF" w:themeColor="background1"/>
              </w:rPr>
              <w:t>Application</w:t>
            </w:r>
          </w:p>
        </w:tc>
        <w:tc>
          <w:tcPr>
            <w:tcW w:w="4451" w:type="dxa"/>
            <w:tcBorders>
              <w:top w:val="single" w:sz="4" w:space="0" w:color="17556C"/>
              <w:left w:val="single" w:sz="4" w:space="0" w:color="17556C"/>
              <w:bottom w:val="single" w:sz="4" w:space="0" w:color="17556C"/>
            </w:tcBorders>
            <w:shd w:val="clear" w:color="auto" w:fill="17556C"/>
          </w:tcPr>
          <w:p w14:paraId="54F560A6" w14:textId="77777777" w:rsidR="00DA2149" w:rsidRPr="000C5050" w:rsidRDefault="00DA2149" w:rsidP="00DA2149">
            <w:pPr>
              <w:pStyle w:val="TableTextbold"/>
              <w:rPr>
                <w:color w:val="FFFFFF" w:themeColor="background1"/>
              </w:rPr>
            </w:pPr>
            <w:r w:rsidRPr="000C5050">
              <w:rPr>
                <w:color w:val="FFFFFF" w:themeColor="background1"/>
              </w:rPr>
              <w:t>Requirements</w:t>
            </w:r>
          </w:p>
        </w:tc>
      </w:tr>
      <w:tr w:rsidR="00DA2149" w:rsidRPr="000C5050" w14:paraId="4670A186" w14:textId="77777777" w:rsidTr="00F860A3">
        <w:tc>
          <w:tcPr>
            <w:tcW w:w="1347" w:type="dxa"/>
            <w:vMerge w:val="restart"/>
            <w:tcBorders>
              <w:top w:val="single" w:sz="4" w:space="0" w:color="17556C"/>
              <w:bottom w:val="single" w:sz="4" w:space="0" w:color="17556C"/>
              <w:right w:val="single" w:sz="4" w:space="0" w:color="17556C"/>
            </w:tcBorders>
            <w:shd w:val="clear" w:color="auto" w:fill="A4BBC4"/>
          </w:tcPr>
          <w:p w14:paraId="115807AC" w14:textId="77777777" w:rsidR="00DA2149" w:rsidRPr="000C5050" w:rsidRDefault="00DA2149" w:rsidP="00DA2149">
            <w:pPr>
              <w:pStyle w:val="Tabletext"/>
              <w:rPr>
                <w:b/>
              </w:rPr>
            </w:pPr>
            <w:r w:rsidRPr="000C5050">
              <w:rPr>
                <w:b/>
              </w:rPr>
              <w:t>Permitted</w:t>
            </w:r>
          </w:p>
        </w:tc>
        <w:tc>
          <w:tcPr>
            <w:tcW w:w="2764" w:type="dxa"/>
            <w:tcBorders>
              <w:top w:val="single" w:sz="4" w:space="0" w:color="17556C"/>
              <w:left w:val="single" w:sz="4" w:space="0" w:color="17556C"/>
              <w:bottom w:val="single" w:sz="4" w:space="0" w:color="17556C"/>
              <w:right w:val="single" w:sz="4" w:space="0" w:color="17556C"/>
            </w:tcBorders>
            <w:shd w:val="clear" w:color="auto" w:fill="A4BBC4"/>
          </w:tcPr>
          <w:p w14:paraId="792B0D93" w14:textId="77777777" w:rsidR="00DA2149" w:rsidRPr="000C5050" w:rsidRDefault="00DA2149" w:rsidP="00DA2149">
            <w:pPr>
              <w:pStyle w:val="Tabletext"/>
            </w:pPr>
            <w:r w:rsidRPr="000C5050">
              <w:t>Fuel tank replacement or removal</w:t>
            </w:r>
          </w:p>
        </w:tc>
        <w:tc>
          <w:tcPr>
            <w:tcW w:w="4451" w:type="dxa"/>
            <w:tcBorders>
              <w:top w:val="single" w:sz="4" w:space="0" w:color="17556C"/>
              <w:left w:val="single" w:sz="4" w:space="0" w:color="17556C"/>
              <w:bottom w:val="single" w:sz="4" w:space="0" w:color="17556C"/>
            </w:tcBorders>
            <w:shd w:val="clear" w:color="auto" w:fill="A4BBC4"/>
          </w:tcPr>
          <w:p w14:paraId="03B4B42C" w14:textId="77777777" w:rsidR="00DA2149" w:rsidRPr="000C5050" w:rsidRDefault="00DA2149" w:rsidP="00DA2149">
            <w:pPr>
              <w:pStyle w:val="Tabletext"/>
            </w:pPr>
            <w:r w:rsidRPr="000C5050">
              <w:t>Same as existing requirements.</w:t>
            </w:r>
          </w:p>
        </w:tc>
      </w:tr>
      <w:tr w:rsidR="00DA2149" w:rsidRPr="000C5050" w14:paraId="3B2B5035" w14:textId="77777777" w:rsidTr="00F860A3">
        <w:tc>
          <w:tcPr>
            <w:tcW w:w="1347" w:type="dxa"/>
            <w:vMerge/>
            <w:tcBorders>
              <w:top w:val="single" w:sz="4" w:space="0" w:color="17556C"/>
              <w:bottom w:val="single" w:sz="4" w:space="0" w:color="17556C"/>
              <w:right w:val="single" w:sz="4" w:space="0" w:color="17556C"/>
            </w:tcBorders>
            <w:shd w:val="clear" w:color="auto" w:fill="A4BBC4"/>
          </w:tcPr>
          <w:p w14:paraId="69F16B97" w14:textId="77777777" w:rsidR="00DA2149" w:rsidRPr="000C5050" w:rsidRDefault="00DA2149" w:rsidP="00DA2149">
            <w:pPr>
              <w:pStyle w:val="Tabletext"/>
              <w:rPr>
                <w:b/>
              </w:rPr>
            </w:pPr>
          </w:p>
        </w:tc>
        <w:tc>
          <w:tcPr>
            <w:tcW w:w="2764" w:type="dxa"/>
            <w:tcBorders>
              <w:top w:val="single" w:sz="4" w:space="0" w:color="17556C"/>
              <w:left w:val="single" w:sz="4" w:space="0" w:color="17556C"/>
              <w:bottom w:val="single" w:sz="4" w:space="0" w:color="17556C"/>
              <w:right w:val="single" w:sz="4" w:space="0" w:color="17556C"/>
            </w:tcBorders>
            <w:shd w:val="clear" w:color="auto" w:fill="A4BBC4"/>
          </w:tcPr>
          <w:p w14:paraId="6DB97EDB" w14:textId="77777777" w:rsidR="00DA2149" w:rsidRPr="000C5050" w:rsidRDefault="00DA2149" w:rsidP="00DA2149">
            <w:pPr>
              <w:pStyle w:val="Tabletext"/>
            </w:pPr>
            <w:r w:rsidRPr="000C5050">
              <w:t>Fuel tank replacement or removal where site is found to be below soil contaminant standards and/or Tier 1 soil acceptance criteria, but above background concentrations (regulations do not apply if site at or below background).</w:t>
            </w:r>
          </w:p>
        </w:tc>
        <w:tc>
          <w:tcPr>
            <w:tcW w:w="4451" w:type="dxa"/>
            <w:tcBorders>
              <w:top w:val="single" w:sz="4" w:space="0" w:color="17556C"/>
              <w:left w:val="single" w:sz="4" w:space="0" w:color="17556C"/>
              <w:bottom w:val="single" w:sz="4" w:space="0" w:color="17556C"/>
            </w:tcBorders>
            <w:shd w:val="clear" w:color="auto" w:fill="A4BBC4"/>
          </w:tcPr>
          <w:p w14:paraId="00449332" w14:textId="77777777" w:rsidR="00DA2149" w:rsidRPr="000C5050" w:rsidRDefault="00DA2149" w:rsidP="00020B12">
            <w:pPr>
              <w:pStyle w:val="Tablebullet"/>
              <w:spacing w:before="60"/>
            </w:pPr>
            <w:r w:rsidRPr="000C5050">
              <w:t>DSI in accordance with CLMGs</w:t>
            </w:r>
          </w:p>
          <w:p w14:paraId="61CF8D8C" w14:textId="77777777" w:rsidR="00DA2149" w:rsidRPr="000C5050" w:rsidRDefault="00DA2149" w:rsidP="00020B12">
            <w:pPr>
              <w:pStyle w:val="Tablebullet"/>
            </w:pPr>
            <w:r w:rsidRPr="000C5050">
              <w:t>DSI provided to consent authority</w:t>
            </w:r>
          </w:p>
          <w:p w14:paraId="72763064" w14:textId="77777777" w:rsidR="00DA2149" w:rsidRPr="000C5050" w:rsidRDefault="00DA2149" w:rsidP="00020B12">
            <w:pPr>
              <w:pStyle w:val="Tablebullet"/>
            </w:pPr>
            <w:proofErr w:type="gramStart"/>
            <w:r w:rsidRPr="000C5050">
              <w:t>site</w:t>
            </w:r>
            <w:proofErr w:type="gramEnd"/>
            <w:r w:rsidRPr="000C5050">
              <w:t xml:space="preserve"> management practices in place for duration of works to avoid discharges to the environment.</w:t>
            </w:r>
          </w:p>
        </w:tc>
      </w:tr>
      <w:tr w:rsidR="00DA2149" w:rsidRPr="000C5050" w14:paraId="5B06C55A" w14:textId="77777777" w:rsidTr="002F3782">
        <w:tc>
          <w:tcPr>
            <w:tcW w:w="1347" w:type="dxa"/>
            <w:tcBorders>
              <w:top w:val="single" w:sz="4" w:space="0" w:color="17556C"/>
              <w:bottom w:val="single" w:sz="4" w:space="0" w:color="17556C"/>
              <w:right w:val="single" w:sz="4" w:space="0" w:color="17556C"/>
            </w:tcBorders>
            <w:shd w:val="clear" w:color="auto" w:fill="D5EBE5"/>
          </w:tcPr>
          <w:p w14:paraId="07B0E00B" w14:textId="77777777" w:rsidR="00DA2149" w:rsidRPr="000C5050" w:rsidRDefault="00DA2149" w:rsidP="00DA2149">
            <w:pPr>
              <w:pStyle w:val="Tabletext"/>
              <w:rPr>
                <w:b/>
              </w:rPr>
            </w:pPr>
            <w:r w:rsidRPr="000C5050">
              <w:rPr>
                <w:b/>
              </w:rPr>
              <w:t>Controlled</w:t>
            </w:r>
          </w:p>
        </w:tc>
        <w:tc>
          <w:tcPr>
            <w:tcW w:w="2764" w:type="dxa"/>
            <w:tcBorders>
              <w:top w:val="single" w:sz="4" w:space="0" w:color="17556C"/>
              <w:left w:val="single" w:sz="4" w:space="0" w:color="17556C"/>
              <w:bottom w:val="single" w:sz="4" w:space="0" w:color="17556C"/>
              <w:right w:val="single" w:sz="4" w:space="0" w:color="17556C"/>
            </w:tcBorders>
            <w:shd w:val="clear" w:color="auto" w:fill="D5EBE5"/>
          </w:tcPr>
          <w:p w14:paraId="278FB0DB" w14:textId="77777777" w:rsidR="00DA2149" w:rsidRPr="000C5050" w:rsidRDefault="00DA2149" w:rsidP="00DA2149">
            <w:pPr>
              <w:pStyle w:val="Tabletext"/>
            </w:pPr>
            <w:r w:rsidRPr="000C5050">
              <w:t>Fuel tank removal cannot meet the permitted activity requirements.</w:t>
            </w:r>
          </w:p>
          <w:p w14:paraId="4E809780" w14:textId="77777777" w:rsidR="00DA2149" w:rsidRPr="000C5050" w:rsidRDefault="00DA2149" w:rsidP="00DA2149">
            <w:pPr>
              <w:pStyle w:val="Tabletext"/>
            </w:pPr>
            <w:r w:rsidRPr="000C5050">
              <w:t xml:space="preserve">A DSI exists, the consent authority has the DSI, and it adequately demonstrates the contamination profile of the area for the fuel tank </w:t>
            </w:r>
            <w:r w:rsidRPr="000C5050">
              <w:lastRenderedPageBreak/>
              <w:t>removal. Soil contamination exceeds soil contaminant standards and/or Tier 1 soil acceptance criteria.</w:t>
            </w:r>
          </w:p>
        </w:tc>
        <w:tc>
          <w:tcPr>
            <w:tcW w:w="4451" w:type="dxa"/>
            <w:tcBorders>
              <w:top w:val="single" w:sz="4" w:space="0" w:color="17556C"/>
              <w:left w:val="single" w:sz="4" w:space="0" w:color="17556C"/>
              <w:bottom w:val="single" w:sz="4" w:space="0" w:color="17556C"/>
            </w:tcBorders>
            <w:shd w:val="clear" w:color="auto" w:fill="D5EBE5"/>
          </w:tcPr>
          <w:p w14:paraId="3640F074" w14:textId="77777777" w:rsidR="00DA2149" w:rsidRPr="000C5050" w:rsidRDefault="00DA2149" w:rsidP="00205908">
            <w:pPr>
              <w:pStyle w:val="Tablebullet"/>
              <w:spacing w:before="60"/>
            </w:pPr>
            <w:r w:rsidRPr="000C5050">
              <w:lastRenderedPageBreak/>
              <w:t>DSI in accordance with CLMG No 1 and CLMG No</w:t>
            </w:r>
            <w:r w:rsidR="007D080D" w:rsidRPr="000C5050">
              <w:t xml:space="preserve"> </w:t>
            </w:r>
            <w:r w:rsidRPr="000C5050">
              <w:t>5.</w:t>
            </w:r>
          </w:p>
          <w:p w14:paraId="74555BA4" w14:textId="77777777" w:rsidR="00DA2149" w:rsidRPr="000C5050" w:rsidRDefault="00DA2149" w:rsidP="00122BF7">
            <w:pPr>
              <w:pStyle w:val="Tablebullet"/>
            </w:pPr>
            <w:r w:rsidRPr="000C5050">
              <w:t>Consent authority has the report, and regional council is notified.</w:t>
            </w:r>
          </w:p>
          <w:p w14:paraId="09A9AA0D" w14:textId="77777777" w:rsidR="00DA2149" w:rsidRPr="000C5050" w:rsidRDefault="00DA2149" w:rsidP="00122BF7">
            <w:pPr>
              <w:pStyle w:val="Tablebullet"/>
            </w:pPr>
            <w:r w:rsidRPr="000C5050">
              <w:t>Matters of control:</w:t>
            </w:r>
          </w:p>
          <w:p w14:paraId="4CED77C8" w14:textId="198667A0" w:rsidR="00DA2149" w:rsidRPr="000C5050" w:rsidRDefault="00DA2149" w:rsidP="00122BF7">
            <w:pPr>
              <w:pStyle w:val="TableDash"/>
              <w:spacing w:after="40"/>
            </w:pPr>
            <w:r w:rsidRPr="000C5050">
              <w:t>activity in accordance with Petroleum Guidelines</w:t>
            </w:r>
            <w:r w:rsidR="007D080D" w:rsidRPr="000C5050">
              <w:t xml:space="preserve"> </w:t>
            </w:r>
            <w:r w:rsidRPr="000C5050">
              <w:t>(Ministry for the Environment, revised 2011</w:t>
            </w:r>
            <w:r w:rsidR="00452EB1">
              <w:t>d</w:t>
            </w:r>
            <w:r w:rsidRPr="000C5050">
              <w:t>)</w:t>
            </w:r>
          </w:p>
          <w:p w14:paraId="4D19234D" w14:textId="77777777" w:rsidR="00DA2149" w:rsidRPr="000C5050" w:rsidRDefault="00DA2149" w:rsidP="00122BF7">
            <w:pPr>
              <w:pStyle w:val="TableDash"/>
              <w:spacing w:after="40"/>
            </w:pPr>
            <w:r w:rsidRPr="000C5050">
              <w:lastRenderedPageBreak/>
              <w:t>adequacy of DSI</w:t>
            </w:r>
          </w:p>
          <w:p w14:paraId="586C0D2C" w14:textId="77777777" w:rsidR="00DA2149" w:rsidRPr="000C5050" w:rsidRDefault="00DA2149" w:rsidP="00122BF7">
            <w:pPr>
              <w:pStyle w:val="TableDash"/>
              <w:spacing w:after="40"/>
            </w:pPr>
            <w:r w:rsidRPr="000C5050">
              <w:t>transport method and disposal location</w:t>
            </w:r>
          </w:p>
          <w:p w14:paraId="444246C6" w14:textId="77777777" w:rsidR="00DA2149" w:rsidRPr="000C5050" w:rsidRDefault="00DA2149" w:rsidP="00122BF7">
            <w:pPr>
              <w:pStyle w:val="TableDash"/>
              <w:spacing w:after="40"/>
            </w:pPr>
            <w:r w:rsidRPr="000C5050">
              <w:t>monitoring and reporting of disposal</w:t>
            </w:r>
          </w:p>
          <w:p w14:paraId="3DA1E216" w14:textId="77777777" w:rsidR="00DA2149" w:rsidRPr="000C5050" w:rsidRDefault="00DA2149" w:rsidP="00122BF7">
            <w:pPr>
              <w:pStyle w:val="TableDash"/>
              <w:spacing w:after="40"/>
            </w:pPr>
            <w:r w:rsidRPr="000C5050">
              <w:t>duration of consent</w:t>
            </w:r>
          </w:p>
          <w:p w14:paraId="066B3CC3" w14:textId="77777777" w:rsidR="00DA2149" w:rsidRPr="000C5050" w:rsidRDefault="00DA2149" w:rsidP="00122BF7">
            <w:pPr>
              <w:pStyle w:val="TableDash"/>
            </w:pPr>
            <w:proofErr w:type="gramStart"/>
            <w:r w:rsidRPr="000C5050">
              <w:t>timing</w:t>
            </w:r>
            <w:proofErr w:type="gramEnd"/>
            <w:r w:rsidRPr="000C5050">
              <w:t xml:space="preserve"> and nature of review of conditions.</w:t>
            </w:r>
          </w:p>
        </w:tc>
      </w:tr>
      <w:tr w:rsidR="00DA2149" w:rsidRPr="000C5050" w14:paraId="3AE2AB8F" w14:textId="77777777" w:rsidTr="002F3782">
        <w:tc>
          <w:tcPr>
            <w:tcW w:w="1347" w:type="dxa"/>
            <w:tcBorders>
              <w:top w:val="single" w:sz="4" w:space="0" w:color="17556C"/>
              <w:bottom w:val="single" w:sz="4" w:space="0" w:color="17556C"/>
              <w:right w:val="single" w:sz="4" w:space="0" w:color="17556C"/>
            </w:tcBorders>
            <w:shd w:val="clear" w:color="auto" w:fill="D2DDE2"/>
          </w:tcPr>
          <w:p w14:paraId="2DCDF699" w14:textId="77777777" w:rsidR="00DA2149" w:rsidRPr="000C5050" w:rsidRDefault="00DA2149" w:rsidP="00DA2149">
            <w:pPr>
              <w:pStyle w:val="Tabletext"/>
              <w:rPr>
                <w:b/>
              </w:rPr>
            </w:pPr>
            <w:r w:rsidRPr="000C5050">
              <w:rPr>
                <w:b/>
              </w:rPr>
              <w:lastRenderedPageBreak/>
              <w:t>Restricted discretionary</w:t>
            </w:r>
          </w:p>
        </w:tc>
        <w:tc>
          <w:tcPr>
            <w:tcW w:w="2764" w:type="dxa"/>
            <w:tcBorders>
              <w:top w:val="single" w:sz="4" w:space="0" w:color="17556C"/>
              <w:left w:val="single" w:sz="4" w:space="0" w:color="17556C"/>
              <w:bottom w:val="single" w:sz="4" w:space="0" w:color="17556C"/>
              <w:right w:val="single" w:sz="4" w:space="0" w:color="17556C"/>
            </w:tcBorders>
            <w:shd w:val="clear" w:color="auto" w:fill="D2DDE2"/>
          </w:tcPr>
          <w:p w14:paraId="517A0A72" w14:textId="77777777" w:rsidR="00DA2149" w:rsidRPr="000C5050" w:rsidRDefault="00DA2149" w:rsidP="00DA2149">
            <w:pPr>
              <w:pStyle w:val="Tabletext"/>
            </w:pPr>
            <w:r w:rsidRPr="000C5050">
              <w:t>Fuel tank removal cannot meet the Permitted Activity requirements.</w:t>
            </w:r>
          </w:p>
          <w:p w14:paraId="51EFA076" w14:textId="511CACA3" w:rsidR="00DA2149" w:rsidRPr="000C5050" w:rsidRDefault="00DA2149" w:rsidP="00DA2149">
            <w:pPr>
              <w:pStyle w:val="Tabletext"/>
            </w:pPr>
            <w:r w:rsidRPr="000C5050">
              <w:t>No DSI exists</w:t>
            </w:r>
            <w:r w:rsidR="00FD1344">
              <w:t xml:space="preserve"> or is</w:t>
            </w:r>
            <w:r w:rsidR="001A63DB">
              <w:t xml:space="preserve"> </w:t>
            </w:r>
            <w:r w:rsidRPr="000C5050">
              <w:t>provided</w:t>
            </w:r>
          </w:p>
        </w:tc>
        <w:tc>
          <w:tcPr>
            <w:tcW w:w="4451" w:type="dxa"/>
            <w:tcBorders>
              <w:top w:val="single" w:sz="4" w:space="0" w:color="17556C"/>
              <w:left w:val="single" w:sz="4" w:space="0" w:color="17556C"/>
              <w:bottom w:val="single" w:sz="4" w:space="0" w:color="17556C"/>
            </w:tcBorders>
            <w:shd w:val="clear" w:color="auto" w:fill="D2DDE2"/>
          </w:tcPr>
          <w:p w14:paraId="70EBC208" w14:textId="77777777" w:rsidR="00DA2149" w:rsidRPr="000C5050" w:rsidRDefault="00DA2149" w:rsidP="00DA2149">
            <w:pPr>
              <w:pStyle w:val="Tabletext"/>
            </w:pPr>
            <w:r w:rsidRPr="000C5050">
              <w:t>Matters of discretion:</w:t>
            </w:r>
          </w:p>
          <w:p w14:paraId="1F7F8DB7" w14:textId="3E533789" w:rsidR="00DA2149" w:rsidRPr="000C5050" w:rsidRDefault="00DA2149" w:rsidP="00122BF7">
            <w:pPr>
              <w:pStyle w:val="Tablebullet"/>
            </w:pPr>
            <w:r w:rsidRPr="000C5050">
              <w:t>activity in accordance with Petroleum Guidelines</w:t>
            </w:r>
            <w:r w:rsidR="007D080D" w:rsidRPr="000C5050">
              <w:t xml:space="preserve"> </w:t>
            </w:r>
            <w:r w:rsidRPr="000C5050">
              <w:t>(Ministry for the Environment, revised 2011</w:t>
            </w:r>
            <w:r w:rsidR="00452EB1">
              <w:t>d</w:t>
            </w:r>
            <w:r w:rsidRPr="000C5050">
              <w:t>)</w:t>
            </w:r>
          </w:p>
          <w:p w14:paraId="7B6C7307" w14:textId="77777777" w:rsidR="00DA2149" w:rsidRPr="000C5050" w:rsidRDefault="00DA2149" w:rsidP="00122BF7">
            <w:pPr>
              <w:pStyle w:val="Tablebullet"/>
            </w:pPr>
            <w:r w:rsidRPr="000C5050">
              <w:t>transport method and disposal location</w:t>
            </w:r>
          </w:p>
          <w:p w14:paraId="0A85D3AD" w14:textId="77777777" w:rsidR="00DA2149" w:rsidRPr="000C5050" w:rsidRDefault="00DA2149" w:rsidP="00122BF7">
            <w:pPr>
              <w:pStyle w:val="Tablebullet"/>
            </w:pPr>
            <w:r w:rsidRPr="000C5050">
              <w:t>monitoring and reporting of disposal</w:t>
            </w:r>
          </w:p>
          <w:p w14:paraId="4B163856" w14:textId="77777777" w:rsidR="00DA2149" w:rsidRPr="000C5050" w:rsidRDefault="00DA2149" w:rsidP="00122BF7">
            <w:pPr>
              <w:pStyle w:val="Tablebullet"/>
            </w:pPr>
            <w:r w:rsidRPr="000C5050">
              <w:t>duration of consent</w:t>
            </w:r>
          </w:p>
          <w:p w14:paraId="2E7C26B1" w14:textId="77777777" w:rsidR="00DA2149" w:rsidRPr="000C5050" w:rsidRDefault="00DA2149" w:rsidP="00122BF7">
            <w:pPr>
              <w:pStyle w:val="Tablebullet"/>
            </w:pPr>
            <w:r w:rsidRPr="000C5050">
              <w:t>monitoring and reporting of disposal</w:t>
            </w:r>
            <w:r w:rsidR="007D080D" w:rsidRPr="000C5050">
              <w:t xml:space="preserve"> </w:t>
            </w:r>
          </w:p>
          <w:p w14:paraId="6BE519E8" w14:textId="77777777" w:rsidR="00DA2149" w:rsidRPr="000C5050" w:rsidRDefault="00DA2149" w:rsidP="00122BF7">
            <w:pPr>
              <w:pStyle w:val="Tablebullet"/>
            </w:pPr>
            <w:r w:rsidRPr="000C5050">
              <w:t>duration of consent</w:t>
            </w:r>
          </w:p>
          <w:p w14:paraId="4F1FCFAB" w14:textId="77777777" w:rsidR="00DA2149" w:rsidRPr="000C5050" w:rsidRDefault="00DA2149" w:rsidP="00122BF7">
            <w:pPr>
              <w:pStyle w:val="Tablebullet"/>
            </w:pPr>
            <w:r w:rsidRPr="000C5050">
              <w:t>timing and nature of review of conditions</w:t>
            </w:r>
          </w:p>
          <w:p w14:paraId="126EACAA" w14:textId="77777777" w:rsidR="00DA2149" w:rsidRPr="000C5050" w:rsidRDefault="00DA2149" w:rsidP="00122BF7">
            <w:pPr>
              <w:pStyle w:val="Tablebullet"/>
            </w:pPr>
            <w:proofErr w:type="gramStart"/>
            <w:r w:rsidRPr="000C5050">
              <w:t>requirement</w:t>
            </w:r>
            <w:proofErr w:type="gramEnd"/>
            <w:r w:rsidRPr="000C5050">
              <w:t xml:space="preserve"> for and conditions of a financial bond.</w:t>
            </w:r>
          </w:p>
        </w:tc>
      </w:tr>
    </w:tbl>
    <w:p w14:paraId="24DC5076" w14:textId="2928595C" w:rsidR="00DA2149" w:rsidRPr="000C5050" w:rsidRDefault="00DA2149" w:rsidP="00122BF7">
      <w:pPr>
        <w:pStyle w:val="BodyText"/>
        <w:spacing w:before="240"/>
      </w:pPr>
      <w:r w:rsidRPr="000C5050">
        <w:t>The anticipated impacts of this proposal are discussed at page</w:t>
      </w:r>
      <w:r w:rsidR="00F860A3" w:rsidRPr="000C5050">
        <w:t xml:space="preserve"> 35</w:t>
      </w:r>
      <w:r w:rsidRPr="000C5050">
        <w:t>.</w:t>
      </w:r>
    </w:p>
    <w:p w14:paraId="33078B98" w14:textId="77777777" w:rsidR="00021863" w:rsidRPr="000C5050" w:rsidRDefault="00021863" w:rsidP="00F860A3">
      <w:pPr>
        <w:pStyle w:val="Heading3"/>
        <w:spacing w:after="60"/>
        <w:rPr>
          <w:lang w:eastAsia="en-US"/>
        </w:rPr>
      </w:pPr>
      <w:r w:rsidRPr="000C5050">
        <w:rPr>
          <w:lang w:eastAsia="en-US"/>
        </w:rPr>
        <w:t xml:space="preserve">Soil sampling </w:t>
      </w:r>
    </w:p>
    <w:p w14:paraId="4383200F" w14:textId="77777777" w:rsidR="00021863" w:rsidRPr="000C5050" w:rsidRDefault="00021863" w:rsidP="00AB35CD">
      <w:pPr>
        <w:pStyle w:val="Box"/>
        <w:rPr>
          <w:lang w:eastAsia="en-US"/>
        </w:rPr>
      </w:pPr>
      <w:r w:rsidRPr="000C5050">
        <w:t>5.6</w:t>
      </w:r>
      <w:r w:rsidRPr="000C5050">
        <w:tab/>
        <w:t>Remove option of restricted discretionary and discretionary consent classes for soil sampling.</w:t>
      </w:r>
      <w:r w:rsidRPr="000C5050">
        <w:rPr>
          <w:lang w:eastAsia="en-US"/>
        </w:rPr>
        <w:t xml:space="preserve"> </w:t>
      </w:r>
    </w:p>
    <w:p w14:paraId="1871B120" w14:textId="77777777" w:rsidR="00021863" w:rsidRPr="000C5050" w:rsidRDefault="00021863" w:rsidP="00205908">
      <w:pPr>
        <w:pStyle w:val="BodyText"/>
        <w:spacing w:before="240"/>
        <w:rPr>
          <w:lang w:eastAsia="en-US"/>
        </w:rPr>
      </w:pPr>
      <w:r w:rsidRPr="000C5050">
        <w:rPr>
          <w:lang w:eastAsia="en-US"/>
        </w:rPr>
        <w:t>Controls for soil sampling were introduced into the NESCS to incentivise soil testing, and to give certainty that it could be carried out. Accordingly, almost all soil sampling is a permitted activity under the NESCS, as the requirements of the permitted activity are broad enough to capture most soil sampling. This means resource consent for the activity is very rare, and in circumstances where it is required, it seems unnecessary to have all three consent classes apply (</w:t>
      </w:r>
      <w:proofErr w:type="spellStart"/>
      <w:r w:rsidRPr="000C5050">
        <w:rPr>
          <w:lang w:eastAsia="en-US"/>
        </w:rPr>
        <w:t>ie</w:t>
      </w:r>
      <w:proofErr w:type="spellEnd"/>
      <w:r w:rsidRPr="000C5050">
        <w:rPr>
          <w:lang w:eastAsia="en-US"/>
        </w:rPr>
        <w:t>, controlled, restricted discretionary, and discretionary). To clarify that the NESCS intends to permit soil sampling in most circumstances, it is proposed that the option of restricted discretionary and discretionary consent classes be removed for soil sampling.</w:t>
      </w:r>
    </w:p>
    <w:p w14:paraId="5CA4CBA6" w14:textId="77777777" w:rsidR="00021863" w:rsidRPr="000C5050" w:rsidRDefault="00021863" w:rsidP="00021863">
      <w:pPr>
        <w:pStyle w:val="BodyText"/>
        <w:rPr>
          <w:lang w:eastAsia="en-US"/>
        </w:rPr>
      </w:pPr>
      <w:r w:rsidRPr="000C5050">
        <w:rPr>
          <w:lang w:eastAsia="en-US"/>
        </w:rPr>
        <w:t>The following consent requirements are proposed:</w:t>
      </w:r>
    </w:p>
    <w:p w14:paraId="392593E5" w14:textId="435EA693" w:rsidR="00021863" w:rsidRPr="000C5050" w:rsidRDefault="00FD1344" w:rsidP="00021863">
      <w:pPr>
        <w:pStyle w:val="Bullet"/>
        <w:rPr>
          <w:lang w:eastAsia="en-US"/>
        </w:rPr>
      </w:pPr>
      <w:proofErr w:type="gramStart"/>
      <w:r>
        <w:rPr>
          <w:lang w:eastAsia="en-US"/>
        </w:rPr>
        <w:t>p</w:t>
      </w:r>
      <w:r w:rsidR="00021863" w:rsidRPr="000C5050">
        <w:rPr>
          <w:lang w:eastAsia="en-US"/>
        </w:rPr>
        <w:t>ermitted</w:t>
      </w:r>
      <w:proofErr w:type="gramEnd"/>
      <w:r w:rsidR="00021863" w:rsidRPr="000C5050">
        <w:rPr>
          <w:lang w:eastAsia="en-US"/>
        </w:rPr>
        <w:t>: same as the existing controls for soil sampling.</w:t>
      </w:r>
    </w:p>
    <w:p w14:paraId="71A783F1" w14:textId="21292AF9" w:rsidR="00021863" w:rsidRPr="000C5050" w:rsidRDefault="00FD1344" w:rsidP="00021863">
      <w:pPr>
        <w:pStyle w:val="Bullet"/>
        <w:rPr>
          <w:lang w:eastAsia="en-US"/>
        </w:rPr>
      </w:pPr>
      <w:proofErr w:type="gramStart"/>
      <w:r>
        <w:rPr>
          <w:lang w:eastAsia="en-US"/>
        </w:rPr>
        <w:t>c</w:t>
      </w:r>
      <w:r w:rsidR="00021863" w:rsidRPr="000C5050">
        <w:rPr>
          <w:lang w:eastAsia="en-US"/>
        </w:rPr>
        <w:t>ontrolled</w:t>
      </w:r>
      <w:proofErr w:type="gramEnd"/>
      <w:r w:rsidR="00021863" w:rsidRPr="000C5050">
        <w:rPr>
          <w:lang w:eastAsia="en-US"/>
        </w:rPr>
        <w:t xml:space="preserve">: sampling that exceeds the permitted requirements, where a detailed site investigation has been provided to council. Council will (amongst other things) have discretion over the measures to protect or reinstate the structures designed to contain the contaminants. </w:t>
      </w:r>
    </w:p>
    <w:p w14:paraId="427DA6E4" w14:textId="77777777" w:rsidR="008F3552" w:rsidRPr="000C5050" w:rsidRDefault="008F3552" w:rsidP="008F3552">
      <w:pPr>
        <w:pStyle w:val="Blueboxheading"/>
        <w:rPr>
          <w:lang w:eastAsia="en-US"/>
        </w:rPr>
      </w:pPr>
      <w:r w:rsidRPr="000C5050">
        <w:rPr>
          <w:lang w:eastAsia="en-US"/>
        </w:rPr>
        <w:t>Amendments to the NESCS framework</w:t>
      </w:r>
    </w:p>
    <w:p w14:paraId="697859DC" w14:textId="77777777" w:rsidR="00DA2149" w:rsidRPr="000C5050" w:rsidRDefault="008F3552" w:rsidP="008F3552">
      <w:pPr>
        <w:pStyle w:val="Blueboxtext"/>
        <w:ind w:left="1701" w:hanging="1417"/>
        <w:rPr>
          <w:lang w:eastAsia="en-US"/>
        </w:rPr>
      </w:pPr>
      <w:r w:rsidRPr="000C5050">
        <w:rPr>
          <w:lang w:eastAsia="en-US"/>
        </w:rPr>
        <w:t xml:space="preserve">Proposal 5.6: </w:t>
      </w:r>
      <w:r w:rsidRPr="000C5050">
        <w:rPr>
          <w:lang w:eastAsia="en-US"/>
        </w:rPr>
        <w:tab/>
        <w:t>Table 5 provides an overview of the proposed changes for the activity of soil sampling and corresponding planning controls. An alternative format of the changes (by activity classification) is provided in Appendix 4.</w:t>
      </w:r>
    </w:p>
    <w:p w14:paraId="491C2F61" w14:textId="77777777" w:rsidR="008F3552" w:rsidRPr="000C5050" w:rsidRDefault="00673F0D" w:rsidP="00673F0D">
      <w:pPr>
        <w:pStyle w:val="Tableheading"/>
        <w:spacing w:before="240"/>
      </w:pPr>
      <w:bookmarkStart w:id="26" w:name="_Toc460081290"/>
      <w:r w:rsidRPr="000C5050">
        <w:lastRenderedPageBreak/>
        <w:t xml:space="preserve">Table 5: </w:t>
      </w:r>
      <w:r w:rsidRPr="000C5050">
        <w:tab/>
        <w:t>Proposed consent status and planning controls for the activity of soil sampling</w:t>
      </w:r>
      <w:bookmarkEnd w:id="26"/>
    </w:p>
    <w:tbl>
      <w:tblPr>
        <w:tblStyle w:val="TableGrid"/>
        <w:tblW w:w="8562" w:type="dxa"/>
        <w:tblInd w:w="108" w:type="dxa"/>
        <w:tblBorders>
          <w:top w:val="single" w:sz="4" w:space="0" w:color="593731"/>
          <w:left w:val="none" w:sz="0" w:space="0" w:color="auto"/>
          <w:bottom w:val="single" w:sz="4" w:space="0" w:color="593731"/>
          <w:right w:val="none" w:sz="0" w:space="0" w:color="auto"/>
          <w:insideH w:val="single" w:sz="4" w:space="0" w:color="593731"/>
          <w:insideV w:val="single" w:sz="4" w:space="0" w:color="593731"/>
        </w:tblBorders>
        <w:tblLayout w:type="fixed"/>
        <w:tblLook w:val="04A0" w:firstRow="1" w:lastRow="0" w:firstColumn="1" w:lastColumn="0" w:noHBand="0" w:noVBand="1"/>
      </w:tblPr>
      <w:tblGrid>
        <w:gridCol w:w="1410"/>
        <w:gridCol w:w="1833"/>
        <w:gridCol w:w="5319"/>
      </w:tblGrid>
      <w:tr w:rsidR="00673F0D" w:rsidRPr="000C5050" w14:paraId="20092855" w14:textId="77777777" w:rsidTr="00F860A3">
        <w:tc>
          <w:tcPr>
            <w:tcW w:w="1410" w:type="dxa"/>
            <w:tcBorders>
              <w:top w:val="single" w:sz="4" w:space="0" w:color="17556C"/>
              <w:bottom w:val="single" w:sz="4" w:space="0" w:color="17556C"/>
              <w:right w:val="single" w:sz="4" w:space="0" w:color="17556C"/>
            </w:tcBorders>
            <w:shd w:val="clear" w:color="auto" w:fill="17556C"/>
          </w:tcPr>
          <w:p w14:paraId="595269A3" w14:textId="77777777" w:rsidR="00673F0D" w:rsidRPr="000C5050" w:rsidRDefault="00673F0D" w:rsidP="00673F0D">
            <w:pPr>
              <w:pStyle w:val="TableTextbold"/>
              <w:rPr>
                <w:color w:val="FFFFFF" w:themeColor="background1"/>
              </w:rPr>
            </w:pPr>
            <w:r w:rsidRPr="000C5050">
              <w:rPr>
                <w:color w:val="FFFFFF" w:themeColor="background1"/>
              </w:rPr>
              <w:t>Activity status</w:t>
            </w:r>
          </w:p>
        </w:tc>
        <w:tc>
          <w:tcPr>
            <w:tcW w:w="1833" w:type="dxa"/>
            <w:tcBorders>
              <w:top w:val="single" w:sz="4" w:space="0" w:color="17556C"/>
              <w:left w:val="single" w:sz="4" w:space="0" w:color="17556C"/>
              <w:bottom w:val="single" w:sz="4" w:space="0" w:color="17556C"/>
              <w:right w:val="single" w:sz="4" w:space="0" w:color="17556C"/>
            </w:tcBorders>
            <w:shd w:val="clear" w:color="auto" w:fill="17556C"/>
          </w:tcPr>
          <w:p w14:paraId="49AB8468" w14:textId="77777777" w:rsidR="00673F0D" w:rsidRPr="000C5050" w:rsidRDefault="00673F0D" w:rsidP="00673F0D">
            <w:pPr>
              <w:pStyle w:val="TableTextbold"/>
              <w:rPr>
                <w:color w:val="FFFFFF" w:themeColor="background1"/>
              </w:rPr>
            </w:pPr>
            <w:r w:rsidRPr="000C5050">
              <w:rPr>
                <w:color w:val="FFFFFF" w:themeColor="background1"/>
              </w:rPr>
              <w:t>Application</w:t>
            </w:r>
          </w:p>
        </w:tc>
        <w:tc>
          <w:tcPr>
            <w:tcW w:w="5319" w:type="dxa"/>
            <w:tcBorders>
              <w:top w:val="single" w:sz="4" w:space="0" w:color="17556C"/>
              <w:left w:val="single" w:sz="4" w:space="0" w:color="17556C"/>
              <w:bottom w:val="single" w:sz="4" w:space="0" w:color="17556C"/>
            </w:tcBorders>
            <w:shd w:val="clear" w:color="auto" w:fill="17556C"/>
          </w:tcPr>
          <w:p w14:paraId="54035CBA" w14:textId="77777777" w:rsidR="00673F0D" w:rsidRPr="000C5050" w:rsidRDefault="00673F0D" w:rsidP="00673F0D">
            <w:pPr>
              <w:pStyle w:val="TableTextbold"/>
              <w:rPr>
                <w:color w:val="FFFFFF" w:themeColor="background1"/>
              </w:rPr>
            </w:pPr>
            <w:r w:rsidRPr="000C5050">
              <w:rPr>
                <w:color w:val="FFFFFF" w:themeColor="background1"/>
              </w:rPr>
              <w:t>Requirements</w:t>
            </w:r>
          </w:p>
        </w:tc>
      </w:tr>
      <w:tr w:rsidR="00673F0D" w:rsidRPr="000C5050" w14:paraId="31F9E7D0" w14:textId="77777777" w:rsidTr="00F860A3">
        <w:tc>
          <w:tcPr>
            <w:tcW w:w="1410" w:type="dxa"/>
            <w:tcBorders>
              <w:top w:val="single" w:sz="4" w:space="0" w:color="17556C"/>
              <w:bottom w:val="single" w:sz="4" w:space="0" w:color="17556C"/>
              <w:right w:val="single" w:sz="4" w:space="0" w:color="17556C"/>
            </w:tcBorders>
            <w:shd w:val="clear" w:color="auto" w:fill="A4BBC4"/>
          </w:tcPr>
          <w:p w14:paraId="1A5D19C6" w14:textId="77777777" w:rsidR="00673F0D" w:rsidRPr="000C5050" w:rsidRDefault="00673F0D" w:rsidP="00673F0D">
            <w:pPr>
              <w:pStyle w:val="Tabletext"/>
            </w:pPr>
            <w:r w:rsidRPr="000C5050">
              <w:t>Permitted</w:t>
            </w:r>
          </w:p>
        </w:tc>
        <w:tc>
          <w:tcPr>
            <w:tcW w:w="1833" w:type="dxa"/>
            <w:tcBorders>
              <w:top w:val="single" w:sz="4" w:space="0" w:color="17556C"/>
              <w:left w:val="single" w:sz="4" w:space="0" w:color="17556C"/>
              <w:bottom w:val="single" w:sz="4" w:space="0" w:color="17556C"/>
              <w:right w:val="single" w:sz="4" w:space="0" w:color="17556C"/>
            </w:tcBorders>
            <w:shd w:val="clear" w:color="auto" w:fill="A4BBC4"/>
          </w:tcPr>
          <w:p w14:paraId="00B2930E" w14:textId="77777777" w:rsidR="00673F0D" w:rsidRPr="000C5050" w:rsidRDefault="00673F0D" w:rsidP="00673F0D">
            <w:pPr>
              <w:pStyle w:val="Tabletext"/>
            </w:pPr>
            <w:r w:rsidRPr="000C5050">
              <w:t>Soil sampling</w:t>
            </w:r>
          </w:p>
        </w:tc>
        <w:tc>
          <w:tcPr>
            <w:tcW w:w="5319" w:type="dxa"/>
            <w:tcBorders>
              <w:top w:val="single" w:sz="4" w:space="0" w:color="17556C"/>
              <w:left w:val="single" w:sz="4" w:space="0" w:color="17556C"/>
              <w:bottom w:val="single" w:sz="4" w:space="0" w:color="17556C"/>
            </w:tcBorders>
            <w:shd w:val="clear" w:color="auto" w:fill="A4BBC4"/>
          </w:tcPr>
          <w:p w14:paraId="5DC0368F" w14:textId="77777777" w:rsidR="00673F0D" w:rsidRPr="000C5050" w:rsidRDefault="00673F0D" w:rsidP="00673F0D">
            <w:pPr>
              <w:pStyle w:val="Tabletext"/>
            </w:pPr>
            <w:r w:rsidRPr="000C5050">
              <w:t>Same as existing requirements</w:t>
            </w:r>
          </w:p>
        </w:tc>
      </w:tr>
      <w:tr w:rsidR="00673F0D" w:rsidRPr="000C5050" w14:paraId="77F8E0BD" w14:textId="77777777" w:rsidTr="002F3782">
        <w:tc>
          <w:tcPr>
            <w:tcW w:w="1410" w:type="dxa"/>
            <w:tcBorders>
              <w:top w:val="single" w:sz="4" w:space="0" w:color="17556C"/>
              <w:bottom w:val="single" w:sz="4" w:space="0" w:color="17556C"/>
              <w:right w:val="single" w:sz="4" w:space="0" w:color="17556C"/>
            </w:tcBorders>
            <w:shd w:val="clear" w:color="auto" w:fill="D5EBE5"/>
          </w:tcPr>
          <w:p w14:paraId="5B3EF007" w14:textId="77777777" w:rsidR="00673F0D" w:rsidRPr="000C5050" w:rsidRDefault="00673F0D" w:rsidP="00673F0D">
            <w:pPr>
              <w:pStyle w:val="Tabletext"/>
            </w:pPr>
            <w:r w:rsidRPr="000C5050">
              <w:t>Controlled</w:t>
            </w:r>
          </w:p>
        </w:tc>
        <w:tc>
          <w:tcPr>
            <w:tcW w:w="1833" w:type="dxa"/>
            <w:tcBorders>
              <w:top w:val="single" w:sz="4" w:space="0" w:color="17556C"/>
              <w:left w:val="single" w:sz="4" w:space="0" w:color="17556C"/>
              <w:bottom w:val="single" w:sz="4" w:space="0" w:color="17556C"/>
              <w:right w:val="single" w:sz="4" w:space="0" w:color="17556C"/>
            </w:tcBorders>
            <w:shd w:val="clear" w:color="auto" w:fill="D5EBE5"/>
          </w:tcPr>
          <w:p w14:paraId="188B11BD" w14:textId="77777777" w:rsidR="00673F0D" w:rsidRPr="000C5050" w:rsidRDefault="00673F0D" w:rsidP="00673F0D">
            <w:pPr>
              <w:pStyle w:val="Tabletext"/>
            </w:pPr>
            <w:r w:rsidRPr="000C5050">
              <w:t xml:space="preserve">Soil sampling cannot meet the permitted activity requirements </w:t>
            </w:r>
          </w:p>
        </w:tc>
        <w:tc>
          <w:tcPr>
            <w:tcW w:w="5319" w:type="dxa"/>
            <w:tcBorders>
              <w:top w:val="single" w:sz="4" w:space="0" w:color="17556C"/>
              <w:left w:val="single" w:sz="4" w:space="0" w:color="17556C"/>
              <w:bottom w:val="single" w:sz="4" w:space="0" w:color="17556C"/>
            </w:tcBorders>
            <w:shd w:val="clear" w:color="auto" w:fill="D5EBE5"/>
          </w:tcPr>
          <w:p w14:paraId="2A34474B" w14:textId="77777777" w:rsidR="00673F0D" w:rsidRPr="000C5050" w:rsidRDefault="00673F0D" w:rsidP="00673F0D">
            <w:pPr>
              <w:pStyle w:val="Tabletext"/>
            </w:pPr>
            <w:r w:rsidRPr="000C5050">
              <w:t>DSI in accordance with CLMG No 1 and CLMG No</w:t>
            </w:r>
            <w:r w:rsidR="007D080D" w:rsidRPr="000C5050">
              <w:t xml:space="preserve"> </w:t>
            </w:r>
            <w:r w:rsidRPr="000C5050">
              <w:t>5</w:t>
            </w:r>
          </w:p>
          <w:p w14:paraId="329FD499" w14:textId="77777777" w:rsidR="00673F0D" w:rsidRPr="000C5050" w:rsidRDefault="00673F0D" w:rsidP="00A96D55">
            <w:pPr>
              <w:pStyle w:val="Tablebullet"/>
            </w:pPr>
            <w:r w:rsidRPr="000C5050">
              <w:t>consent authority has the report</w:t>
            </w:r>
          </w:p>
          <w:p w14:paraId="38ABCEF2" w14:textId="77777777" w:rsidR="00673F0D" w:rsidRPr="000C5050" w:rsidRDefault="00673F0D" w:rsidP="00A96D55">
            <w:pPr>
              <w:pStyle w:val="Tablebullet"/>
            </w:pPr>
            <w:r w:rsidRPr="000C5050">
              <w:t>matters of control:</w:t>
            </w:r>
          </w:p>
          <w:p w14:paraId="322ED9D4" w14:textId="77777777" w:rsidR="00673F0D" w:rsidRPr="000C5050" w:rsidRDefault="00673F0D" w:rsidP="00A96D55">
            <w:pPr>
              <w:pStyle w:val="TableDash"/>
              <w:spacing w:after="40"/>
            </w:pPr>
            <w:r w:rsidRPr="000C5050">
              <w:t>controls to minimise exposure to mobilised contaminants</w:t>
            </w:r>
          </w:p>
          <w:p w14:paraId="4A677188" w14:textId="77777777" w:rsidR="00673F0D" w:rsidRPr="000C5050" w:rsidRDefault="00673F0D" w:rsidP="00A96D55">
            <w:pPr>
              <w:pStyle w:val="TableDash"/>
              <w:spacing w:after="40"/>
            </w:pPr>
            <w:r w:rsidRPr="000C5050">
              <w:t>duration of the activity</w:t>
            </w:r>
          </w:p>
          <w:p w14:paraId="7D7B4E3C" w14:textId="77777777" w:rsidR="00673F0D" w:rsidRPr="000C5050" w:rsidRDefault="00673F0D" w:rsidP="00A96D55">
            <w:pPr>
              <w:pStyle w:val="TableDash"/>
              <w:spacing w:after="40"/>
            </w:pPr>
            <w:r w:rsidRPr="000C5050">
              <w:t>transport and disposal of soil</w:t>
            </w:r>
          </w:p>
          <w:p w14:paraId="7E756036" w14:textId="77777777" w:rsidR="00673F0D" w:rsidRPr="000C5050" w:rsidRDefault="00673F0D" w:rsidP="00A96D55">
            <w:pPr>
              <w:pStyle w:val="TableDash"/>
            </w:pPr>
            <w:proofErr w:type="gramStart"/>
            <w:r w:rsidRPr="000C5050">
              <w:t>measures</w:t>
            </w:r>
            <w:proofErr w:type="gramEnd"/>
            <w:r w:rsidRPr="000C5050">
              <w:t xml:space="preserve"> to protect or reinstate structures designed to contain contaminants.</w:t>
            </w:r>
          </w:p>
        </w:tc>
      </w:tr>
    </w:tbl>
    <w:p w14:paraId="21D2ACDF" w14:textId="327AFB6F" w:rsidR="003D1AFC" w:rsidRPr="000C5050" w:rsidRDefault="003D1AFC" w:rsidP="003D1AFC">
      <w:pPr>
        <w:pStyle w:val="BodyText"/>
        <w:spacing w:before="240"/>
      </w:pPr>
      <w:r w:rsidRPr="000C5050">
        <w:t xml:space="preserve">The anticipated impacts of this proposal are discussed at page </w:t>
      </w:r>
      <w:r w:rsidR="00414BB1" w:rsidRPr="000C5050">
        <w:t>35</w:t>
      </w:r>
      <w:r w:rsidRPr="000C5050">
        <w:t>.</w:t>
      </w:r>
    </w:p>
    <w:p w14:paraId="2A3EA461" w14:textId="77777777" w:rsidR="00673F0D" w:rsidRPr="000C5050" w:rsidRDefault="002F36BB" w:rsidP="00F860A3">
      <w:pPr>
        <w:pStyle w:val="Heading3"/>
        <w:spacing w:after="60"/>
        <w:rPr>
          <w:lang w:eastAsia="en-US"/>
        </w:rPr>
      </w:pPr>
      <w:r w:rsidRPr="000C5050">
        <w:rPr>
          <w:lang w:eastAsia="en-US"/>
        </w:rPr>
        <w:t>Subdivision or change of use</w:t>
      </w:r>
    </w:p>
    <w:p w14:paraId="4034EE03" w14:textId="7967B985" w:rsidR="002F36BB" w:rsidRPr="000C5050" w:rsidRDefault="002F36BB" w:rsidP="00AB35CD">
      <w:pPr>
        <w:pStyle w:val="Box"/>
        <w:rPr>
          <w:lang w:eastAsia="en-US"/>
        </w:rPr>
      </w:pPr>
      <w:r w:rsidRPr="000C5050">
        <w:rPr>
          <w:lang w:eastAsia="en-US"/>
        </w:rPr>
        <w:t xml:space="preserve">5.3 </w:t>
      </w:r>
      <w:r w:rsidRPr="000C5050">
        <w:rPr>
          <w:lang w:eastAsia="en-US"/>
        </w:rPr>
        <w:tab/>
        <w:t xml:space="preserve">No NESCS resource consent required for subdivisions </w:t>
      </w:r>
      <w:r w:rsidR="00992935" w:rsidRPr="000C5050">
        <w:rPr>
          <w:lang w:eastAsia="en-US"/>
        </w:rPr>
        <w:t xml:space="preserve">that are purely </w:t>
      </w:r>
      <w:r w:rsidR="008D0D65" w:rsidRPr="000C5050">
        <w:rPr>
          <w:lang w:eastAsia="en-US"/>
        </w:rPr>
        <w:t>‘</w:t>
      </w:r>
      <w:r w:rsidR="00992935" w:rsidRPr="000C5050">
        <w:rPr>
          <w:lang w:eastAsia="en-US"/>
        </w:rPr>
        <w:t>paper-based</w:t>
      </w:r>
      <w:r w:rsidR="008D0D65" w:rsidRPr="000C5050">
        <w:rPr>
          <w:lang w:eastAsia="en-US"/>
        </w:rPr>
        <w:t>’</w:t>
      </w:r>
      <w:r w:rsidR="00992935" w:rsidRPr="000C5050">
        <w:rPr>
          <w:lang w:eastAsia="en-US"/>
        </w:rPr>
        <w:t xml:space="preserve"> or do not facilitate a current or future change in use</w:t>
      </w:r>
      <w:r w:rsidR="00992935" w:rsidRPr="000C5050" w:rsidDel="00992935">
        <w:rPr>
          <w:lang w:eastAsia="en-US"/>
        </w:rPr>
        <w:t xml:space="preserve"> </w:t>
      </w:r>
    </w:p>
    <w:p w14:paraId="499BBB96" w14:textId="68D7C40C" w:rsidR="002F36BB" w:rsidRPr="000C5050" w:rsidRDefault="002F36BB" w:rsidP="002F36BB">
      <w:pPr>
        <w:pStyle w:val="BodyText"/>
        <w:spacing w:before="240"/>
      </w:pPr>
      <w:r w:rsidRPr="000C5050">
        <w:t xml:space="preserve">The NESCS currently covers all types of subdivision, including cross-lease to freehold subdivisions, unit title updates and boundary adjustments. The interim review found that in practice the NESCS frequently applies to </w:t>
      </w:r>
      <w:r w:rsidR="008D0D65" w:rsidRPr="000C5050">
        <w:t>‘</w:t>
      </w:r>
      <w:r w:rsidRPr="000C5050">
        <w:t>paper-based</w:t>
      </w:r>
      <w:r w:rsidR="008D0D65" w:rsidRPr="000C5050">
        <w:t>’</w:t>
      </w:r>
      <w:r w:rsidRPr="000C5050">
        <w:t xml:space="preserve"> subdivisions, with no changes in use facilitated by the subdivision. </w:t>
      </w:r>
    </w:p>
    <w:p w14:paraId="767842CE" w14:textId="457D9A05" w:rsidR="002F36BB" w:rsidRPr="000C5050" w:rsidRDefault="002F36BB" w:rsidP="002F36BB">
      <w:pPr>
        <w:pStyle w:val="BodyText"/>
      </w:pPr>
      <w:r w:rsidRPr="000C5050">
        <w:t xml:space="preserve">There is a lot of inconsistency in how these situations, with no increase in risk, are dealt with by councils. Some </w:t>
      </w:r>
      <w:proofErr w:type="gramStart"/>
      <w:r w:rsidRPr="000C5050">
        <w:t>councils</w:t>
      </w:r>
      <w:proofErr w:type="gramEnd"/>
      <w:r w:rsidRPr="000C5050">
        <w:t xml:space="preserve"> require that a DSI is undertaken around the existing uses, and if it is found that it does not meet the standards, landowners are required to address the risks. Other councils treat consents for these sites as a </w:t>
      </w:r>
      <w:r w:rsidR="0081630C" w:rsidRPr="000C5050">
        <w:t>‘</w:t>
      </w:r>
      <w:r w:rsidRPr="000C5050">
        <w:t>paperwork exercise</w:t>
      </w:r>
      <w:r w:rsidR="0081630C" w:rsidRPr="000C5050">
        <w:t>’</w:t>
      </w:r>
      <w:r w:rsidRPr="000C5050">
        <w:t xml:space="preserve"> and do not require any investigation or management of risks</w:t>
      </w:r>
      <w:r w:rsidR="003E3F69" w:rsidRPr="000C5050">
        <w:t xml:space="preserve"> as the risk is not increasing</w:t>
      </w:r>
      <w:r w:rsidRPr="000C5050">
        <w:t xml:space="preserve">. </w:t>
      </w:r>
    </w:p>
    <w:p w14:paraId="7EA7C674" w14:textId="465F37D7" w:rsidR="002F36BB" w:rsidRPr="000C5050" w:rsidRDefault="002F36BB" w:rsidP="002F36BB">
      <w:pPr>
        <w:pStyle w:val="BodyText"/>
      </w:pPr>
      <w:r w:rsidRPr="000C5050">
        <w:t xml:space="preserve">It is proposed that the NESCS only apply to subdivisions that increase risks to health, and exclude subdivisions that are purely paper-based and do not facilitate a current or future change in use. This is </w:t>
      </w:r>
      <w:r w:rsidR="003E3F69" w:rsidRPr="000C5050">
        <w:t>consistent with a focus on considering</w:t>
      </w:r>
      <w:r w:rsidRPr="000C5050">
        <w:t xml:space="preserve"> the effects of a new land use at the time that new lots are created. Table 6 outlines examples of subdivisions that the proposal will cover.</w:t>
      </w:r>
    </w:p>
    <w:p w14:paraId="05754675" w14:textId="77777777" w:rsidR="002F36BB" w:rsidRPr="000C5050" w:rsidRDefault="00BB0242" w:rsidP="00BB0242">
      <w:pPr>
        <w:pStyle w:val="Tableheading"/>
      </w:pPr>
      <w:bookmarkStart w:id="27" w:name="_Toc460081291"/>
      <w:r w:rsidRPr="000C5050">
        <w:t xml:space="preserve">Table 6: </w:t>
      </w:r>
      <w:r w:rsidRPr="000C5050">
        <w:tab/>
        <w:t>Examples of subdivisions the proposal will cover</w:t>
      </w:r>
      <w:bookmarkEnd w:id="27"/>
    </w:p>
    <w:tbl>
      <w:tblPr>
        <w:tblStyle w:val="TableGrid"/>
        <w:tblW w:w="8562" w:type="dxa"/>
        <w:tblInd w:w="108" w:type="dxa"/>
        <w:tblBorders>
          <w:top w:val="single" w:sz="4" w:space="0" w:color="593731"/>
          <w:left w:val="none" w:sz="0" w:space="0" w:color="auto"/>
          <w:bottom w:val="single" w:sz="4" w:space="0" w:color="593731"/>
          <w:right w:val="none" w:sz="0" w:space="0" w:color="auto"/>
          <w:insideH w:val="single" w:sz="4" w:space="0" w:color="593731"/>
          <w:insideV w:val="single" w:sz="4" w:space="0" w:color="593731"/>
        </w:tblBorders>
        <w:tblLook w:val="04A0" w:firstRow="1" w:lastRow="0" w:firstColumn="1" w:lastColumn="0" w:noHBand="0" w:noVBand="1"/>
      </w:tblPr>
      <w:tblGrid>
        <w:gridCol w:w="4111"/>
        <w:gridCol w:w="4451"/>
      </w:tblGrid>
      <w:tr w:rsidR="00BB0242" w:rsidRPr="000C5050" w14:paraId="2BB19C99" w14:textId="77777777" w:rsidTr="00F860A3">
        <w:tc>
          <w:tcPr>
            <w:tcW w:w="4111" w:type="dxa"/>
            <w:tcBorders>
              <w:top w:val="single" w:sz="4" w:space="0" w:color="17556C"/>
              <w:bottom w:val="single" w:sz="4" w:space="0" w:color="17556C"/>
              <w:right w:val="single" w:sz="4" w:space="0" w:color="17556C"/>
            </w:tcBorders>
            <w:shd w:val="clear" w:color="auto" w:fill="17556C"/>
          </w:tcPr>
          <w:p w14:paraId="7F1CA2C8" w14:textId="77777777" w:rsidR="00BB0242" w:rsidRPr="000C5050" w:rsidRDefault="00BB0242" w:rsidP="00BB0242">
            <w:pPr>
              <w:pStyle w:val="TableTextbold"/>
              <w:rPr>
                <w:color w:val="FFFFFF" w:themeColor="background1"/>
              </w:rPr>
            </w:pPr>
            <w:r w:rsidRPr="000C5050">
              <w:rPr>
                <w:color w:val="FFFFFF" w:themeColor="background1"/>
              </w:rPr>
              <w:t>Subdivisions intended to be covered</w:t>
            </w:r>
          </w:p>
        </w:tc>
        <w:tc>
          <w:tcPr>
            <w:tcW w:w="4451" w:type="dxa"/>
            <w:tcBorders>
              <w:top w:val="single" w:sz="4" w:space="0" w:color="17556C"/>
              <w:left w:val="single" w:sz="4" w:space="0" w:color="17556C"/>
              <w:bottom w:val="single" w:sz="4" w:space="0" w:color="17556C"/>
            </w:tcBorders>
            <w:shd w:val="clear" w:color="auto" w:fill="17556C"/>
          </w:tcPr>
          <w:p w14:paraId="089DE046" w14:textId="77777777" w:rsidR="00BB0242" w:rsidRPr="000C5050" w:rsidRDefault="00BB0242" w:rsidP="00BB0242">
            <w:pPr>
              <w:pStyle w:val="TableTextbold"/>
              <w:rPr>
                <w:color w:val="FFFFFF" w:themeColor="background1"/>
              </w:rPr>
            </w:pPr>
            <w:r w:rsidRPr="000C5050">
              <w:rPr>
                <w:color w:val="FFFFFF" w:themeColor="background1"/>
              </w:rPr>
              <w:t xml:space="preserve">Subdivisions </w:t>
            </w:r>
            <w:r w:rsidRPr="000C5050">
              <w:rPr>
                <w:i/>
                <w:color w:val="FFFFFF" w:themeColor="background1"/>
              </w:rPr>
              <w:t>not</w:t>
            </w:r>
            <w:r w:rsidRPr="000C5050">
              <w:rPr>
                <w:color w:val="FFFFFF" w:themeColor="background1"/>
              </w:rPr>
              <w:t xml:space="preserve"> intended to be covered</w:t>
            </w:r>
          </w:p>
        </w:tc>
      </w:tr>
      <w:tr w:rsidR="00BB0242" w:rsidRPr="000C5050" w14:paraId="3B2A4131" w14:textId="77777777" w:rsidTr="00F860A3">
        <w:tc>
          <w:tcPr>
            <w:tcW w:w="4111" w:type="dxa"/>
            <w:tcBorders>
              <w:top w:val="single" w:sz="4" w:space="0" w:color="17556C"/>
              <w:bottom w:val="single" w:sz="4" w:space="0" w:color="17556C"/>
              <w:right w:val="single" w:sz="4" w:space="0" w:color="17556C"/>
            </w:tcBorders>
            <w:shd w:val="clear" w:color="auto" w:fill="A4BBC4"/>
          </w:tcPr>
          <w:p w14:paraId="57D151C7" w14:textId="77777777" w:rsidR="00BB0242" w:rsidRPr="000C5050" w:rsidRDefault="00BB0242" w:rsidP="00205908">
            <w:pPr>
              <w:pStyle w:val="Tablebullet"/>
              <w:spacing w:before="60"/>
              <w:rPr>
                <w:bCs/>
                <w:iCs/>
              </w:rPr>
            </w:pPr>
            <w:r w:rsidRPr="000C5050">
              <w:t>A block of orchard land is being divided to create a number of residential sections. The NESCS should be</w:t>
            </w:r>
            <w:r w:rsidR="004E713F" w:rsidRPr="000C5050">
              <w:t> </w:t>
            </w:r>
            <w:r w:rsidRPr="000C5050">
              <w:t>used to assess that the land is appropriate for residential land use at the time that the lots are created, rather than waiting until after subdivision when an individual landowner comes to build on a</w:t>
            </w:r>
            <w:r w:rsidR="004E713F" w:rsidRPr="000C5050">
              <w:t> </w:t>
            </w:r>
            <w:r w:rsidRPr="000C5050">
              <w:t>lot</w:t>
            </w:r>
            <w:r w:rsidR="004E713F" w:rsidRPr="000C5050">
              <w:t>.</w:t>
            </w:r>
          </w:p>
          <w:p w14:paraId="143B21FA" w14:textId="77777777" w:rsidR="00BB0242" w:rsidRPr="000C5050" w:rsidRDefault="00BB0242" w:rsidP="00F860A3">
            <w:pPr>
              <w:pStyle w:val="Tablebullet"/>
            </w:pPr>
            <w:r w:rsidRPr="000C5050">
              <w:t>A boundary adjustment that results in a property (where previously no HAIL activity has occurred) expanding onto an area where a HAIL activity occurred, as this would pose a potential increased risk to human health.</w:t>
            </w:r>
          </w:p>
        </w:tc>
        <w:tc>
          <w:tcPr>
            <w:tcW w:w="4451" w:type="dxa"/>
            <w:tcBorders>
              <w:top w:val="single" w:sz="4" w:space="0" w:color="17556C"/>
              <w:left w:val="single" w:sz="4" w:space="0" w:color="17556C"/>
              <w:bottom w:val="single" w:sz="4" w:space="0" w:color="17556C"/>
            </w:tcBorders>
            <w:shd w:val="clear" w:color="auto" w:fill="A4BBC4"/>
          </w:tcPr>
          <w:p w14:paraId="3B932FC3" w14:textId="77777777" w:rsidR="00BB0242" w:rsidRPr="000C5050" w:rsidRDefault="00BB0242" w:rsidP="00205908">
            <w:pPr>
              <w:pStyle w:val="Tablebullet"/>
              <w:spacing w:before="60"/>
            </w:pPr>
            <w:r w:rsidRPr="000C5050">
              <w:t>Two houses on a cross-lease title are situated on a HAIL site. The owners want to update the title, to create two freehold properties. No physical works are required.</w:t>
            </w:r>
          </w:p>
          <w:p w14:paraId="189C31AC" w14:textId="77777777" w:rsidR="00BB0242" w:rsidRPr="000C5050" w:rsidRDefault="00BB0242" w:rsidP="00205908">
            <w:pPr>
              <w:pStyle w:val="Tablebullet"/>
            </w:pPr>
            <w:r w:rsidRPr="000C5050">
              <w:t>A new house will be built behind an existing house, and the section will be divided into two lots. The owner will not be required to investigate or remediate around the existing house. The proposed lot for the new house will need to be investigated and remediated.</w:t>
            </w:r>
          </w:p>
        </w:tc>
      </w:tr>
    </w:tbl>
    <w:p w14:paraId="5F13C6FF" w14:textId="77777777" w:rsidR="00A80ABA" w:rsidRPr="000C5050" w:rsidRDefault="00A80ABA" w:rsidP="00A80ABA">
      <w:pPr>
        <w:pStyle w:val="BodyText"/>
        <w:spacing w:before="240"/>
      </w:pPr>
      <w:r w:rsidRPr="000C5050">
        <w:lastRenderedPageBreak/>
        <w:t xml:space="preserve">The mechanism for achieving these outcomes has not been finalised, and feedback is sought on the best approach for achieving the intent. To aid this feedback, the Ministry has identified two potential options: </w:t>
      </w:r>
    </w:p>
    <w:p w14:paraId="14C60872" w14:textId="555B2D5A" w:rsidR="00A80ABA" w:rsidRPr="000C5050" w:rsidRDefault="00A80ABA" w:rsidP="00A80ABA">
      <w:pPr>
        <w:pStyle w:val="Bullet"/>
      </w:pPr>
      <w:r w:rsidRPr="000C5050">
        <w:t xml:space="preserve">Option 1: </w:t>
      </w:r>
      <w:r w:rsidR="00B052BF">
        <w:t>s</w:t>
      </w:r>
      <w:r w:rsidRPr="000C5050">
        <w:t>pecifying that cross</w:t>
      </w:r>
      <w:r w:rsidR="00992935" w:rsidRPr="000C5050">
        <w:t xml:space="preserve"> </w:t>
      </w:r>
      <w:r w:rsidRPr="000C5050">
        <w:t xml:space="preserve">lease-to-freehold subdivisions and unit-title updates are exempt from the NESCS. It is anticipated, however, that this will still result in some paper-based subdivisions being required to obtain resource consent. </w:t>
      </w:r>
    </w:p>
    <w:p w14:paraId="0C3EAECC" w14:textId="25E7ABCA" w:rsidR="00A80ABA" w:rsidRPr="000C5050" w:rsidRDefault="00A80ABA" w:rsidP="00A80ABA">
      <w:pPr>
        <w:pStyle w:val="Bullet"/>
      </w:pPr>
      <w:r w:rsidRPr="000C5050">
        <w:t xml:space="preserve">Option 2: </w:t>
      </w:r>
      <w:r w:rsidR="00B052BF">
        <w:t>i</w:t>
      </w:r>
      <w:r w:rsidRPr="000C5050">
        <w:t xml:space="preserve">ntroducing an assessment into the NESCS to determine whether a particular subdivision is </w:t>
      </w:r>
      <w:r w:rsidR="0081630C" w:rsidRPr="000C5050">
        <w:t>‘</w:t>
      </w:r>
      <w:r w:rsidRPr="000C5050">
        <w:t>highly unlikely to increase risks to human health</w:t>
      </w:r>
      <w:r w:rsidR="0081630C" w:rsidRPr="000C5050">
        <w:t>’</w:t>
      </w:r>
      <w:r w:rsidRPr="000C5050">
        <w:t xml:space="preserve">. </w:t>
      </w:r>
    </w:p>
    <w:p w14:paraId="5BC4701F" w14:textId="77777777" w:rsidR="00A80ABA" w:rsidRPr="000C5050" w:rsidRDefault="00A80ABA" w:rsidP="00A80ABA">
      <w:pPr>
        <w:pStyle w:val="BodyText"/>
      </w:pPr>
      <w:r w:rsidRPr="000C5050">
        <w:t>The Ministry is seeking feedback on these options, whether they are likely to achieve the intended outcomes, and any alternative options for clarifying the types of subdivisions that the NESCS applies to.</w:t>
      </w:r>
      <w:r w:rsidR="007D080D" w:rsidRPr="000C5050">
        <w:t xml:space="preserve"> </w:t>
      </w:r>
    </w:p>
    <w:p w14:paraId="1A0E2EF4" w14:textId="77777777" w:rsidR="00A80ABA" w:rsidRPr="000C5050" w:rsidRDefault="00A80ABA" w:rsidP="00A80ABA">
      <w:pPr>
        <w:pStyle w:val="Blueboxheading"/>
        <w:rPr>
          <w:lang w:eastAsia="en-US"/>
        </w:rPr>
      </w:pPr>
      <w:r w:rsidRPr="000C5050">
        <w:rPr>
          <w:lang w:eastAsia="en-US"/>
        </w:rPr>
        <w:t>Amendments to the NESCS framework</w:t>
      </w:r>
    </w:p>
    <w:p w14:paraId="2D2C0A61" w14:textId="77777777" w:rsidR="00A80ABA" w:rsidRPr="000C5050" w:rsidRDefault="00A80ABA" w:rsidP="00A80ABA">
      <w:pPr>
        <w:pStyle w:val="Blueboxtext"/>
        <w:ind w:left="1560" w:hanging="1276"/>
        <w:rPr>
          <w:lang w:eastAsia="en-US"/>
        </w:rPr>
      </w:pPr>
      <w:r w:rsidRPr="000C5050">
        <w:rPr>
          <w:lang w:eastAsia="en-US"/>
        </w:rPr>
        <w:t xml:space="preserve">Proposal 5.3: </w:t>
      </w:r>
      <w:r w:rsidRPr="000C5050">
        <w:rPr>
          <w:lang w:eastAsia="en-US"/>
        </w:rPr>
        <w:tab/>
        <w:t>Amend regulation 8 to provide that permitted activity for subdivision and change of use linked to increase in risk.</w:t>
      </w:r>
    </w:p>
    <w:p w14:paraId="0D96E683" w14:textId="77777777" w:rsidR="00BB0242" w:rsidRPr="000C5050" w:rsidRDefault="00A80ABA" w:rsidP="00A80ABA">
      <w:pPr>
        <w:pStyle w:val="Blueboxtext"/>
        <w:rPr>
          <w:lang w:eastAsia="en-US"/>
        </w:rPr>
      </w:pPr>
      <w:r w:rsidRPr="000C5050">
        <w:rPr>
          <w:lang w:eastAsia="en-US"/>
        </w:rPr>
        <w:t>Table 7 provides an overview of the changes for the activity of subdivision and change of use and corresponding planning controls if the proposed Option 2 was adopted. An alternative format of the changes (by activity classification) is provided in Appendix 4.</w:t>
      </w:r>
    </w:p>
    <w:p w14:paraId="7115D6B3" w14:textId="13684BA0" w:rsidR="00A80ABA" w:rsidRPr="000C5050" w:rsidRDefault="00A80ABA" w:rsidP="00A80ABA">
      <w:pPr>
        <w:pStyle w:val="Tableheading"/>
        <w:spacing w:before="240"/>
      </w:pPr>
      <w:bookmarkStart w:id="28" w:name="_Toc460081292"/>
      <w:r w:rsidRPr="000C5050">
        <w:t xml:space="preserve">Table 7: </w:t>
      </w:r>
      <w:r w:rsidRPr="000C5050">
        <w:tab/>
        <w:t>Proposed consent status and planning controls for the activity of subdivisions or</w:t>
      </w:r>
      <w:r w:rsidR="00571258" w:rsidRPr="000C5050">
        <w:t> </w:t>
      </w:r>
      <w:r w:rsidRPr="000C5050">
        <w:t>change of use</w:t>
      </w:r>
      <w:bookmarkEnd w:id="28"/>
    </w:p>
    <w:tbl>
      <w:tblPr>
        <w:tblStyle w:val="TableGrid"/>
        <w:tblW w:w="8562" w:type="dxa"/>
        <w:tblInd w:w="108" w:type="dxa"/>
        <w:tblBorders>
          <w:top w:val="single" w:sz="4" w:space="0" w:color="593731"/>
          <w:left w:val="none" w:sz="0" w:space="0" w:color="auto"/>
          <w:bottom w:val="single" w:sz="4" w:space="0" w:color="593731"/>
          <w:right w:val="none" w:sz="0" w:space="0" w:color="auto"/>
          <w:insideH w:val="single" w:sz="4" w:space="0" w:color="593731"/>
          <w:insideV w:val="single" w:sz="4" w:space="0" w:color="593731"/>
        </w:tblBorders>
        <w:tblLayout w:type="fixed"/>
        <w:tblLook w:val="04A0" w:firstRow="1" w:lastRow="0" w:firstColumn="1" w:lastColumn="0" w:noHBand="0" w:noVBand="1"/>
      </w:tblPr>
      <w:tblGrid>
        <w:gridCol w:w="1427"/>
        <w:gridCol w:w="3393"/>
        <w:gridCol w:w="3742"/>
      </w:tblGrid>
      <w:tr w:rsidR="00A80ABA" w:rsidRPr="000C5050" w14:paraId="6CCD0087" w14:textId="77777777" w:rsidTr="007C699E">
        <w:trPr>
          <w:tblHeader/>
        </w:trPr>
        <w:tc>
          <w:tcPr>
            <w:tcW w:w="1427" w:type="dxa"/>
            <w:tcBorders>
              <w:top w:val="single" w:sz="4" w:space="0" w:color="17556C"/>
              <w:bottom w:val="single" w:sz="4" w:space="0" w:color="17556C"/>
              <w:right w:val="single" w:sz="4" w:space="0" w:color="17556C"/>
            </w:tcBorders>
            <w:shd w:val="clear" w:color="auto" w:fill="17556C"/>
          </w:tcPr>
          <w:p w14:paraId="6DDA8A2F" w14:textId="77777777" w:rsidR="00A80ABA" w:rsidRPr="000C5050" w:rsidRDefault="00A80ABA" w:rsidP="009814A1">
            <w:pPr>
              <w:pStyle w:val="TableTextbold"/>
              <w:keepNext/>
              <w:rPr>
                <w:color w:val="FFFFFF" w:themeColor="background1"/>
              </w:rPr>
            </w:pPr>
            <w:r w:rsidRPr="000C5050">
              <w:rPr>
                <w:color w:val="FFFFFF" w:themeColor="background1"/>
              </w:rPr>
              <w:t>Activity status</w:t>
            </w:r>
          </w:p>
        </w:tc>
        <w:tc>
          <w:tcPr>
            <w:tcW w:w="3393" w:type="dxa"/>
            <w:tcBorders>
              <w:top w:val="single" w:sz="4" w:space="0" w:color="17556C"/>
              <w:left w:val="single" w:sz="4" w:space="0" w:color="17556C"/>
              <w:bottom w:val="single" w:sz="4" w:space="0" w:color="17556C"/>
              <w:right w:val="single" w:sz="4" w:space="0" w:color="17556C"/>
            </w:tcBorders>
            <w:shd w:val="clear" w:color="auto" w:fill="17556C"/>
          </w:tcPr>
          <w:p w14:paraId="73F42256" w14:textId="77777777" w:rsidR="00A80ABA" w:rsidRPr="000C5050" w:rsidRDefault="00A80ABA" w:rsidP="009814A1">
            <w:pPr>
              <w:pStyle w:val="TableTextbold"/>
              <w:keepNext/>
              <w:rPr>
                <w:color w:val="FFFFFF" w:themeColor="background1"/>
              </w:rPr>
            </w:pPr>
            <w:r w:rsidRPr="000C5050">
              <w:rPr>
                <w:color w:val="FFFFFF" w:themeColor="background1"/>
              </w:rPr>
              <w:t>Applicability</w:t>
            </w:r>
          </w:p>
        </w:tc>
        <w:tc>
          <w:tcPr>
            <w:tcW w:w="3742" w:type="dxa"/>
            <w:tcBorders>
              <w:top w:val="single" w:sz="4" w:space="0" w:color="17556C"/>
              <w:left w:val="single" w:sz="4" w:space="0" w:color="17556C"/>
              <w:bottom w:val="single" w:sz="4" w:space="0" w:color="17556C"/>
            </w:tcBorders>
            <w:shd w:val="clear" w:color="auto" w:fill="17556C"/>
          </w:tcPr>
          <w:p w14:paraId="77D6216B" w14:textId="77777777" w:rsidR="00A80ABA" w:rsidRPr="000C5050" w:rsidRDefault="00A80ABA" w:rsidP="009814A1">
            <w:pPr>
              <w:pStyle w:val="TableTextbold"/>
              <w:keepNext/>
              <w:rPr>
                <w:color w:val="FFFFFF" w:themeColor="background1"/>
              </w:rPr>
            </w:pPr>
            <w:r w:rsidRPr="000C5050">
              <w:rPr>
                <w:color w:val="FFFFFF" w:themeColor="background1"/>
              </w:rPr>
              <w:t>Requirements</w:t>
            </w:r>
          </w:p>
        </w:tc>
      </w:tr>
      <w:tr w:rsidR="009814A1" w:rsidRPr="000C5050" w14:paraId="67AEB5F0" w14:textId="77777777" w:rsidTr="004F5790">
        <w:tc>
          <w:tcPr>
            <w:tcW w:w="1427" w:type="dxa"/>
            <w:vMerge w:val="restart"/>
            <w:tcBorders>
              <w:top w:val="single" w:sz="4" w:space="0" w:color="17556C"/>
              <w:bottom w:val="single" w:sz="4" w:space="0" w:color="17556C"/>
              <w:right w:val="single" w:sz="4" w:space="0" w:color="17556C"/>
            </w:tcBorders>
            <w:shd w:val="clear" w:color="auto" w:fill="A4BBC4"/>
          </w:tcPr>
          <w:p w14:paraId="0F9A2239" w14:textId="77777777" w:rsidR="00A80ABA" w:rsidRPr="000C5050" w:rsidRDefault="00A80ABA" w:rsidP="009814A1">
            <w:pPr>
              <w:pStyle w:val="Tabletext"/>
              <w:keepNext/>
              <w:rPr>
                <w:b/>
              </w:rPr>
            </w:pPr>
            <w:r w:rsidRPr="000C5050">
              <w:rPr>
                <w:b/>
              </w:rPr>
              <w:t>Permitted</w:t>
            </w:r>
          </w:p>
        </w:tc>
        <w:tc>
          <w:tcPr>
            <w:tcW w:w="3393" w:type="dxa"/>
            <w:tcBorders>
              <w:top w:val="single" w:sz="4" w:space="0" w:color="17556C"/>
              <w:left w:val="single" w:sz="4" w:space="0" w:color="17556C"/>
              <w:bottom w:val="single" w:sz="4" w:space="0" w:color="17556C"/>
              <w:right w:val="single" w:sz="4" w:space="0" w:color="17556C"/>
            </w:tcBorders>
            <w:shd w:val="clear" w:color="auto" w:fill="A4BBC4"/>
          </w:tcPr>
          <w:p w14:paraId="271F9CD5" w14:textId="77777777" w:rsidR="00A80ABA" w:rsidRPr="000C5050" w:rsidRDefault="00A80ABA" w:rsidP="009814A1">
            <w:pPr>
              <w:pStyle w:val="Tabletext"/>
              <w:keepNext/>
            </w:pPr>
            <w:r w:rsidRPr="000C5050">
              <w:t xml:space="preserve">A preliminary site investigation (PSI) demonstrates that the activity is highly unlikely to </w:t>
            </w:r>
            <w:r w:rsidRPr="000C5050">
              <w:rPr>
                <w:i/>
              </w:rPr>
              <w:t>increase</w:t>
            </w:r>
            <w:r w:rsidRPr="000C5050">
              <w:t xml:space="preserve"> risks to health.</w:t>
            </w:r>
          </w:p>
        </w:tc>
        <w:tc>
          <w:tcPr>
            <w:tcW w:w="3742" w:type="dxa"/>
            <w:tcBorders>
              <w:top w:val="single" w:sz="4" w:space="0" w:color="17556C"/>
              <w:left w:val="single" w:sz="4" w:space="0" w:color="17556C"/>
              <w:bottom w:val="single" w:sz="4" w:space="0" w:color="17556C"/>
            </w:tcBorders>
            <w:shd w:val="clear" w:color="auto" w:fill="A4BBC4"/>
          </w:tcPr>
          <w:p w14:paraId="02D04CBB" w14:textId="77777777" w:rsidR="00A80ABA" w:rsidRPr="000C5050" w:rsidRDefault="00A80ABA" w:rsidP="009814A1">
            <w:pPr>
              <w:pStyle w:val="Tablebullet"/>
              <w:keepNext/>
              <w:spacing w:before="60"/>
            </w:pPr>
            <w:r w:rsidRPr="000C5050">
              <w:t>PSI in accordance with CLMGs</w:t>
            </w:r>
          </w:p>
          <w:p w14:paraId="0C1C6200" w14:textId="77777777" w:rsidR="00A80ABA" w:rsidRPr="000C5050" w:rsidRDefault="00A80ABA" w:rsidP="009814A1">
            <w:pPr>
              <w:pStyle w:val="Tablebullet"/>
              <w:keepNext/>
            </w:pPr>
            <w:r w:rsidRPr="000C5050">
              <w:t>site plan provided</w:t>
            </w:r>
          </w:p>
          <w:p w14:paraId="37E85918" w14:textId="77777777" w:rsidR="00A80ABA" w:rsidRPr="000C5050" w:rsidRDefault="00A80ABA" w:rsidP="009814A1">
            <w:pPr>
              <w:pStyle w:val="Tablebullet"/>
              <w:keepNext/>
            </w:pPr>
            <w:r w:rsidRPr="000C5050">
              <w:t>council has the report</w:t>
            </w:r>
          </w:p>
        </w:tc>
      </w:tr>
      <w:tr w:rsidR="009814A1" w:rsidRPr="000C5050" w14:paraId="65813440" w14:textId="77777777" w:rsidTr="004F5790">
        <w:tc>
          <w:tcPr>
            <w:tcW w:w="1427" w:type="dxa"/>
            <w:vMerge/>
            <w:tcBorders>
              <w:top w:val="single" w:sz="4" w:space="0" w:color="17556C"/>
              <w:bottom w:val="single" w:sz="4" w:space="0" w:color="17556C"/>
              <w:right w:val="single" w:sz="4" w:space="0" w:color="17556C"/>
            </w:tcBorders>
            <w:shd w:val="clear" w:color="auto" w:fill="A4BBC4"/>
          </w:tcPr>
          <w:p w14:paraId="3486AD00" w14:textId="77777777" w:rsidR="00A80ABA" w:rsidRPr="000C5050" w:rsidRDefault="00A80ABA" w:rsidP="009814A1">
            <w:pPr>
              <w:pStyle w:val="Tabletext"/>
              <w:keepNext/>
              <w:rPr>
                <w:b/>
              </w:rPr>
            </w:pPr>
          </w:p>
        </w:tc>
        <w:tc>
          <w:tcPr>
            <w:tcW w:w="3393" w:type="dxa"/>
            <w:tcBorders>
              <w:top w:val="single" w:sz="4" w:space="0" w:color="17556C"/>
              <w:left w:val="single" w:sz="4" w:space="0" w:color="17556C"/>
              <w:bottom w:val="single" w:sz="4" w:space="0" w:color="17556C"/>
              <w:right w:val="single" w:sz="4" w:space="0" w:color="17556C"/>
            </w:tcBorders>
            <w:shd w:val="clear" w:color="auto" w:fill="A4BBC4"/>
          </w:tcPr>
          <w:p w14:paraId="2DA7B9A9" w14:textId="77777777" w:rsidR="00A80ABA" w:rsidRPr="000C5050" w:rsidRDefault="00A80ABA" w:rsidP="009814A1">
            <w:pPr>
              <w:pStyle w:val="Tabletext"/>
              <w:keepNext/>
            </w:pPr>
            <w:r w:rsidRPr="000C5050">
              <w:t>DSI finds contamination below soil contaminant standards or Tier 1 soil acceptance criteria, but above background concentrations (regulations do not apply if site at or below background).</w:t>
            </w:r>
          </w:p>
        </w:tc>
        <w:tc>
          <w:tcPr>
            <w:tcW w:w="3742" w:type="dxa"/>
            <w:tcBorders>
              <w:top w:val="single" w:sz="4" w:space="0" w:color="17556C"/>
              <w:left w:val="single" w:sz="4" w:space="0" w:color="17556C"/>
              <w:bottom w:val="single" w:sz="4" w:space="0" w:color="17556C"/>
            </w:tcBorders>
            <w:shd w:val="clear" w:color="auto" w:fill="A4BBC4"/>
          </w:tcPr>
          <w:p w14:paraId="168A4803" w14:textId="43625691" w:rsidR="00A80ABA" w:rsidRPr="000C5050" w:rsidRDefault="00A80ABA" w:rsidP="009814A1">
            <w:pPr>
              <w:pStyle w:val="Tablebullet"/>
              <w:keepNext/>
              <w:spacing w:before="60"/>
            </w:pPr>
            <w:r w:rsidRPr="000C5050">
              <w:t>DSI is carried out in accordance with CLMG 1 and</w:t>
            </w:r>
            <w:r w:rsidR="004E713F" w:rsidRPr="000C5050">
              <w:t> </w:t>
            </w:r>
            <w:r w:rsidRPr="000C5050">
              <w:t>5</w:t>
            </w:r>
          </w:p>
          <w:p w14:paraId="51F956BB" w14:textId="77777777" w:rsidR="00A80ABA" w:rsidRPr="000C5050" w:rsidRDefault="00A80ABA" w:rsidP="009814A1">
            <w:pPr>
              <w:pStyle w:val="Tablebullet"/>
              <w:keepNext/>
            </w:pPr>
            <w:r w:rsidRPr="000C5050">
              <w:t>DSI is provided to council.</w:t>
            </w:r>
          </w:p>
        </w:tc>
      </w:tr>
      <w:tr w:rsidR="009814A1" w:rsidRPr="000C5050" w14:paraId="79CEFEEA" w14:textId="77777777" w:rsidTr="00407882">
        <w:tc>
          <w:tcPr>
            <w:tcW w:w="1427" w:type="dxa"/>
            <w:vMerge w:val="restart"/>
            <w:tcBorders>
              <w:top w:val="single" w:sz="4" w:space="0" w:color="17556C"/>
              <w:bottom w:val="single" w:sz="4" w:space="0" w:color="17556C"/>
              <w:right w:val="single" w:sz="4" w:space="0" w:color="17556C"/>
            </w:tcBorders>
            <w:shd w:val="clear" w:color="auto" w:fill="D5EBE5"/>
          </w:tcPr>
          <w:p w14:paraId="28BE5FCE" w14:textId="77777777" w:rsidR="00A80ABA" w:rsidRPr="000C5050" w:rsidRDefault="00A80ABA" w:rsidP="007363A0">
            <w:pPr>
              <w:pStyle w:val="Tabletext"/>
              <w:rPr>
                <w:b/>
              </w:rPr>
            </w:pPr>
            <w:r w:rsidRPr="000C5050">
              <w:rPr>
                <w:b/>
              </w:rPr>
              <w:t>Controlled</w:t>
            </w:r>
          </w:p>
        </w:tc>
        <w:tc>
          <w:tcPr>
            <w:tcW w:w="3393" w:type="dxa"/>
            <w:tcBorders>
              <w:top w:val="single" w:sz="4" w:space="0" w:color="17556C"/>
              <w:left w:val="single" w:sz="4" w:space="0" w:color="17556C"/>
              <w:bottom w:val="single" w:sz="4" w:space="0" w:color="17556C"/>
              <w:right w:val="single" w:sz="4" w:space="0" w:color="17556C"/>
            </w:tcBorders>
            <w:shd w:val="clear" w:color="auto" w:fill="D5EBE5"/>
          </w:tcPr>
          <w:p w14:paraId="2A6E3289" w14:textId="77777777" w:rsidR="00A80ABA" w:rsidRPr="000C5050" w:rsidRDefault="00A80ABA" w:rsidP="004F5790">
            <w:pPr>
              <w:pStyle w:val="Tabletext"/>
            </w:pPr>
            <w:r w:rsidRPr="000C5050">
              <w:t xml:space="preserve">Soil testing finds contamination exceeds the soil contaminant standard (for residential or rural residential land-use) but does </w:t>
            </w:r>
            <w:r w:rsidRPr="000C5050">
              <w:rPr>
                <w:i/>
              </w:rPr>
              <w:t>not exceed</w:t>
            </w:r>
            <w:r w:rsidRPr="000C5050">
              <w:t xml:space="preserve"> the applicable soil guideline value for the template ongoing site management plan (TOSMP) (this plan is discussed in chapter 6] below). </w:t>
            </w:r>
          </w:p>
          <w:p w14:paraId="60957D4C" w14:textId="77777777" w:rsidR="00A80ABA" w:rsidRPr="000C5050" w:rsidRDefault="00A80ABA" w:rsidP="007363A0">
            <w:pPr>
              <w:pStyle w:val="Tabletext"/>
            </w:pPr>
            <w:r w:rsidRPr="000C5050">
              <w:t>Landowner opts for TOSMP.</w:t>
            </w:r>
          </w:p>
        </w:tc>
        <w:tc>
          <w:tcPr>
            <w:tcW w:w="3742" w:type="dxa"/>
            <w:tcBorders>
              <w:top w:val="single" w:sz="4" w:space="0" w:color="17556C"/>
              <w:left w:val="single" w:sz="4" w:space="0" w:color="17556C"/>
              <w:bottom w:val="single" w:sz="4" w:space="0" w:color="17556C"/>
            </w:tcBorders>
            <w:shd w:val="clear" w:color="auto" w:fill="D5EBE5"/>
          </w:tcPr>
          <w:p w14:paraId="61F4AA0B" w14:textId="77777777" w:rsidR="00A80ABA" w:rsidRPr="000C5050" w:rsidRDefault="00A80ABA" w:rsidP="004E713F">
            <w:pPr>
              <w:pStyle w:val="Tablebullet"/>
              <w:spacing w:before="60"/>
            </w:pPr>
            <w:r w:rsidRPr="000C5050">
              <w:t>DSI is provided to council. Council has control as to the adequacy of the DSI (</w:t>
            </w:r>
            <w:proofErr w:type="spellStart"/>
            <w:r w:rsidRPr="000C5050">
              <w:t>ie</w:t>
            </w:r>
            <w:proofErr w:type="spellEnd"/>
            <w:r w:rsidRPr="000C5050">
              <w:t>, is it in accordance with CLMG No 1 and CLMG No</w:t>
            </w:r>
            <w:r w:rsidR="007D080D" w:rsidRPr="000C5050">
              <w:t xml:space="preserve"> </w:t>
            </w:r>
            <w:r w:rsidRPr="000C5050">
              <w:t>5).</w:t>
            </w:r>
          </w:p>
          <w:p w14:paraId="022C553F" w14:textId="4DEE05D3" w:rsidR="00A80ABA" w:rsidRPr="000C5050" w:rsidRDefault="00A80ABA" w:rsidP="004E713F">
            <w:pPr>
              <w:pStyle w:val="Tablebullet"/>
            </w:pPr>
            <w:r w:rsidRPr="000C5050">
              <w:t>TO</w:t>
            </w:r>
            <w:r w:rsidR="005027DE" w:rsidRPr="000C5050">
              <w:t>S</w:t>
            </w:r>
            <w:r w:rsidRPr="000C5050">
              <w:t>MP is provided to council. The TOSMP is recorded as conditions of resource consent, which will apply for duration of residential/rural residential land use.</w:t>
            </w:r>
            <w:r w:rsidR="007D080D" w:rsidRPr="000C5050">
              <w:t xml:space="preserve"> </w:t>
            </w:r>
          </w:p>
        </w:tc>
      </w:tr>
      <w:tr w:rsidR="009814A1" w:rsidRPr="000C5050" w14:paraId="31D7B8D5" w14:textId="77777777" w:rsidTr="00407882">
        <w:tc>
          <w:tcPr>
            <w:tcW w:w="1427" w:type="dxa"/>
            <w:vMerge/>
            <w:tcBorders>
              <w:top w:val="single" w:sz="4" w:space="0" w:color="17556C"/>
              <w:bottom w:val="single" w:sz="4" w:space="0" w:color="17556C"/>
              <w:right w:val="single" w:sz="4" w:space="0" w:color="17556C"/>
            </w:tcBorders>
            <w:shd w:val="clear" w:color="auto" w:fill="D5EBE5"/>
          </w:tcPr>
          <w:p w14:paraId="15165D96" w14:textId="77777777" w:rsidR="00A80ABA" w:rsidRPr="000C5050" w:rsidRDefault="00A80ABA" w:rsidP="007363A0">
            <w:pPr>
              <w:pStyle w:val="Tabletext"/>
              <w:rPr>
                <w:b/>
              </w:rPr>
            </w:pPr>
          </w:p>
        </w:tc>
        <w:tc>
          <w:tcPr>
            <w:tcW w:w="3393" w:type="dxa"/>
            <w:tcBorders>
              <w:top w:val="single" w:sz="4" w:space="0" w:color="17556C"/>
              <w:left w:val="single" w:sz="4" w:space="0" w:color="17556C"/>
              <w:bottom w:val="single" w:sz="4" w:space="0" w:color="17556C"/>
              <w:right w:val="single" w:sz="4" w:space="0" w:color="17556C"/>
            </w:tcBorders>
            <w:shd w:val="clear" w:color="auto" w:fill="D5EBE5"/>
          </w:tcPr>
          <w:p w14:paraId="1610F061" w14:textId="77777777" w:rsidR="00A80ABA" w:rsidRPr="000C5050" w:rsidRDefault="00A80ABA" w:rsidP="007363A0">
            <w:pPr>
              <w:pStyle w:val="Tabletext"/>
            </w:pPr>
            <w:r w:rsidRPr="000C5050">
              <w:t>A site-specific guideline value has been used. Soil testing finds contamination below the soil guideline.</w:t>
            </w:r>
          </w:p>
        </w:tc>
        <w:tc>
          <w:tcPr>
            <w:tcW w:w="3742" w:type="dxa"/>
            <w:tcBorders>
              <w:top w:val="single" w:sz="4" w:space="0" w:color="17556C"/>
              <w:left w:val="single" w:sz="4" w:space="0" w:color="17556C"/>
              <w:bottom w:val="single" w:sz="4" w:space="0" w:color="17556C"/>
            </w:tcBorders>
            <w:shd w:val="clear" w:color="auto" w:fill="D5EBE5"/>
          </w:tcPr>
          <w:p w14:paraId="22E26526" w14:textId="77777777" w:rsidR="00A80ABA" w:rsidRPr="000C5050" w:rsidRDefault="00A80ABA" w:rsidP="007363A0">
            <w:pPr>
              <w:pStyle w:val="Tabletext"/>
            </w:pPr>
            <w:r w:rsidRPr="000C5050">
              <w:t>Matters of control:</w:t>
            </w:r>
          </w:p>
          <w:p w14:paraId="624F2736" w14:textId="77777777" w:rsidR="00A80ABA" w:rsidRPr="000C5050" w:rsidRDefault="00A80ABA" w:rsidP="004E713F">
            <w:pPr>
              <w:pStyle w:val="Tablebullet"/>
            </w:pPr>
            <w:r w:rsidRPr="000C5050">
              <w:t xml:space="preserve">adequacy of DSI </w:t>
            </w:r>
          </w:p>
          <w:p w14:paraId="11A03C9B" w14:textId="77777777" w:rsidR="00A80ABA" w:rsidRPr="000C5050" w:rsidRDefault="00A80ABA" w:rsidP="004E713F">
            <w:pPr>
              <w:pStyle w:val="Tablebullet"/>
            </w:pPr>
            <w:r w:rsidRPr="000C5050">
              <w:t>appropriateness of site-specific guideline</w:t>
            </w:r>
          </w:p>
          <w:p w14:paraId="4B41AEB2" w14:textId="77777777" w:rsidR="00A80ABA" w:rsidRPr="000C5050" w:rsidRDefault="00A80ABA" w:rsidP="004E713F">
            <w:pPr>
              <w:pStyle w:val="Tablebullet"/>
            </w:pPr>
            <w:proofErr w:type="gramStart"/>
            <w:r w:rsidRPr="000C5050">
              <w:t>any</w:t>
            </w:r>
            <w:proofErr w:type="gramEnd"/>
            <w:r w:rsidRPr="000C5050">
              <w:t xml:space="preserve"> site management measures required for site-specific guideline to apply (</w:t>
            </w:r>
            <w:proofErr w:type="spellStart"/>
            <w:r w:rsidRPr="000C5050">
              <w:t>eg</w:t>
            </w:r>
            <w:proofErr w:type="spellEnd"/>
            <w:r w:rsidRPr="000C5050">
              <w:t>, no produce consumption).</w:t>
            </w:r>
          </w:p>
        </w:tc>
      </w:tr>
      <w:tr w:rsidR="009814A1" w:rsidRPr="000C5050" w14:paraId="4223E1EF" w14:textId="77777777" w:rsidTr="00407882">
        <w:tc>
          <w:tcPr>
            <w:tcW w:w="1427" w:type="dxa"/>
            <w:vMerge w:val="restart"/>
            <w:tcBorders>
              <w:top w:val="single" w:sz="4" w:space="0" w:color="17556C"/>
              <w:bottom w:val="single" w:sz="4" w:space="0" w:color="17556C"/>
              <w:right w:val="single" w:sz="4" w:space="0" w:color="17556C"/>
            </w:tcBorders>
            <w:shd w:val="clear" w:color="auto" w:fill="D2DDE2"/>
          </w:tcPr>
          <w:p w14:paraId="3BDA98DF" w14:textId="77777777" w:rsidR="00A80ABA" w:rsidRPr="000C5050" w:rsidRDefault="00A80ABA" w:rsidP="007363A0">
            <w:pPr>
              <w:pStyle w:val="Tabletext"/>
              <w:rPr>
                <w:b/>
              </w:rPr>
            </w:pPr>
            <w:r w:rsidRPr="000C5050">
              <w:rPr>
                <w:b/>
              </w:rPr>
              <w:t>Restricted discretionary</w:t>
            </w:r>
          </w:p>
        </w:tc>
        <w:tc>
          <w:tcPr>
            <w:tcW w:w="3393" w:type="dxa"/>
            <w:tcBorders>
              <w:top w:val="single" w:sz="4" w:space="0" w:color="17556C"/>
              <w:left w:val="single" w:sz="4" w:space="0" w:color="17556C"/>
              <w:bottom w:val="single" w:sz="4" w:space="0" w:color="17556C"/>
              <w:right w:val="single" w:sz="4" w:space="0" w:color="17556C"/>
            </w:tcBorders>
            <w:shd w:val="clear" w:color="auto" w:fill="D2DDE2"/>
          </w:tcPr>
          <w:p w14:paraId="4C278684" w14:textId="77777777" w:rsidR="00A80ABA" w:rsidRPr="000C5050" w:rsidRDefault="00A80ABA" w:rsidP="007363A0">
            <w:pPr>
              <w:pStyle w:val="Tabletext"/>
            </w:pPr>
            <w:r w:rsidRPr="000C5050">
              <w:t xml:space="preserve">For residential or rural residential land-use, a DSI has found that soil </w:t>
            </w:r>
            <w:proofErr w:type="gramStart"/>
            <w:r w:rsidRPr="000C5050">
              <w:t>contaminants on a site exceeds</w:t>
            </w:r>
            <w:proofErr w:type="gramEnd"/>
            <w:r w:rsidRPr="000C5050">
              <w:t xml:space="preserve"> the applicable soil guideline value for a TOSMP.</w:t>
            </w:r>
          </w:p>
        </w:tc>
        <w:tc>
          <w:tcPr>
            <w:tcW w:w="3742" w:type="dxa"/>
            <w:vMerge w:val="restart"/>
            <w:tcBorders>
              <w:top w:val="single" w:sz="4" w:space="0" w:color="17556C"/>
              <w:left w:val="single" w:sz="4" w:space="0" w:color="17556C"/>
              <w:bottom w:val="single" w:sz="4" w:space="0" w:color="17556C"/>
            </w:tcBorders>
            <w:shd w:val="clear" w:color="auto" w:fill="D2DDE2"/>
          </w:tcPr>
          <w:p w14:paraId="23605830" w14:textId="77777777" w:rsidR="00A80ABA" w:rsidRPr="000C5050" w:rsidRDefault="00A80ABA" w:rsidP="007363A0">
            <w:pPr>
              <w:pStyle w:val="Tabletext"/>
            </w:pPr>
            <w:r w:rsidRPr="000C5050">
              <w:t>Same as existing requirements</w:t>
            </w:r>
          </w:p>
        </w:tc>
      </w:tr>
      <w:tr w:rsidR="009814A1" w:rsidRPr="000C5050" w14:paraId="4BD62D89" w14:textId="77777777" w:rsidTr="00407882">
        <w:tc>
          <w:tcPr>
            <w:tcW w:w="1427" w:type="dxa"/>
            <w:vMerge/>
            <w:tcBorders>
              <w:top w:val="single" w:sz="4" w:space="0" w:color="17556C"/>
              <w:bottom w:val="single" w:sz="4" w:space="0" w:color="17556C"/>
              <w:right w:val="single" w:sz="4" w:space="0" w:color="17556C"/>
            </w:tcBorders>
            <w:shd w:val="clear" w:color="auto" w:fill="D2DDE2"/>
          </w:tcPr>
          <w:p w14:paraId="759F6603" w14:textId="77777777" w:rsidR="00A80ABA" w:rsidRPr="000C5050" w:rsidRDefault="00A80ABA" w:rsidP="007363A0">
            <w:pPr>
              <w:pStyle w:val="Tabletext"/>
              <w:rPr>
                <w:b/>
              </w:rPr>
            </w:pPr>
          </w:p>
        </w:tc>
        <w:tc>
          <w:tcPr>
            <w:tcW w:w="3393" w:type="dxa"/>
            <w:tcBorders>
              <w:top w:val="single" w:sz="4" w:space="0" w:color="17556C"/>
              <w:left w:val="single" w:sz="4" w:space="0" w:color="17556C"/>
              <w:bottom w:val="single" w:sz="4" w:space="0" w:color="17556C"/>
              <w:right w:val="single" w:sz="4" w:space="0" w:color="17556C"/>
            </w:tcBorders>
            <w:shd w:val="clear" w:color="auto" w:fill="D2DDE2"/>
          </w:tcPr>
          <w:p w14:paraId="7F197945" w14:textId="77777777" w:rsidR="00A80ABA" w:rsidRPr="000C5050" w:rsidRDefault="00A80ABA" w:rsidP="007363A0">
            <w:pPr>
              <w:pStyle w:val="Tabletext"/>
            </w:pPr>
            <w:r w:rsidRPr="000C5050">
              <w:t xml:space="preserve">Soil contamination exceeds the soil </w:t>
            </w:r>
            <w:r w:rsidRPr="000C5050">
              <w:lastRenderedPageBreak/>
              <w:t>guideline values and soil contaminant standards</w:t>
            </w:r>
          </w:p>
        </w:tc>
        <w:tc>
          <w:tcPr>
            <w:tcW w:w="3742" w:type="dxa"/>
            <w:vMerge/>
            <w:tcBorders>
              <w:top w:val="single" w:sz="4" w:space="0" w:color="17556C"/>
              <w:left w:val="single" w:sz="4" w:space="0" w:color="17556C"/>
              <w:bottom w:val="single" w:sz="4" w:space="0" w:color="17556C"/>
            </w:tcBorders>
            <w:shd w:val="clear" w:color="auto" w:fill="D2DDE2"/>
          </w:tcPr>
          <w:p w14:paraId="0F4E59C2" w14:textId="77777777" w:rsidR="00A80ABA" w:rsidRPr="000C5050" w:rsidRDefault="00A80ABA" w:rsidP="007363A0">
            <w:pPr>
              <w:pStyle w:val="Tabletext"/>
            </w:pPr>
          </w:p>
        </w:tc>
      </w:tr>
      <w:tr w:rsidR="009814A1" w:rsidRPr="000C5050" w14:paraId="534BFF48" w14:textId="77777777" w:rsidTr="00407882">
        <w:trPr>
          <w:trHeight w:val="391"/>
        </w:trPr>
        <w:tc>
          <w:tcPr>
            <w:tcW w:w="1427" w:type="dxa"/>
            <w:tcBorders>
              <w:top w:val="single" w:sz="4" w:space="0" w:color="17556C"/>
              <w:bottom w:val="single" w:sz="4" w:space="0" w:color="17556C"/>
              <w:right w:val="single" w:sz="4" w:space="0" w:color="17556C"/>
            </w:tcBorders>
            <w:shd w:val="clear" w:color="auto" w:fill="6FC7B7"/>
          </w:tcPr>
          <w:p w14:paraId="729DB43D" w14:textId="77777777" w:rsidR="00A80ABA" w:rsidRPr="000C5050" w:rsidRDefault="00A80ABA" w:rsidP="007363A0">
            <w:pPr>
              <w:pStyle w:val="Tabletext"/>
              <w:rPr>
                <w:b/>
              </w:rPr>
            </w:pPr>
            <w:r w:rsidRPr="000C5050">
              <w:rPr>
                <w:b/>
              </w:rPr>
              <w:lastRenderedPageBreak/>
              <w:t>Discretionary</w:t>
            </w:r>
          </w:p>
        </w:tc>
        <w:tc>
          <w:tcPr>
            <w:tcW w:w="3393" w:type="dxa"/>
            <w:tcBorders>
              <w:top w:val="single" w:sz="4" w:space="0" w:color="17556C"/>
              <w:left w:val="single" w:sz="4" w:space="0" w:color="17556C"/>
              <w:bottom w:val="single" w:sz="4" w:space="0" w:color="17556C"/>
              <w:right w:val="single" w:sz="4" w:space="0" w:color="17556C"/>
            </w:tcBorders>
            <w:shd w:val="clear" w:color="auto" w:fill="6FC7B7"/>
          </w:tcPr>
          <w:p w14:paraId="27186F57" w14:textId="77777777" w:rsidR="00A80ABA" w:rsidRPr="000C5050" w:rsidRDefault="00A80ABA" w:rsidP="007363A0">
            <w:pPr>
              <w:pStyle w:val="Tabletext"/>
            </w:pPr>
            <w:r w:rsidRPr="000C5050">
              <w:t xml:space="preserve">No DSI provided. </w:t>
            </w:r>
          </w:p>
        </w:tc>
        <w:tc>
          <w:tcPr>
            <w:tcW w:w="3742" w:type="dxa"/>
            <w:tcBorders>
              <w:top w:val="single" w:sz="4" w:space="0" w:color="17556C"/>
              <w:left w:val="single" w:sz="4" w:space="0" w:color="17556C"/>
              <w:bottom w:val="single" w:sz="4" w:space="0" w:color="17556C"/>
            </w:tcBorders>
            <w:shd w:val="clear" w:color="auto" w:fill="6FC7B7"/>
          </w:tcPr>
          <w:p w14:paraId="6F7414B9" w14:textId="77777777" w:rsidR="00A80ABA" w:rsidRPr="000C5050" w:rsidRDefault="00A80ABA" w:rsidP="007363A0">
            <w:pPr>
              <w:pStyle w:val="Tabletext"/>
            </w:pPr>
            <w:r w:rsidRPr="000C5050">
              <w:t>N/A – council has full discretion</w:t>
            </w:r>
          </w:p>
        </w:tc>
      </w:tr>
    </w:tbl>
    <w:p w14:paraId="258D5396" w14:textId="77777777" w:rsidR="00C24308" w:rsidRPr="000C5050" w:rsidRDefault="00C24308" w:rsidP="00E57B01">
      <w:pPr>
        <w:pStyle w:val="Heading4"/>
        <w:spacing w:before="480"/>
        <w:rPr>
          <w:lang w:eastAsia="en-US"/>
        </w:rPr>
      </w:pPr>
      <w:r w:rsidRPr="000C5050">
        <w:rPr>
          <w:lang w:eastAsia="en-US"/>
        </w:rPr>
        <w:t>Anticipated impacts of the changes to the NESCS activities and planning</w:t>
      </w:r>
      <w:r w:rsidR="00417B1D" w:rsidRPr="000C5050">
        <w:rPr>
          <w:lang w:eastAsia="en-US"/>
        </w:rPr>
        <w:t> </w:t>
      </w:r>
      <w:r w:rsidRPr="000C5050">
        <w:rPr>
          <w:lang w:eastAsia="en-US"/>
        </w:rPr>
        <w:t>controls</w:t>
      </w:r>
    </w:p>
    <w:p w14:paraId="39CC6095" w14:textId="77777777" w:rsidR="00C24308" w:rsidRPr="000C5050" w:rsidRDefault="00C24308" w:rsidP="004F5790">
      <w:pPr>
        <w:pStyle w:val="BodyText"/>
      </w:pPr>
      <w:r w:rsidRPr="000C5050">
        <w:rPr>
          <w:lang w:eastAsia="en-US"/>
        </w:rPr>
        <w:t>The changes to the consent status for the (proposed) six controlled activities under the NESCS are expected to reduce costs and delays associated with obtaining NESCS resource consent, by clarifying the activities that require consent. By clarifying the effects that need to be controlled when obtaining resource consent, these changes should also reduce and target the costs for complying with NESCS consent conditions. It is difficult to quantify these potential impacts, as it will vary between regions depending on how different the proposals are to current practice. The Ministry is seeking feedback on the likely impacts and the best options for achieving the proposed intent.</w:t>
      </w:r>
    </w:p>
    <w:p w14:paraId="70A20BB8" w14:textId="77777777" w:rsidR="00C24308" w:rsidRPr="000C5050" w:rsidRDefault="00C24308" w:rsidP="004F5790">
      <w:pPr>
        <w:pStyle w:val="Heading3"/>
        <w:spacing w:after="60"/>
      </w:pPr>
      <w:r w:rsidRPr="000C5050">
        <w:rPr>
          <w:lang w:eastAsia="en-US"/>
        </w:rPr>
        <w:t>Definition changes</w:t>
      </w:r>
    </w:p>
    <w:p w14:paraId="13A878A6" w14:textId="3F625DDF" w:rsidR="00417B1D" w:rsidRPr="000C5050" w:rsidRDefault="00417B1D" w:rsidP="00AB35CD">
      <w:pPr>
        <w:pStyle w:val="Box"/>
      </w:pPr>
      <w:r w:rsidRPr="000C5050">
        <w:t xml:space="preserve">5.7 </w:t>
      </w:r>
      <w:r w:rsidRPr="000C5050">
        <w:tab/>
        <w:t xml:space="preserve">Define “soil disturbance ratio” in regulation 8(3). </w:t>
      </w:r>
    </w:p>
    <w:p w14:paraId="44223E70" w14:textId="7F9B0B69" w:rsidR="00100AAA" w:rsidRPr="000C5050" w:rsidRDefault="00100AAA" w:rsidP="00AB35CD">
      <w:pPr>
        <w:pStyle w:val="Box"/>
      </w:pPr>
      <w:r w:rsidRPr="000C5050">
        <w:t>5.8</w:t>
      </w:r>
      <w:r w:rsidRPr="000C5050">
        <w:tab/>
        <w:t>Define ‘piece of land’ in regulation 8(3).</w:t>
      </w:r>
    </w:p>
    <w:p w14:paraId="412933DF" w14:textId="3BB81545" w:rsidR="00417B1D" w:rsidRPr="000C5050" w:rsidRDefault="00417B1D" w:rsidP="00AB35CD">
      <w:pPr>
        <w:pStyle w:val="Box"/>
      </w:pPr>
      <w:r w:rsidRPr="000C5050">
        <w:t>5.</w:t>
      </w:r>
      <w:r w:rsidR="00100AAA" w:rsidRPr="000C5050">
        <w:t>9</w:t>
      </w:r>
      <w:r w:rsidRPr="000C5050">
        <w:t xml:space="preserve"> </w:t>
      </w:r>
      <w:r w:rsidRPr="000C5050">
        <w:tab/>
        <w:t>Remove term “per year” from regulation 8(3).</w:t>
      </w:r>
    </w:p>
    <w:p w14:paraId="64B7DB5C" w14:textId="77777777" w:rsidR="00417B1D" w:rsidRPr="000C5050" w:rsidRDefault="00417B1D" w:rsidP="00417B1D">
      <w:pPr>
        <w:pStyle w:val="BodyText"/>
        <w:spacing w:before="240"/>
      </w:pPr>
      <w:r w:rsidRPr="000C5050">
        <w:t>There are three key terms that are critical for determining whether a soil disturbance proposal will be permitted. These have varied interpretation and application:</w:t>
      </w:r>
      <w:r w:rsidRPr="000C5050">
        <w:rPr>
          <w:rStyle w:val="FootnoteReference"/>
          <w:rFonts w:ascii="Arial" w:hAnsi="Arial" w:cs="Arial"/>
          <w:szCs w:val="20"/>
        </w:rPr>
        <w:footnoteReference w:id="8"/>
      </w:r>
    </w:p>
    <w:p w14:paraId="7C674118" w14:textId="77777777" w:rsidR="00417B1D" w:rsidRPr="000C5050" w:rsidRDefault="00417B1D" w:rsidP="00417B1D">
      <w:pPr>
        <w:pStyle w:val="Bullet"/>
      </w:pPr>
      <w:r w:rsidRPr="000C5050">
        <w:t xml:space="preserve">application of </w:t>
      </w:r>
      <w:r w:rsidR="0081630C" w:rsidRPr="000C5050">
        <w:t>‘</w:t>
      </w:r>
      <w:r w:rsidRPr="000C5050">
        <w:t>The piece of land</w:t>
      </w:r>
      <w:r w:rsidR="0081630C" w:rsidRPr="000C5050">
        <w:t>’</w:t>
      </w:r>
      <w:r w:rsidRPr="000C5050">
        <w:t xml:space="preserve"> in regulation 8(3), which determines the area of land that is used to calculate how much soil disturbance can be undertaken as a permitted activity</w:t>
      </w:r>
    </w:p>
    <w:p w14:paraId="20392C68" w14:textId="77777777" w:rsidR="00417B1D" w:rsidRPr="000C5050" w:rsidRDefault="00417B1D" w:rsidP="00417B1D">
      <w:pPr>
        <w:pStyle w:val="Bullet"/>
      </w:pPr>
      <w:r w:rsidRPr="000C5050">
        <w:t>soil disturbance ratio provided in regulation 8(3), which states that 25m³ of soil disturbance per 500m² is permitted</w:t>
      </w:r>
    </w:p>
    <w:p w14:paraId="4C6960D5" w14:textId="77777777" w:rsidR="00417B1D" w:rsidRPr="000C5050" w:rsidRDefault="00417B1D" w:rsidP="00417B1D">
      <w:pPr>
        <w:pStyle w:val="Bullet"/>
      </w:pPr>
      <w:proofErr w:type="gramStart"/>
      <w:r w:rsidRPr="000C5050">
        <w:t>application</w:t>
      </w:r>
      <w:proofErr w:type="gramEnd"/>
      <w:r w:rsidRPr="000C5050">
        <w:t xml:space="preserve"> of </w:t>
      </w:r>
      <w:r w:rsidR="0081630C" w:rsidRPr="000C5050">
        <w:t>‘</w:t>
      </w:r>
      <w:r w:rsidRPr="000C5050">
        <w:t>per year</w:t>
      </w:r>
      <w:r w:rsidR="0081630C" w:rsidRPr="000C5050">
        <w:t>’</w:t>
      </w:r>
      <w:r w:rsidRPr="000C5050">
        <w:t xml:space="preserve"> in regulation 8(3), which states that a maximum of 5m³ per 500m² can be disposed of </w:t>
      </w:r>
      <w:r w:rsidR="0081630C" w:rsidRPr="000C5050">
        <w:t>‘</w:t>
      </w:r>
      <w:r w:rsidRPr="000C5050">
        <w:t>per year</w:t>
      </w:r>
      <w:r w:rsidR="0081630C" w:rsidRPr="000C5050">
        <w:t>’</w:t>
      </w:r>
      <w:r w:rsidRPr="000C5050">
        <w:t xml:space="preserve">. </w:t>
      </w:r>
    </w:p>
    <w:p w14:paraId="01B49710" w14:textId="77777777" w:rsidR="00417B1D" w:rsidRPr="000C5050" w:rsidRDefault="00417B1D" w:rsidP="00417B1D">
      <w:pPr>
        <w:pStyle w:val="BodyText"/>
      </w:pPr>
      <w:r w:rsidRPr="000C5050">
        <w:t xml:space="preserve">As a result of the varied interpretation of these terms, soil disturbances on HAIL sites are affected by uncertain regulatory requirements. In a broad sense, the different interpretations mean a landowner could carry out the same activity across different districts – in some districts the council would consider it to be a permitted activity, while in others it would require consent. </w:t>
      </w:r>
    </w:p>
    <w:p w14:paraId="0813DF76" w14:textId="77777777" w:rsidR="00417B1D" w:rsidRPr="000C5050" w:rsidRDefault="00417B1D" w:rsidP="00417B1D">
      <w:pPr>
        <w:pStyle w:val="BodyText"/>
      </w:pPr>
      <w:r w:rsidRPr="000C5050">
        <w:t>The intention is that small-scale soil disturbance can occur as a permitted activity, to avoid unnecessary regulation of everyday activities. The purpose of defining these terms is to improve consistency and certainty, removing uncertainty over whether soil disturbance will be permitted or require resource consent.</w:t>
      </w:r>
    </w:p>
    <w:p w14:paraId="7D707082" w14:textId="03149B31" w:rsidR="00417B1D" w:rsidRPr="000C5050" w:rsidRDefault="00417B1D" w:rsidP="00417B1D">
      <w:pPr>
        <w:pStyle w:val="BodyText"/>
        <w:rPr>
          <w:b/>
          <w:bCs/>
        </w:rPr>
      </w:pPr>
      <w:r w:rsidRPr="000C5050">
        <w:t xml:space="preserve">Based on feedback provided throughout the review, there appear to be simple options for clarifying the interpretation of these three key terms. </w:t>
      </w:r>
    </w:p>
    <w:p w14:paraId="5D99165D" w14:textId="77777777" w:rsidR="00417B1D" w:rsidRPr="000C5050" w:rsidRDefault="0081630C" w:rsidP="00417B1D">
      <w:pPr>
        <w:pStyle w:val="Heading4"/>
      </w:pPr>
      <w:r w:rsidRPr="000C5050">
        <w:lastRenderedPageBreak/>
        <w:t>‘</w:t>
      </w:r>
      <w:proofErr w:type="gramStart"/>
      <w:r w:rsidR="00417B1D" w:rsidRPr="000C5050">
        <w:t>piece</w:t>
      </w:r>
      <w:proofErr w:type="gramEnd"/>
      <w:r w:rsidR="00417B1D" w:rsidRPr="000C5050">
        <w:t xml:space="preserve"> of land</w:t>
      </w:r>
      <w:r w:rsidRPr="000C5050">
        <w:t>’</w:t>
      </w:r>
    </w:p>
    <w:p w14:paraId="54FBD51C" w14:textId="77777777" w:rsidR="00417B1D" w:rsidRPr="000C5050" w:rsidRDefault="00417B1D" w:rsidP="00417B1D">
      <w:pPr>
        <w:pStyle w:val="BodyText"/>
      </w:pPr>
      <w:r w:rsidRPr="000C5050">
        <w:t>Clarify that,</w:t>
      </w:r>
      <w:r w:rsidRPr="000C5050">
        <w:rPr>
          <w:rStyle w:val="BodyTextChar"/>
        </w:rPr>
        <w:t xml:space="preserve"> </w:t>
      </w:r>
      <w:r w:rsidRPr="000C5050">
        <w:t>for the purposes of calculating how much soil disturbance is permitted, the piece of land is the smaller of:</w:t>
      </w:r>
    </w:p>
    <w:p w14:paraId="5C2B7F84" w14:textId="77777777" w:rsidR="00417B1D" w:rsidRPr="000C5050" w:rsidRDefault="00417B1D" w:rsidP="00417B1D">
      <w:pPr>
        <w:pStyle w:val="Bullet"/>
      </w:pPr>
      <w:r w:rsidRPr="000C5050">
        <w:t>the area where the HAIL activity occurred, or is more likely than not to have occurred</w:t>
      </w:r>
    </w:p>
    <w:p w14:paraId="0BC7DDD2" w14:textId="77777777" w:rsidR="00417B1D" w:rsidRPr="000C5050" w:rsidRDefault="00417B1D" w:rsidP="00417B1D">
      <w:pPr>
        <w:pStyle w:val="Bullet"/>
      </w:pPr>
      <w:proofErr w:type="gramStart"/>
      <w:r w:rsidRPr="000C5050">
        <w:t>the</w:t>
      </w:r>
      <w:proofErr w:type="gramEnd"/>
      <w:r w:rsidRPr="000C5050">
        <w:t xml:space="preserve"> property boundary.</w:t>
      </w:r>
    </w:p>
    <w:p w14:paraId="0D95863A" w14:textId="7F4F0031" w:rsidR="00417B1D" w:rsidRPr="000C5050" w:rsidRDefault="00417B1D" w:rsidP="00417B1D">
      <w:pPr>
        <w:pStyle w:val="BodyText"/>
      </w:pPr>
      <w:r w:rsidRPr="000C5050">
        <w:t xml:space="preserve">This is to avoid landowners being able to undertake significant volumes of soil disturbance as a permitted activity if their property is situated within a large HAIL site spread over a number of properties </w:t>
      </w:r>
      <w:r w:rsidR="00BF3AC6">
        <w:t>(</w:t>
      </w:r>
      <w:proofErr w:type="spellStart"/>
      <w:r w:rsidRPr="000C5050">
        <w:t>eg</w:t>
      </w:r>
      <w:proofErr w:type="spellEnd"/>
      <w:r w:rsidRPr="000C5050">
        <w:t>, a former orchard</w:t>
      </w:r>
      <w:r w:rsidR="00BF3AC6">
        <w:t>)</w:t>
      </w:r>
      <w:r w:rsidRPr="000C5050">
        <w:t xml:space="preserve">. </w:t>
      </w:r>
    </w:p>
    <w:p w14:paraId="3C4B16BE" w14:textId="14C752D6" w:rsidR="00417B1D" w:rsidRPr="000C5050" w:rsidRDefault="0081630C" w:rsidP="00417B1D">
      <w:pPr>
        <w:pStyle w:val="Heading4"/>
      </w:pPr>
      <w:r w:rsidRPr="000C5050">
        <w:t>‘</w:t>
      </w:r>
      <w:proofErr w:type="gramStart"/>
      <w:r w:rsidR="00B052BF">
        <w:t>s</w:t>
      </w:r>
      <w:r w:rsidR="00417B1D" w:rsidRPr="000C5050">
        <w:t>oil</w:t>
      </w:r>
      <w:proofErr w:type="gramEnd"/>
      <w:r w:rsidR="00417B1D" w:rsidRPr="000C5050">
        <w:t xml:space="preserve"> disturbance ratio</w:t>
      </w:r>
      <w:r w:rsidRPr="000C5050">
        <w:t>’</w:t>
      </w:r>
    </w:p>
    <w:p w14:paraId="27B44F4A" w14:textId="3DC198F6" w:rsidR="00417B1D" w:rsidRPr="000C5050" w:rsidRDefault="00417B1D" w:rsidP="00417B1D">
      <w:pPr>
        <w:pStyle w:val="BodyText"/>
      </w:pPr>
      <w:r w:rsidRPr="000C5050">
        <w:t xml:space="preserve">Clarify that 25m³ of soil disturbance is permitted on pieces of land up to 500m². For pieces of land larger than 500m², the permitted volume of soil disturbance is calculated on a pro-rata basis </w:t>
      </w:r>
      <w:r w:rsidR="00BF3AC6">
        <w:t>(</w:t>
      </w:r>
      <w:proofErr w:type="spellStart"/>
      <w:r w:rsidRPr="000C5050">
        <w:t>ie</w:t>
      </w:r>
      <w:proofErr w:type="spellEnd"/>
      <w:r w:rsidRPr="000C5050">
        <w:t>, a landowner with a 600m² piece of land could undertake 30m³</w:t>
      </w:r>
      <w:r w:rsidR="00BF3AC6">
        <w:t>)</w:t>
      </w:r>
      <w:r w:rsidRPr="000C5050">
        <w:t>.</w:t>
      </w:r>
    </w:p>
    <w:p w14:paraId="4B52A2AC" w14:textId="77777777" w:rsidR="00417B1D" w:rsidRPr="000C5050" w:rsidRDefault="00417B1D" w:rsidP="00417B1D">
      <w:pPr>
        <w:pStyle w:val="BodyText"/>
      </w:pPr>
      <w:r w:rsidRPr="000C5050">
        <w:t xml:space="preserve">This will avoid the situation where disturbing very small volumes of soil requires the owner to obtain resource consent. Some </w:t>
      </w:r>
      <w:proofErr w:type="gramStart"/>
      <w:r w:rsidRPr="000C5050">
        <w:t>councils</w:t>
      </w:r>
      <w:proofErr w:type="gramEnd"/>
      <w:r w:rsidRPr="000C5050">
        <w:t xml:space="preserve"> interpret the permitted activity on the basis that as the site shrinks, so does the permitted volume of soil disturbance. Using this interpretation, for a 100m² HAIL site, only 5m³ of soil disturbance would be permitted. This interpretation penalises small sites. The proposed change would clarify that a minimum of 25m³ is permitted, regardless of site size, to avoid normal maintenance activities such as re-laying a driveway needing to obtain resource consent.</w:t>
      </w:r>
    </w:p>
    <w:p w14:paraId="3C3783B1" w14:textId="77777777" w:rsidR="00417B1D" w:rsidRPr="000C5050" w:rsidRDefault="0081630C" w:rsidP="00CC4298">
      <w:pPr>
        <w:pStyle w:val="Heading4"/>
        <w:spacing w:before="240"/>
      </w:pPr>
      <w:r w:rsidRPr="000C5050">
        <w:t>‘</w:t>
      </w:r>
      <w:proofErr w:type="gramStart"/>
      <w:r w:rsidR="00417B1D" w:rsidRPr="000C5050">
        <w:t>per</w:t>
      </w:r>
      <w:proofErr w:type="gramEnd"/>
      <w:r w:rsidR="00417B1D" w:rsidRPr="000C5050">
        <w:t xml:space="preserve"> year</w:t>
      </w:r>
      <w:r w:rsidRPr="000C5050">
        <w:t>’</w:t>
      </w:r>
    </w:p>
    <w:p w14:paraId="38C3E3A9" w14:textId="77777777" w:rsidR="00417B1D" w:rsidRPr="000C5050" w:rsidRDefault="00417B1D" w:rsidP="00417B1D">
      <w:pPr>
        <w:pStyle w:val="BodyText"/>
      </w:pPr>
      <w:r w:rsidRPr="000C5050">
        <w:t xml:space="preserve">The NESCS currently limits permitted disposal of soil to 5m³ per year. It is proposed to remove the reference to </w:t>
      </w:r>
      <w:r w:rsidR="0081630C" w:rsidRPr="000C5050">
        <w:t>‘</w:t>
      </w:r>
      <w:r w:rsidRPr="000C5050">
        <w:t>per year</w:t>
      </w:r>
      <w:r w:rsidR="0081630C" w:rsidRPr="000C5050">
        <w:t>’</w:t>
      </w:r>
      <w:r w:rsidRPr="000C5050">
        <w:t xml:space="preserve"> – there is no increase in risk by allowing landowners to dispose of soil more frequently, so long as it is disposed of to an appropriate location. This is already a requirement of the permitted activity, and will be retained. </w:t>
      </w:r>
    </w:p>
    <w:p w14:paraId="4E019360" w14:textId="77777777" w:rsidR="00417B1D" w:rsidRPr="000C5050" w:rsidRDefault="00417B1D" w:rsidP="00CC4298">
      <w:pPr>
        <w:pStyle w:val="Blueboxheading"/>
        <w:spacing w:before="160"/>
        <w:rPr>
          <w:lang w:eastAsia="en-US"/>
        </w:rPr>
      </w:pPr>
      <w:r w:rsidRPr="000C5050">
        <w:rPr>
          <w:lang w:eastAsia="en-US"/>
        </w:rPr>
        <w:t>Amendments to the NESCS framework</w:t>
      </w:r>
    </w:p>
    <w:p w14:paraId="2D7FA092" w14:textId="494FD9A6" w:rsidR="00417B1D" w:rsidRPr="000C5050" w:rsidRDefault="00417B1D" w:rsidP="00646705">
      <w:pPr>
        <w:pStyle w:val="Blueboxtext"/>
        <w:spacing w:after="60"/>
        <w:ind w:left="1702" w:hanging="1418"/>
        <w:rPr>
          <w:lang w:eastAsia="en-US"/>
        </w:rPr>
      </w:pPr>
      <w:r w:rsidRPr="000C5050">
        <w:rPr>
          <w:lang w:eastAsia="en-US"/>
        </w:rPr>
        <w:t xml:space="preserve">Proposal 5.7: </w:t>
      </w:r>
      <w:r w:rsidRPr="000C5050">
        <w:rPr>
          <w:lang w:eastAsia="en-US"/>
        </w:rPr>
        <w:tab/>
        <w:t>Amend regulation 3 to insert proposed definition of “soil disturbance ratio”</w:t>
      </w:r>
      <w:r w:rsidR="008A5D86" w:rsidRPr="000C5050">
        <w:rPr>
          <w:lang w:eastAsia="en-US"/>
        </w:rPr>
        <w:t>.</w:t>
      </w:r>
    </w:p>
    <w:p w14:paraId="0901DF01" w14:textId="301EE3F9" w:rsidR="008A5D86" w:rsidRPr="000C5050" w:rsidRDefault="008A5D86" w:rsidP="008A5D86">
      <w:pPr>
        <w:pStyle w:val="Blueboxtext"/>
        <w:spacing w:after="60"/>
        <w:ind w:left="1702" w:hanging="1418"/>
        <w:rPr>
          <w:lang w:eastAsia="en-US"/>
        </w:rPr>
      </w:pPr>
      <w:r w:rsidRPr="000C5050">
        <w:rPr>
          <w:lang w:eastAsia="en-US"/>
        </w:rPr>
        <w:t xml:space="preserve">Proposal 5.8: </w:t>
      </w:r>
      <w:r w:rsidRPr="000C5050">
        <w:rPr>
          <w:lang w:eastAsia="en-US"/>
        </w:rPr>
        <w:tab/>
        <w:t>Amend regulation 3 to insert proposed definition of “piece of land”.</w:t>
      </w:r>
    </w:p>
    <w:p w14:paraId="143FBA96" w14:textId="64686756" w:rsidR="00417B1D" w:rsidRPr="000C5050" w:rsidRDefault="00417B1D" w:rsidP="00417B1D">
      <w:pPr>
        <w:pStyle w:val="Blueboxtext"/>
        <w:ind w:left="1701" w:hanging="1417"/>
        <w:rPr>
          <w:lang w:eastAsia="en-US"/>
        </w:rPr>
      </w:pPr>
      <w:r w:rsidRPr="000C5050">
        <w:rPr>
          <w:lang w:eastAsia="en-US"/>
        </w:rPr>
        <w:t>Proposal 5.</w:t>
      </w:r>
      <w:r w:rsidR="008A5D86" w:rsidRPr="000C5050">
        <w:rPr>
          <w:lang w:eastAsia="en-US"/>
        </w:rPr>
        <w:t>9</w:t>
      </w:r>
      <w:r w:rsidRPr="000C5050">
        <w:rPr>
          <w:lang w:eastAsia="en-US"/>
        </w:rPr>
        <w:t>:</w:t>
      </w:r>
      <w:r w:rsidRPr="000C5050">
        <w:rPr>
          <w:lang w:eastAsia="en-US"/>
        </w:rPr>
        <w:tab/>
        <w:t>Amend regulation 8(3) to remove term “per year”.</w:t>
      </w:r>
    </w:p>
    <w:p w14:paraId="6BE5D326" w14:textId="77777777" w:rsidR="00417B1D" w:rsidRPr="000C5050" w:rsidRDefault="00E96158" w:rsidP="00B3136D">
      <w:pPr>
        <w:pStyle w:val="Heading3"/>
        <w:spacing w:before="480" w:after="120"/>
      </w:pPr>
      <w:r w:rsidRPr="000C5050">
        <w:t>Standardised certifying statements for contaminated land investigations</w:t>
      </w:r>
    </w:p>
    <w:p w14:paraId="6AE23DA8" w14:textId="14513B6A" w:rsidR="00E96158" w:rsidRPr="000C5050" w:rsidRDefault="00E96158" w:rsidP="00AB35CD">
      <w:pPr>
        <w:pStyle w:val="Box"/>
      </w:pPr>
      <w:r w:rsidRPr="000C5050">
        <w:t>5.</w:t>
      </w:r>
      <w:r w:rsidR="008A5D86" w:rsidRPr="000C5050">
        <w:t>10</w:t>
      </w:r>
      <w:r w:rsidRPr="000C5050">
        <w:tab/>
        <w:t xml:space="preserve">Require suitably qualified and experienced practitioners to use a standardised certifying statement in their reports, to provide clarity to report readers. </w:t>
      </w:r>
    </w:p>
    <w:p w14:paraId="046442C2" w14:textId="77777777" w:rsidR="00E96158" w:rsidRPr="000C5050" w:rsidRDefault="00E96158" w:rsidP="00E96158">
      <w:pPr>
        <w:pStyle w:val="Heading4"/>
      </w:pPr>
      <w:r w:rsidRPr="000C5050">
        <w:t>Purpose</w:t>
      </w:r>
    </w:p>
    <w:p w14:paraId="1561AF2C" w14:textId="2C0E1F18" w:rsidR="00E96158" w:rsidRPr="000C5050" w:rsidRDefault="00E96158" w:rsidP="00E96158">
      <w:pPr>
        <w:pStyle w:val="BodyText"/>
      </w:pPr>
      <w:r w:rsidRPr="000C5050">
        <w:t>The purpose of introducing standardised certifying statements for contaminated land investigations is to provide users of reports with clarity and confidence in the report</w:t>
      </w:r>
      <w:r w:rsidR="0081630C" w:rsidRPr="000C5050">
        <w:t>’</w:t>
      </w:r>
      <w:r w:rsidRPr="000C5050">
        <w:t xml:space="preserve">s conclusions and its compliance </w:t>
      </w:r>
      <w:r w:rsidR="0067467F" w:rsidRPr="000C5050">
        <w:t xml:space="preserve">with </w:t>
      </w:r>
      <w:r w:rsidRPr="000C5050">
        <w:t>the NESCS requirements. Feedback during consultation</w:t>
      </w:r>
      <w:r w:rsidR="007D4035" w:rsidRPr="000C5050">
        <w:t xml:space="preserve"> o</w:t>
      </w:r>
      <w:r w:rsidRPr="000C5050">
        <w:t>n</w:t>
      </w:r>
      <w:r w:rsidR="007D4035" w:rsidRPr="000C5050">
        <w:t> </w:t>
      </w:r>
      <w:r w:rsidR="0067467F" w:rsidRPr="000C5050">
        <w:t xml:space="preserve">updates to </w:t>
      </w:r>
      <w:r w:rsidRPr="000C5050">
        <w:t>CLMG No 1 and CLMG No 5 indicated a possible need for this.</w:t>
      </w:r>
    </w:p>
    <w:p w14:paraId="5F89E248" w14:textId="27C63E28" w:rsidR="00E96158" w:rsidRPr="000C5050" w:rsidRDefault="00E96158" w:rsidP="00E96158">
      <w:pPr>
        <w:pStyle w:val="BodyText"/>
      </w:pPr>
      <w:r w:rsidRPr="000C5050">
        <w:lastRenderedPageBreak/>
        <w:t xml:space="preserve">The </w:t>
      </w:r>
      <w:r w:rsidR="0067467F" w:rsidRPr="000C5050">
        <w:t>NESCS</w:t>
      </w:r>
      <w:r w:rsidRPr="000C5050">
        <w:t xml:space="preserve"> require preliminary site investigations (PSIs) and detailed site investigations (DSIs) to be certified by a suitably qualified and experienced practitioner (SQEP) when the purpose of the report is to address one of the five regulated activities covered by the NES</w:t>
      </w:r>
      <w:r w:rsidR="0067467F" w:rsidRPr="000C5050">
        <w:t>CS</w:t>
      </w:r>
      <w:r w:rsidRPr="000C5050">
        <w:t>.</w:t>
      </w:r>
      <w:r w:rsidR="007D080D" w:rsidRPr="000C5050">
        <w:t xml:space="preserve"> </w:t>
      </w:r>
      <w:r w:rsidRPr="000C5050">
        <w:t>This is because the regulated activities have the potential to cause harm to human health, and to assess this requires the skills and judgement of an SQEP.</w:t>
      </w:r>
    </w:p>
    <w:p w14:paraId="47BABFF1" w14:textId="77777777" w:rsidR="00E96158" w:rsidRPr="000C5050" w:rsidRDefault="00E96158" w:rsidP="00E96158">
      <w:pPr>
        <w:pStyle w:val="Heading4"/>
      </w:pPr>
      <w:r w:rsidRPr="000C5050">
        <w:t>Application</w:t>
      </w:r>
    </w:p>
    <w:p w14:paraId="62626DF2" w14:textId="77777777" w:rsidR="00E96158" w:rsidRPr="000C5050" w:rsidRDefault="00E96158" w:rsidP="00CC4298">
      <w:pPr>
        <w:pStyle w:val="BodyText"/>
      </w:pPr>
      <w:r w:rsidRPr="000C5050">
        <w:t xml:space="preserve">SQEPs would be required to certify reports using standardised certifying statements if an investigation had been completed for NESCS purposes. An amendment to </w:t>
      </w:r>
      <w:r w:rsidRPr="000C5050">
        <w:rPr>
          <w:bdr w:val="none" w:sz="0" w:space="0" w:color="auto" w:frame="1"/>
        </w:rPr>
        <w:t>CLMG No </w:t>
      </w:r>
      <w:r w:rsidRPr="000C5050">
        <w:t>1 would be made to reflect this requirement.</w:t>
      </w:r>
    </w:p>
    <w:p w14:paraId="7520BE3E" w14:textId="77777777" w:rsidR="00E96158" w:rsidRPr="000C5050" w:rsidRDefault="00E96158" w:rsidP="00CC4298">
      <w:pPr>
        <w:pStyle w:val="Blueboxheading"/>
        <w:spacing w:before="120"/>
      </w:pPr>
      <w:r w:rsidRPr="000C5050">
        <w:t>Amendments to the NESCS framework</w:t>
      </w:r>
    </w:p>
    <w:p w14:paraId="042F4EDB" w14:textId="7B4B4052" w:rsidR="00E96158" w:rsidRPr="000C5050" w:rsidRDefault="00E96158" w:rsidP="00C7063F">
      <w:pPr>
        <w:pStyle w:val="Blueboxtext"/>
      </w:pPr>
      <w:r w:rsidRPr="000C5050">
        <w:t>Proposal 5.</w:t>
      </w:r>
      <w:r w:rsidR="008A5D86" w:rsidRPr="000C5050">
        <w:t>10</w:t>
      </w:r>
      <w:r w:rsidRPr="000C5050">
        <w:t xml:space="preserve">: </w:t>
      </w:r>
    </w:p>
    <w:p w14:paraId="25F0E4A1" w14:textId="77777777" w:rsidR="00E96158" w:rsidRPr="000C5050" w:rsidRDefault="00E96158" w:rsidP="00C7063F">
      <w:pPr>
        <w:pStyle w:val="Blueboxbullet"/>
      </w:pPr>
      <w:r w:rsidRPr="000C5050">
        <w:t>amend CLMG No 1 to require SQEPS to certify reports using standardised certifying statements if an investigation had been completed for NESCS purposes</w:t>
      </w:r>
    </w:p>
    <w:p w14:paraId="257FA964" w14:textId="77777777" w:rsidR="00E96158" w:rsidRPr="000C5050" w:rsidRDefault="00E96158" w:rsidP="00C7063F">
      <w:pPr>
        <w:pStyle w:val="Blueboxbullet"/>
      </w:pPr>
      <w:proofErr w:type="gramStart"/>
      <w:r w:rsidRPr="000C5050">
        <w:t>an</w:t>
      </w:r>
      <w:proofErr w:type="gramEnd"/>
      <w:r w:rsidRPr="000C5050">
        <w:t xml:space="preserve"> amendment to regulation 3 could be made to require a DSI to be done in accordance with CLMG No 1 and CLMG No</w:t>
      </w:r>
      <w:r w:rsidR="007D080D" w:rsidRPr="000C5050">
        <w:t xml:space="preserve"> </w:t>
      </w:r>
      <w:r w:rsidRPr="000C5050">
        <w:t>5. For example:</w:t>
      </w:r>
    </w:p>
    <w:p w14:paraId="2D921DF2" w14:textId="77777777" w:rsidR="00E96158" w:rsidRPr="000C5050" w:rsidRDefault="00C7063F" w:rsidP="00F61D8E">
      <w:pPr>
        <w:pStyle w:val="Blueboxtext"/>
        <w:tabs>
          <w:tab w:val="left" w:pos="680"/>
          <w:tab w:val="left" w:pos="1134"/>
        </w:tabs>
        <w:spacing w:after="0"/>
        <w:rPr>
          <w:b/>
        </w:rPr>
      </w:pPr>
      <w:r w:rsidRPr="000C5050">
        <w:tab/>
      </w:r>
      <w:r w:rsidR="00E96158" w:rsidRPr="000C5050">
        <w:rPr>
          <w:b/>
        </w:rPr>
        <w:t>3</w:t>
      </w:r>
      <w:r w:rsidR="00E96158" w:rsidRPr="000C5050">
        <w:rPr>
          <w:b/>
        </w:rPr>
        <w:tab/>
        <w:t>Interpretation</w:t>
      </w:r>
    </w:p>
    <w:p w14:paraId="5993A4BB" w14:textId="77777777" w:rsidR="00E96158" w:rsidRPr="000C5050" w:rsidRDefault="00C7063F" w:rsidP="00C75656">
      <w:pPr>
        <w:pStyle w:val="Blueboxtext"/>
        <w:tabs>
          <w:tab w:val="left" w:pos="680"/>
        </w:tabs>
        <w:spacing w:before="0" w:after="60"/>
      </w:pPr>
      <w:r w:rsidRPr="000C5050">
        <w:tab/>
      </w:r>
      <w:r w:rsidR="00E96158" w:rsidRPr="000C5050">
        <w:t>…</w:t>
      </w:r>
    </w:p>
    <w:p w14:paraId="10236F48" w14:textId="77777777" w:rsidR="00E96158" w:rsidRPr="000C5050" w:rsidRDefault="00C7063F" w:rsidP="00562924">
      <w:pPr>
        <w:pStyle w:val="Blueboxtext"/>
        <w:tabs>
          <w:tab w:val="left" w:pos="680"/>
        </w:tabs>
        <w:spacing w:before="60" w:after="60"/>
        <w:rPr>
          <w:i/>
        </w:rPr>
      </w:pPr>
      <w:r w:rsidRPr="000C5050">
        <w:tab/>
      </w:r>
      <w:proofErr w:type="gramStart"/>
      <w:r w:rsidR="00E96158" w:rsidRPr="000C5050">
        <w:rPr>
          <w:i/>
        </w:rPr>
        <w:t>detailed</w:t>
      </w:r>
      <w:proofErr w:type="gramEnd"/>
      <w:r w:rsidR="00E96158" w:rsidRPr="000C5050">
        <w:rPr>
          <w:i/>
        </w:rPr>
        <w:t xml:space="preserve"> site investigat</w:t>
      </w:r>
      <w:r w:rsidRPr="000C5050">
        <w:rPr>
          <w:i/>
        </w:rPr>
        <w:t>ion means an investigation that—</w:t>
      </w:r>
    </w:p>
    <w:p w14:paraId="3A70CC5D" w14:textId="77777777" w:rsidR="00E96158" w:rsidRPr="000C5050" w:rsidRDefault="00C7063F" w:rsidP="00C75656">
      <w:pPr>
        <w:pStyle w:val="Blueboxtext"/>
        <w:tabs>
          <w:tab w:val="left" w:pos="680"/>
        </w:tabs>
        <w:spacing w:before="0" w:after="60"/>
        <w:ind w:left="1135" w:hanging="851"/>
        <w:rPr>
          <w:i/>
        </w:rPr>
      </w:pPr>
      <w:r w:rsidRPr="000C5050">
        <w:tab/>
      </w:r>
      <w:proofErr w:type="gramStart"/>
      <w:r w:rsidRPr="000C5050">
        <w:rPr>
          <w:i/>
        </w:rPr>
        <w:t>a</w:t>
      </w:r>
      <w:proofErr w:type="gramEnd"/>
      <w:r w:rsidRPr="000C5050">
        <w:rPr>
          <w:i/>
        </w:rPr>
        <w:t>.</w:t>
      </w:r>
      <w:r w:rsidRPr="000C5050">
        <w:rPr>
          <w:i/>
        </w:rPr>
        <w:tab/>
      </w:r>
      <w:r w:rsidR="00E96158" w:rsidRPr="000C5050">
        <w:rPr>
          <w:i/>
        </w:rPr>
        <w:t>is done by a suitably qualified and experienced practitioner; and</w:t>
      </w:r>
    </w:p>
    <w:p w14:paraId="145CCFE6" w14:textId="77777777" w:rsidR="00E96158" w:rsidRPr="000C5050" w:rsidRDefault="00C7063F" w:rsidP="00C75656">
      <w:pPr>
        <w:pStyle w:val="Blueboxtext"/>
        <w:tabs>
          <w:tab w:val="left" w:pos="680"/>
        </w:tabs>
        <w:spacing w:before="0" w:after="60"/>
        <w:ind w:left="1134" w:hanging="850"/>
        <w:rPr>
          <w:i/>
        </w:rPr>
      </w:pPr>
      <w:r w:rsidRPr="000C5050">
        <w:rPr>
          <w:i/>
        </w:rPr>
        <w:tab/>
      </w:r>
      <w:proofErr w:type="gramStart"/>
      <w:r w:rsidRPr="000C5050">
        <w:rPr>
          <w:i/>
        </w:rPr>
        <w:t>b</w:t>
      </w:r>
      <w:proofErr w:type="gramEnd"/>
      <w:r w:rsidRPr="000C5050">
        <w:rPr>
          <w:i/>
        </w:rPr>
        <w:t>.</w:t>
      </w:r>
      <w:r w:rsidRPr="000C5050">
        <w:rPr>
          <w:i/>
        </w:rPr>
        <w:tab/>
      </w:r>
      <w:r w:rsidR="00E96158" w:rsidRPr="000C5050">
        <w:rPr>
          <w:i/>
          <w:u w:val="single"/>
        </w:rPr>
        <w:t>is completed, reported and certified in accordance with the current editi</w:t>
      </w:r>
      <w:r w:rsidRPr="000C5050">
        <w:rPr>
          <w:i/>
          <w:u w:val="single"/>
        </w:rPr>
        <w:t>on of—</w:t>
      </w:r>
    </w:p>
    <w:p w14:paraId="47A0624D" w14:textId="77777777" w:rsidR="00E96158" w:rsidRPr="000C5050" w:rsidRDefault="00C7063F" w:rsidP="00C75656">
      <w:pPr>
        <w:pStyle w:val="Blueboxtext"/>
        <w:tabs>
          <w:tab w:val="left" w:pos="1134"/>
        </w:tabs>
        <w:spacing w:before="0" w:after="60"/>
        <w:ind w:left="1560" w:hanging="1276"/>
        <w:rPr>
          <w:i/>
        </w:rPr>
      </w:pPr>
      <w:r w:rsidRPr="000C5050">
        <w:rPr>
          <w:i/>
        </w:rPr>
        <w:tab/>
      </w:r>
      <w:proofErr w:type="spellStart"/>
      <w:proofErr w:type="gramStart"/>
      <w:r w:rsidRPr="000C5050">
        <w:rPr>
          <w:i/>
        </w:rPr>
        <w:t>i</w:t>
      </w:r>
      <w:proofErr w:type="spellEnd"/>
      <w:proofErr w:type="gramEnd"/>
      <w:r w:rsidRPr="000C5050">
        <w:rPr>
          <w:i/>
        </w:rPr>
        <w:t>.</w:t>
      </w:r>
      <w:r w:rsidRPr="000C5050">
        <w:rPr>
          <w:i/>
        </w:rPr>
        <w:tab/>
      </w:r>
      <w:r w:rsidR="00E96158" w:rsidRPr="000C5050">
        <w:rPr>
          <w:i/>
          <w:u w:val="single"/>
        </w:rPr>
        <w:t>Contaminated Land Management Guidelines No. 1: Reporting on Contaminated Sites in New Zealand, Wellington, Ministry for the Environment; and</w:t>
      </w:r>
    </w:p>
    <w:p w14:paraId="6EE80334" w14:textId="77777777" w:rsidR="00E96158" w:rsidRPr="000C5050" w:rsidRDefault="00C7063F" w:rsidP="00C75656">
      <w:pPr>
        <w:pStyle w:val="Blueboxtext"/>
        <w:tabs>
          <w:tab w:val="left" w:pos="1134"/>
        </w:tabs>
        <w:spacing w:before="0" w:after="60"/>
        <w:ind w:left="1560" w:hanging="1276"/>
      </w:pPr>
      <w:r w:rsidRPr="000C5050">
        <w:rPr>
          <w:i/>
        </w:rPr>
        <w:tab/>
        <w:t>ii.</w:t>
      </w:r>
      <w:r w:rsidRPr="000C5050">
        <w:rPr>
          <w:i/>
        </w:rPr>
        <w:tab/>
      </w:r>
      <w:r w:rsidR="00E96158" w:rsidRPr="000C5050">
        <w:rPr>
          <w:i/>
          <w:u w:val="single"/>
        </w:rPr>
        <w:t>Guidelines No. 5: Site Investigation and Analysis of Soils, Wellington, Ministry for the Environment.</w:t>
      </w:r>
    </w:p>
    <w:p w14:paraId="55CFDCEC" w14:textId="77777777" w:rsidR="00E96158" w:rsidRPr="000C5050" w:rsidRDefault="00455361" w:rsidP="00C75656">
      <w:pPr>
        <w:pStyle w:val="Blueboxtext"/>
        <w:tabs>
          <w:tab w:val="left" w:pos="680"/>
        </w:tabs>
        <w:spacing w:before="0" w:after="60"/>
      </w:pPr>
      <w:r w:rsidRPr="000C5050">
        <w:tab/>
      </w:r>
      <w:r w:rsidR="00E96158" w:rsidRPr="000C5050">
        <w:t>…</w:t>
      </w:r>
    </w:p>
    <w:p w14:paraId="225B2D77" w14:textId="77777777" w:rsidR="00E96158" w:rsidRPr="000C5050" w:rsidRDefault="00455361" w:rsidP="00455361">
      <w:pPr>
        <w:pStyle w:val="Blueboxtext"/>
        <w:tabs>
          <w:tab w:val="left" w:pos="680"/>
        </w:tabs>
        <w:spacing w:before="60" w:after="60"/>
        <w:ind w:left="1134" w:hanging="850"/>
        <w:rPr>
          <w:i/>
        </w:rPr>
      </w:pPr>
      <w:r w:rsidRPr="000C5050">
        <w:tab/>
      </w:r>
      <w:proofErr w:type="gramStart"/>
      <w:r w:rsidR="00E96158" w:rsidRPr="000C5050">
        <w:rPr>
          <w:i/>
        </w:rPr>
        <w:t>preliminary</w:t>
      </w:r>
      <w:proofErr w:type="gramEnd"/>
      <w:r w:rsidR="00E96158" w:rsidRPr="000C5050">
        <w:rPr>
          <w:i/>
        </w:rPr>
        <w:t xml:space="preserve"> site investigat</w:t>
      </w:r>
      <w:r w:rsidRPr="000C5050">
        <w:rPr>
          <w:i/>
        </w:rPr>
        <w:t>ion means an investigation that—</w:t>
      </w:r>
    </w:p>
    <w:p w14:paraId="1EEBFF01" w14:textId="77777777" w:rsidR="00E96158" w:rsidRPr="000C5050" w:rsidRDefault="00455361" w:rsidP="00C75656">
      <w:pPr>
        <w:pStyle w:val="Blueboxtext"/>
        <w:tabs>
          <w:tab w:val="left" w:pos="680"/>
        </w:tabs>
        <w:spacing w:before="0" w:after="60"/>
        <w:ind w:left="1135" w:hanging="851"/>
        <w:rPr>
          <w:i/>
        </w:rPr>
      </w:pPr>
      <w:r w:rsidRPr="000C5050">
        <w:tab/>
      </w:r>
      <w:proofErr w:type="gramStart"/>
      <w:r w:rsidRPr="000C5050">
        <w:rPr>
          <w:i/>
        </w:rPr>
        <w:t>a</w:t>
      </w:r>
      <w:proofErr w:type="gramEnd"/>
      <w:r w:rsidRPr="000C5050">
        <w:rPr>
          <w:i/>
        </w:rPr>
        <w:t>.</w:t>
      </w:r>
      <w:r w:rsidRPr="000C5050">
        <w:rPr>
          <w:i/>
        </w:rPr>
        <w:tab/>
      </w:r>
      <w:r w:rsidR="00E96158" w:rsidRPr="000C5050">
        <w:rPr>
          <w:i/>
        </w:rPr>
        <w:t>is done by a suitably qualified and experienced practitioner; and</w:t>
      </w:r>
    </w:p>
    <w:p w14:paraId="5EA29BDC" w14:textId="77777777" w:rsidR="00E96158" w:rsidRPr="000C5050" w:rsidRDefault="00455361" w:rsidP="00C75656">
      <w:pPr>
        <w:pStyle w:val="Blueboxtext"/>
        <w:tabs>
          <w:tab w:val="left" w:pos="680"/>
        </w:tabs>
        <w:spacing w:before="0"/>
        <w:ind w:left="1135" w:hanging="851"/>
      </w:pPr>
      <w:r w:rsidRPr="000C5050">
        <w:rPr>
          <w:i/>
        </w:rPr>
        <w:tab/>
      </w:r>
      <w:proofErr w:type="gramStart"/>
      <w:r w:rsidRPr="000C5050">
        <w:rPr>
          <w:i/>
        </w:rPr>
        <w:t>b</w:t>
      </w:r>
      <w:proofErr w:type="gramEnd"/>
      <w:r w:rsidRPr="000C5050">
        <w:rPr>
          <w:i/>
        </w:rPr>
        <w:t>.</w:t>
      </w:r>
      <w:r w:rsidRPr="000C5050">
        <w:rPr>
          <w:i/>
        </w:rPr>
        <w:tab/>
      </w:r>
      <w:r w:rsidR="00E96158" w:rsidRPr="000C5050">
        <w:rPr>
          <w:i/>
          <w:u w:val="single"/>
        </w:rPr>
        <w:t>is reported and certified in accordance with the current edition of Contaminated Land Management Guidelines No. 1: Reporting on Contaminated Sites in New Zealand, Wellington, Ministry for the Environment.</w:t>
      </w:r>
    </w:p>
    <w:p w14:paraId="1F42203D" w14:textId="77777777" w:rsidR="00E96158" w:rsidRPr="000C5050" w:rsidRDefault="00E96158" w:rsidP="00C7063F">
      <w:pPr>
        <w:pStyle w:val="Blueboxtext"/>
      </w:pPr>
      <w:r w:rsidRPr="000C5050">
        <w:t>Examples of what a standardised certified statement could look like are provided below. The examples are provided in the context of the current edition of the NESCS. These are not the final version, and are provided to promote discussion on the proposed policy option.</w:t>
      </w:r>
    </w:p>
    <w:p w14:paraId="46DB8B6B" w14:textId="77777777" w:rsidR="00F61D8E" w:rsidRPr="000C5050" w:rsidRDefault="00F61D8E" w:rsidP="00D72179">
      <w:pPr>
        <w:spacing w:before="0" w:after="0"/>
      </w:pPr>
    </w:p>
    <w:p w14:paraId="7D191118" w14:textId="77777777" w:rsidR="007C699E" w:rsidRDefault="007C699E">
      <w:r>
        <w:rPr>
          <w:b/>
        </w:rPr>
        <w:br w:type="page"/>
      </w:r>
    </w:p>
    <w:tbl>
      <w:tblPr>
        <w:tblW w:w="856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8562"/>
      </w:tblGrid>
      <w:tr w:rsidR="00F61D8E" w:rsidRPr="000C5050" w14:paraId="3F2775FF" w14:textId="77777777" w:rsidTr="007C699E">
        <w:tc>
          <w:tcPr>
            <w:tcW w:w="8562" w:type="dxa"/>
            <w:tcBorders>
              <w:top w:val="single" w:sz="4" w:space="0" w:color="D5EBE5"/>
              <w:left w:val="single" w:sz="4" w:space="0" w:color="D5EBE5"/>
              <w:bottom w:val="single" w:sz="4" w:space="0" w:color="D5EBE5"/>
              <w:right w:val="single" w:sz="4" w:space="0" w:color="D5EBE5"/>
            </w:tcBorders>
            <w:shd w:val="clear" w:color="auto" w:fill="D5EBE5"/>
          </w:tcPr>
          <w:p w14:paraId="6F8057BE" w14:textId="04FEBADF" w:rsidR="00F61D8E" w:rsidRPr="000C5050" w:rsidRDefault="00F61D8E" w:rsidP="00646705">
            <w:pPr>
              <w:pStyle w:val="Greenheading-tables"/>
              <w:keepNext w:val="0"/>
            </w:pPr>
            <w:r w:rsidRPr="000C5050">
              <w:lastRenderedPageBreak/>
              <w:t>Subdivision/change</w:t>
            </w:r>
            <w:r w:rsidR="007C699E">
              <w:t xml:space="preserve"> </w:t>
            </w:r>
            <w:r w:rsidRPr="000C5050">
              <w:t>of use as a permitted activity</w:t>
            </w:r>
          </w:p>
          <w:p w14:paraId="29B305FE" w14:textId="77777777" w:rsidR="00F61D8E" w:rsidRPr="000C5050" w:rsidRDefault="00F61D8E" w:rsidP="00646705">
            <w:pPr>
              <w:pStyle w:val="Greentext-tables"/>
              <w:spacing w:after="80"/>
            </w:pPr>
            <w:r w:rsidRPr="000C5050">
              <w:t>I have assessed the site and reported in accordance with the current edition of Contaminated Land Management Guidelines No 1: Reporting of Contaminated Sites in New Zealand.</w:t>
            </w:r>
          </w:p>
          <w:p w14:paraId="53F99F63" w14:textId="10EF880C" w:rsidR="00F61D8E" w:rsidRPr="000C5050" w:rsidRDefault="00F61D8E" w:rsidP="00646705">
            <w:pPr>
              <w:pStyle w:val="Greentext-tables"/>
              <w:spacing w:after="80"/>
            </w:pPr>
            <w:r w:rsidRPr="000C5050">
              <w:t>I certify the results of this report and its conclusion</w:t>
            </w:r>
            <w:r w:rsidR="000711D6" w:rsidRPr="000C5050">
              <w:t>,</w:t>
            </w:r>
            <w:r w:rsidRPr="000C5050">
              <w:t xml:space="preserve"> that at the time of reporting [report date], it was highly unlikely that there would be a risk to human health if [insert activity] was completed at [insert property address]. This report can be relied upon by [insert </w:t>
            </w:r>
            <w:r w:rsidR="000711D6" w:rsidRPr="000C5050">
              <w:t xml:space="preserve">name of </w:t>
            </w:r>
            <w:r w:rsidRPr="000C5050">
              <w:t>consenting authority].</w:t>
            </w:r>
          </w:p>
          <w:p w14:paraId="2A64890F" w14:textId="77777777" w:rsidR="00F61D8E" w:rsidRPr="000C5050" w:rsidRDefault="00F61D8E" w:rsidP="00CC4298">
            <w:pPr>
              <w:pStyle w:val="Greentext-tables"/>
            </w:pPr>
            <w:r w:rsidRPr="000C5050">
              <w:t xml:space="preserve">I am a suitably qualified and experienced practitioner pursuant to the Resource Management (National Environmental Standard for Assessing and Managing Contaminants in Soil to Protect Human Health) Regulations 2011. </w:t>
            </w:r>
          </w:p>
          <w:p w14:paraId="6DEAD418" w14:textId="77777777" w:rsidR="00F61D8E" w:rsidRPr="000C5050" w:rsidRDefault="00F61D8E" w:rsidP="00D72179">
            <w:pPr>
              <w:pStyle w:val="Greentext-tables"/>
            </w:pPr>
            <w:r w:rsidRPr="000C5050">
              <w:t xml:space="preserve">A summary of my qualifications and experience is attached to this report. </w:t>
            </w:r>
          </w:p>
          <w:p w14:paraId="64D7A024" w14:textId="77777777" w:rsidR="00F61D8E" w:rsidRPr="000C5050" w:rsidRDefault="00F61D8E" w:rsidP="00D72179">
            <w:pPr>
              <w:pStyle w:val="Greentext-tables"/>
              <w:tabs>
                <w:tab w:val="left" w:pos="2837"/>
                <w:tab w:val="left" w:pos="5432"/>
              </w:tabs>
              <w:spacing w:after="240"/>
            </w:pPr>
            <w:r w:rsidRPr="000C5050">
              <w:t>Name:</w:t>
            </w:r>
            <w:r w:rsidRPr="000C5050">
              <w:tab/>
              <w:t>Signed:</w:t>
            </w:r>
            <w:r w:rsidRPr="000C5050">
              <w:tab/>
              <w:t>Date</w:t>
            </w:r>
          </w:p>
        </w:tc>
      </w:tr>
    </w:tbl>
    <w:p w14:paraId="67E68735" w14:textId="77777777" w:rsidR="00F61D8E" w:rsidRPr="000C5050" w:rsidRDefault="00F61D8E" w:rsidP="00646705">
      <w:pPr>
        <w:pStyle w:val="BodyText"/>
        <w:spacing w:before="0" w:after="0" w:line="240" w:lineRule="auto"/>
      </w:pPr>
    </w:p>
    <w:tbl>
      <w:tblPr>
        <w:tblW w:w="856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8562"/>
      </w:tblGrid>
      <w:tr w:rsidR="00D72179" w:rsidRPr="000C5050" w14:paraId="225B37F3" w14:textId="77777777" w:rsidTr="007363A0">
        <w:tc>
          <w:tcPr>
            <w:tcW w:w="8505" w:type="dxa"/>
            <w:tcBorders>
              <w:top w:val="single" w:sz="4" w:space="0" w:color="D5EBE5"/>
              <w:left w:val="single" w:sz="4" w:space="0" w:color="D5EBE5"/>
              <w:bottom w:val="single" w:sz="4" w:space="0" w:color="D5EBE5"/>
              <w:right w:val="single" w:sz="4" w:space="0" w:color="D5EBE5"/>
            </w:tcBorders>
            <w:shd w:val="clear" w:color="auto" w:fill="D5EBE5"/>
          </w:tcPr>
          <w:p w14:paraId="11DDF8B7" w14:textId="77777777" w:rsidR="00D72179" w:rsidRPr="000C5050" w:rsidRDefault="00D72179" w:rsidP="00D72179">
            <w:pPr>
              <w:pStyle w:val="Greenheading-tables"/>
            </w:pPr>
            <w:r w:rsidRPr="000C5050">
              <w:t xml:space="preserve">Subdivision or change of use as a controlled activity </w:t>
            </w:r>
          </w:p>
          <w:p w14:paraId="0B9B2CA5" w14:textId="77777777" w:rsidR="00D72179" w:rsidRPr="000C5050" w:rsidRDefault="00D72179" w:rsidP="00920252">
            <w:pPr>
              <w:pStyle w:val="Greentext-tables"/>
              <w:spacing w:after="80"/>
            </w:pPr>
            <w:r w:rsidRPr="000C5050">
              <w:t xml:space="preserve">I have assessed the site in accordance with the current edition of Contaminated Land Management Guidelines No 5: Site Investigation and Analysis of Soils, and reported in accordance with Contaminated Land Management Guidelines No 1: Reporting of Contaminated Sites in New Zealand. </w:t>
            </w:r>
          </w:p>
          <w:p w14:paraId="5B0C7734" w14:textId="5042EA62" w:rsidR="00D72179" w:rsidRPr="000C5050" w:rsidRDefault="00D72179" w:rsidP="00920252">
            <w:pPr>
              <w:pStyle w:val="Greentext-tables"/>
              <w:spacing w:after="80"/>
            </w:pPr>
            <w:r w:rsidRPr="000C5050">
              <w:t>I certify the results of this report and its conclusion</w:t>
            </w:r>
            <w:r w:rsidR="000711D6" w:rsidRPr="000C5050">
              <w:t>,</w:t>
            </w:r>
            <w:r w:rsidRPr="000C5050">
              <w:t xml:space="preserve"> that [insert property address] was at the time of reporting suitable for the following proposed activities [insert activities]. This report can be relied upon by [insert </w:t>
            </w:r>
            <w:r w:rsidR="000711D6" w:rsidRPr="000C5050">
              <w:t xml:space="preserve">name of </w:t>
            </w:r>
            <w:r w:rsidRPr="000C5050">
              <w:t>consenting authority].</w:t>
            </w:r>
          </w:p>
          <w:p w14:paraId="0845E7C0" w14:textId="77777777" w:rsidR="00D72179" w:rsidRPr="000C5050" w:rsidRDefault="00D72179" w:rsidP="00920252">
            <w:pPr>
              <w:pStyle w:val="Greentext-tables"/>
              <w:spacing w:after="80"/>
            </w:pPr>
            <w:r w:rsidRPr="000C5050">
              <w:t xml:space="preserve">I am a suitably qualified and experienced practitioner pursuant to the Resource Management (National Environmental Standard for Assessing and Managing Contaminants in Soil to Protect Human Health) Regulations 2011. </w:t>
            </w:r>
          </w:p>
          <w:p w14:paraId="7CD86CC4" w14:textId="77777777" w:rsidR="00D72179" w:rsidRPr="000C5050" w:rsidRDefault="00D72179" w:rsidP="00D72179">
            <w:pPr>
              <w:pStyle w:val="Greentext-tables"/>
            </w:pPr>
            <w:r w:rsidRPr="000C5050">
              <w:t xml:space="preserve">A summary of my qualifications and experience is attached to this report. </w:t>
            </w:r>
          </w:p>
          <w:p w14:paraId="15D18800" w14:textId="77777777" w:rsidR="00D72179" w:rsidRPr="000C5050" w:rsidRDefault="00D72179" w:rsidP="00D72179">
            <w:pPr>
              <w:pStyle w:val="Greentext-tables"/>
              <w:tabs>
                <w:tab w:val="left" w:pos="2920"/>
                <w:tab w:val="left" w:pos="5472"/>
              </w:tabs>
              <w:spacing w:after="240"/>
            </w:pPr>
            <w:r w:rsidRPr="000C5050">
              <w:t>Name:</w:t>
            </w:r>
            <w:r w:rsidRPr="000C5050">
              <w:tab/>
              <w:t>Signed:</w:t>
            </w:r>
            <w:r w:rsidRPr="000C5050">
              <w:tab/>
              <w:t>Date</w:t>
            </w:r>
          </w:p>
        </w:tc>
      </w:tr>
    </w:tbl>
    <w:p w14:paraId="207E37DA" w14:textId="77777777" w:rsidR="00D72179" w:rsidRPr="000C5050" w:rsidRDefault="00D72179" w:rsidP="00920252">
      <w:pPr>
        <w:pStyle w:val="Heading4"/>
        <w:spacing w:before="480"/>
      </w:pPr>
      <w:r w:rsidRPr="000C5050">
        <w:t>Anticipated impacts of the change</w:t>
      </w:r>
    </w:p>
    <w:p w14:paraId="2531601E" w14:textId="77777777" w:rsidR="00D72179" w:rsidRPr="000C5050" w:rsidRDefault="00D72179" w:rsidP="00D72179">
      <w:pPr>
        <w:pStyle w:val="BodyText"/>
      </w:pPr>
      <w:r w:rsidRPr="000C5050">
        <w:t>It is expected that standardised certifying statements for contaminated land investigations will provide users of reports with clarity and confidence in the report</w:t>
      </w:r>
      <w:r w:rsidR="0081630C" w:rsidRPr="000C5050">
        <w:t>’</w:t>
      </w:r>
      <w:r w:rsidRPr="000C5050">
        <w:t>s conclusions and its compliance the NESCS requirements. It is also expected to significantly reduce costs and delays in the consenting process, as it will reduce the perceived need to peer review an SQEP</w:t>
      </w:r>
      <w:r w:rsidR="0081630C" w:rsidRPr="000C5050">
        <w:t>’</w:t>
      </w:r>
      <w:r w:rsidRPr="000C5050">
        <w:t>s report (a costly and timely step).</w:t>
      </w:r>
    </w:p>
    <w:p w14:paraId="72412208" w14:textId="77777777" w:rsidR="00D72179" w:rsidRPr="000C5050" w:rsidRDefault="00D72179" w:rsidP="0016569F">
      <w:pPr>
        <w:pStyle w:val="Heading2"/>
        <w:spacing w:before="280" w:after="120"/>
      </w:pPr>
      <w:bookmarkStart w:id="29" w:name="_Toc460081247"/>
      <w:r w:rsidRPr="000C5050">
        <w:t>Questions</w:t>
      </w:r>
      <w:bookmarkEnd w:id="29"/>
    </w:p>
    <w:p w14:paraId="47C38385" w14:textId="77777777" w:rsidR="00D72179" w:rsidRPr="000C5050" w:rsidRDefault="00D72179" w:rsidP="007C699E">
      <w:pPr>
        <w:pStyle w:val="Bodytextnumbered"/>
        <w:keepNext/>
        <w:numPr>
          <w:ilvl w:val="0"/>
          <w:numId w:val="29"/>
        </w:numPr>
      </w:pPr>
      <w:r w:rsidRPr="000C5050">
        <w:t>Do you agree with the proposal(s)? Why, or why not?</w:t>
      </w:r>
    </w:p>
    <w:p w14:paraId="3484ED62" w14:textId="38C0C1EB" w:rsidR="006154BA" w:rsidRPr="000C5050" w:rsidRDefault="00125AAA" w:rsidP="00A252BC">
      <w:pPr>
        <w:pStyle w:val="Bodytextnumbered"/>
        <w:numPr>
          <w:ilvl w:val="0"/>
          <w:numId w:val="29"/>
        </w:numPr>
      </w:pPr>
      <w:r w:rsidRPr="000C5050">
        <w:t xml:space="preserve">In terms of proposal 5.2 (soil disturbance by network utility operators), </w:t>
      </w:r>
      <w:r w:rsidR="00A252BC" w:rsidRPr="000C5050">
        <w:t>should other groups (</w:t>
      </w:r>
      <w:proofErr w:type="spellStart"/>
      <w:r w:rsidR="00A252BC" w:rsidRPr="000C5050">
        <w:t>ie</w:t>
      </w:r>
      <w:proofErr w:type="spellEnd"/>
      <w:r w:rsidR="00D226CD">
        <w:t>,</w:t>
      </w:r>
      <w:r w:rsidR="00A252BC" w:rsidRPr="000C5050">
        <w:t xml:space="preserve"> requiring authorities) be included? Why or why not? Where possible, please provide quantitative evidence.</w:t>
      </w:r>
    </w:p>
    <w:p w14:paraId="6E24BF1D" w14:textId="77777777" w:rsidR="00D72179" w:rsidRPr="000C5050" w:rsidRDefault="00D72179" w:rsidP="00571258">
      <w:pPr>
        <w:pStyle w:val="Bodytextnumbered"/>
        <w:numPr>
          <w:ilvl w:val="0"/>
          <w:numId w:val="29"/>
        </w:numPr>
      </w:pPr>
      <w:r w:rsidRPr="000C5050">
        <w:t xml:space="preserve">In terms of proposal 5.3 (subdivisions and change of use), do you agree with either Option 1 or Option 2? Why, or why not? </w:t>
      </w:r>
    </w:p>
    <w:p w14:paraId="7A0C19DD" w14:textId="615F7916" w:rsidR="006154BA" w:rsidRPr="000C5050" w:rsidRDefault="00D72179" w:rsidP="002B3899">
      <w:pPr>
        <w:pStyle w:val="ListParagraph"/>
        <w:numPr>
          <w:ilvl w:val="0"/>
          <w:numId w:val="29"/>
        </w:numPr>
      </w:pPr>
      <w:r w:rsidRPr="000C5050">
        <w:lastRenderedPageBreak/>
        <w:t>What are the expected impacts of the proposal(s)?</w:t>
      </w:r>
      <w:r w:rsidR="006154BA" w:rsidRPr="000C5050">
        <w:t xml:space="preserve"> Where possible, please provide quantitative evidence.</w:t>
      </w:r>
      <w:r w:rsidRPr="000C5050">
        <w:t xml:space="preserve"> For example</w:t>
      </w:r>
      <w:r w:rsidR="00A252BC" w:rsidRPr="000C5050">
        <w:t>:</w:t>
      </w:r>
    </w:p>
    <w:p w14:paraId="0DBC478A" w14:textId="2E172412" w:rsidR="006154BA" w:rsidRPr="000C5050" w:rsidRDefault="006154BA" w:rsidP="00462944">
      <w:pPr>
        <w:pStyle w:val="Sub-bullet"/>
      </w:pPr>
      <w:r w:rsidRPr="000C5050">
        <w:t>D</w:t>
      </w:r>
      <w:r w:rsidR="00D72179" w:rsidRPr="000C5050">
        <w:t>o you think that the SQEP certification statement will reduce costs and/or delays in the consenting process?</w:t>
      </w:r>
      <w:r w:rsidR="00F169E1" w:rsidRPr="000C5050">
        <w:t xml:space="preserve"> </w:t>
      </w:r>
    </w:p>
    <w:p w14:paraId="2F87C3E7" w14:textId="48CF84A8" w:rsidR="00415060" w:rsidRPr="000C5050" w:rsidRDefault="00125AAA" w:rsidP="00462944">
      <w:pPr>
        <w:pStyle w:val="Sub-bullet"/>
      </w:pPr>
      <w:r w:rsidRPr="000C5050">
        <w:t>What will be the impact of adopting the definition of ‘network utility operator’ in section 166 of the RMA?</w:t>
      </w:r>
    </w:p>
    <w:p w14:paraId="1E6EE9E9" w14:textId="5C20EAC2" w:rsidR="00D72179" w:rsidRPr="000C5050" w:rsidRDefault="00415060" w:rsidP="00462944">
      <w:pPr>
        <w:pStyle w:val="BodyText"/>
        <w:keepNext/>
      </w:pPr>
      <w:r w:rsidRPr="000C5050">
        <w:t>We also seek specific feedback, particularly from territorial authorities and practitioners, on:</w:t>
      </w:r>
    </w:p>
    <w:p w14:paraId="13139FFC" w14:textId="65E64F74" w:rsidR="00415060" w:rsidRPr="000C5050" w:rsidRDefault="00415060" w:rsidP="00462944">
      <w:pPr>
        <w:pStyle w:val="ListParagraph"/>
        <w:numPr>
          <w:ilvl w:val="0"/>
          <w:numId w:val="29"/>
        </w:numPr>
        <w:spacing w:before="0"/>
      </w:pPr>
      <w:r w:rsidRPr="000C5050">
        <w:t>Do you agree with the proposed consent requirements for the activity(s)? If not, what changes would you recommend?</w:t>
      </w:r>
    </w:p>
    <w:p w14:paraId="2010642A" w14:textId="75DB0A7C" w:rsidR="00D72179" w:rsidRPr="000C5050" w:rsidRDefault="00415060" w:rsidP="00571258">
      <w:pPr>
        <w:pStyle w:val="Bodytextnumbered"/>
        <w:numPr>
          <w:ilvl w:val="0"/>
          <w:numId w:val="29"/>
        </w:numPr>
      </w:pPr>
      <w:r w:rsidRPr="000C5050">
        <w:t xml:space="preserve">Could there be </w:t>
      </w:r>
      <w:r w:rsidR="00D72179" w:rsidRPr="000C5050">
        <w:t>unintended outcomes from the proposal(s)? If so, what are they and how could they be avoided?</w:t>
      </w:r>
    </w:p>
    <w:p w14:paraId="2FDF74E7" w14:textId="74940C80" w:rsidR="00D72179" w:rsidRPr="000C5050" w:rsidRDefault="00D72179" w:rsidP="00571258">
      <w:pPr>
        <w:pStyle w:val="Bodytextnumbered"/>
        <w:numPr>
          <w:ilvl w:val="0"/>
          <w:numId w:val="29"/>
        </w:numPr>
      </w:pPr>
      <w:r w:rsidRPr="000C5050">
        <w:t>What (if any) implementation support would be required to ensure effective implementation of the proposal(s)?</w:t>
      </w:r>
    </w:p>
    <w:p w14:paraId="2A948CFF" w14:textId="77777777" w:rsidR="00B3136D" w:rsidRPr="000C5050" w:rsidRDefault="00B3136D" w:rsidP="00D612BF">
      <w:pPr>
        <w:pStyle w:val="Heading1"/>
        <w:keepLines w:val="0"/>
        <w:pageBreakBefore/>
      </w:pPr>
      <w:bookmarkStart w:id="30" w:name="_Toc460081248"/>
      <w:r w:rsidRPr="000C5050">
        <w:lastRenderedPageBreak/>
        <w:t>6</w:t>
      </w:r>
      <w:r w:rsidRPr="000C5050">
        <w:tab/>
        <w:t>Management of contaminated land</w:t>
      </w:r>
      <w:bookmarkStart w:id="31" w:name="_Toc451423694"/>
      <w:bookmarkEnd w:id="30"/>
    </w:p>
    <w:p w14:paraId="1FF1ECA1" w14:textId="77777777" w:rsidR="00B3136D" w:rsidRPr="000C5050" w:rsidRDefault="00B3136D" w:rsidP="00B3136D">
      <w:pPr>
        <w:pStyle w:val="Heading2"/>
        <w:spacing w:before="240"/>
      </w:pPr>
      <w:bookmarkStart w:id="32" w:name="_Toc460081249"/>
      <w:r w:rsidRPr="000C5050">
        <w:t>Site-specific management appropriate for risk</w:t>
      </w:r>
      <w:bookmarkEnd w:id="32"/>
    </w:p>
    <w:bookmarkEnd w:id="31"/>
    <w:p w14:paraId="1F0F95BC" w14:textId="11E8506C" w:rsidR="00B3136D" w:rsidRPr="000C5050" w:rsidRDefault="00B3136D" w:rsidP="00B3136D">
      <w:pPr>
        <w:pStyle w:val="BodyText"/>
      </w:pPr>
      <w:r w:rsidRPr="000C5050">
        <w:t>Risks to human health from contamination in soil can be managed through a variety of means, which can broadly be split into remediation or on-site management.</w:t>
      </w:r>
      <w:r w:rsidRPr="000C5050">
        <w:rPr>
          <w:vertAlign w:val="superscript"/>
        </w:rPr>
        <w:footnoteReference w:id="9"/>
      </w:r>
      <w:r w:rsidR="007D080D" w:rsidRPr="000C5050">
        <w:t xml:space="preserve"> </w:t>
      </w:r>
      <w:r w:rsidRPr="000C5050">
        <w:t>The National Environmental Standard for Assessing and Managing Contaminants in Soil to Protect Human</w:t>
      </w:r>
      <w:r w:rsidR="005D6C18" w:rsidRPr="000C5050">
        <w:t> </w:t>
      </w:r>
      <w:r w:rsidRPr="000C5050">
        <w:t xml:space="preserve">Health (NESCS) uses the term </w:t>
      </w:r>
      <w:r w:rsidR="0081630C" w:rsidRPr="000C5050">
        <w:t>‘</w:t>
      </w:r>
      <w:r w:rsidRPr="000C5050">
        <w:t>applicable standard</w:t>
      </w:r>
      <w:r w:rsidR="0081630C" w:rsidRPr="000C5050">
        <w:t>’</w:t>
      </w:r>
      <w:r w:rsidRPr="000C5050">
        <w:t xml:space="preserve"> to describe the concentration of</w:t>
      </w:r>
      <w:r w:rsidR="00C63D26" w:rsidRPr="000C5050">
        <w:t> </w:t>
      </w:r>
      <w:r w:rsidRPr="000C5050">
        <w:t>a</w:t>
      </w:r>
      <w:r w:rsidR="005D6C18" w:rsidRPr="000C5050">
        <w:t> </w:t>
      </w:r>
      <w:r w:rsidRPr="000C5050">
        <w:t>contaminant in soil at or below which exposure to soil is acceptable for people, and determine whether management or remediation</w:t>
      </w:r>
      <w:r w:rsidR="007D080D" w:rsidRPr="000C5050">
        <w:t xml:space="preserve"> </w:t>
      </w:r>
      <w:r w:rsidRPr="000C5050">
        <w:t>is required. The methods for determining the</w:t>
      </w:r>
      <w:r w:rsidR="005D6C18" w:rsidRPr="000C5050">
        <w:t> </w:t>
      </w:r>
      <w:r w:rsidR="00C63D26" w:rsidRPr="000C5050">
        <w:t>‘</w:t>
      </w:r>
      <w:r w:rsidRPr="000C5050">
        <w:t>applicable standard</w:t>
      </w:r>
      <w:r w:rsidR="0081630C" w:rsidRPr="000C5050">
        <w:t>’</w:t>
      </w:r>
      <w:r w:rsidRPr="000C5050">
        <w:t xml:space="preserve"> are set out in the NESCS and in the </w:t>
      </w:r>
      <w:r w:rsidRPr="000C5050">
        <w:rPr>
          <w:i/>
        </w:rPr>
        <w:t>Methodology for deriving standards for contaminants in soil to protect human health</w:t>
      </w:r>
      <w:r w:rsidRPr="000C5050">
        <w:t xml:space="preserve"> (Ministry for the Environment, 2011e) (the methodology)</w:t>
      </w:r>
      <w:r w:rsidRPr="000C5050">
        <w:rPr>
          <w:i/>
        </w:rPr>
        <w:t xml:space="preserve">. </w:t>
      </w:r>
      <w:r w:rsidRPr="000C5050">
        <w:t>Once soil on a site has been tested, the results are compared to the </w:t>
      </w:r>
      <w:r w:rsidR="00C63D26" w:rsidRPr="000C5050">
        <w:t>‘</w:t>
      </w:r>
      <w:r w:rsidRPr="000C5050">
        <w:t>applicable standard</w:t>
      </w:r>
      <w:r w:rsidR="0081630C" w:rsidRPr="000C5050">
        <w:t>’</w:t>
      </w:r>
      <w:r w:rsidRPr="000C5050">
        <w:t xml:space="preserve"> to understand the suitability of the site for the proposed site use (</w:t>
      </w:r>
      <w:proofErr w:type="spellStart"/>
      <w:r w:rsidRPr="000C5050">
        <w:t>eg</w:t>
      </w:r>
      <w:proofErr w:type="spellEnd"/>
      <w:r w:rsidRPr="000C5050">
        <w:t>,</w:t>
      </w:r>
      <w:r w:rsidR="005D6C18" w:rsidRPr="000C5050">
        <w:t> </w:t>
      </w:r>
      <w:r w:rsidRPr="000C5050">
        <w:t xml:space="preserve">residential use). </w:t>
      </w:r>
    </w:p>
    <w:p w14:paraId="33F01E72" w14:textId="5B85FE5C" w:rsidR="00B3136D" w:rsidRPr="000C5050" w:rsidRDefault="00B3136D" w:rsidP="00B3136D">
      <w:pPr>
        <w:pStyle w:val="BodyText"/>
      </w:pPr>
      <w:r w:rsidRPr="000C5050">
        <w:t xml:space="preserve">To provide flexibility to the landowner, and allow for the variable characteristics and circumstances of contaminated sites, the NESCS does not dictate how remediation or on-site management should occur. Instead, the discretion as to whether a proposal will adequately manage risk to human health lies with the council. The </w:t>
      </w:r>
      <w:r w:rsidRPr="000C5050">
        <w:rPr>
          <w:i/>
          <w:iCs/>
        </w:rPr>
        <w:t xml:space="preserve">Interim review of the National Environmental Standard for Assessing and Managing Contaminants in Soil to Protect Human Health: Summary Report </w:t>
      </w:r>
      <w:r w:rsidRPr="000C5050">
        <w:t>found that, in some circumstances, this discretion is not being exercised. For example:</w:t>
      </w:r>
    </w:p>
    <w:p w14:paraId="1DCCCA64" w14:textId="4715D834" w:rsidR="00B3136D" w:rsidRPr="000C5050" w:rsidRDefault="00B3136D" w:rsidP="00B3136D">
      <w:pPr>
        <w:pStyle w:val="Bullet"/>
      </w:pPr>
      <w:r w:rsidRPr="000C5050">
        <w:t xml:space="preserve">contaminated land practitioners may recommend </w:t>
      </w:r>
      <w:r w:rsidR="0081630C" w:rsidRPr="000C5050">
        <w:t>‘</w:t>
      </w:r>
      <w:r w:rsidRPr="000C5050">
        <w:t>dig and dump</w:t>
      </w:r>
      <w:r w:rsidR="0081630C" w:rsidRPr="000C5050">
        <w:t>’</w:t>
      </w:r>
      <w:r w:rsidRPr="000C5050">
        <w:t xml:space="preserve"> of contaminated soil as a default, regardless of the actual level of risk</w:t>
      </w:r>
    </w:p>
    <w:p w14:paraId="547D2309" w14:textId="3E7BF77F" w:rsidR="00B3136D" w:rsidRPr="000C5050" w:rsidRDefault="00B3136D" w:rsidP="00B3136D">
      <w:pPr>
        <w:pStyle w:val="Bullet"/>
      </w:pPr>
      <w:proofErr w:type="gramStart"/>
      <w:r w:rsidRPr="000C5050">
        <w:t>a</w:t>
      </w:r>
      <w:proofErr w:type="gramEnd"/>
      <w:r w:rsidRPr="000C5050">
        <w:t xml:space="preserve"> council may be unwilling to grant resource consent for proposals that do not remove the contaminated soil. </w:t>
      </w:r>
    </w:p>
    <w:p w14:paraId="5FB5FFC3" w14:textId="7FF10058" w:rsidR="00B3136D" w:rsidRPr="000C5050" w:rsidRDefault="00B3136D" w:rsidP="00B3136D">
      <w:pPr>
        <w:pStyle w:val="BodyText"/>
      </w:pPr>
      <w:r w:rsidRPr="000C5050">
        <w:t>In these instances, the</w:t>
      </w:r>
      <w:r w:rsidR="005420CD" w:rsidRPr="000C5050">
        <w:t xml:space="preserve"> controls imposed can be</w:t>
      </w:r>
      <w:r w:rsidRPr="000C5050">
        <w:t xml:space="preserve"> NESCS is often an unexpected and significant cost to landowners, when there may have been other lower cost options. This is a particular issue for residential property owners, as there is no clearly described pathway that describes the actions appropriate to manage risks. This is causing delays and stress as landowners must negotiate with practitioners and their council to determine what is required of them.</w:t>
      </w:r>
    </w:p>
    <w:p w14:paraId="6421C077" w14:textId="77777777" w:rsidR="00B3136D" w:rsidRPr="000C5050" w:rsidRDefault="00B3136D" w:rsidP="00B3136D">
      <w:pPr>
        <w:pStyle w:val="BodyText"/>
      </w:pPr>
      <w:r w:rsidRPr="000C5050">
        <w:t>The Ministry seeks to amend the NESCS framework to provide options for site-specific management that are appropriate for the risk to human health.</w:t>
      </w:r>
    </w:p>
    <w:p w14:paraId="7DE19342" w14:textId="77777777" w:rsidR="00D72179" w:rsidRPr="000C5050" w:rsidRDefault="00E43AB1" w:rsidP="00E43AB1">
      <w:pPr>
        <w:pStyle w:val="Heading2"/>
      </w:pPr>
      <w:bookmarkStart w:id="33" w:name="_Toc460081250"/>
      <w:r w:rsidRPr="000C5050">
        <w:t>Proposals</w:t>
      </w:r>
      <w:bookmarkEnd w:id="33"/>
    </w:p>
    <w:p w14:paraId="51DB38BF" w14:textId="77777777" w:rsidR="00E43AB1" w:rsidRPr="000C5050" w:rsidRDefault="00E43AB1" w:rsidP="00AB35CD">
      <w:pPr>
        <w:pStyle w:val="Boxheading"/>
      </w:pPr>
      <w:r w:rsidRPr="000C5050">
        <w:t>Introduce a template ongoing site management plan</w:t>
      </w:r>
    </w:p>
    <w:p w14:paraId="621CD545" w14:textId="77777777" w:rsidR="00E43AB1" w:rsidRPr="000C5050" w:rsidRDefault="00E43AB1" w:rsidP="00AB35CD">
      <w:pPr>
        <w:pStyle w:val="Box"/>
      </w:pPr>
      <w:r w:rsidRPr="000C5050">
        <w:t xml:space="preserve">6.1 </w:t>
      </w:r>
      <w:r w:rsidRPr="000C5050">
        <w:tab/>
        <w:t xml:space="preserve">Option of a template ongoing site management plan (with controls) for residential property owners. </w:t>
      </w:r>
    </w:p>
    <w:p w14:paraId="072EA8C3" w14:textId="77777777" w:rsidR="00E43AB1" w:rsidRPr="000C5050" w:rsidRDefault="00E43AB1" w:rsidP="00AB35CD">
      <w:pPr>
        <w:pStyle w:val="Box"/>
      </w:pPr>
      <w:r w:rsidRPr="000C5050">
        <w:lastRenderedPageBreak/>
        <w:t xml:space="preserve">6.2 </w:t>
      </w:r>
      <w:r w:rsidRPr="000C5050">
        <w:tab/>
        <w:t>Non-regulatory guidance on options for managing contamination on residential properties.</w:t>
      </w:r>
    </w:p>
    <w:p w14:paraId="240CFB83" w14:textId="77777777" w:rsidR="00E43AB1" w:rsidRPr="000C5050" w:rsidRDefault="00E43AB1" w:rsidP="00AB35CD">
      <w:pPr>
        <w:pStyle w:val="Boxheading"/>
      </w:pPr>
      <w:r w:rsidRPr="000C5050">
        <w:t>Introduce bioavailability testing in New Zealand</w:t>
      </w:r>
    </w:p>
    <w:p w14:paraId="21198CAF" w14:textId="1094C0B5" w:rsidR="00E43AB1" w:rsidRPr="000C5050" w:rsidRDefault="00E43AB1" w:rsidP="00AB35CD">
      <w:pPr>
        <w:pStyle w:val="Box"/>
      </w:pPr>
      <w:r w:rsidRPr="000C5050">
        <w:t>6.3</w:t>
      </w:r>
      <w:r w:rsidRPr="000C5050">
        <w:tab/>
        <w:t xml:space="preserve">Option to </w:t>
      </w:r>
      <w:r w:rsidR="00DA3F3F" w:rsidRPr="000C5050">
        <w:t>enable site-specific soil guideline values to be calculated using the site-specific bioavailable concentration of arsenic and lead.</w:t>
      </w:r>
    </w:p>
    <w:p w14:paraId="78C9C162" w14:textId="77777777" w:rsidR="009759EF" w:rsidRPr="000C5050" w:rsidRDefault="009759EF" w:rsidP="009759EF">
      <w:pPr>
        <w:pStyle w:val="BodyText"/>
        <w:spacing w:before="0" w:after="0" w:line="360" w:lineRule="auto"/>
      </w:pPr>
    </w:p>
    <w:p w14:paraId="6C36E2F9" w14:textId="77777777" w:rsidR="00E43AB1" w:rsidRPr="000C5050" w:rsidRDefault="00E43AB1" w:rsidP="009759EF">
      <w:pPr>
        <w:pStyle w:val="Blueboxtext"/>
        <w:spacing w:before="0"/>
      </w:pPr>
      <w:r w:rsidRPr="000C5050">
        <w:rPr>
          <w:b/>
        </w:rPr>
        <w:t>Bioavailable</w:t>
      </w:r>
      <w:r w:rsidRPr="000C5050">
        <w:t xml:space="preserve"> for NESCS purposes means the proportion of a substance that would be absorbed from soil, via the digestive system, into the human body.</w:t>
      </w:r>
    </w:p>
    <w:p w14:paraId="10AE5CA7" w14:textId="77777777" w:rsidR="00B05654" w:rsidRPr="000C5050" w:rsidRDefault="00986308" w:rsidP="00D50B28">
      <w:pPr>
        <w:pStyle w:val="Heading3"/>
        <w:spacing w:before="480" w:after="60"/>
      </w:pPr>
      <w:r w:rsidRPr="000C5050">
        <w:t>Template ongoing site management plan</w:t>
      </w:r>
    </w:p>
    <w:p w14:paraId="0C251F41" w14:textId="77777777" w:rsidR="00986308" w:rsidRPr="000C5050" w:rsidRDefault="00986308" w:rsidP="00AB35CD">
      <w:pPr>
        <w:pStyle w:val="Box"/>
      </w:pPr>
      <w:r w:rsidRPr="000C5050">
        <w:t xml:space="preserve">6.1 </w:t>
      </w:r>
      <w:r w:rsidRPr="000C5050">
        <w:tab/>
        <w:t>Option of a template ongoing site management plan (with controls) for residential property owners.</w:t>
      </w:r>
    </w:p>
    <w:p w14:paraId="072CB704" w14:textId="77777777" w:rsidR="00986308" w:rsidRPr="000C5050" w:rsidRDefault="00986308" w:rsidP="00395602">
      <w:pPr>
        <w:pStyle w:val="Heading4"/>
      </w:pPr>
      <w:r w:rsidRPr="000C5050">
        <w:t>Purpose</w:t>
      </w:r>
    </w:p>
    <w:p w14:paraId="5975C2FB" w14:textId="35B1A86F" w:rsidR="00986308" w:rsidRPr="000C5050" w:rsidRDefault="00986308" w:rsidP="00986308">
      <w:pPr>
        <w:pStyle w:val="BodyText"/>
      </w:pPr>
      <w:r w:rsidRPr="000C5050">
        <w:t>The purpose of the template ongoing site management plan (TOSMP) is to control future activities on sites where contamination has been identified but on-site management is considered sufficient to manage the risk, or for sites that have been remediated but where residual contamination requires management. It is proposed that landowners of residential and rural residential properties would be able to opt for a TOSMP at the time of obtaining NESCS consent for subdivision or change of use, rather than needing to carry out remediation.</w:t>
      </w:r>
    </w:p>
    <w:p w14:paraId="15C60FAC" w14:textId="60A8DD22" w:rsidR="00986308" w:rsidRPr="000C5050" w:rsidRDefault="00986308" w:rsidP="00986308">
      <w:pPr>
        <w:pStyle w:val="BodyText"/>
      </w:pPr>
      <w:r w:rsidRPr="000C5050">
        <w:t>Guidance on the content of TOSMPs is contained in CLMG No 1. This proposal specifically target</w:t>
      </w:r>
      <w:r w:rsidR="00E763BE" w:rsidRPr="000C5050">
        <w:t>s</w:t>
      </w:r>
      <w:r w:rsidRPr="000C5050">
        <w:t xml:space="preserve"> residential and rural residential scenarios.</w:t>
      </w:r>
      <w:r w:rsidR="007D080D" w:rsidRPr="000C5050">
        <w:t xml:space="preserve"> </w:t>
      </w:r>
      <w:r w:rsidRPr="000C5050">
        <w:t>It is not proposed that this option be applied to other land uses, such as childcare centres or schools (which may use residential soil contaminant standards).</w:t>
      </w:r>
    </w:p>
    <w:p w14:paraId="6A53EFF4" w14:textId="77777777" w:rsidR="00986308" w:rsidRPr="000C5050" w:rsidRDefault="00986308" w:rsidP="00986308">
      <w:pPr>
        <w:pStyle w:val="BodyText"/>
      </w:pPr>
      <w:r w:rsidRPr="000C5050">
        <w:t xml:space="preserve">As children are most susceptible to the effects of contaminants in soil, a key element of the TOSMP is ensuring that the areas where children are likely to spend the majority of their time do not have unacceptable concentrations of contaminants. </w:t>
      </w:r>
    </w:p>
    <w:p w14:paraId="312965DE" w14:textId="6B7EEAB0" w:rsidR="00986308" w:rsidRPr="000C5050" w:rsidRDefault="00986308" w:rsidP="00986308">
      <w:pPr>
        <w:pStyle w:val="BodyText"/>
        <w:rPr>
          <w:rFonts w:eastAsia="Calibri"/>
          <w:color w:val="000000"/>
          <w:u w:color="000000"/>
          <w:bdr w:val="nil"/>
        </w:rPr>
      </w:pPr>
      <w:r w:rsidRPr="000C5050">
        <w:t xml:space="preserve">A TOSMP does not </w:t>
      </w:r>
      <w:r w:rsidRPr="000C5050">
        <w:rPr>
          <w:rFonts w:eastAsia="Calibri"/>
          <w:color w:val="000000"/>
          <w:u w:color="000000"/>
          <w:bdr w:val="nil"/>
        </w:rPr>
        <w:t>provide a guarantee that people will not be exposed to contaminants in soil, as it will not eliminate all the exposure pathways of contaminants. Effective implementation of a TOSMP will reduce the overall intake of soil, however</w:t>
      </w:r>
      <w:r w:rsidR="00E763BE" w:rsidRPr="000C5050">
        <w:rPr>
          <w:rFonts w:eastAsia="Calibri"/>
          <w:color w:val="000000"/>
          <w:u w:color="000000"/>
          <w:bdr w:val="nil"/>
        </w:rPr>
        <w:t>,</w:t>
      </w:r>
      <w:r w:rsidR="008747FF" w:rsidRPr="000C5050">
        <w:rPr>
          <w:rFonts w:eastAsia="Calibri"/>
          <w:color w:val="000000"/>
          <w:u w:color="000000"/>
          <w:bdr w:val="nil"/>
        </w:rPr>
        <w:t xml:space="preserve"> and therefore the corresponding risks to human health.</w:t>
      </w:r>
      <w:r w:rsidR="009637E0" w:rsidRPr="000C5050">
        <w:rPr>
          <w:rFonts w:eastAsia="Calibri"/>
          <w:color w:val="000000"/>
          <w:u w:color="000000"/>
          <w:bdr w:val="nil"/>
        </w:rPr>
        <w:t xml:space="preserve"> </w:t>
      </w:r>
    </w:p>
    <w:p w14:paraId="1C35C3A7" w14:textId="77777777" w:rsidR="00986308" w:rsidRPr="000C5050" w:rsidRDefault="00986308" w:rsidP="00395602">
      <w:pPr>
        <w:pStyle w:val="Heading4"/>
      </w:pPr>
      <w:r w:rsidRPr="000C5050">
        <w:rPr>
          <w:rFonts w:eastAsia="Calibri"/>
          <w:u w:color="000000"/>
          <w:bdr w:val="nil"/>
        </w:rPr>
        <w:t>Application</w:t>
      </w:r>
    </w:p>
    <w:p w14:paraId="0AD8ED23" w14:textId="11096D06" w:rsidR="00AB64B5" w:rsidRPr="000C5050" w:rsidRDefault="00AB64B5" w:rsidP="00986308">
      <w:pPr>
        <w:pStyle w:val="BodyText"/>
        <w:rPr>
          <w:rFonts w:eastAsia="Calibri"/>
          <w:color w:val="000000"/>
          <w:u w:color="000000"/>
          <w:bdr w:val="nil"/>
        </w:rPr>
      </w:pPr>
      <w:r w:rsidRPr="000C5050">
        <w:rPr>
          <w:rFonts w:eastAsia="Calibri"/>
          <w:color w:val="000000"/>
          <w:u w:color="000000"/>
          <w:bdr w:val="nil"/>
        </w:rPr>
        <w:t>An ongoing site management plan is already an option under the NESCS (as per regulation 10(3</w:t>
      </w:r>
      <w:proofErr w:type="gramStart"/>
      <w:r w:rsidRPr="000C5050">
        <w:rPr>
          <w:rFonts w:eastAsia="Calibri"/>
          <w:color w:val="000000"/>
          <w:u w:color="000000"/>
          <w:bdr w:val="nil"/>
        </w:rPr>
        <w:t>)(</w:t>
      </w:r>
      <w:proofErr w:type="gramEnd"/>
      <w:r w:rsidRPr="000C5050">
        <w:rPr>
          <w:rFonts w:eastAsia="Calibri"/>
          <w:color w:val="000000"/>
          <w:u w:color="000000"/>
          <w:bdr w:val="nil"/>
        </w:rPr>
        <w:t>c)). Proposal 6.1 seeks to generate a template of an ongoing site management plan for residential property owners – the TO</w:t>
      </w:r>
      <w:r w:rsidR="004532E2" w:rsidRPr="000C5050">
        <w:rPr>
          <w:rFonts w:eastAsia="Calibri"/>
          <w:color w:val="000000"/>
          <w:u w:color="000000"/>
          <w:bdr w:val="nil"/>
        </w:rPr>
        <w:t>S</w:t>
      </w:r>
      <w:r w:rsidRPr="000C5050">
        <w:rPr>
          <w:rFonts w:eastAsia="Calibri"/>
          <w:color w:val="000000"/>
          <w:u w:color="000000"/>
          <w:bdr w:val="nil"/>
        </w:rPr>
        <w:t>MP.</w:t>
      </w:r>
    </w:p>
    <w:p w14:paraId="559F9484" w14:textId="24688DEF" w:rsidR="00986308" w:rsidRPr="000C5050" w:rsidRDefault="00986308" w:rsidP="00986308">
      <w:pPr>
        <w:pStyle w:val="BodyText"/>
        <w:rPr>
          <w:rFonts w:eastAsia="Calibri"/>
          <w:color w:val="000000"/>
          <w:u w:color="000000"/>
          <w:bdr w:val="nil"/>
        </w:rPr>
      </w:pPr>
      <w:r w:rsidRPr="000C5050">
        <w:rPr>
          <w:rFonts w:eastAsia="Calibri"/>
          <w:color w:val="000000"/>
          <w:u w:color="000000"/>
          <w:bdr w:val="nil"/>
        </w:rPr>
        <w:t>Effective implementation of the TOSMP will reduce the overall intake of soil that is contaminated</w:t>
      </w:r>
      <w:r w:rsidR="000A55DA" w:rsidRPr="000C5050">
        <w:rPr>
          <w:rFonts w:eastAsia="Calibri"/>
          <w:color w:val="000000"/>
          <w:u w:color="000000"/>
          <w:bdr w:val="nil"/>
        </w:rPr>
        <w:t>. This</w:t>
      </w:r>
      <w:r w:rsidRPr="000C5050">
        <w:rPr>
          <w:rFonts w:eastAsia="Calibri"/>
          <w:color w:val="000000"/>
          <w:u w:color="000000"/>
          <w:bdr w:val="nil"/>
        </w:rPr>
        <w:t xml:space="preserve"> will be </w:t>
      </w:r>
      <w:r w:rsidR="000A55DA" w:rsidRPr="000C5050">
        <w:rPr>
          <w:rFonts w:eastAsia="Calibri"/>
          <w:color w:val="000000"/>
          <w:u w:color="000000"/>
          <w:bdr w:val="nil"/>
        </w:rPr>
        <w:t xml:space="preserve">reflected in </w:t>
      </w:r>
      <w:r w:rsidRPr="000C5050">
        <w:rPr>
          <w:rFonts w:eastAsia="Calibri"/>
          <w:color w:val="000000"/>
          <w:u w:color="000000"/>
          <w:bdr w:val="nil"/>
        </w:rPr>
        <w:t>a new soil guideline value.</w:t>
      </w:r>
      <w:r w:rsidR="007D080D" w:rsidRPr="000C5050">
        <w:rPr>
          <w:rFonts w:eastAsia="Calibri"/>
          <w:color w:val="000000"/>
          <w:u w:color="000000"/>
          <w:bdr w:val="nil"/>
        </w:rPr>
        <w:t xml:space="preserve"> </w:t>
      </w:r>
    </w:p>
    <w:p w14:paraId="44417101" w14:textId="4C55311F" w:rsidR="00986308" w:rsidRPr="000C5050" w:rsidRDefault="00AB64B5" w:rsidP="00986308">
      <w:pPr>
        <w:pStyle w:val="BodyText"/>
        <w:rPr>
          <w:rFonts w:eastAsia="Calibri"/>
          <w:color w:val="000000"/>
          <w:u w:color="000000"/>
          <w:bdr w:val="nil"/>
        </w:rPr>
      </w:pPr>
      <w:r w:rsidRPr="000C5050">
        <w:rPr>
          <w:rFonts w:eastAsia="Calibri"/>
          <w:color w:val="000000"/>
          <w:u w:color="000000"/>
          <w:bdr w:val="nil"/>
        </w:rPr>
        <w:lastRenderedPageBreak/>
        <w:t>To make it clear which sites are eligible to use a TOSMP, a</w:t>
      </w:r>
      <w:r w:rsidR="00986308" w:rsidRPr="000C5050">
        <w:rPr>
          <w:rFonts w:eastAsia="Calibri"/>
          <w:color w:val="000000"/>
          <w:u w:color="000000"/>
          <w:bdr w:val="nil"/>
        </w:rPr>
        <w:t xml:space="preserve"> new soil guideline value will need to be derived (in accordance with the </w:t>
      </w:r>
      <w:r w:rsidRPr="000C5050">
        <w:rPr>
          <w:rFonts w:eastAsia="Calibri"/>
          <w:i/>
          <w:color w:val="000000"/>
          <w:u w:color="000000"/>
          <w:bdr w:val="nil"/>
        </w:rPr>
        <w:t>M</w:t>
      </w:r>
      <w:r w:rsidR="00986308" w:rsidRPr="000C5050">
        <w:rPr>
          <w:rFonts w:eastAsia="Calibri"/>
          <w:i/>
          <w:color w:val="000000"/>
          <w:u w:color="000000"/>
          <w:bdr w:val="nil"/>
        </w:rPr>
        <w:t>ethodology</w:t>
      </w:r>
      <w:r w:rsidR="00986308" w:rsidRPr="000C5050">
        <w:rPr>
          <w:rFonts w:eastAsia="Calibri"/>
          <w:color w:val="000000"/>
          <w:u w:color="000000"/>
          <w:bdr w:val="nil"/>
        </w:rPr>
        <w:t>)</w:t>
      </w:r>
      <w:r w:rsidR="0068248D" w:rsidRPr="000C5050">
        <w:rPr>
          <w:rFonts w:eastAsia="Calibri"/>
          <w:color w:val="000000"/>
          <w:u w:color="000000"/>
          <w:bdr w:val="nil"/>
        </w:rPr>
        <w:t xml:space="preserve"> </w:t>
      </w:r>
      <w:r w:rsidR="00986308" w:rsidRPr="000C5050">
        <w:rPr>
          <w:rFonts w:eastAsia="Calibri"/>
          <w:color w:val="000000"/>
          <w:u w:color="000000"/>
          <w:bdr w:val="nil"/>
        </w:rPr>
        <w:t xml:space="preserve">which takes account of both the elimination of the produce consumption pathway </w:t>
      </w:r>
      <w:r w:rsidR="00986308" w:rsidRPr="000C5050">
        <w:rPr>
          <w:rFonts w:eastAsia="Calibri"/>
          <w:i/>
          <w:color w:val="000000"/>
          <w:u w:color="000000"/>
          <w:bdr w:val="nil"/>
        </w:rPr>
        <w:t>and</w:t>
      </w:r>
      <w:r w:rsidR="00986308" w:rsidRPr="000C5050">
        <w:rPr>
          <w:rFonts w:eastAsia="Calibri"/>
          <w:color w:val="000000"/>
          <w:u w:color="000000"/>
          <w:bdr w:val="nil"/>
        </w:rPr>
        <w:t xml:space="preserve"> the effect on other exposure pathways (mainly ingestion) where site management controls have been implemented. </w:t>
      </w:r>
      <w:r w:rsidR="004504DB" w:rsidRPr="000C5050">
        <w:rPr>
          <w:rFonts w:eastAsia="Calibri"/>
          <w:color w:val="000000"/>
          <w:u w:color="000000"/>
          <w:bdr w:val="nil"/>
        </w:rPr>
        <w:t xml:space="preserve">The </w:t>
      </w:r>
      <w:r w:rsidR="004504DB" w:rsidRPr="000C5050">
        <w:rPr>
          <w:rFonts w:eastAsia="Calibri"/>
          <w:i/>
          <w:color w:val="000000"/>
          <w:u w:color="000000"/>
          <w:bdr w:val="nil"/>
        </w:rPr>
        <w:t xml:space="preserve">Methodology </w:t>
      </w:r>
      <w:r w:rsidR="004504DB" w:rsidRPr="000C5050">
        <w:rPr>
          <w:rFonts w:eastAsia="Calibri"/>
          <w:color w:val="000000"/>
          <w:u w:color="000000"/>
          <w:bdr w:val="nil"/>
        </w:rPr>
        <w:t xml:space="preserve">already contains soil guideline values for </w:t>
      </w:r>
      <w:r w:rsidR="009463E9" w:rsidRPr="000C5050">
        <w:rPr>
          <w:rFonts w:eastAsia="Calibri"/>
          <w:color w:val="000000"/>
          <w:u w:color="000000"/>
          <w:bdr w:val="nil"/>
        </w:rPr>
        <w:t xml:space="preserve">the elimination of the produce consumption pathway for </w:t>
      </w:r>
      <w:r w:rsidR="004504DB" w:rsidRPr="000C5050">
        <w:rPr>
          <w:rFonts w:eastAsia="Calibri"/>
          <w:color w:val="000000"/>
          <w:u w:color="000000"/>
          <w:bdr w:val="nil"/>
        </w:rPr>
        <w:t xml:space="preserve">residential and rural-residential </w:t>
      </w:r>
      <w:r w:rsidR="009463E9" w:rsidRPr="000C5050">
        <w:rPr>
          <w:rFonts w:eastAsia="Calibri"/>
          <w:color w:val="000000"/>
          <w:u w:color="000000"/>
          <w:bdr w:val="nil"/>
        </w:rPr>
        <w:t xml:space="preserve">land-use scenarios, and a </w:t>
      </w:r>
      <w:r w:rsidR="004504DB" w:rsidRPr="000C5050">
        <w:rPr>
          <w:rFonts w:eastAsia="Calibri"/>
          <w:color w:val="000000"/>
          <w:u w:color="000000"/>
          <w:bdr w:val="nil"/>
        </w:rPr>
        <w:t xml:space="preserve">TOSMP that includes resource consent conditions could be approved for a site that implements this management control </w:t>
      </w:r>
      <w:r w:rsidR="004504DB" w:rsidRPr="000C5050">
        <w:rPr>
          <w:rFonts w:eastAsia="Calibri"/>
          <w:b/>
          <w:color w:val="000000"/>
          <w:u w:color="000000"/>
          <w:bdr w:val="nil"/>
        </w:rPr>
        <w:t>only</w:t>
      </w:r>
      <w:r w:rsidR="004504DB" w:rsidRPr="000C5050">
        <w:rPr>
          <w:rFonts w:eastAsia="Calibri"/>
          <w:color w:val="000000"/>
          <w:u w:color="000000"/>
          <w:bdr w:val="nil"/>
        </w:rPr>
        <w:t xml:space="preserve">. (This may be a good option where the contaminants of concern are cadmium or </w:t>
      </w:r>
      <w:proofErr w:type="spellStart"/>
      <w:r w:rsidR="004504DB" w:rsidRPr="000C5050">
        <w:rPr>
          <w:rFonts w:eastAsia="Calibri"/>
          <w:color w:val="000000"/>
          <w:u w:color="000000"/>
          <w:bdr w:val="nil"/>
        </w:rPr>
        <w:t>dieldrin</w:t>
      </w:r>
      <w:proofErr w:type="spellEnd"/>
      <w:r w:rsidR="004504DB" w:rsidRPr="000C5050">
        <w:rPr>
          <w:rFonts w:eastAsia="Calibri"/>
          <w:color w:val="000000"/>
          <w:u w:color="000000"/>
          <w:bdr w:val="nil"/>
        </w:rPr>
        <w:t xml:space="preserve">, for example, as these have relatively high </w:t>
      </w:r>
      <w:proofErr w:type="spellStart"/>
      <w:r w:rsidR="004504DB" w:rsidRPr="000C5050">
        <w:rPr>
          <w:rFonts w:eastAsia="Calibri"/>
          <w:color w:val="000000"/>
          <w:u w:color="000000"/>
          <w:bdr w:val="nil"/>
        </w:rPr>
        <w:t>bioconcentration</w:t>
      </w:r>
      <w:proofErr w:type="spellEnd"/>
      <w:r w:rsidR="004504DB" w:rsidRPr="000C5050">
        <w:rPr>
          <w:rFonts w:eastAsia="Calibri"/>
          <w:color w:val="000000"/>
          <w:u w:color="000000"/>
          <w:bdr w:val="nil"/>
        </w:rPr>
        <w:t xml:space="preserve"> factors, and the elimination of the produce ingestion exposure pathway has a significant effect on the SGV.) </w:t>
      </w:r>
    </w:p>
    <w:p w14:paraId="1D991273" w14:textId="567DBF44" w:rsidR="00986308" w:rsidRPr="000C5050" w:rsidRDefault="00986308" w:rsidP="00986308">
      <w:pPr>
        <w:pStyle w:val="BodyText"/>
        <w:rPr>
          <w:rFonts w:eastAsia="Calibri"/>
          <w:color w:val="000000"/>
          <w:u w:color="000000"/>
          <w:bdr w:val="nil"/>
        </w:rPr>
      </w:pPr>
      <w:r w:rsidRPr="000C5050">
        <w:rPr>
          <w:rFonts w:eastAsia="Calibri"/>
          <w:color w:val="000000"/>
          <w:u w:color="000000"/>
          <w:bdr w:val="nil"/>
        </w:rPr>
        <w:t>To determine what this new soil guideline value should be, the Ministry commissioned a report from Golders Associates (NZ) Limited</w:t>
      </w:r>
      <w:r w:rsidRPr="000C5050">
        <w:rPr>
          <w:rFonts w:eastAsia="Calibri"/>
          <w:i/>
          <w:color w:val="000000"/>
          <w:u w:color="000000"/>
          <w:bdr w:val="nil"/>
        </w:rPr>
        <w:t xml:space="preserve"> </w:t>
      </w:r>
      <w:r w:rsidRPr="000C5050">
        <w:rPr>
          <w:rFonts w:eastAsia="Calibri"/>
          <w:color w:val="000000"/>
          <w:u w:color="000000"/>
          <w:bdr w:val="nil"/>
        </w:rPr>
        <w:t>on site management options for residential land to manage potential health risks from low-level diffuse contamination (</w:t>
      </w:r>
      <w:r w:rsidR="00E80BEE">
        <w:rPr>
          <w:rFonts w:eastAsia="Calibri"/>
          <w:color w:val="000000"/>
          <w:u w:color="000000"/>
          <w:bdr w:val="nil"/>
        </w:rPr>
        <w:t>Golders Associates, 2016</w:t>
      </w:r>
      <w:r w:rsidR="00CB5C65">
        <w:rPr>
          <w:rFonts w:eastAsia="Calibri"/>
          <w:color w:val="000000"/>
          <w:u w:color="000000"/>
          <w:bdr w:val="nil"/>
        </w:rPr>
        <w:t>b</w:t>
      </w:r>
      <w:r w:rsidRPr="000C5050">
        <w:rPr>
          <w:rFonts w:eastAsia="Calibri"/>
          <w:color w:val="000000"/>
          <w:u w:color="000000"/>
          <w:bdr w:val="nil"/>
        </w:rPr>
        <w:t>).</w:t>
      </w:r>
      <w:r w:rsidRPr="000C5050">
        <w:rPr>
          <w:rStyle w:val="FootnoteReference"/>
          <w:rFonts w:eastAsia="Calibri" w:cs="Arial"/>
          <w:color w:val="000000"/>
          <w:szCs w:val="20"/>
          <w:u w:color="000000"/>
          <w:bdr w:val="nil"/>
        </w:rPr>
        <w:footnoteReference w:id="10"/>
      </w:r>
      <w:r w:rsidRPr="000C5050">
        <w:rPr>
          <w:rFonts w:eastAsia="Calibri"/>
          <w:color w:val="000000"/>
          <w:u w:color="000000"/>
          <w:bdr w:val="nil"/>
        </w:rPr>
        <w:t xml:space="preserve"> </w:t>
      </w:r>
    </w:p>
    <w:p w14:paraId="14658C83" w14:textId="355B0BB5" w:rsidR="00986308" w:rsidRPr="000C5050" w:rsidRDefault="00986308" w:rsidP="00986308">
      <w:pPr>
        <w:pStyle w:val="BodyText"/>
        <w:rPr>
          <w:rFonts w:eastAsia="Calibri"/>
          <w:color w:val="000000"/>
          <w:u w:color="000000"/>
          <w:bdr w:val="nil"/>
        </w:rPr>
      </w:pPr>
      <w:r w:rsidRPr="000C5050">
        <w:rPr>
          <w:rFonts w:eastAsia="Calibri"/>
          <w:color w:val="000000"/>
          <w:u w:color="000000"/>
          <w:bdr w:val="nil"/>
        </w:rPr>
        <w:t xml:space="preserve">The report identifies an option of calculating a new soil guideline value by modifying (reducing) the </w:t>
      </w:r>
      <w:r w:rsidR="0068248D" w:rsidRPr="000C5050">
        <w:rPr>
          <w:rFonts w:eastAsia="Calibri"/>
          <w:i/>
          <w:color w:val="000000"/>
          <w:u w:color="000000"/>
          <w:bdr w:val="nil"/>
        </w:rPr>
        <w:t>assumed</w:t>
      </w:r>
      <w:r w:rsidR="0068248D" w:rsidRPr="000C5050">
        <w:rPr>
          <w:rFonts w:eastAsia="Calibri"/>
          <w:color w:val="000000"/>
          <w:u w:color="000000"/>
          <w:bdr w:val="nil"/>
        </w:rPr>
        <w:t xml:space="preserve"> </w:t>
      </w:r>
      <w:r w:rsidRPr="000C5050">
        <w:rPr>
          <w:rFonts w:eastAsia="Calibri"/>
          <w:color w:val="000000"/>
          <w:u w:color="000000"/>
          <w:bdr w:val="nil"/>
        </w:rPr>
        <w:t>soil intake by 50 per cent, as set out in Appendix 5. It is proposed that this new soil guideline value could be available for all 12 priority contaminants.</w:t>
      </w:r>
      <w:r w:rsidRPr="000C5050">
        <w:rPr>
          <w:rStyle w:val="FootnoteReference"/>
          <w:rFonts w:eastAsia="Calibri" w:cs="Arial"/>
          <w:color w:val="000000"/>
          <w:szCs w:val="20"/>
          <w:u w:color="000000"/>
          <w:bdr w:val="nil"/>
        </w:rPr>
        <w:footnoteReference w:id="11"/>
      </w:r>
      <w:r w:rsidR="00CA1DFD" w:rsidRPr="000C5050">
        <w:rPr>
          <w:rFonts w:eastAsia="Calibri"/>
          <w:color w:val="000000"/>
          <w:u w:color="000000"/>
          <w:bdr w:val="nil"/>
        </w:rPr>
        <w:t xml:space="preserve"> </w:t>
      </w:r>
    </w:p>
    <w:p w14:paraId="35350BCF" w14:textId="77777777" w:rsidR="00986308" w:rsidRPr="000C5050" w:rsidRDefault="00986308" w:rsidP="00986308">
      <w:pPr>
        <w:pStyle w:val="Heading4"/>
        <w:rPr>
          <w:rFonts w:eastAsia="Calibri"/>
          <w:u w:color="000000"/>
          <w:bdr w:val="nil"/>
        </w:rPr>
      </w:pPr>
      <w:r w:rsidRPr="000C5050">
        <w:rPr>
          <w:rFonts w:eastAsia="Calibri"/>
          <w:u w:color="000000"/>
          <w:bdr w:val="nil"/>
        </w:rPr>
        <w:t>The template</w:t>
      </w:r>
    </w:p>
    <w:p w14:paraId="4F12E5FB" w14:textId="7D9AECC1" w:rsidR="00986308" w:rsidRPr="000C5050" w:rsidRDefault="00986308" w:rsidP="00986308">
      <w:pPr>
        <w:pStyle w:val="BodyText"/>
        <w:rPr>
          <w:rFonts w:eastAsia="Calibri"/>
          <w:u w:color="000000"/>
          <w:bdr w:val="nil"/>
        </w:rPr>
      </w:pPr>
      <w:r w:rsidRPr="000C5050">
        <w:t xml:space="preserve">The TOSMP will set out mandatory management </w:t>
      </w:r>
      <w:r w:rsidR="0068248D" w:rsidRPr="000C5050">
        <w:t>practices</w:t>
      </w:r>
      <w:r w:rsidRPr="000C5050">
        <w:t xml:space="preserve"> for a site that must be implemented, and a set of </w:t>
      </w:r>
      <w:r w:rsidRPr="000C5050">
        <w:rPr>
          <w:u w:color="000000"/>
        </w:rPr>
        <w:t xml:space="preserve">voluntary </w:t>
      </w:r>
      <w:r w:rsidR="0068248D" w:rsidRPr="000C5050">
        <w:rPr>
          <w:u w:color="000000"/>
        </w:rPr>
        <w:t xml:space="preserve">practices </w:t>
      </w:r>
      <w:r w:rsidRPr="000C5050">
        <w:rPr>
          <w:u w:color="000000"/>
        </w:rPr>
        <w:t>(</w:t>
      </w:r>
      <w:r w:rsidR="0081630C" w:rsidRPr="000C5050">
        <w:rPr>
          <w:u w:color="000000"/>
        </w:rPr>
        <w:t>‘</w:t>
      </w:r>
      <w:r w:rsidRPr="000C5050">
        <w:rPr>
          <w:u w:color="000000"/>
        </w:rPr>
        <w:t>advi</w:t>
      </w:r>
      <w:r w:rsidR="00EB5296" w:rsidRPr="000C5050">
        <w:rPr>
          <w:u w:color="000000"/>
        </w:rPr>
        <w:t>ce</w:t>
      </w:r>
      <w:r w:rsidRPr="000C5050">
        <w:rPr>
          <w:u w:color="000000"/>
        </w:rPr>
        <w:t xml:space="preserve"> notes</w:t>
      </w:r>
      <w:r w:rsidR="0081630C" w:rsidRPr="000C5050">
        <w:rPr>
          <w:u w:color="000000"/>
        </w:rPr>
        <w:t>’</w:t>
      </w:r>
      <w:r w:rsidRPr="000C5050">
        <w:rPr>
          <w:u w:color="000000"/>
        </w:rPr>
        <w:t xml:space="preserve">) to minimise exposure to contaminated soil. The mandatory requirements are designed to provide an increased level of protection from soil contamination. As discussed above, effective implementation of the mandatory requirements in the TOSMP </w:t>
      </w:r>
      <w:r w:rsidRPr="000C5050">
        <w:rPr>
          <w:rFonts w:eastAsia="Calibri"/>
          <w:u w:color="000000"/>
          <w:bdr w:val="nil"/>
        </w:rPr>
        <w:t xml:space="preserve">will reduce the overall intake of </w:t>
      </w:r>
      <w:r w:rsidR="00AF517F" w:rsidRPr="000C5050">
        <w:rPr>
          <w:rFonts w:eastAsia="Calibri"/>
          <w:u w:color="000000"/>
          <w:bdr w:val="nil"/>
        </w:rPr>
        <w:t xml:space="preserve">and exposure to </w:t>
      </w:r>
      <w:r w:rsidRPr="000C5050">
        <w:rPr>
          <w:rFonts w:eastAsia="Calibri"/>
          <w:u w:color="000000"/>
          <w:bdr w:val="nil"/>
        </w:rPr>
        <w:t>soil</w:t>
      </w:r>
      <w:r w:rsidR="009637E0" w:rsidRPr="000C5050">
        <w:rPr>
          <w:rFonts w:eastAsia="Calibri"/>
          <w:u w:color="000000"/>
          <w:bdr w:val="nil"/>
        </w:rPr>
        <w:t xml:space="preserve"> </w:t>
      </w:r>
      <w:r w:rsidRPr="000C5050">
        <w:rPr>
          <w:rFonts w:eastAsia="Calibri"/>
          <w:u w:color="000000"/>
          <w:bdr w:val="nil"/>
        </w:rPr>
        <w:t>which is contaminated.</w:t>
      </w:r>
      <w:r w:rsidR="007D080D" w:rsidRPr="000C5050">
        <w:rPr>
          <w:rFonts w:eastAsia="Calibri"/>
          <w:u w:color="000000"/>
          <w:bdr w:val="nil"/>
        </w:rPr>
        <w:t xml:space="preserve"> </w:t>
      </w:r>
    </w:p>
    <w:p w14:paraId="02DF4778" w14:textId="278B94F3" w:rsidR="00986308" w:rsidRPr="000C5050" w:rsidRDefault="00986308" w:rsidP="00986308">
      <w:pPr>
        <w:pStyle w:val="BodyText"/>
        <w:rPr>
          <w:rFonts w:eastAsia="Calibri"/>
          <w:u w:color="000000"/>
          <w:bdr w:val="nil"/>
        </w:rPr>
      </w:pPr>
      <w:r w:rsidRPr="000C5050">
        <w:rPr>
          <w:rFonts w:eastAsia="Calibri"/>
          <w:u w:color="000000"/>
          <w:bdr w:val="nil"/>
        </w:rPr>
        <w:t xml:space="preserve">The Ministry has identified mandatory </w:t>
      </w:r>
      <w:r w:rsidR="003C0045" w:rsidRPr="000C5050">
        <w:rPr>
          <w:rFonts w:eastAsia="Calibri"/>
          <w:u w:color="000000"/>
          <w:bdr w:val="nil"/>
        </w:rPr>
        <w:t>management practices</w:t>
      </w:r>
      <w:r w:rsidRPr="000C5050">
        <w:rPr>
          <w:rFonts w:eastAsia="Calibri"/>
          <w:u w:color="000000"/>
          <w:bdr w:val="nil"/>
        </w:rPr>
        <w:t xml:space="preserve"> and advi</w:t>
      </w:r>
      <w:r w:rsidR="00EB5296" w:rsidRPr="000C5050">
        <w:rPr>
          <w:rFonts w:eastAsia="Calibri"/>
          <w:u w:color="000000"/>
          <w:bdr w:val="nil"/>
        </w:rPr>
        <w:t>ce</w:t>
      </w:r>
      <w:r w:rsidRPr="000C5050">
        <w:rPr>
          <w:rFonts w:eastAsia="Calibri"/>
          <w:u w:color="000000"/>
          <w:bdr w:val="nil"/>
        </w:rPr>
        <w:t xml:space="preserve"> notes that may be included in the TOSMP, and these are outlined in table 8.</w:t>
      </w:r>
    </w:p>
    <w:p w14:paraId="00D29416" w14:textId="77777777" w:rsidR="002F0CD0" w:rsidRPr="000C5050" w:rsidRDefault="002F0CD0">
      <w:pPr>
        <w:spacing w:before="0" w:after="200" w:line="276" w:lineRule="auto"/>
        <w:jc w:val="left"/>
        <w:rPr>
          <w:rFonts w:eastAsia="Times New Roman" w:cs="Times New Roman"/>
          <w:b/>
          <w:sz w:val="20"/>
          <w:szCs w:val="20"/>
          <w:u w:color="FFFFFF"/>
          <w:lang w:eastAsia="en-US"/>
        </w:rPr>
      </w:pPr>
      <w:r w:rsidRPr="000C5050">
        <w:rPr>
          <w:u w:color="FFFFFF"/>
        </w:rPr>
        <w:br w:type="page"/>
      </w:r>
    </w:p>
    <w:p w14:paraId="4AC57DF7" w14:textId="41F57692" w:rsidR="00986308" w:rsidRPr="000C5050" w:rsidRDefault="00723517" w:rsidP="00723517">
      <w:pPr>
        <w:pStyle w:val="Tableheading"/>
        <w:rPr>
          <w:u w:color="FFFFFF"/>
        </w:rPr>
      </w:pPr>
      <w:bookmarkStart w:id="34" w:name="_Toc460081293"/>
      <w:r w:rsidRPr="000C5050">
        <w:rPr>
          <w:u w:color="FFFFFF"/>
        </w:rPr>
        <w:lastRenderedPageBreak/>
        <w:t xml:space="preserve">Table 8: </w:t>
      </w:r>
      <w:r w:rsidRPr="000C5050">
        <w:rPr>
          <w:u w:color="FFFFFF"/>
        </w:rPr>
        <w:tab/>
        <w:t>Proposed template ongoing site management plan for residential properties</w:t>
      </w:r>
      <w:bookmarkEnd w:id="34"/>
    </w:p>
    <w:tbl>
      <w:tblPr>
        <w:tblW w:w="8505" w:type="dxa"/>
        <w:tblInd w:w="108" w:type="dxa"/>
        <w:tblBorders>
          <w:top w:val="single" w:sz="4" w:space="0" w:color="A4BBC4"/>
          <w:left w:val="single" w:sz="4" w:space="0" w:color="A4BBC4"/>
          <w:bottom w:val="single" w:sz="4" w:space="0" w:color="A4BBC4"/>
          <w:right w:val="single" w:sz="4" w:space="0" w:color="A4BBC4"/>
          <w:insideH w:val="single" w:sz="4" w:space="0" w:color="A4BBC4"/>
          <w:insideV w:val="single" w:sz="4" w:space="0" w:color="A4BBC4"/>
        </w:tblBorders>
        <w:shd w:val="clear" w:color="auto" w:fill="A4BBC4"/>
        <w:tblLayout w:type="fixed"/>
        <w:tblLook w:val="04A0" w:firstRow="1" w:lastRow="0" w:firstColumn="1" w:lastColumn="0" w:noHBand="0" w:noVBand="1"/>
      </w:tblPr>
      <w:tblGrid>
        <w:gridCol w:w="8505"/>
      </w:tblGrid>
      <w:tr w:rsidR="00723517" w:rsidRPr="000C5050" w14:paraId="32286E23" w14:textId="77777777" w:rsidTr="00F40E8E">
        <w:trPr>
          <w:trHeight w:val="1198"/>
        </w:trPr>
        <w:tc>
          <w:tcPr>
            <w:tcW w:w="8505" w:type="dxa"/>
            <w:shd w:val="clear" w:color="auto" w:fill="A4BBC4"/>
            <w:tcMar>
              <w:top w:w="80" w:type="dxa"/>
              <w:left w:w="80" w:type="dxa"/>
              <w:bottom w:w="80" w:type="dxa"/>
              <w:right w:w="364" w:type="dxa"/>
            </w:tcMar>
          </w:tcPr>
          <w:p w14:paraId="157E4F7E" w14:textId="30DE0126" w:rsidR="00723517" w:rsidRPr="000C5050" w:rsidRDefault="00723517" w:rsidP="00723517">
            <w:pPr>
              <w:pStyle w:val="Tabletext"/>
              <w:spacing w:before="120"/>
              <w:ind w:left="284" w:right="284"/>
              <w:rPr>
                <w:color w:val="595959"/>
                <w:u w:color="595959"/>
              </w:rPr>
            </w:pPr>
            <w:r w:rsidRPr="000C5050">
              <w:rPr>
                <w:u w:color="000000"/>
              </w:rPr>
              <w:t xml:space="preserve">Mandatory </w:t>
            </w:r>
            <w:r w:rsidR="000B64E2" w:rsidRPr="000C5050">
              <w:rPr>
                <w:u w:color="000000"/>
              </w:rPr>
              <w:t>management practices</w:t>
            </w:r>
            <w:r w:rsidRPr="000C5050">
              <w:rPr>
                <w:u w:color="000000"/>
              </w:rPr>
              <w:t>:</w:t>
            </w:r>
          </w:p>
          <w:p w14:paraId="29BC4853" w14:textId="77777777" w:rsidR="00723517" w:rsidRPr="000C5050" w:rsidRDefault="00723517" w:rsidP="00723517">
            <w:pPr>
              <w:pStyle w:val="Tablebullet"/>
              <w:ind w:left="568" w:right="284"/>
              <w:rPr>
                <w:rFonts w:eastAsia="Calibri"/>
                <w:u w:color="000000"/>
                <w:bdr w:val="nil"/>
              </w:rPr>
            </w:pPr>
            <w:r w:rsidRPr="000C5050">
              <w:rPr>
                <w:rFonts w:eastAsia="Calibri"/>
                <w:u w:color="000000"/>
                <w:bdr w:val="nil"/>
              </w:rPr>
              <w:t xml:space="preserve">all vegetables to be grown in clean soil in raised garden beds </w:t>
            </w:r>
          </w:p>
          <w:p w14:paraId="372F70CB" w14:textId="77777777" w:rsidR="00723517" w:rsidRPr="000C5050" w:rsidRDefault="00723517" w:rsidP="00723517">
            <w:pPr>
              <w:pStyle w:val="Tablebullet"/>
              <w:ind w:left="568" w:right="284"/>
              <w:rPr>
                <w:rFonts w:eastAsia="Calibri"/>
                <w:u w:color="000000"/>
                <w:bdr w:val="nil"/>
              </w:rPr>
            </w:pPr>
            <w:r w:rsidRPr="000C5050">
              <w:rPr>
                <w:rFonts w:eastAsia="Calibri"/>
                <w:u w:color="000000"/>
                <w:bdr w:val="nil"/>
              </w:rPr>
              <w:t>children</w:t>
            </w:r>
            <w:r w:rsidR="0081630C" w:rsidRPr="000C5050">
              <w:rPr>
                <w:rFonts w:eastAsia="Calibri"/>
                <w:u w:color="000000"/>
                <w:bdr w:val="nil"/>
              </w:rPr>
              <w:t>’</w:t>
            </w:r>
            <w:r w:rsidRPr="000C5050">
              <w:rPr>
                <w:rFonts w:eastAsia="Calibri"/>
                <w:u w:color="000000"/>
                <w:bdr w:val="nil"/>
              </w:rPr>
              <w:t xml:space="preserve">s primary play area on site identified and ground cover replaced with clean material* </w:t>
            </w:r>
          </w:p>
          <w:p w14:paraId="3206F104" w14:textId="77777777" w:rsidR="00723517" w:rsidRPr="000C5050" w:rsidRDefault="00723517" w:rsidP="00723517">
            <w:pPr>
              <w:pStyle w:val="Tablebullet"/>
              <w:ind w:left="568" w:right="284"/>
              <w:rPr>
                <w:rFonts w:eastAsia="Calibri"/>
                <w:u w:color="000000"/>
                <w:bdr w:val="nil"/>
              </w:rPr>
            </w:pPr>
            <w:r w:rsidRPr="000C5050">
              <w:rPr>
                <w:rFonts w:eastAsia="Calibri"/>
                <w:u w:color="000000"/>
                <w:bdr w:val="nil"/>
              </w:rPr>
              <w:t>any soil removed from the site is disposed of appropriately</w:t>
            </w:r>
          </w:p>
          <w:p w14:paraId="4F58F50D" w14:textId="215AB566" w:rsidR="00723517" w:rsidRPr="000C5050" w:rsidRDefault="00723517" w:rsidP="00723517">
            <w:pPr>
              <w:pStyle w:val="Tablebullet"/>
              <w:ind w:left="568" w:right="284"/>
              <w:rPr>
                <w:rFonts w:eastAsia="Calibri"/>
                <w:u w:color="000000"/>
                <w:bdr w:val="nil"/>
              </w:rPr>
            </w:pPr>
            <w:r w:rsidRPr="000C5050">
              <w:rPr>
                <w:rFonts w:eastAsia="Calibri"/>
                <w:u w:color="000000"/>
                <w:bdr w:val="nil"/>
              </w:rPr>
              <w:t xml:space="preserve">soil brought onto site is clean soil (see page 12 of </w:t>
            </w:r>
            <w:r w:rsidR="00576EA9">
              <w:rPr>
                <w:rFonts w:eastAsia="Calibri"/>
                <w:u w:color="000000"/>
                <w:bdr w:val="nil"/>
              </w:rPr>
              <w:t>Golder</w:t>
            </w:r>
            <w:r w:rsidR="00864015">
              <w:rPr>
                <w:rFonts w:eastAsia="Calibri"/>
                <w:u w:color="000000"/>
                <w:bdr w:val="nil"/>
              </w:rPr>
              <w:t>s</w:t>
            </w:r>
            <w:r w:rsidR="00576EA9">
              <w:rPr>
                <w:rFonts w:eastAsia="Calibri"/>
                <w:u w:color="000000"/>
                <w:bdr w:val="nil"/>
              </w:rPr>
              <w:t xml:space="preserve"> Associates, 2016</w:t>
            </w:r>
            <w:r w:rsidR="00CB5C65">
              <w:rPr>
                <w:rFonts w:eastAsia="Calibri"/>
                <w:u w:color="000000"/>
                <w:bdr w:val="nil"/>
              </w:rPr>
              <w:t>b</w:t>
            </w:r>
            <w:r w:rsidRPr="000C5050">
              <w:rPr>
                <w:rFonts w:eastAsia="Calibri"/>
                <w:u w:color="000000"/>
                <w:bdr w:val="nil"/>
              </w:rPr>
              <w:t>) for the proposed use</w:t>
            </w:r>
            <w:r w:rsidR="007D080D" w:rsidRPr="000C5050">
              <w:rPr>
                <w:rFonts w:eastAsia="Calibri"/>
                <w:u w:color="000000"/>
                <w:bdr w:val="nil"/>
              </w:rPr>
              <w:t xml:space="preserve"> </w:t>
            </w:r>
          </w:p>
          <w:p w14:paraId="22BDE252" w14:textId="4FDEE499" w:rsidR="00723517" w:rsidRPr="000C5050" w:rsidRDefault="00723517" w:rsidP="00723517">
            <w:pPr>
              <w:pStyle w:val="Tablebullet"/>
              <w:ind w:left="568" w:right="284"/>
              <w:rPr>
                <w:rFonts w:eastAsia="Calibri"/>
                <w:u w:color="000000"/>
                <w:bdr w:val="nil"/>
              </w:rPr>
            </w:pPr>
            <w:proofErr w:type="gramStart"/>
            <w:r w:rsidRPr="000C5050">
              <w:rPr>
                <w:rFonts w:eastAsia="Calibri"/>
                <w:u w:color="000000"/>
                <w:bdr w:val="nil"/>
              </w:rPr>
              <w:t>all</w:t>
            </w:r>
            <w:proofErr w:type="gramEnd"/>
            <w:r w:rsidRPr="000C5050">
              <w:rPr>
                <w:rFonts w:eastAsia="Calibri"/>
                <w:u w:color="000000"/>
                <w:bdr w:val="nil"/>
              </w:rPr>
              <w:t xml:space="preserve"> residents, including temporary residents and tenants, are to be made aware of the requirements of the site management plan.</w:t>
            </w:r>
          </w:p>
          <w:p w14:paraId="69A01B29" w14:textId="34F49A99" w:rsidR="00723517" w:rsidRPr="000C5050" w:rsidRDefault="00723517" w:rsidP="00723517">
            <w:pPr>
              <w:pStyle w:val="Tabletext"/>
              <w:ind w:left="284" w:right="284"/>
              <w:rPr>
                <w:rFonts w:eastAsia="Calibri"/>
                <w:i/>
                <w:u w:color="000000"/>
                <w:bdr w:val="nil"/>
              </w:rPr>
            </w:pPr>
            <w:r w:rsidRPr="000C5050">
              <w:rPr>
                <w:rFonts w:eastAsia="Calibri"/>
                <w:i/>
                <w:u w:color="000000"/>
                <w:bdr w:val="nil"/>
              </w:rPr>
              <w:t xml:space="preserve">*This </w:t>
            </w:r>
            <w:r w:rsidR="000B64E2" w:rsidRPr="000C5050">
              <w:rPr>
                <w:rFonts w:eastAsia="Calibri"/>
                <w:i/>
                <w:u w:color="000000"/>
                <w:bdr w:val="nil"/>
              </w:rPr>
              <w:t>management practice</w:t>
            </w:r>
            <w:r w:rsidRPr="000C5050">
              <w:rPr>
                <w:rFonts w:eastAsia="Calibri"/>
                <w:i/>
                <w:u w:color="000000"/>
                <w:bdr w:val="nil"/>
              </w:rPr>
              <w:t xml:space="preserve"> would be optional where the </w:t>
            </w:r>
            <w:r w:rsidR="0081630C" w:rsidRPr="000C5050">
              <w:rPr>
                <w:rFonts w:eastAsia="Calibri"/>
                <w:i/>
                <w:u w:color="000000"/>
                <w:bdr w:val="nil"/>
              </w:rPr>
              <w:t>‘</w:t>
            </w:r>
            <w:r w:rsidRPr="000C5050">
              <w:rPr>
                <w:rFonts w:eastAsia="Calibri"/>
                <w:i/>
                <w:u w:color="000000"/>
                <w:bdr w:val="nil"/>
              </w:rPr>
              <w:t>no produce</w:t>
            </w:r>
            <w:r w:rsidR="0081630C" w:rsidRPr="000C5050">
              <w:rPr>
                <w:rFonts w:eastAsia="Calibri"/>
                <w:i/>
                <w:u w:color="000000"/>
                <w:bdr w:val="nil"/>
              </w:rPr>
              <w:t>’</w:t>
            </w:r>
            <w:r w:rsidRPr="000C5050">
              <w:rPr>
                <w:rFonts w:eastAsia="Calibri"/>
                <w:i/>
                <w:u w:color="000000"/>
                <w:bdr w:val="nil"/>
              </w:rPr>
              <w:t xml:space="preserve"> option is selected</w:t>
            </w:r>
          </w:p>
          <w:p w14:paraId="3E3ED6A7" w14:textId="77777777" w:rsidR="00723517" w:rsidRPr="000C5050" w:rsidRDefault="00723517" w:rsidP="00723517">
            <w:pPr>
              <w:pStyle w:val="Tabletext"/>
              <w:ind w:left="284" w:right="284"/>
              <w:rPr>
                <w:u w:color="000000"/>
              </w:rPr>
            </w:pPr>
            <w:r w:rsidRPr="000C5050">
              <w:rPr>
                <w:u w:color="000000"/>
              </w:rPr>
              <w:t>Advice notes on simple practices to minimise people</w:t>
            </w:r>
            <w:r w:rsidR="0081630C" w:rsidRPr="000C5050">
              <w:rPr>
                <w:u w:color="000000"/>
              </w:rPr>
              <w:t>’</w:t>
            </w:r>
            <w:r w:rsidRPr="000C5050">
              <w:rPr>
                <w:u w:color="000000"/>
              </w:rPr>
              <w:t>s exposure to contaminated soil will also be included:</w:t>
            </w:r>
          </w:p>
          <w:p w14:paraId="0BBD8795" w14:textId="77777777" w:rsidR="00723517" w:rsidRPr="000C5050" w:rsidRDefault="00723517" w:rsidP="00723517">
            <w:pPr>
              <w:pStyle w:val="Tablebullet"/>
              <w:ind w:left="568" w:right="284"/>
              <w:rPr>
                <w:rFonts w:eastAsia="Calibri"/>
                <w:u w:color="000000"/>
                <w:bdr w:val="nil"/>
              </w:rPr>
            </w:pPr>
            <w:r w:rsidRPr="000C5050">
              <w:rPr>
                <w:rFonts w:eastAsia="Calibri"/>
                <w:u w:color="000000"/>
                <w:bdr w:val="nil"/>
              </w:rPr>
              <w:t xml:space="preserve">reduce soil transport indoors – </w:t>
            </w:r>
            <w:proofErr w:type="spellStart"/>
            <w:r w:rsidRPr="000C5050">
              <w:rPr>
                <w:rFonts w:eastAsia="Calibri"/>
                <w:u w:color="000000"/>
                <w:bdr w:val="nil"/>
              </w:rPr>
              <w:t>eg</w:t>
            </w:r>
            <w:proofErr w:type="spellEnd"/>
            <w:r w:rsidRPr="000C5050">
              <w:rPr>
                <w:rFonts w:eastAsia="Calibri"/>
                <w:u w:color="000000"/>
                <w:bdr w:val="nil"/>
              </w:rPr>
              <w:t>, removing shoes before going inside</w:t>
            </w:r>
          </w:p>
          <w:p w14:paraId="01071A7A" w14:textId="26DBB155" w:rsidR="00723517" w:rsidRPr="000C5050" w:rsidRDefault="00723517" w:rsidP="00723517">
            <w:pPr>
              <w:pStyle w:val="Tablebullet"/>
              <w:ind w:left="568" w:right="284"/>
              <w:rPr>
                <w:rFonts w:eastAsia="Calibri"/>
                <w:u w:color="000000"/>
                <w:bdr w:val="nil"/>
              </w:rPr>
            </w:pPr>
            <w:r w:rsidRPr="000C5050">
              <w:rPr>
                <w:rFonts w:eastAsia="Calibri"/>
                <w:u w:color="000000"/>
                <w:bdr w:val="nil"/>
              </w:rPr>
              <w:t xml:space="preserve">thoroughly wash any </w:t>
            </w:r>
            <w:r w:rsidR="004532E2" w:rsidRPr="000C5050">
              <w:rPr>
                <w:rFonts w:eastAsia="Calibri"/>
                <w:u w:color="000000"/>
                <w:bdr w:val="nil"/>
              </w:rPr>
              <w:t>home grown</w:t>
            </w:r>
            <w:r w:rsidRPr="000C5050">
              <w:rPr>
                <w:rFonts w:eastAsia="Calibri"/>
                <w:u w:color="000000"/>
                <w:bdr w:val="nil"/>
              </w:rPr>
              <w:t xml:space="preserve"> produce, remove outer leaves or skin</w:t>
            </w:r>
            <w:r w:rsidR="007D080D" w:rsidRPr="000C5050">
              <w:rPr>
                <w:rFonts w:eastAsia="Calibri"/>
                <w:u w:color="000000"/>
                <w:bdr w:val="nil"/>
              </w:rPr>
              <w:t xml:space="preserve"> </w:t>
            </w:r>
          </w:p>
          <w:p w14:paraId="088F6868" w14:textId="77777777" w:rsidR="00723517" w:rsidRPr="000C5050" w:rsidRDefault="00723517" w:rsidP="00723517">
            <w:pPr>
              <w:pStyle w:val="Tablebullet"/>
              <w:ind w:left="568" w:right="284"/>
              <w:rPr>
                <w:rFonts w:eastAsia="Calibri"/>
                <w:u w:color="000000"/>
                <w:bdr w:val="nil"/>
              </w:rPr>
            </w:pPr>
            <w:r w:rsidRPr="000C5050">
              <w:rPr>
                <w:rFonts w:eastAsia="Calibri"/>
                <w:u w:color="000000"/>
                <w:bdr w:val="nil"/>
              </w:rPr>
              <w:t xml:space="preserve">minimise dust inside – </w:t>
            </w:r>
            <w:proofErr w:type="spellStart"/>
            <w:r w:rsidRPr="000C5050">
              <w:rPr>
                <w:rFonts w:eastAsia="Calibri"/>
                <w:u w:color="000000"/>
                <w:bdr w:val="nil"/>
              </w:rPr>
              <w:t>eg</w:t>
            </w:r>
            <w:proofErr w:type="spellEnd"/>
            <w:r w:rsidRPr="000C5050">
              <w:rPr>
                <w:rFonts w:eastAsia="Calibri"/>
                <w:u w:color="000000"/>
                <w:bdr w:val="nil"/>
              </w:rPr>
              <w:t>, thorough and regular cleaning</w:t>
            </w:r>
          </w:p>
          <w:p w14:paraId="00A50619" w14:textId="77777777" w:rsidR="00723517" w:rsidRPr="000C5050" w:rsidRDefault="00723517" w:rsidP="00723517">
            <w:pPr>
              <w:pStyle w:val="Tablebullet"/>
              <w:ind w:left="568" w:right="284"/>
              <w:rPr>
                <w:rFonts w:eastAsia="Calibri"/>
                <w:u w:color="000000"/>
                <w:bdr w:val="nil"/>
              </w:rPr>
            </w:pPr>
            <w:proofErr w:type="gramStart"/>
            <w:r w:rsidRPr="000C5050">
              <w:rPr>
                <w:rFonts w:eastAsia="Calibri"/>
                <w:u w:color="000000"/>
                <w:bdr w:val="nil"/>
              </w:rPr>
              <w:t>avoid</w:t>
            </w:r>
            <w:proofErr w:type="gramEnd"/>
            <w:r w:rsidRPr="000C5050">
              <w:rPr>
                <w:rFonts w:eastAsia="Calibri"/>
                <w:u w:color="000000"/>
                <w:bdr w:val="nil"/>
              </w:rPr>
              <w:t xml:space="preserve"> having exposed soil (by maintaining vegetative or other cover).</w:t>
            </w:r>
          </w:p>
          <w:p w14:paraId="55E7A16B" w14:textId="77777777" w:rsidR="00723517" w:rsidRPr="000C5050" w:rsidRDefault="00723517" w:rsidP="00723517">
            <w:pPr>
              <w:pStyle w:val="Tabletext"/>
              <w:spacing w:before="120" w:after="120"/>
              <w:ind w:left="284" w:right="284"/>
              <w:rPr>
                <w:rFonts w:eastAsia="Calibri"/>
                <w:u w:color="000000"/>
                <w:bdr w:val="nil"/>
              </w:rPr>
            </w:pPr>
            <w:r w:rsidRPr="000C5050">
              <w:rPr>
                <w:rFonts w:eastAsia="Calibri"/>
                <w:u w:color="000000"/>
                <w:bdr w:val="nil"/>
              </w:rPr>
              <w:t>These are advice notes, as they would be unenforceable as rules.</w:t>
            </w:r>
          </w:p>
        </w:tc>
      </w:tr>
    </w:tbl>
    <w:p w14:paraId="6DAC5CCA" w14:textId="77777777" w:rsidR="004E3EA3" w:rsidRPr="000C5050" w:rsidRDefault="00723517" w:rsidP="00F40E8E">
      <w:pPr>
        <w:pStyle w:val="BodyText"/>
        <w:spacing w:before="240"/>
      </w:pPr>
      <w:r w:rsidRPr="000C5050">
        <w:t>The TOSMP would be a management option where a landowner has</w:t>
      </w:r>
      <w:r w:rsidR="00EB7C83" w:rsidRPr="000C5050">
        <w:t>:</w:t>
      </w:r>
      <w:r w:rsidRPr="000C5050">
        <w:t xml:space="preserve"> </w:t>
      </w:r>
    </w:p>
    <w:p w14:paraId="0FC1B8DA" w14:textId="1B35B419" w:rsidR="004E3EA3" w:rsidRPr="000C5050" w:rsidRDefault="00723517" w:rsidP="00461557">
      <w:pPr>
        <w:pStyle w:val="Bodytexta"/>
        <w:numPr>
          <w:ilvl w:val="0"/>
          <w:numId w:val="41"/>
        </w:numPr>
        <w:ind w:left="397" w:hanging="397"/>
      </w:pPr>
      <w:r w:rsidRPr="000C5050">
        <w:t>carried out a</w:t>
      </w:r>
      <w:r w:rsidR="004E3EA3" w:rsidRPr="000C5050">
        <w:t xml:space="preserve"> DSI,</w:t>
      </w:r>
      <w:r w:rsidRPr="000C5050">
        <w:t xml:space="preserve"> and </w:t>
      </w:r>
    </w:p>
    <w:p w14:paraId="5415FD65" w14:textId="002CF188" w:rsidR="00723517" w:rsidRPr="000C5050" w:rsidRDefault="00723517" w:rsidP="00461557">
      <w:pPr>
        <w:pStyle w:val="Bodytexta"/>
        <w:ind w:left="397"/>
      </w:pPr>
      <w:r w:rsidRPr="000C5050">
        <w:t>found that contamination on a site exceeds the soil contaminant standard (for residential or rural-residential land-use) but does not exceed the applicable soil guideline value (either th</w:t>
      </w:r>
      <w:r w:rsidR="00147D5E" w:rsidRPr="000C5050">
        <w:t>e value</w:t>
      </w:r>
      <w:r w:rsidRPr="000C5050">
        <w:t xml:space="preserve"> derived for </w:t>
      </w:r>
      <w:r w:rsidR="00147D5E" w:rsidRPr="000C5050">
        <w:t>the elimination of the produce consumption pathway only, or the value derived that takes account of both the elimination of the produce consumption pathway and the effect on other exposure pathways</w:t>
      </w:r>
      <w:r w:rsidRPr="000C5050">
        <w:t>).</w:t>
      </w:r>
      <w:r w:rsidRPr="000C5050">
        <w:rPr>
          <w:rStyle w:val="FootnoteReference"/>
          <w:rFonts w:cs="Arial"/>
          <w:szCs w:val="20"/>
        </w:rPr>
        <w:footnoteReference w:id="12"/>
      </w:r>
      <w:r w:rsidR="007D080D" w:rsidRPr="000C5050">
        <w:t xml:space="preserve"> </w:t>
      </w:r>
    </w:p>
    <w:p w14:paraId="15825A20" w14:textId="4762E458" w:rsidR="000B64E2" w:rsidRPr="000C5050" w:rsidRDefault="000B64E2" w:rsidP="00461557">
      <w:pPr>
        <w:pStyle w:val="BodyText"/>
      </w:pPr>
      <w:r w:rsidRPr="000C5050">
        <w:t>Further, the mandatory management practices</w:t>
      </w:r>
      <w:r w:rsidR="003C0045" w:rsidRPr="000C5050">
        <w:t xml:space="preserve"> within the template</w:t>
      </w:r>
      <w:r w:rsidRPr="000C5050">
        <w:t xml:space="preserve"> have been determined based on some fundamental assumptions about the site. For example, that soil contamination is spread fairly evenly over the site (there are no hotspots).</w:t>
      </w:r>
      <w:r w:rsidR="009637E0" w:rsidRPr="000C5050">
        <w:t xml:space="preserve"> </w:t>
      </w:r>
      <w:r w:rsidR="00237981" w:rsidRPr="000C5050">
        <w:t>The Golders report sets out some of these assumptions at section 1.4 – noting that this is not an exhaustive list. The Ministry will provide a ‘checklist’ of what assumptions have been made about the site</w:t>
      </w:r>
      <w:r w:rsidR="00B44931" w:rsidRPr="000C5050">
        <w:t xml:space="preserve"> in generating the </w:t>
      </w:r>
      <w:proofErr w:type="gramStart"/>
      <w:r w:rsidR="00B44931" w:rsidRPr="000C5050">
        <w:t>template</w:t>
      </w:r>
      <w:r w:rsidR="00237981" w:rsidRPr="000C5050">
        <w:t>,</w:t>
      </w:r>
      <w:proofErr w:type="gramEnd"/>
      <w:r w:rsidR="00237981" w:rsidRPr="000C5050">
        <w:t xml:space="preserve"> and landowners should take these into account when deciding whether the TOSMP option is appropriate for them. </w:t>
      </w:r>
    </w:p>
    <w:p w14:paraId="6AA6ECDF" w14:textId="3AD1BAF6" w:rsidR="00723517" w:rsidRPr="000C5050" w:rsidRDefault="009679B0" w:rsidP="00723517">
      <w:pPr>
        <w:pStyle w:val="BodyText"/>
      </w:pPr>
      <w:r w:rsidRPr="000C5050">
        <w:t>I</w:t>
      </w:r>
      <w:r w:rsidR="00723517" w:rsidRPr="000C5050">
        <w:t>f a landowner chooses to opt for a TOSMP, their proposed subdivision or change of use under the NESCS will be a controlled activity where:</w:t>
      </w:r>
    </w:p>
    <w:p w14:paraId="20DA1768" w14:textId="77777777" w:rsidR="00723517" w:rsidRPr="000C5050" w:rsidRDefault="00723517" w:rsidP="00723517">
      <w:pPr>
        <w:pStyle w:val="Bullet"/>
        <w:rPr>
          <w:rFonts w:eastAsiaTheme="minorHAnsi"/>
        </w:rPr>
      </w:pPr>
      <w:r w:rsidRPr="000C5050">
        <w:rPr>
          <w:rFonts w:eastAsiaTheme="minorHAnsi"/>
          <w:lang w:eastAsia="en-US"/>
        </w:rPr>
        <w:t>a D</w:t>
      </w:r>
      <w:r w:rsidRPr="000C5050">
        <w:rPr>
          <w:rFonts w:eastAsiaTheme="minorHAnsi"/>
        </w:rPr>
        <w:t>SI has been undertaken and states that the soil contamination does not exceed the applicable standard for sites with TOSMPs</w:t>
      </w:r>
    </w:p>
    <w:p w14:paraId="69C0B5F0" w14:textId="77777777" w:rsidR="00723517" w:rsidRPr="000C5050" w:rsidRDefault="00723517" w:rsidP="00723517">
      <w:pPr>
        <w:pStyle w:val="Bullet"/>
        <w:rPr>
          <w:rFonts w:eastAsiaTheme="minorHAnsi"/>
        </w:rPr>
      </w:pPr>
      <w:r w:rsidRPr="000C5050">
        <w:rPr>
          <w:rFonts w:eastAsiaTheme="minorHAnsi"/>
        </w:rPr>
        <w:t>council must have the DSI</w:t>
      </w:r>
    </w:p>
    <w:p w14:paraId="2110AB21" w14:textId="4EA6450A" w:rsidR="00723517" w:rsidRPr="000C5050" w:rsidRDefault="00723517" w:rsidP="00723517">
      <w:pPr>
        <w:pStyle w:val="Bullet"/>
        <w:rPr>
          <w:rFonts w:eastAsiaTheme="minorHAnsi"/>
        </w:rPr>
      </w:pPr>
      <w:r w:rsidRPr="000C5050">
        <w:rPr>
          <w:rFonts w:eastAsiaTheme="minorHAnsi"/>
        </w:rPr>
        <w:t>council must have the TOSMP</w:t>
      </w:r>
      <w:r w:rsidR="007075AC" w:rsidRPr="000C5050">
        <w:rPr>
          <w:rFonts w:eastAsiaTheme="minorHAnsi"/>
        </w:rPr>
        <w:t>, and</w:t>
      </w:r>
    </w:p>
    <w:p w14:paraId="1781DCE5" w14:textId="3DB2035C" w:rsidR="00723517" w:rsidRPr="000C5050" w:rsidRDefault="00723517" w:rsidP="00B44931">
      <w:pPr>
        <w:pStyle w:val="Bullet"/>
        <w:rPr>
          <w:rFonts w:eastAsiaTheme="minorHAnsi"/>
          <w:lang w:eastAsia="en-US"/>
        </w:rPr>
      </w:pPr>
      <w:proofErr w:type="gramStart"/>
      <w:r w:rsidRPr="000C5050">
        <w:rPr>
          <w:rFonts w:eastAsiaTheme="minorHAnsi"/>
        </w:rPr>
        <w:t>counc</w:t>
      </w:r>
      <w:r w:rsidRPr="000C5050">
        <w:rPr>
          <w:rFonts w:eastAsiaTheme="minorHAnsi"/>
          <w:lang w:eastAsia="en-US"/>
        </w:rPr>
        <w:t>il</w:t>
      </w:r>
      <w:proofErr w:type="gramEnd"/>
      <w:r w:rsidRPr="000C5050">
        <w:rPr>
          <w:rFonts w:eastAsiaTheme="minorHAnsi"/>
          <w:lang w:eastAsia="en-US"/>
        </w:rPr>
        <w:t xml:space="preserve"> control is reserved over the adequacy of the DSI and certain implementation measures of the T</w:t>
      </w:r>
      <w:r w:rsidR="00686DB1" w:rsidRPr="000C5050">
        <w:rPr>
          <w:rFonts w:eastAsiaTheme="minorHAnsi"/>
          <w:lang w:eastAsia="en-US"/>
        </w:rPr>
        <w:t>OS</w:t>
      </w:r>
      <w:r w:rsidRPr="000C5050">
        <w:rPr>
          <w:rFonts w:eastAsiaTheme="minorHAnsi"/>
          <w:lang w:eastAsia="en-US"/>
        </w:rPr>
        <w:t>MP (</w:t>
      </w:r>
      <w:proofErr w:type="spellStart"/>
      <w:r w:rsidRPr="000C5050">
        <w:rPr>
          <w:rFonts w:eastAsiaTheme="minorHAnsi"/>
          <w:lang w:eastAsia="en-US"/>
        </w:rPr>
        <w:t>ie</w:t>
      </w:r>
      <w:proofErr w:type="spellEnd"/>
      <w:r w:rsidRPr="000C5050">
        <w:rPr>
          <w:rFonts w:eastAsiaTheme="minorHAnsi"/>
          <w:lang w:eastAsia="en-US"/>
        </w:rPr>
        <w:t xml:space="preserve">, </w:t>
      </w:r>
      <w:r w:rsidR="00B44931" w:rsidRPr="000C5050">
        <w:rPr>
          <w:rFonts w:eastAsiaTheme="minorHAnsi"/>
          <w:lang w:eastAsia="en-US"/>
        </w:rPr>
        <w:t xml:space="preserve">council must have the plan, </w:t>
      </w:r>
      <w:r w:rsidRPr="000C5050">
        <w:rPr>
          <w:rFonts w:eastAsiaTheme="minorHAnsi"/>
          <w:lang w:eastAsia="en-US"/>
        </w:rPr>
        <w:t>evidence of</w:t>
      </w:r>
      <w:r w:rsidR="007D080D" w:rsidRPr="000C5050">
        <w:rPr>
          <w:rFonts w:eastAsiaTheme="minorHAnsi"/>
          <w:lang w:eastAsia="en-US"/>
        </w:rPr>
        <w:t xml:space="preserve"> </w:t>
      </w:r>
      <w:r w:rsidRPr="000C5050">
        <w:rPr>
          <w:rFonts w:eastAsiaTheme="minorHAnsi"/>
          <w:lang w:eastAsia="en-US"/>
        </w:rPr>
        <w:t>soil excavation is provided to council).</w:t>
      </w:r>
    </w:p>
    <w:p w14:paraId="6C03F0BD" w14:textId="37EC6755" w:rsidR="00723517" w:rsidRPr="000C5050" w:rsidRDefault="0040424C" w:rsidP="00723517">
      <w:pPr>
        <w:pStyle w:val="BodyText"/>
      </w:pPr>
      <w:r w:rsidRPr="000C5050">
        <w:t>The proposal is to classify this as a controlled activity in order</w:t>
      </w:r>
      <w:r w:rsidR="00723517" w:rsidRPr="000C5050">
        <w:t xml:space="preserve"> to ensure that future landowners are aware that a TOSMP is in place for a property. The TOSMP will be recorded as a condition </w:t>
      </w:r>
      <w:r w:rsidR="00723517" w:rsidRPr="000C5050">
        <w:lastRenderedPageBreak/>
        <w:t xml:space="preserve">of consent, and future and prospective property purchasers could discover the TOSMP through the process of obtaining a LIM report and carrying out due diligence. Controlled resource consent is considered to be a straight forward and cost-effective method for recording the presence of a TOSMP for future landowners. Other options for ensuring future landowners were aware of the </w:t>
      </w:r>
      <w:r w:rsidR="007075AC" w:rsidRPr="000C5050">
        <w:t>TO</w:t>
      </w:r>
      <w:r w:rsidR="00723517" w:rsidRPr="000C5050">
        <w:t xml:space="preserve">SMP were considered, including covenants on the property title, or requiring a certificate of compliance. The legal fees and costs associated with registering covenants, however, would undermine the objective of providing a low-cost option for residential landowners, while the process for obtaining a certificate of compliance is similar to obtaining resource consent, but with less certainty around timeframes and costs. </w:t>
      </w:r>
    </w:p>
    <w:p w14:paraId="6E3781A9" w14:textId="752BDB81" w:rsidR="00723517" w:rsidRPr="000C5050" w:rsidRDefault="00723517" w:rsidP="00723517">
      <w:pPr>
        <w:pStyle w:val="BodyText"/>
      </w:pPr>
      <w:r w:rsidRPr="000C5050">
        <w:t>For sites where contaminant concentrations exceed the soil guideline value for sites with TOSMPs, the standardised site management measures will not be sufficient to address the risks</w:t>
      </w:r>
      <w:r w:rsidR="0040424C" w:rsidRPr="000C5050">
        <w:t xml:space="preserve"> and </w:t>
      </w:r>
      <w:r w:rsidRPr="000C5050">
        <w:t>need to apply for NESCS resource consent</w:t>
      </w:r>
      <w:r w:rsidR="0040424C" w:rsidRPr="000C5050">
        <w:t xml:space="preserve"> with the appropriate site-specific risk management measures</w:t>
      </w:r>
      <w:r w:rsidRPr="000C5050">
        <w:t xml:space="preserve">. Under this, the council has </w:t>
      </w:r>
      <w:r w:rsidR="00CE7BA3" w:rsidRPr="000C5050">
        <w:t xml:space="preserve">restricted </w:t>
      </w:r>
      <w:r w:rsidRPr="000C5050">
        <w:t>discretion over the proposed management or remediation of a site.</w:t>
      </w:r>
      <w:r w:rsidR="007D080D" w:rsidRPr="000C5050">
        <w:t xml:space="preserve"> </w:t>
      </w:r>
    </w:p>
    <w:p w14:paraId="1F25DDFF" w14:textId="77777777" w:rsidR="00CE7BA3" w:rsidRPr="000C5050" w:rsidRDefault="00723517" w:rsidP="00461557">
      <w:pPr>
        <w:pStyle w:val="BodyText"/>
        <w:rPr>
          <w:rFonts w:eastAsia="Calibri"/>
          <w:u w:color="000000"/>
          <w:bdr w:val="nil"/>
        </w:rPr>
      </w:pPr>
      <w:r w:rsidRPr="000C5050">
        <w:t>The Ministry is inte</w:t>
      </w:r>
      <w:r w:rsidRPr="000C5050">
        <w:rPr>
          <w:rFonts w:eastAsia="Calibri"/>
          <w:u w:color="000000"/>
          <w:bdr w:val="nil"/>
        </w:rPr>
        <w:t>rested in your feedback on</w:t>
      </w:r>
      <w:r w:rsidR="00CE7BA3" w:rsidRPr="000C5050">
        <w:rPr>
          <w:rFonts w:eastAsia="Calibri"/>
          <w:u w:color="000000"/>
          <w:bdr w:val="nil"/>
        </w:rPr>
        <w:t>:</w:t>
      </w:r>
    </w:p>
    <w:p w14:paraId="3768B4E1" w14:textId="2E90D168" w:rsidR="00CE7BA3" w:rsidRPr="000C5050" w:rsidRDefault="00723517" w:rsidP="00461557">
      <w:pPr>
        <w:pStyle w:val="Bullet"/>
      </w:pPr>
      <w:r w:rsidRPr="000C5050">
        <w:rPr>
          <w:rFonts w:eastAsia="Calibri"/>
          <w:u w:color="000000"/>
          <w:bdr w:val="nil"/>
        </w:rPr>
        <w:t>the overall proposal to introduce a TOSMP</w:t>
      </w:r>
    </w:p>
    <w:p w14:paraId="02B16393" w14:textId="0515FC95" w:rsidR="00CE7BA3" w:rsidRPr="000C5050" w:rsidRDefault="00723517" w:rsidP="00461557">
      <w:pPr>
        <w:pStyle w:val="Bullet"/>
      </w:pPr>
      <w:r w:rsidRPr="000C5050">
        <w:rPr>
          <w:rFonts w:eastAsia="Calibri"/>
          <w:u w:color="000000"/>
          <w:bdr w:val="nil"/>
        </w:rPr>
        <w:t xml:space="preserve">the proposed new soil guideline value </w:t>
      </w:r>
      <w:r w:rsidRPr="000C5050">
        <w:t>(</w:t>
      </w:r>
      <w:proofErr w:type="spellStart"/>
      <w:r w:rsidRPr="000C5050">
        <w:t>ie</w:t>
      </w:r>
      <w:proofErr w:type="spellEnd"/>
      <w:r w:rsidRPr="000C5050">
        <w:t>, the proposed percentage reduction of soil ingestion rates of 50 per cent)</w:t>
      </w:r>
    </w:p>
    <w:p w14:paraId="38829223" w14:textId="2C141DA1" w:rsidR="00B44931" w:rsidRPr="000C5050" w:rsidRDefault="00723517" w:rsidP="00461557">
      <w:pPr>
        <w:pStyle w:val="Bullet"/>
      </w:pPr>
      <w:r w:rsidRPr="000C5050">
        <w:rPr>
          <w:rFonts w:eastAsia="Calibri"/>
          <w:u w:color="000000"/>
          <w:bdr w:val="nil"/>
        </w:rPr>
        <w:t xml:space="preserve">the proposed </w:t>
      </w:r>
      <w:r w:rsidR="009679B0" w:rsidRPr="000C5050">
        <w:rPr>
          <w:rFonts w:eastAsia="Calibri"/>
          <w:u w:color="000000"/>
          <w:bdr w:val="nil"/>
        </w:rPr>
        <w:t xml:space="preserve">mandatory management practices and advice notes </w:t>
      </w:r>
      <w:r w:rsidRPr="000C5050">
        <w:rPr>
          <w:rFonts w:eastAsia="Calibri"/>
          <w:u w:color="000000"/>
          <w:bdr w:val="nil"/>
        </w:rPr>
        <w:t>of the TOSMP</w:t>
      </w:r>
    </w:p>
    <w:p w14:paraId="62762C19" w14:textId="644DF479" w:rsidR="00723517" w:rsidRPr="000C5050" w:rsidRDefault="00B44931" w:rsidP="00461557">
      <w:pPr>
        <w:pStyle w:val="Bullet"/>
      </w:pPr>
      <w:proofErr w:type="gramStart"/>
      <w:r w:rsidRPr="000C5050">
        <w:rPr>
          <w:lang w:eastAsia="en-US"/>
        </w:rPr>
        <w:t>how</w:t>
      </w:r>
      <w:proofErr w:type="gramEnd"/>
      <w:r w:rsidRPr="000C5050">
        <w:rPr>
          <w:lang w:eastAsia="en-US"/>
        </w:rPr>
        <w:t xml:space="preserve"> a TOSMP’s implementation should be monitored.</w:t>
      </w:r>
    </w:p>
    <w:p w14:paraId="6A86B716" w14:textId="77777777" w:rsidR="00723517" w:rsidRPr="000C5050" w:rsidRDefault="00723517" w:rsidP="00723517">
      <w:pPr>
        <w:pStyle w:val="Heading4"/>
      </w:pPr>
      <w:r w:rsidRPr="000C5050">
        <w:rPr>
          <w:rFonts w:eastAsia="Calibri"/>
          <w:u w:color="000000"/>
          <w:bdr w:val="nil"/>
        </w:rPr>
        <w:t xml:space="preserve">Anticipated impacts of change </w:t>
      </w:r>
    </w:p>
    <w:p w14:paraId="4D2AB86F" w14:textId="6D86FA60" w:rsidR="00723517" w:rsidRPr="000C5050" w:rsidRDefault="00723517" w:rsidP="00EE5E49">
      <w:pPr>
        <w:pStyle w:val="BodyText"/>
        <w:rPr>
          <w:rFonts w:eastAsia="Calibri"/>
          <w:u w:color="000000"/>
          <w:bdr w:val="nil"/>
        </w:rPr>
      </w:pPr>
      <w:r w:rsidRPr="000C5050">
        <w:rPr>
          <w:rFonts w:eastAsia="Calibri"/>
          <w:u w:color="000000"/>
          <w:bdr w:val="nil"/>
        </w:rPr>
        <w:t xml:space="preserve">It is expected that under the proposal, a </w:t>
      </w:r>
      <w:r w:rsidR="00B621C4" w:rsidRPr="000C5050">
        <w:rPr>
          <w:rFonts w:eastAsia="Calibri"/>
          <w:u w:color="000000"/>
          <w:bdr w:val="nil"/>
        </w:rPr>
        <w:t>TO</w:t>
      </w:r>
      <w:r w:rsidRPr="000C5050">
        <w:rPr>
          <w:rFonts w:eastAsia="Calibri"/>
          <w:u w:color="000000"/>
          <w:bdr w:val="nil"/>
        </w:rPr>
        <w:t xml:space="preserve">SMP will be an option for 20–40 per cent of residential properties </w:t>
      </w:r>
      <w:r w:rsidR="00CC1CA4" w:rsidRPr="000C5050">
        <w:rPr>
          <w:rFonts w:eastAsia="Calibri"/>
          <w:u w:color="000000"/>
          <w:bdr w:val="nil"/>
        </w:rPr>
        <w:t xml:space="preserve">required to </w:t>
      </w:r>
      <w:r w:rsidRPr="000C5050">
        <w:rPr>
          <w:rFonts w:eastAsia="Calibri"/>
          <w:u w:color="000000"/>
          <w:bdr w:val="nil"/>
        </w:rPr>
        <w:t>obtain NESCS consent for subdivision or change of use.</w:t>
      </w:r>
      <w:r w:rsidRPr="000C5050">
        <w:rPr>
          <w:rFonts w:eastAsia="Calibri"/>
          <w:u w:color="000000"/>
          <w:bdr w:val="nil"/>
          <w:vertAlign w:val="superscript"/>
        </w:rPr>
        <w:footnoteReference w:id="13"/>
      </w:r>
      <w:r w:rsidRPr="000C5050">
        <w:rPr>
          <w:rFonts w:eastAsia="Calibri"/>
          <w:u w:color="000000"/>
          <w:bdr w:val="nil"/>
        </w:rPr>
        <w:t xml:space="preserve"> </w:t>
      </w:r>
      <w:r w:rsidR="00CC1CA4" w:rsidRPr="000C5050">
        <w:rPr>
          <w:rFonts w:eastAsia="Calibri"/>
          <w:u w:color="000000"/>
          <w:bdr w:val="nil"/>
        </w:rPr>
        <w:t xml:space="preserve">This will increase their certainty about the outcomes for management </w:t>
      </w:r>
      <w:r w:rsidR="007075AC" w:rsidRPr="000C5050">
        <w:rPr>
          <w:rFonts w:eastAsia="Calibri"/>
          <w:u w:color="000000"/>
          <w:bdr w:val="nil"/>
        </w:rPr>
        <w:t>practices</w:t>
      </w:r>
      <w:r w:rsidR="00CC1CA4" w:rsidRPr="000C5050">
        <w:rPr>
          <w:rFonts w:eastAsia="Calibri"/>
          <w:u w:color="000000"/>
          <w:bdr w:val="nil"/>
        </w:rPr>
        <w:t>, and streamline the process of obtaining NESCS consent.</w:t>
      </w:r>
    </w:p>
    <w:p w14:paraId="7AF2544F" w14:textId="7DFCAEAC" w:rsidR="00723517" w:rsidRPr="000C5050" w:rsidRDefault="00B621C4" w:rsidP="00723517">
      <w:pPr>
        <w:pStyle w:val="BodyText"/>
      </w:pPr>
      <w:r w:rsidRPr="000C5050">
        <w:t>T</w:t>
      </w:r>
      <w:r w:rsidR="00723517" w:rsidRPr="000C5050">
        <w:t xml:space="preserve">he effectiveness of the management </w:t>
      </w:r>
      <w:r w:rsidR="007075AC" w:rsidRPr="000C5050">
        <w:t xml:space="preserve">practices </w:t>
      </w:r>
      <w:r w:rsidR="00723517" w:rsidRPr="000C5050">
        <w:t xml:space="preserve">will depend on the type, location and concentration of contaminants on a site, and implementation of the measures by the occupant. For example, if someone spends a lot of time outdoors, they will be more likely to be exposed to unacceptable levels of contamination, even if they adhere to their </w:t>
      </w:r>
      <w:r w:rsidR="00A16B77" w:rsidRPr="000C5050">
        <w:t>TO</w:t>
      </w:r>
      <w:r w:rsidR="00723517" w:rsidRPr="000C5050">
        <w:t xml:space="preserve">SMP. </w:t>
      </w:r>
    </w:p>
    <w:p w14:paraId="3D9960AC" w14:textId="1AC1820E" w:rsidR="00723517" w:rsidRPr="000C5050" w:rsidRDefault="00A16B77" w:rsidP="00723517">
      <w:pPr>
        <w:pStyle w:val="BodyText"/>
        <w:rPr>
          <w:rFonts w:eastAsia="Calibri"/>
          <w:u w:color="000000"/>
          <w:bdr w:val="nil"/>
        </w:rPr>
      </w:pPr>
      <w:r w:rsidRPr="000C5050">
        <w:rPr>
          <w:rFonts w:eastAsia="Calibri"/>
          <w:u w:color="000000"/>
          <w:bdr w:val="nil"/>
        </w:rPr>
        <w:t>The c</w:t>
      </w:r>
      <w:r w:rsidR="00723517" w:rsidRPr="000C5050">
        <w:rPr>
          <w:rFonts w:eastAsia="Calibri"/>
          <w:u w:color="000000"/>
          <w:bdr w:val="nil"/>
        </w:rPr>
        <w:t xml:space="preserve">ompliance costs for landowners opting for the residential TOSMP are expected to be </w:t>
      </w:r>
      <w:r w:rsidR="00723517" w:rsidRPr="000C5050">
        <w:rPr>
          <w:rFonts w:eastAsia="Calibri"/>
          <w:u w:color="000000"/>
          <w:bdr w:val="nil"/>
        </w:rPr>
        <w:br/>
        <w:t>$6000–$10,000, which is the estimated cost of obtaining a DSI, and minor physical works to implement the approved controls (</w:t>
      </w:r>
      <w:proofErr w:type="spellStart"/>
      <w:r w:rsidR="008632B5">
        <w:rPr>
          <w:rFonts w:eastAsia="Calibri"/>
          <w:u w:color="000000"/>
          <w:bdr w:val="nil"/>
        </w:rPr>
        <w:t>eg</w:t>
      </w:r>
      <w:proofErr w:type="spellEnd"/>
      <w:r w:rsidR="00723517" w:rsidRPr="000C5050">
        <w:rPr>
          <w:rFonts w:eastAsia="Calibri"/>
          <w:u w:color="000000"/>
          <w:bdr w:val="nil"/>
        </w:rPr>
        <w:t>, sealing a play area for children). This is in comparison to reported costs</w:t>
      </w:r>
      <w:r w:rsidRPr="000C5050">
        <w:rPr>
          <w:rFonts w:eastAsia="Calibri"/>
          <w:u w:color="000000"/>
          <w:bdr w:val="nil"/>
        </w:rPr>
        <w:t xml:space="preserve"> for remediation</w:t>
      </w:r>
      <w:r w:rsidR="00723517" w:rsidRPr="000C5050">
        <w:rPr>
          <w:rFonts w:eastAsia="Calibri"/>
          <w:u w:color="000000"/>
          <w:bdr w:val="nil"/>
        </w:rPr>
        <w:t xml:space="preserve">, which can </w:t>
      </w:r>
      <w:r w:rsidRPr="000C5050">
        <w:rPr>
          <w:rFonts w:eastAsia="Calibri"/>
          <w:u w:color="000000"/>
          <w:bdr w:val="nil"/>
        </w:rPr>
        <w:t>be</w:t>
      </w:r>
      <w:r w:rsidR="00723517" w:rsidRPr="000C5050">
        <w:rPr>
          <w:rFonts w:eastAsia="Calibri"/>
          <w:u w:color="000000"/>
          <w:bdr w:val="nil"/>
        </w:rPr>
        <w:t xml:space="preserve"> up to $50,000 to dispose of the contaminated topsoil layer from a 700m</w:t>
      </w:r>
      <w:r w:rsidR="00723517" w:rsidRPr="000C5050">
        <w:rPr>
          <w:rFonts w:eastAsia="Calibri"/>
          <w:u w:color="000000"/>
          <w:bdr w:val="nil"/>
          <w:vertAlign w:val="superscript"/>
        </w:rPr>
        <w:t>2</w:t>
      </w:r>
      <w:r w:rsidR="00723517" w:rsidRPr="000C5050">
        <w:rPr>
          <w:rFonts w:eastAsia="Calibri"/>
          <w:u w:color="000000"/>
          <w:bdr w:val="nil"/>
        </w:rPr>
        <w:t xml:space="preserve"> residential site.</w:t>
      </w:r>
    </w:p>
    <w:p w14:paraId="178999BA" w14:textId="77777777" w:rsidR="00C005C2" w:rsidRPr="000C5050" w:rsidRDefault="00C005C2" w:rsidP="00EE5E49">
      <w:pPr>
        <w:pStyle w:val="Blueboxheading"/>
        <w:rPr>
          <w:lang w:eastAsia="en-US"/>
        </w:rPr>
      </w:pPr>
      <w:r w:rsidRPr="000C5050">
        <w:rPr>
          <w:lang w:eastAsia="en-US"/>
        </w:rPr>
        <w:t>Amendments to NESCS framework</w:t>
      </w:r>
    </w:p>
    <w:p w14:paraId="14DB3DC7" w14:textId="77777777" w:rsidR="00C005C2" w:rsidRPr="000C5050" w:rsidRDefault="00C005C2" w:rsidP="00EE5E49">
      <w:pPr>
        <w:pStyle w:val="Blueboxtext"/>
        <w:keepNext/>
        <w:rPr>
          <w:lang w:eastAsia="en-US"/>
        </w:rPr>
      </w:pPr>
      <w:r w:rsidRPr="000C5050">
        <w:rPr>
          <w:lang w:eastAsia="en-US"/>
        </w:rPr>
        <w:t xml:space="preserve">Proposal 6.1: </w:t>
      </w:r>
    </w:p>
    <w:p w14:paraId="39DDC087" w14:textId="23DFEE7B" w:rsidR="00C005C2" w:rsidRPr="000C5050" w:rsidRDefault="00C005C2" w:rsidP="00814588">
      <w:pPr>
        <w:pStyle w:val="Blueboxbullet"/>
        <w:rPr>
          <w:lang w:eastAsia="en-US"/>
        </w:rPr>
      </w:pPr>
      <w:r w:rsidRPr="000C5050">
        <w:rPr>
          <w:lang w:eastAsia="en-US"/>
        </w:rPr>
        <w:t>Amend regulation 9 to require that the TO</w:t>
      </w:r>
      <w:r w:rsidR="00686DB1" w:rsidRPr="000C5050">
        <w:rPr>
          <w:lang w:eastAsia="en-US"/>
        </w:rPr>
        <w:t>S</w:t>
      </w:r>
      <w:r w:rsidRPr="000C5050">
        <w:rPr>
          <w:lang w:eastAsia="en-US"/>
        </w:rPr>
        <w:t>MP is provided to council, and to provide that council control is reserved over the adequacy of certain implementation measures of the TO</w:t>
      </w:r>
      <w:r w:rsidR="00AC2E61">
        <w:rPr>
          <w:lang w:eastAsia="en-US"/>
        </w:rPr>
        <w:t>S</w:t>
      </w:r>
      <w:r w:rsidRPr="000C5050">
        <w:rPr>
          <w:lang w:eastAsia="en-US"/>
        </w:rPr>
        <w:t>MP (</w:t>
      </w:r>
      <w:proofErr w:type="spellStart"/>
      <w:r w:rsidRPr="000C5050">
        <w:rPr>
          <w:lang w:eastAsia="en-US"/>
        </w:rPr>
        <w:t>ie</w:t>
      </w:r>
      <w:proofErr w:type="spellEnd"/>
      <w:r w:rsidRPr="000C5050">
        <w:rPr>
          <w:lang w:eastAsia="en-US"/>
        </w:rPr>
        <w:t>, evidence of</w:t>
      </w:r>
      <w:r w:rsidR="007D080D" w:rsidRPr="000C5050">
        <w:rPr>
          <w:lang w:eastAsia="en-US"/>
        </w:rPr>
        <w:t xml:space="preserve"> </w:t>
      </w:r>
      <w:r w:rsidRPr="000C5050">
        <w:rPr>
          <w:lang w:eastAsia="en-US"/>
        </w:rPr>
        <w:t>soil excavation is provided to council).</w:t>
      </w:r>
    </w:p>
    <w:p w14:paraId="0B2FCE97" w14:textId="77777777" w:rsidR="00C005C2" w:rsidRPr="000C5050" w:rsidRDefault="00C005C2" w:rsidP="00814588">
      <w:pPr>
        <w:pStyle w:val="Blueboxbullet"/>
        <w:rPr>
          <w:lang w:eastAsia="en-US"/>
        </w:rPr>
      </w:pPr>
      <w:r w:rsidRPr="000C5050">
        <w:rPr>
          <w:lang w:eastAsia="en-US"/>
        </w:rPr>
        <w:t>Amend the methodology (Ministry for the Environment, 2011e) to include derivation of new soil guideline value that applies where a residential TOSMP is in place.</w:t>
      </w:r>
    </w:p>
    <w:p w14:paraId="44153EA3" w14:textId="77777777" w:rsidR="00C005C2" w:rsidRPr="000C5050" w:rsidRDefault="00C005C2" w:rsidP="00814588">
      <w:pPr>
        <w:pStyle w:val="Blueboxbullet"/>
        <w:rPr>
          <w:lang w:eastAsia="en-US"/>
        </w:rPr>
      </w:pPr>
      <w:r w:rsidRPr="000C5050">
        <w:rPr>
          <w:lang w:eastAsia="en-US"/>
        </w:rPr>
        <w:lastRenderedPageBreak/>
        <w:t>Update</w:t>
      </w:r>
      <w:r w:rsidR="007D080D" w:rsidRPr="000C5050">
        <w:rPr>
          <w:lang w:eastAsia="en-US"/>
        </w:rPr>
        <w:t xml:space="preserve"> </w:t>
      </w:r>
      <w:r w:rsidRPr="000C5050">
        <w:rPr>
          <w:lang w:eastAsia="en-US"/>
        </w:rPr>
        <w:t>CLMG No 1 to provide guidance on TOSMPs.</w:t>
      </w:r>
    </w:p>
    <w:p w14:paraId="7E10CD80" w14:textId="77777777" w:rsidR="00723517" w:rsidRPr="000C5050" w:rsidRDefault="00E4016E" w:rsidP="002109C3">
      <w:pPr>
        <w:pStyle w:val="Heading3"/>
        <w:spacing w:before="480" w:after="60"/>
        <w:rPr>
          <w:lang w:eastAsia="en-US"/>
        </w:rPr>
      </w:pPr>
      <w:r w:rsidRPr="000C5050">
        <w:rPr>
          <w:lang w:eastAsia="en-US"/>
        </w:rPr>
        <w:t>Guidance on options for managing residential properties</w:t>
      </w:r>
    </w:p>
    <w:p w14:paraId="65A8A2FB" w14:textId="77777777" w:rsidR="00E4016E" w:rsidRPr="000C5050" w:rsidRDefault="00E4016E" w:rsidP="00AB35CD">
      <w:pPr>
        <w:pStyle w:val="Box"/>
        <w:rPr>
          <w:lang w:eastAsia="en-US"/>
        </w:rPr>
      </w:pPr>
      <w:r w:rsidRPr="000C5050">
        <w:rPr>
          <w:lang w:eastAsia="en-US"/>
        </w:rPr>
        <w:t>6.2</w:t>
      </w:r>
      <w:r w:rsidRPr="000C5050">
        <w:rPr>
          <w:lang w:eastAsia="en-US"/>
        </w:rPr>
        <w:tab/>
        <w:t>Non-regulatory guidance on options for managing contamination on residential properties.</w:t>
      </w:r>
    </w:p>
    <w:p w14:paraId="11815E37" w14:textId="0C95B4BA" w:rsidR="00E4016E" w:rsidRPr="000C5050" w:rsidRDefault="00E4016E" w:rsidP="00E4016E">
      <w:pPr>
        <w:pStyle w:val="BodyText"/>
        <w:spacing w:before="240"/>
      </w:pPr>
      <w:r w:rsidRPr="000C5050">
        <w:rPr>
          <w:rFonts w:eastAsia="Calibri"/>
          <w:u w:color="000000"/>
          <w:bdr w:val="nil"/>
        </w:rPr>
        <w:t>In addition to the TOSMP, it</w:t>
      </w:r>
      <w:r w:rsidR="0081630C" w:rsidRPr="000C5050">
        <w:rPr>
          <w:rFonts w:eastAsia="Calibri"/>
          <w:u w:color="000000"/>
          <w:bdr w:val="nil"/>
        </w:rPr>
        <w:t>’</w:t>
      </w:r>
      <w:r w:rsidRPr="000C5050">
        <w:rPr>
          <w:rFonts w:eastAsia="Calibri"/>
          <w:u w:color="000000"/>
          <w:bdr w:val="nil"/>
        </w:rPr>
        <w:t>s proposed that non-regulatory guidance is produced on t</w:t>
      </w:r>
      <w:r w:rsidRPr="000C5050">
        <w:t>he options for managing risks in a residential context. Risks to human health from contaminants in soil can be managed through a variety of means, but landowners, council staff, and some contaminated land practitioners may not be aware of the range of options available.</w:t>
      </w:r>
    </w:p>
    <w:p w14:paraId="2B080E17" w14:textId="77777777" w:rsidR="00E4016E" w:rsidRPr="000C5050" w:rsidRDefault="00E4016E" w:rsidP="00E4016E">
      <w:pPr>
        <w:pStyle w:val="BodyText"/>
        <w:rPr>
          <w:rFonts w:eastAsia="Calibri"/>
          <w:u w:color="000000"/>
          <w:bdr w:val="nil"/>
        </w:rPr>
      </w:pPr>
      <w:r w:rsidRPr="000C5050">
        <w:t>Non-re</w:t>
      </w:r>
      <w:r w:rsidRPr="000C5050">
        <w:rPr>
          <w:rFonts w:eastAsia="Calibri"/>
          <w:u w:color="000000"/>
          <w:bdr w:val="nil"/>
        </w:rPr>
        <w:t>gulatory guidance should help to create awareness of the options for managing sites, such as soil mixing, capping and site management plans. These options may cost less than removing and disposing of soil.</w:t>
      </w:r>
    </w:p>
    <w:p w14:paraId="6F116557" w14:textId="77777777" w:rsidR="00E4016E" w:rsidRPr="000C5050" w:rsidRDefault="00E4016E" w:rsidP="002109C3">
      <w:pPr>
        <w:pStyle w:val="Heading3"/>
        <w:spacing w:after="60"/>
      </w:pPr>
      <w:r w:rsidRPr="000C5050">
        <w:t>Bioavailability testing in New Zealand</w:t>
      </w:r>
    </w:p>
    <w:p w14:paraId="2BDCC3D2" w14:textId="18510677" w:rsidR="00F3454E" w:rsidRPr="000C5050" w:rsidRDefault="00E4016E" w:rsidP="00AB35CD">
      <w:pPr>
        <w:pStyle w:val="Box"/>
      </w:pPr>
      <w:r w:rsidRPr="000C5050">
        <w:t>6.3</w:t>
      </w:r>
      <w:r w:rsidRPr="000C5050">
        <w:tab/>
        <w:t xml:space="preserve">Option to </w:t>
      </w:r>
      <w:r w:rsidR="00DA3F3F" w:rsidRPr="000C5050">
        <w:t>enable site-specific soil guideline values to be calculated using the site-specific bioavailable concentration of arsenic and lead.</w:t>
      </w:r>
    </w:p>
    <w:p w14:paraId="34D4EF8A" w14:textId="77777777" w:rsidR="00BE7FA1" w:rsidRPr="000C5050" w:rsidRDefault="00BE7FA1" w:rsidP="00EF7B46">
      <w:pPr>
        <w:pStyle w:val="Heading4"/>
      </w:pPr>
      <w:r w:rsidRPr="000C5050">
        <w:t>Purpose</w:t>
      </w:r>
    </w:p>
    <w:p w14:paraId="02236442" w14:textId="073F1E2D" w:rsidR="00F3454E" w:rsidRPr="000C5050" w:rsidRDefault="00BE7FA1" w:rsidP="00BE7FA1">
      <w:pPr>
        <w:pStyle w:val="BodyText"/>
      </w:pPr>
      <w:r w:rsidRPr="000C5050">
        <w:t xml:space="preserve">The purpose of introducing bioavailability testing is to </w:t>
      </w:r>
      <w:r w:rsidR="00F3454E" w:rsidRPr="000C5050">
        <w:t>enable the controls on contaminated land in New Zealand to be better targeted towards the risks they manage.</w:t>
      </w:r>
    </w:p>
    <w:p w14:paraId="71AAED03" w14:textId="77360B98" w:rsidR="00BE7FA1" w:rsidRPr="000C5050" w:rsidRDefault="00BE7FA1" w:rsidP="00BE7FA1">
      <w:pPr>
        <w:pStyle w:val="BodyText"/>
      </w:pPr>
      <w:r w:rsidRPr="000C5050">
        <w:t>The methodology (Ministry for the Environment, 2011e) currently requires that the total concentration of contaminants in soil be taken into account when assessing the level of risk. Only a portion of the total concentration of the contaminant is potentially available for uptake by people; this is referred to as the biologically available (bioavailable) portion. As the remaining portion is not absorbed into the human body beyond the cell membrane, it is not capable of causing adverse effects. Therefore the assessment of risk from the total concentration of contaminants in soil is a conservative approach.</w:t>
      </w:r>
    </w:p>
    <w:p w14:paraId="45538F5D" w14:textId="7C8BBD9C" w:rsidR="00BE7FA1" w:rsidRPr="000C5050" w:rsidRDefault="00BE7FA1" w:rsidP="00BE7FA1">
      <w:pPr>
        <w:pStyle w:val="BodyText"/>
      </w:pPr>
      <w:r w:rsidRPr="000C5050">
        <w:t xml:space="preserve">At the time that the methodology was developed, it was recognised that contaminants in soil were not 100 per cent bioavailable. </w:t>
      </w:r>
      <w:r w:rsidR="00991C67" w:rsidRPr="000C5050">
        <w:t xml:space="preserve">However, at the time it </w:t>
      </w:r>
      <w:r w:rsidRPr="000C5050">
        <w:t>was considered</w:t>
      </w:r>
      <w:r w:rsidR="00991C67" w:rsidRPr="000C5050">
        <w:t xml:space="preserve"> </w:t>
      </w:r>
      <w:r w:rsidRPr="000C5050">
        <w:t>that there was not</w:t>
      </w:r>
      <w:r w:rsidR="002109C3" w:rsidRPr="000C5050">
        <w:t> </w:t>
      </w:r>
      <w:r w:rsidRPr="000C5050">
        <w:t xml:space="preserve">sufficient science to support the use of the bioavailable concentration. </w:t>
      </w:r>
      <w:r w:rsidR="00D93023" w:rsidRPr="000C5050">
        <w:t xml:space="preserve">Since then, the </w:t>
      </w:r>
      <w:r w:rsidRPr="000C5050">
        <w:t>use</w:t>
      </w:r>
      <w:r w:rsidR="002109C3" w:rsidRPr="000C5050">
        <w:t> </w:t>
      </w:r>
      <w:r w:rsidRPr="000C5050">
        <w:t>of bioavailability in the assessment of risk from contaminants in soil has been adopted in Australia, Canada, Denmark, the United Kingdom and the United States.</w:t>
      </w:r>
    </w:p>
    <w:p w14:paraId="31AFC59E" w14:textId="1271FA63" w:rsidR="00BE7FA1" w:rsidRPr="000C5050" w:rsidRDefault="00BE7FA1" w:rsidP="00BE7FA1">
      <w:pPr>
        <w:pStyle w:val="BodyText"/>
      </w:pPr>
      <w:r w:rsidRPr="000C5050">
        <w:t xml:space="preserve">The current method for determining the level of risk from contaminated soil has therefore become outdated in relation to international practice. This is resulting in risk assessments that may not reflect actual health risks, and subsequently </w:t>
      </w:r>
      <w:r w:rsidR="00B25EBF" w:rsidRPr="000C5050">
        <w:t>resulting in unnecessary management or remediation costs for landowners</w:t>
      </w:r>
      <w:r w:rsidRPr="000C5050">
        <w:t xml:space="preserve">. Introducing an appropriate methodology in New Zealand to test the bioavailability of contaminants </w:t>
      </w:r>
      <w:r w:rsidR="00B25EBF" w:rsidRPr="000C5050">
        <w:t>will align</w:t>
      </w:r>
      <w:r w:rsidRPr="000C5050">
        <w:t xml:space="preserve"> the risk assessment process</w:t>
      </w:r>
      <w:r w:rsidR="00837A6E" w:rsidRPr="000C5050">
        <w:t xml:space="preserve"> with </w:t>
      </w:r>
      <w:r w:rsidR="00B25EBF" w:rsidRPr="000C5050">
        <w:t xml:space="preserve">international practice and </w:t>
      </w:r>
      <w:r w:rsidR="00F7515A" w:rsidRPr="000C5050">
        <w:t>ensure that</w:t>
      </w:r>
      <w:r w:rsidR="00B25EBF" w:rsidRPr="000C5050">
        <w:t xml:space="preserve"> any remedial or mitigation activities are proportiona</w:t>
      </w:r>
      <w:r w:rsidR="00837A6E" w:rsidRPr="000C5050">
        <w:t>te to</w:t>
      </w:r>
      <w:r w:rsidR="00B25EBF" w:rsidRPr="000C5050">
        <w:t xml:space="preserve"> the level of risk</w:t>
      </w:r>
      <w:r w:rsidR="00F7515A" w:rsidRPr="000C5050">
        <w:t xml:space="preserve"> a site presents</w:t>
      </w:r>
      <w:r w:rsidRPr="000C5050">
        <w:t>.</w:t>
      </w:r>
    </w:p>
    <w:p w14:paraId="3F3D0847" w14:textId="77777777" w:rsidR="00BE7FA1" w:rsidRPr="000C5050" w:rsidRDefault="00BE7FA1" w:rsidP="00EF7B46">
      <w:pPr>
        <w:pStyle w:val="Heading4"/>
      </w:pPr>
      <w:r w:rsidRPr="000C5050">
        <w:lastRenderedPageBreak/>
        <w:t>Application</w:t>
      </w:r>
    </w:p>
    <w:p w14:paraId="23736961" w14:textId="7EC4E19D" w:rsidR="00BE7FA1" w:rsidRPr="000C5050" w:rsidRDefault="00BE7FA1" w:rsidP="00BE7FA1">
      <w:pPr>
        <w:pStyle w:val="BodyText"/>
      </w:pPr>
      <w:r w:rsidRPr="000C5050">
        <w:t>The Ministry has commissioned an evaluation of the potential to adopt a bioavailability methodol</w:t>
      </w:r>
      <w:r w:rsidR="00E80BEE">
        <w:t>ogy in New Zealand (Golders Associates, 2016</w:t>
      </w:r>
      <w:r w:rsidR="00CB5C65">
        <w:t>a</w:t>
      </w:r>
      <w:r w:rsidRPr="000C5050">
        <w:t xml:space="preserve">). The evaluation concluded that the United States EPA method could be adopted in New Zealand to assess the risk to humans from arsenic and lead concentrations in soil on a site-specific basis. If adopted, bioavailability testing </w:t>
      </w:r>
      <w:r w:rsidR="006C477D" w:rsidRPr="000C5050">
        <w:t>could</w:t>
      </w:r>
      <w:r w:rsidRPr="000C5050">
        <w:t xml:space="preserve"> be used to calculate site-specific soil guideline values.</w:t>
      </w:r>
    </w:p>
    <w:p w14:paraId="1D9E830F" w14:textId="77777777" w:rsidR="00BE7FA1" w:rsidRPr="000C5050" w:rsidRDefault="00BE7FA1" w:rsidP="00BE7FA1">
      <w:pPr>
        <w:pStyle w:val="BodyText"/>
      </w:pPr>
      <w:r w:rsidRPr="000C5050">
        <w:t>If a bioavailability assessment methodology was adopted, the Ministry would:</w:t>
      </w:r>
    </w:p>
    <w:p w14:paraId="6516A19A" w14:textId="0CA72164" w:rsidR="00BE7FA1" w:rsidRPr="000C5050" w:rsidRDefault="00BE7FA1" w:rsidP="00BE7FA1">
      <w:pPr>
        <w:pStyle w:val="Bullet"/>
      </w:pPr>
      <w:r w:rsidRPr="000C5050">
        <w:t>make changes to the methodology (Ministry for the Environment, 2011e)</w:t>
      </w:r>
      <w:r w:rsidR="00152FF8" w:rsidRPr="000C5050">
        <w:t xml:space="preserve"> which currently precludes the use of bioavailability</w:t>
      </w:r>
      <w:r w:rsidRPr="000C5050">
        <w:t xml:space="preserve">, to facilitate the use of the </w:t>
      </w:r>
      <w:r w:rsidR="006C477D" w:rsidRPr="000C5050">
        <w:t xml:space="preserve">U.S. EPA </w:t>
      </w:r>
      <w:r w:rsidRPr="000C5050">
        <w:t>assessment method</w:t>
      </w:r>
      <w:r w:rsidR="006C477D" w:rsidRPr="000C5050">
        <w:t xml:space="preserve"> for arsenic and lead</w:t>
      </w:r>
      <w:r w:rsidR="00152FF8" w:rsidRPr="000C5050">
        <w:t xml:space="preserve"> when generating site-specific soil guideline values</w:t>
      </w:r>
    </w:p>
    <w:p w14:paraId="304271E7" w14:textId="77777777" w:rsidR="00BE7FA1" w:rsidRPr="000C5050" w:rsidRDefault="00BE7FA1" w:rsidP="00BE7FA1">
      <w:pPr>
        <w:pStyle w:val="Bullet"/>
      </w:pPr>
      <w:proofErr w:type="gramStart"/>
      <w:r w:rsidRPr="000C5050">
        <w:t>provide</w:t>
      </w:r>
      <w:proofErr w:type="gramEnd"/>
      <w:r w:rsidRPr="000C5050">
        <w:t xml:space="preserve"> guidance on the use of bioavailability testing and subsequent calculation of specific soil guideline values.</w:t>
      </w:r>
    </w:p>
    <w:p w14:paraId="00188669" w14:textId="77777777" w:rsidR="00A04942" w:rsidRPr="000C5050" w:rsidRDefault="00A04942" w:rsidP="00A04942">
      <w:pPr>
        <w:pStyle w:val="Blueboxheading"/>
        <w:rPr>
          <w:lang w:eastAsia="en-US"/>
        </w:rPr>
      </w:pPr>
      <w:r w:rsidRPr="000C5050">
        <w:rPr>
          <w:lang w:eastAsia="en-US"/>
        </w:rPr>
        <w:t>Amendments to NESCS framework</w:t>
      </w:r>
    </w:p>
    <w:p w14:paraId="47E9154E" w14:textId="77777777" w:rsidR="00E4016E" w:rsidRPr="000C5050" w:rsidRDefault="00A04942" w:rsidP="00A04942">
      <w:pPr>
        <w:pStyle w:val="Blueboxtext"/>
        <w:rPr>
          <w:lang w:eastAsia="en-US"/>
        </w:rPr>
      </w:pPr>
      <w:r w:rsidRPr="000C5050">
        <w:rPr>
          <w:lang w:eastAsia="en-US"/>
        </w:rPr>
        <w:t xml:space="preserve">Amendments would be made to the methodology (Ministry for the Environment, 2011e) and </w:t>
      </w:r>
      <w:r w:rsidRPr="000C5050">
        <w:rPr>
          <w:i/>
          <w:lang w:eastAsia="en-US"/>
        </w:rPr>
        <w:t>Contaminated Land Management Guideline No 5</w:t>
      </w:r>
      <w:r w:rsidRPr="000C5050">
        <w:rPr>
          <w:lang w:eastAsia="en-US"/>
        </w:rPr>
        <w:t xml:space="preserve"> (Ministry for the Environment, 2011c), to facilitate the use of a bioavailability assessment methodology.</w:t>
      </w:r>
    </w:p>
    <w:p w14:paraId="53E31CCA" w14:textId="77777777" w:rsidR="00A04942" w:rsidRPr="000C5050" w:rsidRDefault="00A04942" w:rsidP="00A04942">
      <w:pPr>
        <w:pStyle w:val="Heading4"/>
      </w:pPr>
      <w:r w:rsidRPr="000C5050">
        <w:t xml:space="preserve">Anticipated impacts of change </w:t>
      </w:r>
    </w:p>
    <w:p w14:paraId="4AD4557D" w14:textId="03967FC3" w:rsidR="00A04942" w:rsidRPr="000C5050" w:rsidRDefault="008855E8" w:rsidP="00A04942">
      <w:pPr>
        <w:pStyle w:val="BodyText"/>
      </w:pPr>
      <w:r w:rsidRPr="000C5050">
        <w:t>Sites that have utilised persistent pesticides (</w:t>
      </w:r>
      <w:r w:rsidR="00A04942" w:rsidRPr="000C5050">
        <w:t>Category A10</w:t>
      </w:r>
      <w:r w:rsidRPr="000C5050">
        <w:t>)</w:t>
      </w:r>
      <w:r w:rsidR="00A04942" w:rsidRPr="000C5050">
        <w:t xml:space="preserve"> comprise the largest HAIL category – making up almost 40 per cent of sites reported by regional councils in 2015. The Ministry collated the results of detailed site investigations undertaken on A10 sites from four regions in order to understand the types and levels of contaminants being found. This study found that approximately half the investigations reported a</w:t>
      </w:r>
      <w:r w:rsidR="002D59B0" w:rsidRPr="000C5050">
        <w:t xml:space="preserve">n arsenic and/or lead </w:t>
      </w:r>
      <w:r w:rsidR="00A04942" w:rsidRPr="000C5050">
        <w:t xml:space="preserve">concentration above a residential standard. </w:t>
      </w:r>
    </w:p>
    <w:p w14:paraId="4EE069A9" w14:textId="405162DB" w:rsidR="00A04942" w:rsidRPr="000C5050" w:rsidRDefault="00A04942" w:rsidP="00A04942">
      <w:pPr>
        <w:pStyle w:val="BodyText"/>
      </w:pPr>
      <w:r w:rsidRPr="000C5050">
        <w:t xml:space="preserve">The risk at these sites is currently being calculated on total contaminant concentrations, rather than the bioavailable concentration. This conservative approach overestimates the risk presented by contaminants in soil. The cost to remediate a standard A10 residential site </w:t>
      </w:r>
      <w:r w:rsidR="004934D4" w:rsidRPr="000C5050">
        <w:t xml:space="preserve">contaminated </w:t>
      </w:r>
      <w:r w:rsidRPr="000C5050">
        <w:t>with arsenic and</w:t>
      </w:r>
      <w:r w:rsidR="002D59B0" w:rsidRPr="000C5050">
        <w:t xml:space="preserve">/or </w:t>
      </w:r>
      <w:r w:rsidRPr="000C5050">
        <w:t>lead so that it no longer exceeds a residential standard has been estimated to cost a landowner $15,000–$200,000</w:t>
      </w:r>
      <w:r w:rsidR="004934D4" w:rsidRPr="000C5050">
        <w:t>, depending on the volume of soil requiring remediation and the methods used to address contamination</w:t>
      </w:r>
      <w:r w:rsidRPr="000C5050">
        <w:t>.</w:t>
      </w:r>
    </w:p>
    <w:p w14:paraId="12425CA7" w14:textId="056048A1" w:rsidR="00A04942" w:rsidRPr="000C5050" w:rsidRDefault="00A04942" w:rsidP="00A04942">
      <w:pPr>
        <w:pStyle w:val="BodyText"/>
      </w:pPr>
      <w:r w:rsidRPr="000C5050">
        <w:t>Internationally, arsenic bioavailability values have been calculated at 25–80 per cent</w:t>
      </w:r>
      <w:r w:rsidR="004934D4" w:rsidRPr="000C5050">
        <w:t>, depending on</w:t>
      </w:r>
      <w:r w:rsidR="00FC5DE7" w:rsidRPr="000C5050">
        <w:t xml:space="preserve"> factors such as</w:t>
      </w:r>
      <w:r w:rsidR="004934D4" w:rsidRPr="000C5050">
        <w:t xml:space="preserve"> the source of the arsenic (mining, pesticide use </w:t>
      </w:r>
      <w:proofErr w:type="spellStart"/>
      <w:r w:rsidR="004934D4" w:rsidRPr="000C5050">
        <w:t>etc</w:t>
      </w:r>
      <w:proofErr w:type="spellEnd"/>
      <w:r w:rsidR="004934D4" w:rsidRPr="000C5050">
        <w:t>) and soil characteristics</w:t>
      </w:r>
      <w:r w:rsidRPr="000C5050">
        <w:t xml:space="preserve">. If </w:t>
      </w:r>
      <w:r w:rsidR="00FC5DE7" w:rsidRPr="000C5050">
        <w:t>similar values were found</w:t>
      </w:r>
      <w:r w:rsidRPr="000C5050">
        <w:t xml:space="preserve"> in New Zealand</w:t>
      </w:r>
      <w:r w:rsidR="00B75E4F" w:rsidRPr="000C5050">
        <w:t xml:space="preserve">, </w:t>
      </w:r>
      <w:r w:rsidRPr="000C5050">
        <w:t xml:space="preserve">the number of sites </w:t>
      </w:r>
      <w:r w:rsidR="00FC5DE7" w:rsidRPr="000C5050">
        <w:t xml:space="preserve">that </w:t>
      </w:r>
      <w:r w:rsidRPr="000C5050">
        <w:t>report</w:t>
      </w:r>
      <w:r w:rsidR="00B75E4F" w:rsidRPr="000C5050">
        <w:t>ed</w:t>
      </w:r>
      <w:r w:rsidRPr="000C5050">
        <w:t xml:space="preserve"> an exceedance of a residential standard in our DSI collation study would reduce by approximately </w:t>
      </w:r>
      <w:r w:rsidR="00B75E4F" w:rsidRPr="000C5050">
        <w:t>40</w:t>
      </w:r>
      <w:r w:rsidRPr="000C5050">
        <w:t xml:space="preserve"> per cent</w:t>
      </w:r>
      <w:r w:rsidR="00B75E4F" w:rsidRPr="000C5050">
        <w:t>.</w:t>
      </w:r>
      <w:r w:rsidRPr="000C5050">
        <w:t xml:space="preserve"> Of those sites </w:t>
      </w:r>
      <w:r w:rsidR="00B75E4F" w:rsidRPr="000C5050">
        <w:t xml:space="preserve">that </w:t>
      </w:r>
      <w:r w:rsidRPr="000C5050">
        <w:t>still requir</w:t>
      </w:r>
      <w:r w:rsidR="00B75E4F" w:rsidRPr="000C5050">
        <w:t>ed</w:t>
      </w:r>
      <w:r w:rsidRPr="000C5050">
        <w:t xml:space="preserve"> remediation, the extent of remediation would be expected to be reduced.</w:t>
      </w:r>
    </w:p>
    <w:p w14:paraId="099CE8CA" w14:textId="77777777" w:rsidR="007363A0" w:rsidRPr="000C5050" w:rsidRDefault="007363A0" w:rsidP="007363A0">
      <w:pPr>
        <w:pStyle w:val="Heading2"/>
        <w:rPr>
          <w:lang w:eastAsia="en-US"/>
        </w:rPr>
      </w:pPr>
      <w:bookmarkStart w:id="35" w:name="_Toc460081251"/>
      <w:r w:rsidRPr="000C5050">
        <w:rPr>
          <w:lang w:eastAsia="en-US"/>
        </w:rPr>
        <w:t>Questions</w:t>
      </w:r>
      <w:bookmarkEnd w:id="35"/>
    </w:p>
    <w:p w14:paraId="639B42F4" w14:textId="6FD79AEB" w:rsidR="007363A0" w:rsidRPr="000C5050" w:rsidRDefault="007363A0" w:rsidP="002109C3">
      <w:pPr>
        <w:pStyle w:val="Heading3"/>
        <w:spacing w:before="240" w:after="120"/>
        <w:rPr>
          <w:lang w:eastAsia="en-US"/>
        </w:rPr>
      </w:pPr>
      <w:r w:rsidRPr="000C5050">
        <w:rPr>
          <w:lang w:eastAsia="en-US"/>
        </w:rPr>
        <w:t>T</w:t>
      </w:r>
      <w:r w:rsidR="00CF74C0" w:rsidRPr="000C5050">
        <w:rPr>
          <w:lang w:eastAsia="en-US"/>
        </w:rPr>
        <w:t>emplate ongoing site management plan (TOSMP)</w:t>
      </w:r>
    </w:p>
    <w:p w14:paraId="69747A8B" w14:textId="77777777" w:rsidR="007363A0" w:rsidRPr="000C5050" w:rsidRDefault="007363A0" w:rsidP="00571258">
      <w:pPr>
        <w:pStyle w:val="Bodytextnumbered"/>
        <w:numPr>
          <w:ilvl w:val="0"/>
          <w:numId w:val="29"/>
        </w:numPr>
        <w:rPr>
          <w:lang w:eastAsia="en-US"/>
        </w:rPr>
      </w:pPr>
      <w:r w:rsidRPr="000C5050">
        <w:rPr>
          <w:lang w:eastAsia="en-US"/>
        </w:rPr>
        <w:t>Do you agree with the overall proposal to introduce an option for a TOSMP that applies to residential and rural-residential land-uses? Why, or why not?</w:t>
      </w:r>
    </w:p>
    <w:p w14:paraId="104BC8B3" w14:textId="77777777" w:rsidR="00415060" w:rsidRPr="000C5050" w:rsidRDefault="00415060" w:rsidP="00571258">
      <w:pPr>
        <w:pStyle w:val="Bodytextnumbered"/>
        <w:numPr>
          <w:ilvl w:val="0"/>
          <w:numId w:val="29"/>
        </w:numPr>
        <w:rPr>
          <w:lang w:eastAsia="en-US"/>
        </w:rPr>
      </w:pPr>
      <w:r w:rsidRPr="000C5050">
        <w:rPr>
          <w:lang w:eastAsia="en-US"/>
        </w:rPr>
        <w:lastRenderedPageBreak/>
        <w:t xml:space="preserve">Are you aware of any international examples of TOSMPs for residential land uses? If so, please provide information on these. </w:t>
      </w:r>
    </w:p>
    <w:p w14:paraId="0709E611" w14:textId="7D76B69D" w:rsidR="00606DC1" w:rsidRPr="000C5050" w:rsidRDefault="00606DC1" w:rsidP="00606DC1">
      <w:pPr>
        <w:pStyle w:val="Bodytextnumbered"/>
        <w:numPr>
          <w:ilvl w:val="0"/>
          <w:numId w:val="29"/>
        </w:numPr>
        <w:rPr>
          <w:lang w:eastAsia="en-US"/>
        </w:rPr>
      </w:pPr>
      <w:r w:rsidRPr="000C5050">
        <w:rPr>
          <w:lang w:eastAsia="en-US"/>
        </w:rPr>
        <w:t>What information would you like to see included in the guidance</w:t>
      </w:r>
      <w:r w:rsidRPr="000C5050">
        <w:t xml:space="preserve"> </w:t>
      </w:r>
      <w:r w:rsidRPr="000C5050">
        <w:rPr>
          <w:lang w:eastAsia="en-US"/>
        </w:rPr>
        <w:t xml:space="preserve">on options for remediating or managing contamination on residential properties? </w:t>
      </w:r>
    </w:p>
    <w:p w14:paraId="273A1AB9" w14:textId="77777777" w:rsidR="00606DC1" w:rsidRPr="000C5050" w:rsidRDefault="007363A0" w:rsidP="003827C3">
      <w:pPr>
        <w:pStyle w:val="ListParagraph"/>
        <w:numPr>
          <w:ilvl w:val="0"/>
          <w:numId w:val="29"/>
        </w:numPr>
        <w:rPr>
          <w:lang w:eastAsia="en-US"/>
        </w:rPr>
      </w:pPr>
      <w:r w:rsidRPr="000C5050">
        <w:rPr>
          <w:lang w:eastAsia="en-US"/>
        </w:rPr>
        <w:t>What are the expected impacts of the proposal (</w:t>
      </w:r>
      <w:proofErr w:type="spellStart"/>
      <w:r w:rsidRPr="000C5050">
        <w:rPr>
          <w:lang w:eastAsia="en-US"/>
        </w:rPr>
        <w:t>ie</w:t>
      </w:r>
      <w:proofErr w:type="spellEnd"/>
      <w:r w:rsidRPr="000C5050">
        <w:rPr>
          <w:lang w:eastAsia="en-US"/>
        </w:rPr>
        <w:t xml:space="preserve">, on landowners, territorial authorities, practitioners, the general public)? </w:t>
      </w:r>
      <w:r w:rsidR="00606DC1" w:rsidRPr="000C5050">
        <w:rPr>
          <w:lang w:eastAsia="en-US"/>
        </w:rPr>
        <w:t>Where possible, please provide quantitative evidence.</w:t>
      </w:r>
    </w:p>
    <w:p w14:paraId="348E2593" w14:textId="4E488F48" w:rsidR="007363A0" w:rsidRPr="000C5050" w:rsidRDefault="00606DC1" w:rsidP="003827C3">
      <w:r w:rsidRPr="000C5050">
        <w:t>We also seek specific feedback, particularly from territorial authorities and practitioners, on:</w:t>
      </w:r>
    </w:p>
    <w:p w14:paraId="0EE8B603" w14:textId="1F6126E4" w:rsidR="00606DC1" w:rsidRPr="000C5050" w:rsidRDefault="00606DC1" w:rsidP="00571258">
      <w:pPr>
        <w:pStyle w:val="Bodytextnumbered"/>
        <w:numPr>
          <w:ilvl w:val="0"/>
          <w:numId w:val="29"/>
        </w:numPr>
        <w:rPr>
          <w:lang w:eastAsia="en-US"/>
        </w:rPr>
      </w:pPr>
      <w:r w:rsidRPr="000C5050">
        <w:rPr>
          <w:lang w:eastAsia="en-US"/>
        </w:rPr>
        <w:t xml:space="preserve">Do you agree with the new </w:t>
      </w:r>
      <w:r w:rsidR="00EB5296" w:rsidRPr="000C5050">
        <w:rPr>
          <w:lang w:eastAsia="en-US"/>
        </w:rPr>
        <w:t>soil guideline value</w:t>
      </w:r>
      <w:r w:rsidRPr="000C5050">
        <w:rPr>
          <w:lang w:eastAsia="en-US"/>
        </w:rPr>
        <w:t xml:space="preserve"> proposed to apply to sites that have </w:t>
      </w:r>
      <w:r w:rsidR="00EB5296" w:rsidRPr="000C5050">
        <w:rPr>
          <w:lang w:eastAsia="en-US"/>
        </w:rPr>
        <w:t xml:space="preserve">a </w:t>
      </w:r>
      <w:r w:rsidRPr="000C5050">
        <w:rPr>
          <w:lang w:eastAsia="en-US"/>
        </w:rPr>
        <w:t>TOSMP? Why, or why not?</w:t>
      </w:r>
    </w:p>
    <w:p w14:paraId="55DC380A" w14:textId="68A4ECE4" w:rsidR="00C54580" w:rsidRPr="000C5050" w:rsidRDefault="00C54580" w:rsidP="003827C3">
      <w:pPr>
        <w:pStyle w:val="Bodytextnumbered"/>
        <w:numPr>
          <w:ilvl w:val="0"/>
          <w:numId w:val="29"/>
        </w:numPr>
        <w:rPr>
          <w:lang w:eastAsia="en-US"/>
        </w:rPr>
      </w:pPr>
      <w:r w:rsidRPr="000C5050">
        <w:rPr>
          <w:lang w:eastAsia="en-US"/>
        </w:rPr>
        <w:t>How should a TOSMP’s implementation (both short-term and long-term) be monitored? For example, what matters of control should be reserved for council (</w:t>
      </w:r>
      <w:proofErr w:type="spellStart"/>
      <w:r w:rsidRPr="000C5050">
        <w:rPr>
          <w:lang w:eastAsia="en-US"/>
        </w:rPr>
        <w:t>ie</w:t>
      </w:r>
      <w:proofErr w:type="spellEnd"/>
      <w:r w:rsidR="00E76560">
        <w:rPr>
          <w:lang w:eastAsia="en-US"/>
        </w:rPr>
        <w:t>,</w:t>
      </w:r>
      <w:r w:rsidRPr="000C5050">
        <w:rPr>
          <w:lang w:eastAsia="en-US"/>
        </w:rPr>
        <w:t xml:space="preserve"> council must have the plan, </w:t>
      </w:r>
      <w:r w:rsidR="00B02B3A" w:rsidRPr="000C5050">
        <w:rPr>
          <w:lang w:eastAsia="en-US"/>
        </w:rPr>
        <w:t xml:space="preserve">and </w:t>
      </w:r>
      <w:r w:rsidRPr="000C5050">
        <w:rPr>
          <w:lang w:eastAsia="en-US"/>
        </w:rPr>
        <w:t>evidence of the soil excavation is provided to council)</w:t>
      </w:r>
      <w:r w:rsidR="00A97F22" w:rsidRPr="000C5050">
        <w:rPr>
          <w:lang w:eastAsia="en-US"/>
        </w:rPr>
        <w:t>?</w:t>
      </w:r>
    </w:p>
    <w:p w14:paraId="346E7CF8" w14:textId="350182F3" w:rsidR="00AB6D39" w:rsidRPr="000C5050" w:rsidRDefault="00AB6D39" w:rsidP="003827C3">
      <w:pPr>
        <w:pStyle w:val="Bodytextnumbered"/>
        <w:numPr>
          <w:ilvl w:val="0"/>
          <w:numId w:val="29"/>
        </w:numPr>
        <w:rPr>
          <w:rFonts w:ascii="Arial" w:hAnsi="Arial" w:cs="Arial"/>
          <w:sz w:val="20"/>
          <w:szCs w:val="20"/>
        </w:rPr>
      </w:pPr>
      <w:r w:rsidRPr="000C5050">
        <w:rPr>
          <w:lang w:eastAsia="en-US"/>
        </w:rPr>
        <w:t xml:space="preserve">Do you agree with the proposed </w:t>
      </w:r>
      <w:r w:rsidR="009679B0" w:rsidRPr="000C5050">
        <w:rPr>
          <w:lang w:eastAsia="en-US"/>
        </w:rPr>
        <w:t>mandatory management practices and advice notes</w:t>
      </w:r>
      <w:r w:rsidRPr="000C5050">
        <w:rPr>
          <w:lang w:eastAsia="en-US"/>
        </w:rPr>
        <w:t xml:space="preserve"> of the TOSMP? Why or why not</w:t>
      </w:r>
      <w:r w:rsidRPr="000C5050">
        <w:rPr>
          <w:rFonts w:ascii="Arial" w:hAnsi="Arial" w:cs="Arial"/>
          <w:sz w:val="20"/>
          <w:szCs w:val="20"/>
        </w:rPr>
        <w:t>?</w:t>
      </w:r>
    </w:p>
    <w:p w14:paraId="4DFDD087" w14:textId="02441896" w:rsidR="00C54580" w:rsidRPr="000C5050" w:rsidRDefault="00AB6D39" w:rsidP="00571258">
      <w:pPr>
        <w:pStyle w:val="Bodytextnumbered"/>
        <w:numPr>
          <w:ilvl w:val="0"/>
          <w:numId w:val="29"/>
        </w:numPr>
        <w:rPr>
          <w:lang w:eastAsia="en-US"/>
        </w:rPr>
      </w:pPr>
      <w:r w:rsidRPr="000C5050">
        <w:rPr>
          <w:lang w:eastAsia="en-US"/>
        </w:rPr>
        <w:t xml:space="preserve">Could there be </w:t>
      </w:r>
      <w:r w:rsidR="00C54580" w:rsidRPr="000C5050">
        <w:rPr>
          <w:lang w:eastAsia="en-US"/>
        </w:rPr>
        <w:t xml:space="preserve">unintended outcomes from the proposal(s)? If so, what are they and how could they be </w:t>
      </w:r>
      <w:r w:rsidRPr="000C5050">
        <w:rPr>
          <w:lang w:eastAsia="en-US"/>
        </w:rPr>
        <w:t>avoided</w:t>
      </w:r>
      <w:r w:rsidR="00C54580" w:rsidRPr="000C5050">
        <w:rPr>
          <w:lang w:eastAsia="en-US"/>
        </w:rPr>
        <w:t>?</w:t>
      </w:r>
    </w:p>
    <w:p w14:paraId="08172605" w14:textId="77777777" w:rsidR="007363A0" w:rsidRPr="000C5050" w:rsidRDefault="007363A0" w:rsidP="002109C3">
      <w:pPr>
        <w:pStyle w:val="Heading3"/>
        <w:spacing w:before="240" w:after="120"/>
        <w:rPr>
          <w:lang w:eastAsia="en-US"/>
        </w:rPr>
      </w:pPr>
      <w:r w:rsidRPr="000C5050">
        <w:rPr>
          <w:lang w:eastAsia="en-US"/>
        </w:rPr>
        <w:t xml:space="preserve">Bioavailability </w:t>
      </w:r>
    </w:p>
    <w:p w14:paraId="7B1A51B3" w14:textId="77777777" w:rsidR="007363A0" w:rsidRPr="000C5050" w:rsidRDefault="007363A0" w:rsidP="00571258">
      <w:pPr>
        <w:pStyle w:val="Bodytextnumbered"/>
        <w:numPr>
          <w:ilvl w:val="0"/>
          <w:numId w:val="29"/>
        </w:numPr>
        <w:rPr>
          <w:lang w:eastAsia="en-US"/>
        </w:rPr>
      </w:pPr>
      <w:r w:rsidRPr="000C5050">
        <w:rPr>
          <w:lang w:eastAsia="en-US"/>
        </w:rPr>
        <w:t>Do you agree with the proposal(s)? Why, or why not?</w:t>
      </w:r>
    </w:p>
    <w:p w14:paraId="3BBD2F99" w14:textId="77777777" w:rsidR="007363A0" w:rsidRPr="000C5050" w:rsidRDefault="007363A0" w:rsidP="00571258">
      <w:pPr>
        <w:pStyle w:val="Bodytextnumbered"/>
        <w:numPr>
          <w:ilvl w:val="0"/>
          <w:numId w:val="29"/>
        </w:numPr>
        <w:rPr>
          <w:lang w:eastAsia="en-US"/>
        </w:rPr>
      </w:pPr>
      <w:r w:rsidRPr="000C5050">
        <w:rPr>
          <w:lang w:eastAsia="en-US"/>
        </w:rPr>
        <w:t>What are the expected impacts of the proposal(s)? Can you provide evidence to support your assessment?</w:t>
      </w:r>
    </w:p>
    <w:p w14:paraId="2F618187" w14:textId="13F947DE" w:rsidR="00AB6D39" w:rsidRPr="000C5050" w:rsidRDefault="00AB6D39" w:rsidP="003827C3">
      <w:pPr>
        <w:rPr>
          <w:lang w:eastAsia="en-US"/>
        </w:rPr>
      </w:pPr>
      <w:r w:rsidRPr="000C5050">
        <w:rPr>
          <w:lang w:eastAsia="en-US"/>
        </w:rPr>
        <w:t>We also seek specific feedback, particularly from territorial authorities and practitioners, on:</w:t>
      </w:r>
    </w:p>
    <w:p w14:paraId="63D7C5E4" w14:textId="6F853C0B" w:rsidR="007363A0" w:rsidRPr="000C5050" w:rsidRDefault="00AB6D39" w:rsidP="00571258">
      <w:pPr>
        <w:pStyle w:val="Bodytextnumbered"/>
        <w:numPr>
          <w:ilvl w:val="0"/>
          <w:numId w:val="29"/>
        </w:numPr>
        <w:rPr>
          <w:lang w:eastAsia="en-US"/>
        </w:rPr>
      </w:pPr>
      <w:r w:rsidRPr="000C5050">
        <w:rPr>
          <w:lang w:eastAsia="en-US"/>
        </w:rPr>
        <w:t xml:space="preserve">Could there be </w:t>
      </w:r>
      <w:r w:rsidR="007363A0" w:rsidRPr="000C5050">
        <w:rPr>
          <w:lang w:eastAsia="en-US"/>
        </w:rPr>
        <w:t>unintended outcomes from the proposal(s)? If so, what are they and how could they be avoided?</w:t>
      </w:r>
    </w:p>
    <w:p w14:paraId="67CF9657" w14:textId="77777777" w:rsidR="007363A0" w:rsidRPr="000C5050" w:rsidRDefault="007363A0" w:rsidP="00571258">
      <w:pPr>
        <w:pStyle w:val="Bodytextnumbered"/>
        <w:numPr>
          <w:ilvl w:val="0"/>
          <w:numId w:val="29"/>
        </w:numPr>
        <w:rPr>
          <w:lang w:eastAsia="en-US"/>
        </w:rPr>
      </w:pPr>
      <w:r w:rsidRPr="000C5050">
        <w:rPr>
          <w:lang w:eastAsia="en-US"/>
        </w:rPr>
        <w:t xml:space="preserve">What, if any, implementation support would be required to ensure effective implementation of the proposal(s)? </w:t>
      </w:r>
    </w:p>
    <w:p w14:paraId="21C771A2" w14:textId="77777777" w:rsidR="00C37FBC" w:rsidRPr="000C5050" w:rsidRDefault="00C37FBC">
      <w:pPr>
        <w:spacing w:before="0" w:after="200" w:line="276" w:lineRule="auto"/>
        <w:jc w:val="left"/>
        <w:rPr>
          <w:lang w:eastAsia="en-US"/>
        </w:rPr>
      </w:pPr>
      <w:r w:rsidRPr="000C5050">
        <w:rPr>
          <w:lang w:eastAsia="en-US"/>
        </w:rPr>
        <w:br w:type="page"/>
      </w:r>
    </w:p>
    <w:p w14:paraId="7B5F0826" w14:textId="77777777" w:rsidR="00C37FBC" w:rsidRPr="000C5050" w:rsidRDefault="00C37FBC" w:rsidP="00C37FBC">
      <w:pPr>
        <w:pStyle w:val="Heading1"/>
        <w:rPr>
          <w:lang w:eastAsia="en-US"/>
        </w:rPr>
      </w:pPr>
      <w:bookmarkStart w:id="36" w:name="_Toc460081252"/>
      <w:r w:rsidRPr="000C5050">
        <w:rPr>
          <w:lang w:eastAsia="en-US"/>
        </w:rPr>
        <w:lastRenderedPageBreak/>
        <w:t>7</w:t>
      </w:r>
      <w:r w:rsidRPr="000C5050">
        <w:rPr>
          <w:lang w:eastAsia="en-US"/>
        </w:rPr>
        <w:tab/>
        <w:t>Consultation process</w:t>
      </w:r>
      <w:bookmarkEnd w:id="36"/>
    </w:p>
    <w:p w14:paraId="07C891C5" w14:textId="77777777" w:rsidR="00A04942" w:rsidRPr="000C5050" w:rsidRDefault="00C37FBC" w:rsidP="00C37FBC">
      <w:pPr>
        <w:pStyle w:val="Heading2"/>
        <w:spacing w:before="240"/>
        <w:rPr>
          <w:lang w:eastAsia="en-US"/>
        </w:rPr>
      </w:pPr>
      <w:bookmarkStart w:id="37" w:name="_Toc460081253"/>
      <w:r w:rsidRPr="000C5050">
        <w:rPr>
          <w:lang w:eastAsia="en-US"/>
        </w:rPr>
        <w:t>How to make a submission</w:t>
      </w:r>
      <w:bookmarkEnd w:id="37"/>
    </w:p>
    <w:p w14:paraId="348CDEB3" w14:textId="77777777" w:rsidR="00C37FBC" w:rsidRPr="000C5050" w:rsidRDefault="00C37FBC" w:rsidP="00C37FBC">
      <w:pPr>
        <w:pStyle w:val="BodyText"/>
      </w:pPr>
      <w:r w:rsidRPr="000C5050">
        <w:t xml:space="preserve">The Government welcomes your feedback on this consultation document. The questions posed throughout this document are summarised below. They are a guide only, and all comments are welcome. You do not have to answer all the questions. </w:t>
      </w:r>
    </w:p>
    <w:p w14:paraId="1B485258" w14:textId="77777777" w:rsidR="00C37FBC" w:rsidRPr="000C5050" w:rsidRDefault="00C37FBC" w:rsidP="00C37FBC">
      <w:pPr>
        <w:pStyle w:val="BodyText"/>
      </w:pPr>
      <w:r w:rsidRPr="000C5050">
        <w:t xml:space="preserve">To ensure your point of view is clearly understood, you should explain your rationale and provide supporting evidence where appropriate. </w:t>
      </w:r>
    </w:p>
    <w:p w14:paraId="408BC13A" w14:textId="77777777" w:rsidR="00C37FBC" w:rsidRPr="000C5050" w:rsidRDefault="00C37FBC" w:rsidP="00C37FBC">
      <w:pPr>
        <w:pStyle w:val="BodyText"/>
      </w:pPr>
      <w:r w:rsidRPr="000C5050">
        <w:t>There are three ways you can make a submission:</w:t>
      </w:r>
    </w:p>
    <w:p w14:paraId="4C809DF2" w14:textId="77777777" w:rsidR="00C37FBC" w:rsidRPr="000C5050" w:rsidRDefault="00C37FBC" w:rsidP="00C37FBC">
      <w:pPr>
        <w:pStyle w:val="Bullet"/>
      </w:pPr>
      <w:r w:rsidRPr="000C5050">
        <w:t xml:space="preserve">Use our online submission tool, available at </w:t>
      </w:r>
      <w:hyperlink r:id="rId23" w:history="1">
        <w:r w:rsidRPr="000C5050">
          <w:rPr>
            <w:rStyle w:val="Hyperlink"/>
            <w:rFonts w:eastAsiaTheme="majorEastAsia"/>
          </w:rPr>
          <w:t>www.mfe.govt.nz/more/consultations</w:t>
        </w:r>
      </w:hyperlink>
      <w:r w:rsidRPr="000C5050">
        <w:rPr>
          <w:rStyle w:val="Heading4Char"/>
          <w:rFonts w:cs="Times New Roman"/>
          <w:b w:val="0"/>
          <w:bCs w:val="0"/>
          <w:sz w:val="22"/>
        </w:rPr>
        <w:t>.</w:t>
      </w:r>
    </w:p>
    <w:p w14:paraId="7D381883" w14:textId="39E50E10" w:rsidR="00C37FBC" w:rsidRPr="000C5050" w:rsidRDefault="00C37FBC" w:rsidP="00C37FBC">
      <w:pPr>
        <w:pStyle w:val="Bullet"/>
      </w:pPr>
      <w:r w:rsidRPr="000C5050">
        <w:t xml:space="preserve">Download a copy of the submission form to complete and return to us. This is available at </w:t>
      </w:r>
      <w:r w:rsidRPr="000C5050">
        <w:rPr>
          <w:rStyle w:val="Hyperlink"/>
          <w:rFonts w:eastAsiaTheme="majorEastAsia"/>
        </w:rPr>
        <w:t>www.mfe.govt.nz</w:t>
      </w:r>
      <w:r w:rsidR="00F936A6">
        <w:rPr>
          <w:rStyle w:val="Hyperlink"/>
          <w:rFonts w:eastAsiaTheme="majorEastAsia"/>
        </w:rPr>
        <w:t>/nescs/proposed-amendments</w:t>
      </w:r>
      <w:r w:rsidRPr="000C5050">
        <w:t>. If you do not have access to a computer, we can post a copy of the submission form to you.</w:t>
      </w:r>
    </w:p>
    <w:p w14:paraId="6C11645B" w14:textId="77777777" w:rsidR="00C37FBC" w:rsidRPr="000C5050" w:rsidRDefault="00C37FBC" w:rsidP="00C37FBC">
      <w:pPr>
        <w:pStyle w:val="Bullet"/>
      </w:pPr>
      <w:r w:rsidRPr="000C5050">
        <w:t xml:space="preserve">Type up or write out your own submission. </w:t>
      </w:r>
    </w:p>
    <w:p w14:paraId="7243E02E" w14:textId="00B918CC" w:rsidR="00C37FBC" w:rsidRPr="000C5050" w:rsidRDefault="00C37FBC" w:rsidP="00C37FBC">
      <w:pPr>
        <w:pStyle w:val="BodyText"/>
        <w:rPr>
          <w:lang w:eastAsia="en-GB"/>
        </w:rPr>
      </w:pPr>
      <w:r w:rsidRPr="000C5050">
        <w:rPr>
          <w:lang w:eastAsia="en-GB"/>
        </w:rPr>
        <w:t xml:space="preserve">If you are posting your submission, send it to </w:t>
      </w:r>
      <w:r w:rsidR="00D43F7F">
        <w:rPr>
          <w:lang w:eastAsia="en-GB"/>
        </w:rPr>
        <w:t xml:space="preserve">NESCS Consultation 2016, </w:t>
      </w:r>
      <w:r w:rsidRPr="000C5050">
        <w:rPr>
          <w:lang w:eastAsia="en-GB"/>
        </w:rPr>
        <w:t>Ministry for the Environment, PO Box 10362, Wellington 6143, and include:</w:t>
      </w:r>
    </w:p>
    <w:p w14:paraId="30FC3EEC" w14:textId="57F90501" w:rsidR="00C37FBC" w:rsidRPr="000C5050" w:rsidRDefault="00C37FBC" w:rsidP="00C37FBC">
      <w:pPr>
        <w:pStyle w:val="Bullet"/>
      </w:pPr>
      <w:r w:rsidRPr="000C5050">
        <w:t>the title of the consultation (</w:t>
      </w:r>
      <w:r w:rsidR="00D43F7F">
        <w:t>NESCS Consultation 2016</w:t>
      </w:r>
      <w:r w:rsidRPr="000C5050">
        <w:t>)</w:t>
      </w:r>
    </w:p>
    <w:p w14:paraId="5806A119" w14:textId="77777777" w:rsidR="00C37FBC" w:rsidRPr="000C5050" w:rsidRDefault="00C37FBC" w:rsidP="00C37FBC">
      <w:pPr>
        <w:pStyle w:val="Bullet"/>
      </w:pPr>
      <w:r w:rsidRPr="000C5050">
        <w:t>your name or organisation name</w:t>
      </w:r>
    </w:p>
    <w:p w14:paraId="115F3339" w14:textId="77777777" w:rsidR="00C37FBC" w:rsidRPr="000C5050" w:rsidRDefault="00C37FBC" w:rsidP="00C37FBC">
      <w:pPr>
        <w:pStyle w:val="Bullet"/>
      </w:pPr>
      <w:r w:rsidRPr="000C5050">
        <w:t>your postal address</w:t>
      </w:r>
    </w:p>
    <w:p w14:paraId="0C3CBDD8" w14:textId="77777777" w:rsidR="00C37FBC" w:rsidRPr="000C5050" w:rsidRDefault="00C37FBC" w:rsidP="00C37FBC">
      <w:pPr>
        <w:pStyle w:val="Bullet"/>
      </w:pPr>
      <w:r w:rsidRPr="000C5050">
        <w:t xml:space="preserve">your telephone number </w:t>
      </w:r>
    </w:p>
    <w:p w14:paraId="114BBA6C" w14:textId="77777777" w:rsidR="00C37FBC" w:rsidRPr="000C5050" w:rsidRDefault="00C37FBC" w:rsidP="00C37FBC">
      <w:pPr>
        <w:pStyle w:val="Bullet"/>
      </w:pPr>
      <w:proofErr w:type="gramStart"/>
      <w:r w:rsidRPr="000C5050">
        <w:t>your</w:t>
      </w:r>
      <w:proofErr w:type="gramEnd"/>
      <w:r w:rsidRPr="000C5050">
        <w:t xml:space="preserve"> email address.</w:t>
      </w:r>
    </w:p>
    <w:p w14:paraId="213B887E" w14:textId="0741DF5D" w:rsidR="00C37FBC" w:rsidRPr="000C5050" w:rsidRDefault="00C37FBC" w:rsidP="00C37FBC">
      <w:pPr>
        <w:pStyle w:val="BodyText"/>
        <w:rPr>
          <w:lang w:eastAsia="en-GB"/>
        </w:rPr>
      </w:pPr>
      <w:r w:rsidRPr="000C5050">
        <w:rPr>
          <w:lang w:eastAsia="en-GB"/>
        </w:rPr>
        <w:t xml:space="preserve">If you are emailing your submission, send it to </w:t>
      </w:r>
      <w:r w:rsidR="00D43F7F">
        <w:rPr>
          <w:lang w:eastAsia="en-GB"/>
        </w:rPr>
        <w:t>nescs.submissions@mfe.govt.nz</w:t>
      </w:r>
      <w:r w:rsidRPr="000C5050">
        <w:rPr>
          <w:lang w:eastAsia="en-GB"/>
        </w:rPr>
        <w:t xml:space="preserve"> as a:</w:t>
      </w:r>
    </w:p>
    <w:p w14:paraId="03F019A7" w14:textId="77777777" w:rsidR="00C37FBC" w:rsidRPr="000C5050" w:rsidRDefault="00C37FBC" w:rsidP="00C37FBC">
      <w:pPr>
        <w:pStyle w:val="Bullet"/>
      </w:pPr>
      <w:r w:rsidRPr="000C5050">
        <w:t>PDF</w:t>
      </w:r>
    </w:p>
    <w:p w14:paraId="2D14C0E9" w14:textId="77777777" w:rsidR="00C37FBC" w:rsidRPr="000C5050" w:rsidRDefault="00C37FBC" w:rsidP="00C37FBC">
      <w:pPr>
        <w:pStyle w:val="Bullet"/>
      </w:pPr>
      <w:r w:rsidRPr="000C5050">
        <w:t>Microsoft Word document (2003 or later version).</w:t>
      </w:r>
    </w:p>
    <w:p w14:paraId="103968B0" w14:textId="30446907" w:rsidR="00C37FBC" w:rsidRPr="000C5050" w:rsidRDefault="00C37FBC" w:rsidP="00C37FBC">
      <w:pPr>
        <w:pStyle w:val="BodyText"/>
        <w:rPr>
          <w:b/>
          <w:lang w:eastAsia="en-GB"/>
        </w:rPr>
      </w:pPr>
      <w:r w:rsidRPr="000C5050">
        <w:rPr>
          <w:b/>
          <w:lang w:eastAsia="en-GB"/>
        </w:rPr>
        <w:t>Submissions close at</w:t>
      </w:r>
      <w:r w:rsidR="00B944D6">
        <w:rPr>
          <w:b/>
          <w:lang w:eastAsia="en-GB"/>
        </w:rPr>
        <w:t xml:space="preserve"> </w:t>
      </w:r>
      <w:r w:rsidR="00D43F7F">
        <w:rPr>
          <w:b/>
          <w:lang w:eastAsia="en-US"/>
        </w:rPr>
        <w:t>5.00pm</w:t>
      </w:r>
      <w:r w:rsidRPr="000C5050">
        <w:rPr>
          <w:b/>
          <w:lang w:eastAsia="en-US"/>
        </w:rPr>
        <w:t xml:space="preserve"> on</w:t>
      </w:r>
      <w:r w:rsidR="00B944D6">
        <w:rPr>
          <w:b/>
          <w:lang w:eastAsia="en-US"/>
        </w:rPr>
        <w:t xml:space="preserve"> </w:t>
      </w:r>
      <w:r w:rsidR="00D43F7F">
        <w:rPr>
          <w:b/>
          <w:lang w:eastAsia="en-US"/>
        </w:rPr>
        <w:t>Friday 14 October 2016</w:t>
      </w:r>
      <w:r w:rsidRPr="000C5050">
        <w:rPr>
          <w:b/>
          <w:lang w:eastAsia="en-US"/>
        </w:rPr>
        <w:t>.</w:t>
      </w:r>
    </w:p>
    <w:p w14:paraId="0571EAB4" w14:textId="77777777" w:rsidR="00C37FBC" w:rsidRPr="000C5050" w:rsidRDefault="00C37FBC" w:rsidP="00C37FBC">
      <w:pPr>
        <w:pStyle w:val="Heading3"/>
      </w:pPr>
      <w:bookmarkStart w:id="38" w:name="_Toc419456280"/>
      <w:bookmarkStart w:id="39" w:name="_Toc420655445"/>
      <w:bookmarkStart w:id="40" w:name="_Toc451423699"/>
      <w:bookmarkStart w:id="41" w:name="_Toc413265307"/>
      <w:bookmarkStart w:id="42" w:name="_Toc414358483"/>
      <w:r w:rsidRPr="000C5050">
        <w:t>Contact for queries</w:t>
      </w:r>
      <w:bookmarkEnd w:id="38"/>
      <w:bookmarkEnd w:id="39"/>
      <w:bookmarkEnd w:id="40"/>
      <w:r w:rsidRPr="000C5050">
        <w:t xml:space="preserve"> </w:t>
      </w:r>
    </w:p>
    <w:p w14:paraId="7E45A8CB" w14:textId="77777777" w:rsidR="00C37FBC" w:rsidRPr="000C5050" w:rsidRDefault="00C37FBC" w:rsidP="00C37FBC">
      <w:pPr>
        <w:pStyle w:val="BodyText"/>
      </w:pPr>
      <w:r w:rsidRPr="000C5050">
        <w:t>Please direct any queries to:</w:t>
      </w:r>
    </w:p>
    <w:p w14:paraId="55FF3E1C" w14:textId="7E81F4B9" w:rsidR="00C37FBC" w:rsidRPr="000C5050" w:rsidRDefault="00C37FBC" w:rsidP="00C37FBC">
      <w:pPr>
        <w:pStyle w:val="BodyText"/>
        <w:spacing w:before="0" w:after="0"/>
      </w:pPr>
      <w:r w:rsidRPr="000C5050">
        <w:t xml:space="preserve">Email: </w:t>
      </w:r>
      <w:hyperlink r:id="rId24" w:history="1">
        <w:r w:rsidR="00031789" w:rsidRPr="00D63060">
          <w:rPr>
            <w:rStyle w:val="Hyperlink"/>
          </w:rPr>
          <w:t>nescs.submissions@mfe.govt.nz</w:t>
        </w:r>
      </w:hyperlink>
      <w:r w:rsidR="00031789">
        <w:t xml:space="preserve"> </w:t>
      </w:r>
    </w:p>
    <w:p w14:paraId="3BFE9562" w14:textId="6F2E1E46" w:rsidR="00C37FBC" w:rsidRPr="000C5050" w:rsidRDefault="00C37FBC" w:rsidP="00C37FBC">
      <w:pPr>
        <w:pStyle w:val="BodyText"/>
        <w:spacing w:before="0" w:after="0"/>
        <w:rPr>
          <w:lang w:eastAsia="en-US"/>
        </w:rPr>
      </w:pPr>
      <w:r w:rsidRPr="000C5050">
        <w:t xml:space="preserve">Postal: </w:t>
      </w:r>
      <w:r w:rsidR="00D43F7F">
        <w:t xml:space="preserve">NESCS Consultation 2016, </w:t>
      </w:r>
      <w:r w:rsidRPr="000C5050">
        <w:t>Ministry for the Environment, PO Box 10362, Wellington 6143</w:t>
      </w:r>
      <w:r w:rsidRPr="000C5050">
        <w:rPr>
          <w:lang w:eastAsia="en-GB"/>
        </w:rPr>
        <w:t>.</w:t>
      </w:r>
    </w:p>
    <w:p w14:paraId="30B5A8F1" w14:textId="77777777" w:rsidR="00C37FBC" w:rsidRPr="000C5050" w:rsidRDefault="00C37FBC" w:rsidP="00C37FBC">
      <w:pPr>
        <w:pStyle w:val="Heading3"/>
      </w:pPr>
      <w:bookmarkStart w:id="43" w:name="_Toc419456281"/>
      <w:bookmarkStart w:id="44" w:name="_Toc420655446"/>
      <w:bookmarkStart w:id="45" w:name="_Toc451423700"/>
      <w:r w:rsidRPr="000C5050">
        <w:t>Publishing and releasing submissions</w:t>
      </w:r>
      <w:bookmarkEnd w:id="41"/>
      <w:bookmarkEnd w:id="42"/>
      <w:bookmarkEnd w:id="43"/>
      <w:bookmarkEnd w:id="44"/>
      <w:bookmarkEnd w:id="45"/>
    </w:p>
    <w:p w14:paraId="441F054F" w14:textId="77777777" w:rsidR="00C37FBC" w:rsidRPr="000C5050" w:rsidRDefault="00C37FBC" w:rsidP="00C37FBC">
      <w:pPr>
        <w:pStyle w:val="BodyText"/>
      </w:pPr>
      <w:r w:rsidRPr="000C5050">
        <w:t>All or part of any written submission (including names of submitters), may be published on the Ministry for the Environment</w:t>
      </w:r>
      <w:r w:rsidR="0081630C" w:rsidRPr="000C5050">
        <w:t>’</w:t>
      </w:r>
      <w:r w:rsidRPr="000C5050">
        <w:t xml:space="preserve">s website, </w:t>
      </w:r>
      <w:hyperlink r:id="rId25" w:history="1">
        <w:r w:rsidRPr="000C5050">
          <w:rPr>
            <w:rStyle w:val="Hyperlink"/>
            <w:rFonts w:cs="Arial"/>
          </w:rPr>
          <w:t>www.mfe.govt.nz</w:t>
        </w:r>
      </w:hyperlink>
      <w:r w:rsidRPr="000C5050">
        <w:t>. Unless you clearly specify otherwise in your submission, the Ministry will consider that you have consented to website posting of both your submission and your name.</w:t>
      </w:r>
    </w:p>
    <w:p w14:paraId="751B86C8" w14:textId="77777777" w:rsidR="00C37FBC" w:rsidRPr="000C5050" w:rsidRDefault="00C37FBC" w:rsidP="00C37FBC">
      <w:pPr>
        <w:pStyle w:val="BodyText"/>
      </w:pPr>
      <w:r w:rsidRPr="000C5050">
        <w:t xml:space="preserve">Contents of submissions may be released to the public under the Official Information Act 1982 following requests to the Ministry for the Environment (including via email). Please </w:t>
      </w:r>
      <w:proofErr w:type="gramStart"/>
      <w:r w:rsidRPr="000C5050">
        <w:t>advise</w:t>
      </w:r>
      <w:proofErr w:type="gramEnd"/>
      <w:r w:rsidRPr="000C5050">
        <w:t xml:space="preserve"> if you have any objection to the release of any information contained in a submission and, in </w:t>
      </w:r>
      <w:r w:rsidRPr="000C5050">
        <w:lastRenderedPageBreak/>
        <w:t xml:space="preserve">particular, which part(s) you consider should be withheld, together with the reason(s) for withholding the information. We will take into account all such objections when responding to requests for copies of, and information on, submissions to this document under the Official Information Act. </w:t>
      </w:r>
    </w:p>
    <w:p w14:paraId="3C0E93C1" w14:textId="77777777" w:rsidR="00C37FBC" w:rsidRPr="000C5050" w:rsidRDefault="00C37FBC" w:rsidP="00C37FBC">
      <w:pPr>
        <w:pStyle w:val="BodyText"/>
        <w:rPr>
          <w:lang w:eastAsia="en-US"/>
        </w:rPr>
      </w:pPr>
      <w:r w:rsidRPr="000C5050">
        <w:t xml:space="preserve">The Privacy Act 1993 applies certain principles about the collection, use and disclosure of information about individuals by various agencies, including the Ministry for the Environment. It governs access by individuals to information about themselves held by agencies. Any </w:t>
      </w:r>
      <w:r w:rsidRPr="000C5050">
        <w:rPr>
          <w:lang w:eastAsia="en-US"/>
        </w:rPr>
        <w:t>personal information you supply to the Ministry in the course of making a submission will be used by the Ministry only in relation to the matters covered by this document. Please clearly indicate in your submission if you do not wish your name to be included in any summary of submissions that the Ministry may publish.</w:t>
      </w:r>
    </w:p>
    <w:p w14:paraId="16471893" w14:textId="77777777" w:rsidR="00C37FBC" w:rsidRPr="000C5050" w:rsidRDefault="00C37FBC" w:rsidP="00C37FBC">
      <w:pPr>
        <w:pStyle w:val="Heading3"/>
      </w:pPr>
      <w:r w:rsidRPr="000C5050">
        <w:t>Questions to guide your feedback</w:t>
      </w:r>
    </w:p>
    <w:p w14:paraId="4086817D" w14:textId="77777777" w:rsidR="00C37FBC" w:rsidRPr="000C5050" w:rsidRDefault="00C37FBC" w:rsidP="00C37FBC">
      <w:pPr>
        <w:pStyle w:val="BodyText"/>
        <w:rPr>
          <w:color w:val="000000" w:themeColor="text1"/>
          <w:sz w:val="20"/>
          <w:szCs w:val="20"/>
        </w:rPr>
      </w:pPr>
      <w:r w:rsidRPr="000C5050">
        <w:rPr>
          <w:lang w:eastAsia="en-US"/>
        </w:rPr>
        <w:t>The Ministry welcomes your feedback on this consultation document. We particularly welcome comment on the questions posed throughout this document. They are a guide only, however, and all comments are welcome. You do not have to answer all the questions, which have been highlighted in boxes throughout this consultation document.</w:t>
      </w:r>
    </w:p>
    <w:p w14:paraId="03227A32" w14:textId="77777777" w:rsidR="00C37FBC" w:rsidRPr="000C5050" w:rsidRDefault="00C37FBC" w:rsidP="00C37FBC">
      <w:pPr>
        <w:pStyle w:val="Heading3"/>
      </w:pPr>
      <w:bookmarkStart w:id="46" w:name="_Toc451423701"/>
      <w:r w:rsidRPr="000C5050">
        <w:t>What happens next?</w:t>
      </w:r>
      <w:bookmarkEnd w:id="46"/>
    </w:p>
    <w:p w14:paraId="5CB68536" w14:textId="77777777" w:rsidR="00C37FBC" w:rsidRPr="000C5050" w:rsidRDefault="00C37FBC" w:rsidP="00C37FBC">
      <w:pPr>
        <w:pStyle w:val="BodyText"/>
        <w:rPr>
          <w:b/>
        </w:rPr>
      </w:pPr>
      <w:r w:rsidRPr="000C5050">
        <w:t>Once submissions have been considered by officials of the Ministry for the Environment, recommendations will be provided to the Minister for the Environment. Once the Minister has considered the recommendations, any progression of the proposals outlined in this document requires Cabinet approval.</w:t>
      </w:r>
      <w:r w:rsidR="007D080D" w:rsidRPr="000C5050">
        <w:t xml:space="preserve"> </w:t>
      </w:r>
    </w:p>
    <w:p w14:paraId="61215989" w14:textId="77777777" w:rsidR="00877B67" w:rsidRPr="000C5050" w:rsidRDefault="00877B67">
      <w:pPr>
        <w:spacing w:before="0" w:after="200" w:line="276" w:lineRule="auto"/>
        <w:jc w:val="left"/>
        <w:rPr>
          <w:lang w:eastAsia="en-US"/>
        </w:rPr>
      </w:pPr>
      <w:r w:rsidRPr="000C5050">
        <w:rPr>
          <w:lang w:eastAsia="en-US"/>
        </w:rPr>
        <w:br w:type="page"/>
      </w:r>
    </w:p>
    <w:p w14:paraId="5774C358" w14:textId="77777777" w:rsidR="00877B67" w:rsidRPr="000C5050" w:rsidRDefault="00877B67" w:rsidP="00877B67">
      <w:pPr>
        <w:pStyle w:val="Heading1"/>
      </w:pPr>
      <w:bookmarkStart w:id="47" w:name="_Toc460081254"/>
      <w:r w:rsidRPr="000C5050">
        <w:lastRenderedPageBreak/>
        <w:t>Appendix 1 – Further background</w:t>
      </w:r>
      <w:bookmarkEnd w:id="47"/>
    </w:p>
    <w:p w14:paraId="3576FA5C" w14:textId="77777777" w:rsidR="00877B67" w:rsidRPr="000C5050" w:rsidRDefault="00877B67" w:rsidP="00F41057">
      <w:pPr>
        <w:pStyle w:val="Heading3"/>
        <w:spacing w:before="200"/>
      </w:pPr>
      <w:bookmarkStart w:id="48" w:name="what"/>
      <w:bookmarkStart w:id="49" w:name="_Toc422307703"/>
      <w:bookmarkStart w:id="50" w:name="_Toc422312864"/>
      <w:bookmarkStart w:id="51" w:name="_Toc422312936"/>
      <w:bookmarkStart w:id="52" w:name="_Toc425338549"/>
      <w:bookmarkStart w:id="53" w:name="_Toc451423673"/>
      <w:bookmarkEnd w:id="48"/>
      <w:r w:rsidRPr="000C5050">
        <w:t>Drivers for developing a national environmental standard</w:t>
      </w:r>
      <w:bookmarkEnd w:id="49"/>
      <w:bookmarkEnd w:id="50"/>
      <w:bookmarkEnd w:id="51"/>
      <w:bookmarkEnd w:id="52"/>
      <w:bookmarkEnd w:id="53"/>
    </w:p>
    <w:p w14:paraId="306F6AC6" w14:textId="1D200C4A" w:rsidR="00877B67" w:rsidRPr="000C5050" w:rsidRDefault="00877B67" w:rsidP="00877B67">
      <w:pPr>
        <w:pStyle w:val="BodyText"/>
      </w:pPr>
      <w:r w:rsidRPr="000C5050">
        <w:rPr>
          <w:rFonts w:eastAsiaTheme="minorHAnsi"/>
        </w:rPr>
        <w:t>The past</w:t>
      </w:r>
      <w:r w:rsidRPr="000C5050">
        <w:t xml:space="preserve"> use of chemicals (hazardous substances) in industry, agriculture and horticulture has</w:t>
      </w:r>
      <w:r w:rsidR="003256BE" w:rsidRPr="000C5050">
        <w:t> </w:t>
      </w:r>
      <w:r w:rsidRPr="000C5050">
        <w:t>left a legacy of soil contamination in New Zealand. This contamination is mainly caused by past practices including storage and use of hazardous substances, and disposal of hazardous wastes. These contaminants are a problem when the hazardous substances are at a concentration and in a place where they have, or are reasonably likely to have, an adverse effect on human health and the environment.</w:t>
      </w:r>
    </w:p>
    <w:p w14:paraId="3D5FEF1E" w14:textId="6B35B5F4" w:rsidR="00877B67" w:rsidRPr="000C5050" w:rsidRDefault="00877B67" w:rsidP="00877B67">
      <w:pPr>
        <w:pStyle w:val="BodyText"/>
      </w:pPr>
      <w:r w:rsidRPr="000C5050">
        <w:t>Development or use of contaminated land can increase the risk of exposing people to contaminants in soil. In 2005, regional councils</w:t>
      </w:r>
      <w:r w:rsidR="0081630C" w:rsidRPr="000C5050">
        <w:t>’</w:t>
      </w:r>
      <w:r w:rsidRPr="000C5050">
        <w:t xml:space="preserve"> and territorial authorities</w:t>
      </w:r>
      <w:r w:rsidR="0081630C" w:rsidRPr="000C5050">
        <w:t>’</w:t>
      </w:r>
      <w:r w:rsidRPr="000C5050">
        <w:t xml:space="preserve"> functions in sections 30 and 31 of the Resource Management Act 1991 (RMA) were changed, introducing new requirements for managing contaminated land (discussed further below). A 2007 review by the</w:t>
      </w:r>
      <w:r w:rsidR="00F41057" w:rsidRPr="000C5050">
        <w:t> </w:t>
      </w:r>
      <w:r w:rsidRPr="000C5050">
        <w:t xml:space="preserve">Ministry for the Environment found that the process for dealing with contaminated land across the country was ad hoc, and varied between local authorities. </w:t>
      </w:r>
      <w:r w:rsidR="00DC01AE" w:rsidRPr="000C5050">
        <w:t xml:space="preserve">More information on the 2007 review and the context for developing a national standard on contaminants in soil is provided in the </w:t>
      </w:r>
      <w:r w:rsidR="00DC01AE" w:rsidRPr="000C5050">
        <w:rPr>
          <w:i/>
        </w:rPr>
        <w:t>Proposed National Environmental Standard for Assessing and Managing Contaminants in Soil: Discussion Document</w:t>
      </w:r>
      <w:r w:rsidR="00DC01AE" w:rsidRPr="000C5050">
        <w:t xml:space="preserve"> (Ministry for the Environment, 2010). </w:t>
      </w:r>
      <w:r w:rsidRPr="000C5050">
        <w:t>Table 9 outlines the review</w:t>
      </w:r>
      <w:r w:rsidR="0081630C" w:rsidRPr="000C5050">
        <w:t>’</w:t>
      </w:r>
      <w:r w:rsidRPr="000C5050">
        <w:t xml:space="preserve">s findings, which included that only 14 of the 73 council plans reviewed had contaminated land rules relating to council functions under section 31 of the RMA. </w:t>
      </w:r>
    </w:p>
    <w:p w14:paraId="24652CCA" w14:textId="77777777" w:rsidR="00C37FBC" w:rsidRPr="000C5050" w:rsidRDefault="00877B67" w:rsidP="00877B67">
      <w:pPr>
        <w:pStyle w:val="Tableheading"/>
      </w:pPr>
      <w:bookmarkStart w:id="54" w:name="_Toc460081294"/>
      <w:r w:rsidRPr="000C5050">
        <w:t>Table 9:</w:t>
      </w:r>
      <w:r w:rsidRPr="000C5050">
        <w:tab/>
        <w:t>Number of district plans that had no contaminated land-specific provisions in 2007</w:t>
      </w:r>
      <w:bookmarkEnd w:id="54"/>
    </w:p>
    <w:tbl>
      <w:tblPr>
        <w:tblStyle w:val="TableGrid"/>
        <w:tblW w:w="8562" w:type="dxa"/>
        <w:tblInd w:w="108" w:type="dxa"/>
        <w:tblBorders>
          <w:top w:val="single" w:sz="4" w:space="0" w:color="593731"/>
          <w:left w:val="none" w:sz="0" w:space="0" w:color="auto"/>
          <w:bottom w:val="single" w:sz="4" w:space="0" w:color="593731"/>
          <w:right w:val="none" w:sz="0" w:space="0" w:color="auto"/>
          <w:insideH w:val="single" w:sz="4" w:space="0" w:color="593731"/>
          <w:insideV w:val="single" w:sz="4" w:space="0" w:color="593731"/>
        </w:tblBorders>
        <w:tblLook w:val="04A0" w:firstRow="1" w:lastRow="0" w:firstColumn="1" w:lastColumn="0" w:noHBand="0" w:noVBand="1"/>
      </w:tblPr>
      <w:tblGrid>
        <w:gridCol w:w="5149"/>
        <w:gridCol w:w="3413"/>
      </w:tblGrid>
      <w:tr w:rsidR="00877B67" w:rsidRPr="000C5050" w14:paraId="2D462122" w14:textId="77777777" w:rsidTr="00407882">
        <w:tc>
          <w:tcPr>
            <w:tcW w:w="0" w:type="auto"/>
            <w:tcBorders>
              <w:top w:val="single" w:sz="4" w:space="0" w:color="17556C"/>
              <w:bottom w:val="single" w:sz="4" w:space="0" w:color="17556C"/>
              <w:right w:val="single" w:sz="4" w:space="0" w:color="17556C"/>
            </w:tcBorders>
            <w:shd w:val="clear" w:color="auto" w:fill="17556C"/>
            <w:hideMark/>
          </w:tcPr>
          <w:p w14:paraId="58740185" w14:textId="77777777" w:rsidR="00877B67" w:rsidRPr="000C5050" w:rsidRDefault="00877B67" w:rsidP="00877B67">
            <w:pPr>
              <w:pStyle w:val="TableTextbold"/>
              <w:rPr>
                <w:color w:val="FFFFFF" w:themeColor="background1"/>
              </w:rPr>
            </w:pPr>
            <w:r w:rsidRPr="000C5050">
              <w:rPr>
                <w:color w:val="FFFFFF" w:themeColor="background1"/>
              </w:rPr>
              <w:t>Contaminated land specific provisions</w:t>
            </w:r>
          </w:p>
        </w:tc>
        <w:tc>
          <w:tcPr>
            <w:tcW w:w="0" w:type="auto"/>
            <w:tcBorders>
              <w:top w:val="single" w:sz="4" w:space="0" w:color="17556C"/>
              <w:left w:val="single" w:sz="4" w:space="0" w:color="17556C"/>
              <w:bottom w:val="single" w:sz="4" w:space="0" w:color="17556C"/>
            </w:tcBorders>
            <w:shd w:val="clear" w:color="auto" w:fill="17556C"/>
            <w:hideMark/>
          </w:tcPr>
          <w:p w14:paraId="756B37BC" w14:textId="77777777" w:rsidR="00877B67" w:rsidRPr="000C5050" w:rsidRDefault="00877B67" w:rsidP="00877B67">
            <w:pPr>
              <w:pStyle w:val="TableTextbold"/>
              <w:rPr>
                <w:color w:val="FFFFFF" w:themeColor="background1"/>
              </w:rPr>
            </w:pPr>
            <w:r w:rsidRPr="000C5050">
              <w:rPr>
                <w:color w:val="FFFFFF" w:themeColor="background1"/>
              </w:rPr>
              <w:t xml:space="preserve">Number of district plans </w:t>
            </w:r>
          </w:p>
        </w:tc>
      </w:tr>
      <w:tr w:rsidR="00877B67" w:rsidRPr="000C5050" w14:paraId="5A1E33CB" w14:textId="77777777" w:rsidTr="00407882">
        <w:tc>
          <w:tcPr>
            <w:tcW w:w="0" w:type="auto"/>
            <w:tcBorders>
              <w:top w:val="single" w:sz="4" w:space="0" w:color="17556C"/>
              <w:bottom w:val="single" w:sz="4" w:space="0" w:color="17556C"/>
              <w:right w:val="single" w:sz="4" w:space="0" w:color="17556C"/>
            </w:tcBorders>
            <w:hideMark/>
          </w:tcPr>
          <w:p w14:paraId="7671D650" w14:textId="77777777" w:rsidR="00877B67" w:rsidRPr="000C5050" w:rsidRDefault="00877B67" w:rsidP="00877B67">
            <w:pPr>
              <w:pStyle w:val="Tabletext"/>
            </w:pPr>
            <w:r w:rsidRPr="000C5050">
              <w:t>No objectives/policies</w:t>
            </w:r>
          </w:p>
        </w:tc>
        <w:tc>
          <w:tcPr>
            <w:tcW w:w="0" w:type="auto"/>
            <w:tcBorders>
              <w:top w:val="single" w:sz="4" w:space="0" w:color="17556C"/>
              <w:left w:val="single" w:sz="4" w:space="0" w:color="17556C"/>
              <w:bottom w:val="single" w:sz="4" w:space="0" w:color="17556C"/>
            </w:tcBorders>
            <w:hideMark/>
          </w:tcPr>
          <w:p w14:paraId="0837A76A" w14:textId="77777777" w:rsidR="00877B67" w:rsidRPr="000C5050" w:rsidRDefault="00877B67" w:rsidP="00877B67">
            <w:pPr>
              <w:pStyle w:val="Tabletext"/>
            </w:pPr>
            <w:r w:rsidRPr="000C5050">
              <w:t>27</w:t>
            </w:r>
          </w:p>
        </w:tc>
      </w:tr>
      <w:tr w:rsidR="00877B67" w:rsidRPr="000C5050" w14:paraId="56C63CD6" w14:textId="77777777" w:rsidTr="00407882">
        <w:tc>
          <w:tcPr>
            <w:tcW w:w="0" w:type="auto"/>
            <w:tcBorders>
              <w:top w:val="single" w:sz="4" w:space="0" w:color="17556C"/>
              <w:bottom w:val="single" w:sz="4" w:space="0" w:color="17556C"/>
              <w:right w:val="single" w:sz="4" w:space="0" w:color="17556C"/>
            </w:tcBorders>
            <w:hideMark/>
          </w:tcPr>
          <w:p w14:paraId="53B5EBFB" w14:textId="77777777" w:rsidR="00877B67" w:rsidRPr="000C5050" w:rsidRDefault="00877B67" w:rsidP="00877B67">
            <w:pPr>
              <w:pStyle w:val="Tabletext"/>
            </w:pPr>
            <w:r w:rsidRPr="000C5050">
              <w:t>No rules</w:t>
            </w:r>
          </w:p>
        </w:tc>
        <w:tc>
          <w:tcPr>
            <w:tcW w:w="0" w:type="auto"/>
            <w:tcBorders>
              <w:top w:val="single" w:sz="4" w:space="0" w:color="17556C"/>
              <w:left w:val="single" w:sz="4" w:space="0" w:color="17556C"/>
              <w:bottom w:val="single" w:sz="4" w:space="0" w:color="17556C"/>
            </w:tcBorders>
            <w:hideMark/>
          </w:tcPr>
          <w:p w14:paraId="052AD1FB" w14:textId="77777777" w:rsidR="00877B67" w:rsidRPr="000C5050" w:rsidRDefault="00877B67" w:rsidP="00877B67">
            <w:pPr>
              <w:pStyle w:val="Tabletext"/>
            </w:pPr>
            <w:r w:rsidRPr="000C5050">
              <w:t>55</w:t>
            </w:r>
          </w:p>
        </w:tc>
      </w:tr>
      <w:tr w:rsidR="00877B67" w:rsidRPr="000C5050" w14:paraId="023C05AD" w14:textId="77777777" w:rsidTr="00407882">
        <w:tc>
          <w:tcPr>
            <w:tcW w:w="0" w:type="auto"/>
            <w:tcBorders>
              <w:top w:val="single" w:sz="4" w:space="0" w:color="17556C"/>
              <w:bottom w:val="single" w:sz="4" w:space="0" w:color="17556C"/>
              <w:right w:val="single" w:sz="4" w:space="0" w:color="17556C"/>
            </w:tcBorders>
            <w:hideMark/>
          </w:tcPr>
          <w:p w14:paraId="0E18AF7E" w14:textId="77777777" w:rsidR="00877B67" w:rsidRPr="000C5050" w:rsidRDefault="00877B67" w:rsidP="00877B67">
            <w:pPr>
              <w:pStyle w:val="Tabletext"/>
            </w:pPr>
            <w:r w:rsidRPr="000C5050">
              <w:t>No rules for section 31 functions</w:t>
            </w:r>
          </w:p>
        </w:tc>
        <w:tc>
          <w:tcPr>
            <w:tcW w:w="0" w:type="auto"/>
            <w:tcBorders>
              <w:top w:val="single" w:sz="4" w:space="0" w:color="17556C"/>
              <w:left w:val="single" w:sz="4" w:space="0" w:color="17556C"/>
              <w:bottom w:val="single" w:sz="4" w:space="0" w:color="17556C"/>
            </w:tcBorders>
            <w:hideMark/>
          </w:tcPr>
          <w:p w14:paraId="64112EC4" w14:textId="77777777" w:rsidR="00877B67" w:rsidRPr="000C5050" w:rsidRDefault="00877B67" w:rsidP="00877B67">
            <w:pPr>
              <w:pStyle w:val="Tabletext"/>
            </w:pPr>
            <w:r w:rsidRPr="000C5050">
              <w:t>59</w:t>
            </w:r>
          </w:p>
        </w:tc>
      </w:tr>
    </w:tbl>
    <w:p w14:paraId="53B2639C" w14:textId="77777777" w:rsidR="00877B67" w:rsidRPr="000C5050" w:rsidRDefault="00877B67" w:rsidP="00877B67">
      <w:pPr>
        <w:pStyle w:val="BodyText"/>
        <w:spacing w:before="240"/>
      </w:pPr>
      <w:r w:rsidRPr="000C5050">
        <w:t xml:space="preserve">The 2007 review concluded it was </w:t>
      </w:r>
      <w:r w:rsidRPr="000C5050">
        <w:rPr>
          <w:i/>
        </w:rPr>
        <w:t>highly likely</w:t>
      </w:r>
      <w:r w:rsidRPr="000C5050">
        <w:t xml:space="preserve"> that contamination was not being identified at the time land was developed, and potential risks were being passed on to subsequent purchasers. Concerns about the potential human health impacts led to the development of the National Environmental Standard for Assessing and Managing Contaminants in Soil to Protect Human Health (NESCS). More information on the context for developing a national standard on contaminants in soil is provided in </w:t>
      </w:r>
      <w:r w:rsidRPr="000C5050">
        <w:rPr>
          <w:rFonts w:eastAsiaTheme="minorHAnsi"/>
          <w:i/>
          <w:iCs/>
          <w:lang w:eastAsia="en-US"/>
        </w:rPr>
        <w:t>Proposed National Environmental Standard for Assessing and Managing Contaminants in Soil: Discussion Document</w:t>
      </w:r>
      <w:r w:rsidRPr="000C5050" w:rsidDel="00FF2330">
        <w:rPr>
          <w:i/>
        </w:rPr>
        <w:t xml:space="preserve"> </w:t>
      </w:r>
      <w:r w:rsidRPr="000C5050">
        <w:t xml:space="preserve">(Ministry for the Environment, 2010). </w:t>
      </w:r>
    </w:p>
    <w:p w14:paraId="7DA4467D" w14:textId="77777777" w:rsidR="00F41057" w:rsidRPr="000C5050" w:rsidRDefault="00F41057" w:rsidP="00F41057">
      <w:pPr>
        <w:pStyle w:val="Heading3"/>
        <w:rPr>
          <w:rFonts w:eastAsia="Calibri"/>
        </w:rPr>
      </w:pPr>
      <w:bookmarkStart w:id="55" w:name="_Toc422307702"/>
      <w:bookmarkStart w:id="56" w:name="_Toc422312863"/>
      <w:bookmarkStart w:id="57" w:name="_Toc422312935"/>
      <w:r w:rsidRPr="000C5050">
        <w:rPr>
          <w:rFonts w:eastAsia="Calibri"/>
        </w:rPr>
        <w:t>Council roles for implementing the NESCS</w:t>
      </w:r>
      <w:bookmarkEnd w:id="55"/>
      <w:bookmarkEnd w:id="56"/>
      <w:bookmarkEnd w:id="57"/>
    </w:p>
    <w:p w14:paraId="2231330E" w14:textId="77777777" w:rsidR="00F41057" w:rsidRPr="000C5050" w:rsidRDefault="00F41057" w:rsidP="00F41057">
      <w:pPr>
        <w:pStyle w:val="BodyText"/>
        <w:spacing w:after="0"/>
      </w:pPr>
      <w:r w:rsidRPr="000C5050">
        <w:t>Under section 31 of the RMA, territorial authorities (district, city and unitary councils) are responsible for controlling the adverse effects of the development, subdivision, or use of contaminated land.</w:t>
      </w:r>
      <w:r w:rsidRPr="000C5050">
        <w:rPr>
          <w:vertAlign w:val="superscript"/>
        </w:rPr>
        <w:footnoteReference w:id="14"/>
      </w:r>
      <w:r w:rsidRPr="000C5050">
        <w:t xml:space="preserve"> The NESCS specifically states that the regulation deals with territorial authority functions under the RMA; it does not deal with regional council functions. The NESCS provides a nationwide set of planning controls to enable territorial authorities to carry out this </w:t>
      </w:r>
      <w:r w:rsidRPr="000C5050">
        <w:lastRenderedPageBreak/>
        <w:t>function,</w:t>
      </w:r>
      <w:r w:rsidRPr="000C5050">
        <w:rPr>
          <w:vertAlign w:val="superscript"/>
        </w:rPr>
        <w:footnoteReference w:id="15"/>
      </w:r>
      <w:r w:rsidRPr="000C5050">
        <w:t xml:space="preserve"> and all territorial authorities are required to give effect to and enforce the requirements of the NESCS. </w:t>
      </w:r>
    </w:p>
    <w:p w14:paraId="54806D7C" w14:textId="77777777" w:rsidR="00F41057" w:rsidRPr="000C5050" w:rsidRDefault="00F41057" w:rsidP="00F41057">
      <w:pPr>
        <w:pStyle w:val="BodyText"/>
      </w:pPr>
      <w:r w:rsidRPr="000C5050">
        <w:t>In practice, regional councils also play an important role in the implementation of the NESCS. One of the RMA functions of regional councils is “</w:t>
      </w:r>
      <w:r w:rsidRPr="000C5050">
        <w:rPr>
          <w:iCs/>
          <w:color w:val="000000"/>
        </w:rPr>
        <w:t xml:space="preserve">the investigation of land for the purposes of identifying and monitoring contaminated land” under the RMA. To fulfil this function, most regional councils identify potentially contaminated sites (including sites with current or former uses on the </w:t>
      </w:r>
      <w:r w:rsidRPr="000C5050">
        <w:t>hazardous activities and industries list (</w:t>
      </w:r>
      <w:r w:rsidRPr="000C5050">
        <w:rPr>
          <w:iCs/>
          <w:color w:val="000000"/>
        </w:rPr>
        <w:t xml:space="preserve">HAIL)), and maintain a contaminated sites register </w:t>
      </w:r>
      <w:r w:rsidRPr="000C5050">
        <w:rPr>
          <w:rFonts w:eastAsiaTheme="minorHAnsi"/>
          <w:color w:val="000000"/>
          <w:lang w:eastAsia="en-US"/>
        </w:rPr>
        <w:t>(in line with their duty under section 35 of the RMA to gather information, monitor and keep records)</w:t>
      </w:r>
      <w:r w:rsidRPr="000C5050">
        <w:rPr>
          <w:iCs/>
          <w:color w:val="000000"/>
        </w:rPr>
        <w:t xml:space="preserve">. As a result, in practice the </w:t>
      </w:r>
      <w:r w:rsidRPr="000C5050">
        <w:t>regional councils</w:t>
      </w:r>
      <w:r w:rsidR="0081630C" w:rsidRPr="000C5050">
        <w:t>’</w:t>
      </w:r>
      <w:r w:rsidRPr="000C5050">
        <w:t xml:space="preserve"> listed land-use databases are often the primary source for territorial authorities identifying potential HAIL sites, to determine whether the NESCS applies to a property or proposal. </w:t>
      </w:r>
    </w:p>
    <w:p w14:paraId="5DF5203C" w14:textId="77777777" w:rsidR="00F41057" w:rsidRPr="000C5050" w:rsidRDefault="00F41057" w:rsidP="00F41057">
      <w:pPr>
        <w:pStyle w:val="Heading3"/>
      </w:pPr>
      <w:bookmarkStart w:id="58" w:name="_Toc422307704"/>
      <w:bookmarkStart w:id="59" w:name="_Toc422312865"/>
      <w:bookmarkStart w:id="60" w:name="_Toc422312937"/>
      <w:bookmarkStart w:id="61" w:name="_Toc425338550"/>
      <w:bookmarkStart w:id="62" w:name="_Toc451423674"/>
      <w:r w:rsidRPr="000C5050">
        <w:t>Background to the interim review of the NESCS</w:t>
      </w:r>
      <w:bookmarkEnd w:id="58"/>
      <w:bookmarkEnd w:id="59"/>
      <w:bookmarkEnd w:id="60"/>
      <w:bookmarkEnd w:id="61"/>
      <w:bookmarkEnd w:id="62"/>
      <w:r w:rsidRPr="000C5050">
        <w:t xml:space="preserve"> </w:t>
      </w:r>
    </w:p>
    <w:p w14:paraId="1FE2971C" w14:textId="77777777" w:rsidR="00F41057" w:rsidRPr="000C5050" w:rsidRDefault="00F41057" w:rsidP="00F41057">
      <w:pPr>
        <w:pStyle w:val="BodyText"/>
        <w:rPr>
          <w:lang w:eastAsia="en-US"/>
        </w:rPr>
      </w:pPr>
      <w:r w:rsidRPr="000C5050">
        <w:rPr>
          <w:lang w:eastAsia="en-US"/>
        </w:rPr>
        <w:t xml:space="preserve">In July 2013, feedback provided to the Ministry for the Environment through the </w:t>
      </w:r>
      <w:r w:rsidRPr="000C5050">
        <w:rPr>
          <w:i/>
        </w:rPr>
        <w:t>Resource Management Act Survey of Local Authorities 2012/13</w:t>
      </w:r>
      <w:r w:rsidRPr="000C5050">
        <w:rPr>
          <w:lang w:eastAsia="en-US"/>
        </w:rPr>
        <w:t xml:space="preserve"> (Ministry for the Environment, 2014) showed that councils were not implementing the NESCS consistently:</w:t>
      </w:r>
    </w:p>
    <w:p w14:paraId="52CBC392" w14:textId="77777777" w:rsidR="00F41057" w:rsidRPr="000C5050" w:rsidRDefault="00F41057" w:rsidP="00F41057">
      <w:pPr>
        <w:pStyle w:val="Bullet"/>
      </w:pPr>
      <w:r w:rsidRPr="000C5050">
        <w:t>there were numerous interpretations of key terms within the NESCS</w:t>
      </w:r>
    </w:p>
    <w:p w14:paraId="6E1A8CEE" w14:textId="77777777" w:rsidR="00F41057" w:rsidRPr="000C5050" w:rsidRDefault="00F41057" w:rsidP="00F41057">
      <w:pPr>
        <w:pStyle w:val="Bullet"/>
      </w:pPr>
      <w:proofErr w:type="gramStart"/>
      <w:r w:rsidRPr="000C5050">
        <w:t>several</w:t>
      </w:r>
      <w:proofErr w:type="gramEnd"/>
      <w:r w:rsidRPr="000C5050">
        <w:t xml:space="preserve"> territorial authorities identified capability issues as a major hindrance. Many felt they did not have sufficient resources to meet the requirements of the NESCS and as a result were struggling to fulfil their responsibilities</w:t>
      </w:r>
    </w:p>
    <w:p w14:paraId="0B9D7EF3" w14:textId="77777777" w:rsidR="00F41057" w:rsidRPr="000C5050" w:rsidRDefault="00F41057" w:rsidP="00F41057">
      <w:pPr>
        <w:pStyle w:val="Bullet"/>
      </w:pPr>
      <w:proofErr w:type="gramStart"/>
      <w:r w:rsidRPr="000C5050">
        <w:t>there</w:t>
      </w:r>
      <w:proofErr w:type="gramEnd"/>
      <w:r w:rsidRPr="000C5050">
        <w:t xml:space="preserve"> was limited understanding of local authorities</w:t>
      </w:r>
      <w:r w:rsidR="0081630C" w:rsidRPr="000C5050">
        <w:t>’</w:t>
      </w:r>
      <w:r w:rsidRPr="000C5050">
        <w:t xml:space="preserve"> responsibilities under the NESCS, with resulting difficulties in enforcing the NESCS. </w:t>
      </w:r>
    </w:p>
    <w:p w14:paraId="341BE6C0" w14:textId="77777777" w:rsidR="00F41057" w:rsidRPr="000C5050" w:rsidRDefault="00F41057" w:rsidP="00F41057">
      <w:pPr>
        <w:pStyle w:val="BodyText"/>
      </w:pPr>
      <w:r w:rsidRPr="000C5050">
        <w:rPr>
          <w:rStyle w:val="Heading3Char"/>
          <w:rFonts w:eastAsiaTheme="minorEastAsia" w:cstheme="minorBidi"/>
          <w:b w:val="0"/>
          <w:bCs w:val="0"/>
          <w:sz w:val="22"/>
        </w:rPr>
        <w:t>Following the earthquakes in Christchurch, local agencies recognised that the requirements of the NESCS would be widely applicable to the rebuild, as soil disturbance was required for a significant proportion of repair works. To facilitate the rebuild and remove delays associated with the NESCS, Environment Canterbury undertook large scale identification of HAIL land in greater Christchurch. This process identified a further 11,000</w:t>
      </w:r>
      <w:r w:rsidRPr="000C5050">
        <w:t xml:space="preserve"> properties as HAIL, in addition to the 8,000 previously identified in the Canterbury region. </w:t>
      </w:r>
    </w:p>
    <w:p w14:paraId="2D702F9D" w14:textId="77777777" w:rsidR="00F41057" w:rsidRPr="000C5050" w:rsidRDefault="00F41057" w:rsidP="00F41057">
      <w:pPr>
        <w:pStyle w:val="BodyText"/>
      </w:pPr>
      <w:r w:rsidRPr="000C5050">
        <w:t xml:space="preserve">In this context, the Ministry decided to conduct an interim review to improve </w:t>
      </w:r>
      <w:r w:rsidR="00CC7988" w:rsidRPr="000C5050">
        <w:t>its</w:t>
      </w:r>
      <w:r w:rsidRPr="000C5050">
        <w:t xml:space="preserve"> understanding of how the NESCS w</w:t>
      </w:r>
      <w:r w:rsidRPr="000C5050">
        <w:rPr>
          <w:lang w:eastAsia="en-US"/>
        </w:rPr>
        <w:t xml:space="preserve">as working in practice, and to identify the specific obstacles to effective implementation of the NESCS. </w:t>
      </w:r>
      <w:r w:rsidRPr="000C5050">
        <w:t>Evidence gathering for the review took place from July 2014 to August 2015. More information on the interim review</w:t>
      </w:r>
      <w:r w:rsidR="0081630C" w:rsidRPr="000C5050">
        <w:t>’</w:t>
      </w:r>
      <w:r w:rsidRPr="000C5050">
        <w:t xml:space="preserve">s methodology and data sources is provided in the </w:t>
      </w:r>
      <w:r w:rsidRPr="000C5050">
        <w:rPr>
          <w:i/>
          <w:iCs/>
        </w:rPr>
        <w:t xml:space="preserve">Interim review of the National Environmental Standard for Assessing and Managing Contaminants in Soil to Protect Human Health: Summary Report </w:t>
      </w:r>
      <w:r w:rsidRPr="000C5050">
        <w:t>(Ministry for the Environment, 2016a). The interim review focused on three areas:</w:t>
      </w:r>
    </w:p>
    <w:p w14:paraId="43DF6809" w14:textId="77777777" w:rsidR="00F41057" w:rsidRPr="000C5050" w:rsidRDefault="00F41057" w:rsidP="00F41057">
      <w:pPr>
        <w:pStyle w:val="Bullet"/>
        <w:tabs>
          <w:tab w:val="num" w:pos="567"/>
        </w:tabs>
        <w:ind w:left="567" w:hanging="567"/>
      </w:pPr>
      <w:r w:rsidRPr="000C5050">
        <w:t xml:space="preserve">How is the HAIL framework working within the NESCS? </w:t>
      </w:r>
    </w:p>
    <w:p w14:paraId="6CA6FE7A" w14:textId="77777777" w:rsidR="00F41057" w:rsidRPr="000C5050" w:rsidRDefault="00F41057" w:rsidP="00F41057">
      <w:pPr>
        <w:pStyle w:val="Bullet"/>
        <w:tabs>
          <w:tab w:val="num" w:pos="567"/>
        </w:tabs>
        <w:ind w:left="567" w:hanging="567"/>
      </w:pPr>
      <w:r w:rsidRPr="000C5050">
        <w:t>How is the NESCS being applied, particularly in relation to:</w:t>
      </w:r>
    </w:p>
    <w:p w14:paraId="5D7D8D06" w14:textId="77777777" w:rsidR="00CC7988" w:rsidRPr="000C5050" w:rsidRDefault="00CC7988" w:rsidP="00CC7988">
      <w:pPr>
        <w:pStyle w:val="Sub-bullet"/>
        <w:rPr>
          <w:lang w:eastAsia="en-US"/>
        </w:rPr>
      </w:pPr>
      <w:r w:rsidRPr="000C5050">
        <w:rPr>
          <w:lang w:eastAsia="en-US"/>
        </w:rPr>
        <w:t>soil disturbance and removal of soil</w:t>
      </w:r>
    </w:p>
    <w:p w14:paraId="3497FF04" w14:textId="77777777" w:rsidR="00CC7988" w:rsidRPr="000C5050" w:rsidRDefault="00CC7988" w:rsidP="00CC7988">
      <w:pPr>
        <w:pStyle w:val="Sub-bullet"/>
        <w:rPr>
          <w:lang w:eastAsia="en-US"/>
        </w:rPr>
      </w:pPr>
      <w:r w:rsidRPr="000C5050">
        <w:rPr>
          <w:lang w:eastAsia="en-US"/>
        </w:rPr>
        <w:t>subdivision</w:t>
      </w:r>
    </w:p>
    <w:p w14:paraId="461EFC24" w14:textId="77777777" w:rsidR="00877B67" w:rsidRPr="000C5050" w:rsidRDefault="00CC7988" w:rsidP="00CC7988">
      <w:pPr>
        <w:pStyle w:val="Sub-bullet"/>
        <w:rPr>
          <w:lang w:eastAsia="en-US"/>
        </w:rPr>
      </w:pPr>
      <w:proofErr w:type="gramStart"/>
      <w:r w:rsidRPr="000C5050">
        <w:rPr>
          <w:lang w:eastAsia="en-US"/>
        </w:rPr>
        <w:t>change</w:t>
      </w:r>
      <w:proofErr w:type="gramEnd"/>
      <w:r w:rsidRPr="000C5050">
        <w:rPr>
          <w:lang w:eastAsia="en-US"/>
        </w:rPr>
        <w:t xml:space="preserve"> in land use?</w:t>
      </w:r>
    </w:p>
    <w:p w14:paraId="2DBBDA0E" w14:textId="77777777" w:rsidR="00CC7988" w:rsidRPr="000C5050" w:rsidRDefault="00CC7988" w:rsidP="00CC7988">
      <w:pPr>
        <w:pStyle w:val="Bullet"/>
      </w:pPr>
      <w:r w:rsidRPr="000C5050">
        <w:t>Are sites obtaining NESCS consent being remediated, or are contaminants being managed on site? What factors are driving the approaches used?</w:t>
      </w:r>
    </w:p>
    <w:p w14:paraId="1AA910EC" w14:textId="77777777" w:rsidR="00CC7988" w:rsidRPr="000C5050" w:rsidRDefault="00CC7988" w:rsidP="00CC7988">
      <w:pPr>
        <w:pStyle w:val="BodyText"/>
      </w:pPr>
      <w:r w:rsidRPr="000C5050">
        <w:rPr>
          <w:rFonts w:eastAsiaTheme="majorEastAsia"/>
        </w:rPr>
        <w:lastRenderedPageBreak/>
        <w:t xml:space="preserve">A full discussion of the interim review, and its findings, can be found in the </w:t>
      </w:r>
      <w:r w:rsidRPr="000C5050">
        <w:rPr>
          <w:i/>
        </w:rPr>
        <w:t>Interim review of the National Environmental Standard for Assessing and Managing Contaminants in Soil to Protect Human Health: Summary Report</w:t>
      </w:r>
      <w:r w:rsidRPr="000C5050">
        <w:t xml:space="preserve"> (Ministry for the Environment, 2016a).</w:t>
      </w:r>
    </w:p>
    <w:p w14:paraId="62FAEC4C" w14:textId="77777777" w:rsidR="00CC7988" w:rsidRPr="000C5050" w:rsidRDefault="00993A94" w:rsidP="00993A94">
      <w:pPr>
        <w:pStyle w:val="Heading1"/>
        <w:keepLines w:val="0"/>
        <w:pageBreakBefore/>
      </w:pPr>
      <w:bookmarkStart w:id="63" w:name="_Toc460081255"/>
      <w:r w:rsidRPr="000C5050">
        <w:lastRenderedPageBreak/>
        <w:t>Appendix 2 – Proposals</w:t>
      </w:r>
      <w:bookmarkEnd w:id="63"/>
    </w:p>
    <w:p w14:paraId="4F481326" w14:textId="7B82EA0F" w:rsidR="00993A94" w:rsidRPr="000C5050" w:rsidRDefault="00993A94" w:rsidP="00993A94">
      <w:pPr>
        <w:pStyle w:val="BodyText"/>
        <w:ind w:left="567" w:hanging="567"/>
      </w:pPr>
      <w:r w:rsidRPr="000C5050">
        <w:rPr>
          <w:b/>
        </w:rPr>
        <w:t>3.1</w:t>
      </w:r>
      <w:r w:rsidRPr="000C5050">
        <w:tab/>
      </w:r>
      <w:r w:rsidR="004371EF" w:rsidRPr="000C5050">
        <w:t xml:space="preserve">Clarify the HAIL categories to increase consistency. </w:t>
      </w:r>
    </w:p>
    <w:p w14:paraId="045A1569" w14:textId="3FA86123" w:rsidR="004371EF" w:rsidRPr="000C5050" w:rsidRDefault="00993A94" w:rsidP="00993A94">
      <w:pPr>
        <w:pStyle w:val="BodyText"/>
        <w:ind w:left="567" w:hanging="567"/>
      </w:pPr>
      <w:r w:rsidRPr="000C5050">
        <w:rPr>
          <w:b/>
        </w:rPr>
        <w:t>3.2</w:t>
      </w:r>
      <w:r w:rsidR="007D080D" w:rsidRPr="000C5050">
        <w:t xml:space="preserve"> </w:t>
      </w:r>
      <w:r w:rsidRPr="000C5050">
        <w:tab/>
      </w:r>
      <w:r w:rsidR="004371EF" w:rsidRPr="000C5050">
        <w:t>Remove express reference to ‘sports turfs’ in category A.10.</w:t>
      </w:r>
    </w:p>
    <w:p w14:paraId="251F185A" w14:textId="685A2B78" w:rsidR="004371EF" w:rsidRPr="000C5050" w:rsidRDefault="004371EF" w:rsidP="004371EF">
      <w:pPr>
        <w:pStyle w:val="BodyText"/>
        <w:ind w:left="567" w:hanging="567"/>
        <w:rPr>
          <w:b/>
        </w:rPr>
      </w:pPr>
      <w:r w:rsidRPr="000C5050">
        <w:rPr>
          <w:b/>
        </w:rPr>
        <w:t xml:space="preserve">3.3 </w:t>
      </w:r>
      <w:r w:rsidRPr="000C5050">
        <w:rPr>
          <w:b/>
        </w:rPr>
        <w:tab/>
      </w:r>
      <w:r w:rsidRPr="000C5050">
        <w:t>Remove express reference to ‘environmental discharges’ in category A.14 and ‘risk’ in categories H and I.</w:t>
      </w:r>
    </w:p>
    <w:p w14:paraId="5A2622A7" w14:textId="66429BB1" w:rsidR="004371EF" w:rsidRPr="000C5050" w:rsidRDefault="004371EF">
      <w:pPr>
        <w:pStyle w:val="BodyText"/>
        <w:ind w:left="567" w:hanging="567"/>
        <w:rPr>
          <w:b/>
        </w:rPr>
      </w:pPr>
      <w:r w:rsidRPr="000C5050">
        <w:rPr>
          <w:b/>
        </w:rPr>
        <w:t>3.4</w:t>
      </w:r>
      <w:r w:rsidRPr="000C5050">
        <w:rPr>
          <w:b/>
        </w:rPr>
        <w:tab/>
      </w:r>
      <w:r w:rsidRPr="000C5050">
        <w:rPr>
          <w:bdr w:val="none" w:sz="0" w:space="0" w:color="auto" w:frame="1"/>
        </w:rPr>
        <w:t>Provide guidance on the HAIL, including the characteristics of activities and industries that have potential to contaminate soil.</w:t>
      </w:r>
    </w:p>
    <w:p w14:paraId="54A62FAA" w14:textId="245BD43B" w:rsidR="00993A94" w:rsidRPr="000C5050" w:rsidRDefault="00993A94" w:rsidP="00993A94">
      <w:pPr>
        <w:pStyle w:val="BodyText"/>
        <w:ind w:left="567" w:hanging="567"/>
        <w:rPr>
          <w:color w:val="000000" w:themeColor="text1"/>
          <w:bdr w:val="none" w:sz="0" w:space="0" w:color="auto" w:frame="1"/>
        </w:rPr>
      </w:pPr>
      <w:r w:rsidRPr="000C5050">
        <w:rPr>
          <w:b/>
        </w:rPr>
        <w:t>4.1</w:t>
      </w:r>
      <w:r w:rsidRPr="000C5050">
        <w:rPr>
          <w:b/>
        </w:rPr>
        <w:tab/>
      </w:r>
      <w:r w:rsidRPr="000C5050">
        <w:t xml:space="preserve">Require </w:t>
      </w:r>
      <w:r w:rsidRPr="000C5050">
        <w:rPr>
          <w:color w:val="000000" w:themeColor="text1"/>
          <w:bdr w:val="none" w:sz="0" w:space="0" w:color="auto" w:frame="1"/>
        </w:rPr>
        <w:t>a risk-based a</w:t>
      </w:r>
      <w:r w:rsidR="004B45EA" w:rsidRPr="000C5050">
        <w:rPr>
          <w:color w:val="000000" w:themeColor="text1"/>
          <w:bdr w:val="none" w:sz="0" w:space="0" w:color="auto" w:frame="1"/>
        </w:rPr>
        <w:t>ssessment</w:t>
      </w:r>
      <w:r w:rsidRPr="000C5050">
        <w:rPr>
          <w:color w:val="000000" w:themeColor="text1"/>
          <w:bdr w:val="none" w:sz="0" w:space="0" w:color="auto" w:frame="1"/>
        </w:rPr>
        <w:t xml:space="preserve"> when deciding whether the </w:t>
      </w:r>
      <w:r w:rsidRPr="000C5050">
        <w:t>National Environmental Standard for Assessing and Managing Contaminants in Soil to Protect Human Health (</w:t>
      </w:r>
      <w:r w:rsidRPr="000C5050">
        <w:rPr>
          <w:color w:val="000000" w:themeColor="text1"/>
          <w:bdr w:val="none" w:sz="0" w:space="0" w:color="auto" w:frame="1"/>
        </w:rPr>
        <w:t>NESCS) applies to a site.</w:t>
      </w:r>
    </w:p>
    <w:p w14:paraId="067F6866" w14:textId="2C216405" w:rsidR="00993A94" w:rsidRPr="000C5050" w:rsidRDefault="00993A94" w:rsidP="00993A94">
      <w:pPr>
        <w:pStyle w:val="BodyText"/>
        <w:ind w:left="567" w:hanging="567"/>
        <w:rPr>
          <w:bdr w:val="none" w:sz="0" w:space="0" w:color="auto" w:frame="1"/>
        </w:rPr>
      </w:pPr>
      <w:r w:rsidRPr="000C5050">
        <w:rPr>
          <w:b/>
        </w:rPr>
        <w:t>5.1</w:t>
      </w:r>
      <w:r w:rsidRPr="000C5050">
        <w:rPr>
          <w:b/>
        </w:rPr>
        <w:tab/>
      </w:r>
      <w:r w:rsidRPr="000C5050">
        <w:rPr>
          <w:bdr w:val="none" w:sz="0" w:space="0" w:color="auto" w:frame="1"/>
        </w:rPr>
        <w:t>No resource consent required for activities on sites found to be have contamination below soil contaminant standards, or Tier 1 soil acceptance criteria</w:t>
      </w:r>
    </w:p>
    <w:p w14:paraId="60D4CA26" w14:textId="1806DBAD" w:rsidR="00993A94" w:rsidRPr="000C5050" w:rsidRDefault="00993A94" w:rsidP="00993A94">
      <w:pPr>
        <w:pStyle w:val="BodyText"/>
        <w:ind w:left="567" w:hanging="567"/>
        <w:rPr>
          <w:b/>
        </w:rPr>
      </w:pPr>
      <w:r w:rsidRPr="000C5050">
        <w:rPr>
          <w:b/>
        </w:rPr>
        <w:t>5.2</w:t>
      </w:r>
      <w:r w:rsidRPr="000C5050">
        <w:rPr>
          <w:b/>
        </w:rPr>
        <w:tab/>
      </w:r>
      <w:r w:rsidRPr="000C5050">
        <w:t>No resource consent required for soil disturbance by</w:t>
      </w:r>
      <w:r w:rsidR="001A7FA2" w:rsidRPr="000C5050">
        <w:t xml:space="preserve"> a</w:t>
      </w:r>
      <w:r w:rsidRPr="000C5050">
        <w:t xml:space="preserve"> network utility operator. </w:t>
      </w:r>
    </w:p>
    <w:p w14:paraId="5E5BFD61" w14:textId="29776FC3" w:rsidR="00993A94" w:rsidRPr="000C5050" w:rsidRDefault="00993A94" w:rsidP="00993A94">
      <w:pPr>
        <w:pStyle w:val="BodyText"/>
        <w:ind w:left="567" w:hanging="567"/>
        <w:rPr>
          <w:bdr w:val="none" w:sz="0" w:space="0" w:color="auto" w:frame="1"/>
        </w:rPr>
      </w:pPr>
      <w:r w:rsidRPr="000C5050">
        <w:rPr>
          <w:b/>
        </w:rPr>
        <w:t>5.3</w:t>
      </w:r>
      <w:r w:rsidRPr="000C5050">
        <w:rPr>
          <w:b/>
        </w:rPr>
        <w:tab/>
      </w:r>
      <w:r w:rsidRPr="000C5050">
        <w:rPr>
          <w:bdr w:val="none" w:sz="0" w:space="0" w:color="auto" w:frame="1"/>
        </w:rPr>
        <w:t xml:space="preserve">No resource consent required for subdivisions that are purely </w:t>
      </w:r>
      <w:r w:rsidR="006D76D4" w:rsidRPr="000C5050">
        <w:rPr>
          <w:bdr w:val="none" w:sz="0" w:space="0" w:color="auto" w:frame="1"/>
        </w:rPr>
        <w:t>‘</w:t>
      </w:r>
      <w:r w:rsidRPr="000C5050">
        <w:rPr>
          <w:bdr w:val="none" w:sz="0" w:space="0" w:color="auto" w:frame="1"/>
        </w:rPr>
        <w:t>paper-based</w:t>
      </w:r>
      <w:r w:rsidR="006D76D4" w:rsidRPr="000C5050">
        <w:rPr>
          <w:bdr w:val="none" w:sz="0" w:space="0" w:color="auto" w:frame="1"/>
        </w:rPr>
        <w:t>’</w:t>
      </w:r>
      <w:r w:rsidRPr="000C5050">
        <w:rPr>
          <w:bdr w:val="none" w:sz="0" w:space="0" w:color="auto" w:frame="1"/>
        </w:rPr>
        <w:t xml:space="preserve"> or do not facilitate a current or future change in use.</w:t>
      </w:r>
    </w:p>
    <w:p w14:paraId="0A144975" w14:textId="77777777" w:rsidR="00993A94" w:rsidRPr="000C5050" w:rsidRDefault="00993A94" w:rsidP="00993A94">
      <w:pPr>
        <w:pStyle w:val="BodyText"/>
        <w:ind w:left="567" w:hanging="567"/>
        <w:rPr>
          <w:b/>
        </w:rPr>
      </w:pPr>
      <w:r w:rsidRPr="000C5050">
        <w:rPr>
          <w:b/>
        </w:rPr>
        <w:t>5.4</w:t>
      </w:r>
      <w:r w:rsidRPr="000C5050">
        <w:t xml:space="preserve"> </w:t>
      </w:r>
      <w:r w:rsidRPr="000C5050">
        <w:tab/>
        <w:t>Soil disposal as a stand-alone controlled activity.</w:t>
      </w:r>
      <w:r w:rsidRPr="000C5050">
        <w:rPr>
          <w:b/>
        </w:rPr>
        <w:tab/>
      </w:r>
    </w:p>
    <w:p w14:paraId="4752D177" w14:textId="5A2636BD" w:rsidR="00993A94" w:rsidRPr="000C5050" w:rsidRDefault="00993A94" w:rsidP="00993A94">
      <w:pPr>
        <w:pStyle w:val="BodyText"/>
        <w:ind w:left="567" w:hanging="567"/>
        <w:rPr>
          <w:b/>
        </w:rPr>
      </w:pPr>
      <w:r w:rsidRPr="000C5050">
        <w:rPr>
          <w:b/>
        </w:rPr>
        <w:t>5.5</w:t>
      </w:r>
      <w:r w:rsidRPr="000C5050">
        <w:rPr>
          <w:b/>
        </w:rPr>
        <w:tab/>
      </w:r>
      <w:r w:rsidRPr="000C5050">
        <w:t>Remove discretionary activity class for soil disturbance and removal or replacement of fuel tank storage systems.</w:t>
      </w:r>
    </w:p>
    <w:p w14:paraId="4F3A9267" w14:textId="070EE806" w:rsidR="00993A94" w:rsidRPr="000C5050" w:rsidRDefault="00993A94" w:rsidP="00993A94">
      <w:pPr>
        <w:pStyle w:val="BodyText"/>
        <w:ind w:left="567" w:hanging="567"/>
      </w:pPr>
      <w:r w:rsidRPr="000C5050">
        <w:rPr>
          <w:b/>
        </w:rPr>
        <w:t>5.6</w:t>
      </w:r>
      <w:r w:rsidRPr="000C5050">
        <w:rPr>
          <w:b/>
        </w:rPr>
        <w:tab/>
      </w:r>
      <w:r w:rsidRPr="000C5050">
        <w:t>Remove restricted discretionary and discretionary activity classes for soil sampling.</w:t>
      </w:r>
    </w:p>
    <w:p w14:paraId="150F60E6" w14:textId="532666A5" w:rsidR="00993A94" w:rsidRPr="000C5050" w:rsidRDefault="00993A94" w:rsidP="00993A94">
      <w:pPr>
        <w:pStyle w:val="BodyText"/>
        <w:ind w:left="567" w:hanging="567"/>
      </w:pPr>
      <w:r w:rsidRPr="000C5050">
        <w:rPr>
          <w:b/>
        </w:rPr>
        <w:t>5.7</w:t>
      </w:r>
      <w:r w:rsidRPr="000C5050">
        <w:rPr>
          <w:b/>
        </w:rPr>
        <w:tab/>
      </w:r>
      <w:r w:rsidRPr="000C5050">
        <w:t xml:space="preserve">Define </w:t>
      </w:r>
      <w:r w:rsidR="0081630C" w:rsidRPr="000C5050">
        <w:t>‘</w:t>
      </w:r>
      <w:r w:rsidRPr="000C5050">
        <w:t>soil disturbance ratio</w:t>
      </w:r>
      <w:r w:rsidR="0081630C" w:rsidRPr="000C5050">
        <w:t>’</w:t>
      </w:r>
      <w:r w:rsidRPr="000C5050">
        <w:t xml:space="preserve"> in regulation 8(3).</w:t>
      </w:r>
    </w:p>
    <w:p w14:paraId="11F9CE54" w14:textId="39C11A1C" w:rsidR="008A5D86" w:rsidRPr="000C5050" w:rsidRDefault="00993A94" w:rsidP="00993A94">
      <w:pPr>
        <w:pStyle w:val="BodyText"/>
        <w:ind w:left="567" w:hanging="567"/>
        <w:rPr>
          <w:b/>
        </w:rPr>
      </w:pPr>
      <w:r w:rsidRPr="000C5050">
        <w:rPr>
          <w:b/>
        </w:rPr>
        <w:t>5.8</w:t>
      </w:r>
      <w:r w:rsidRPr="000C5050">
        <w:rPr>
          <w:b/>
        </w:rPr>
        <w:tab/>
      </w:r>
      <w:r w:rsidR="008A5D86" w:rsidRPr="000C5050">
        <w:t>Define ‘piece of land’ in regulation 8(3).</w:t>
      </w:r>
    </w:p>
    <w:p w14:paraId="0A05051D" w14:textId="177B9233" w:rsidR="00993A94" w:rsidRPr="000C5050" w:rsidRDefault="008A5D86" w:rsidP="00993A94">
      <w:pPr>
        <w:pStyle w:val="BodyText"/>
        <w:ind w:left="567" w:hanging="567"/>
      </w:pPr>
      <w:r w:rsidRPr="000C5050">
        <w:rPr>
          <w:b/>
        </w:rPr>
        <w:t>5.9</w:t>
      </w:r>
      <w:r w:rsidRPr="000C5050">
        <w:rPr>
          <w:b/>
        </w:rPr>
        <w:tab/>
      </w:r>
      <w:r w:rsidR="00993A94" w:rsidRPr="000C5050">
        <w:t xml:space="preserve">Remove term </w:t>
      </w:r>
      <w:r w:rsidR="0081630C" w:rsidRPr="000C5050">
        <w:t>‘</w:t>
      </w:r>
      <w:r w:rsidR="00993A94" w:rsidRPr="000C5050">
        <w:t>per year</w:t>
      </w:r>
      <w:r w:rsidR="0081630C" w:rsidRPr="000C5050">
        <w:t>’</w:t>
      </w:r>
      <w:r w:rsidR="00993A94" w:rsidRPr="000C5050">
        <w:t xml:space="preserve"> from regulation 8(3).</w:t>
      </w:r>
    </w:p>
    <w:p w14:paraId="7DA1EDCB" w14:textId="033CA29C" w:rsidR="00993A94" w:rsidRPr="000C5050" w:rsidRDefault="00993A94" w:rsidP="00993A94">
      <w:pPr>
        <w:pStyle w:val="BodyText"/>
        <w:ind w:left="567" w:hanging="567"/>
      </w:pPr>
      <w:r w:rsidRPr="000C5050">
        <w:rPr>
          <w:b/>
        </w:rPr>
        <w:t>5.</w:t>
      </w:r>
      <w:r w:rsidR="008A5D86" w:rsidRPr="000C5050">
        <w:rPr>
          <w:b/>
        </w:rPr>
        <w:t>10</w:t>
      </w:r>
      <w:r w:rsidRPr="000C5050">
        <w:rPr>
          <w:b/>
        </w:rPr>
        <w:tab/>
      </w:r>
      <w:r w:rsidRPr="000C5050">
        <w:t>Require suitably qualified and experienced practitioners to use a standardised certifying statement in their reports.</w:t>
      </w:r>
    </w:p>
    <w:p w14:paraId="482C70CB" w14:textId="77777777" w:rsidR="00993A94" w:rsidRPr="000C5050" w:rsidRDefault="00993A94" w:rsidP="00993A94">
      <w:pPr>
        <w:pStyle w:val="BodyText"/>
        <w:ind w:left="567" w:hanging="567"/>
        <w:rPr>
          <w:bdr w:val="none" w:sz="0" w:space="0" w:color="auto" w:frame="1"/>
        </w:rPr>
      </w:pPr>
      <w:r w:rsidRPr="000C5050">
        <w:rPr>
          <w:b/>
        </w:rPr>
        <w:t>6.1</w:t>
      </w:r>
      <w:r w:rsidRPr="000C5050">
        <w:rPr>
          <w:b/>
        </w:rPr>
        <w:tab/>
      </w:r>
      <w:r w:rsidRPr="000C5050">
        <w:rPr>
          <w:bdr w:val="none" w:sz="0" w:space="0" w:color="auto" w:frame="1"/>
        </w:rPr>
        <w:t>Option of an ongoing site management plan (with controls) for residential property owners.</w:t>
      </w:r>
    </w:p>
    <w:p w14:paraId="6BEFF2E3" w14:textId="7D1EC7B4" w:rsidR="00993A94" w:rsidRPr="000C5050" w:rsidRDefault="00993A94" w:rsidP="00993A94">
      <w:pPr>
        <w:pStyle w:val="BodyText"/>
        <w:ind w:left="567" w:hanging="567"/>
        <w:rPr>
          <w:color w:val="000000" w:themeColor="text1"/>
          <w:bdr w:val="none" w:sz="0" w:space="0" w:color="auto" w:frame="1"/>
        </w:rPr>
      </w:pPr>
      <w:r w:rsidRPr="000C5050">
        <w:rPr>
          <w:b/>
        </w:rPr>
        <w:t>6.2</w:t>
      </w:r>
      <w:r w:rsidRPr="000C5050">
        <w:rPr>
          <w:b/>
        </w:rPr>
        <w:tab/>
      </w:r>
      <w:r w:rsidR="005C1EBB" w:rsidRPr="000C5050">
        <w:t>Option to enable site-specific soil guideline values to be calculated using the site-specific bioavailable concentration of arsenic and lead.</w:t>
      </w:r>
    </w:p>
    <w:p w14:paraId="6F45D1D1" w14:textId="77777777" w:rsidR="00993A94" w:rsidRPr="000C5050" w:rsidRDefault="00993A94">
      <w:pPr>
        <w:spacing w:before="0" w:after="200" w:line="276" w:lineRule="auto"/>
        <w:jc w:val="left"/>
      </w:pPr>
      <w:r w:rsidRPr="000C5050">
        <w:br w:type="page"/>
      </w:r>
    </w:p>
    <w:p w14:paraId="648F39BB" w14:textId="77777777" w:rsidR="00993A94" w:rsidRPr="000C5050" w:rsidRDefault="00993A94" w:rsidP="00993A94">
      <w:pPr>
        <w:pStyle w:val="Heading1"/>
        <w:ind w:left="0" w:firstLine="0"/>
      </w:pPr>
      <w:bookmarkStart w:id="64" w:name="_Toc460081256"/>
      <w:r w:rsidRPr="000C5050">
        <w:lastRenderedPageBreak/>
        <w:t>Appendix 3 – HAIL: What will the changes look like?</w:t>
      </w:r>
      <w:bookmarkEnd w:id="64"/>
    </w:p>
    <w:p w14:paraId="65A6B00B" w14:textId="77777777" w:rsidR="00993A94" w:rsidRPr="000C5050" w:rsidRDefault="00993A94" w:rsidP="00993A94">
      <w:pPr>
        <w:pStyle w:val="Heading3"/>
        <w:spacing w:before="240"/>
      </w:pPr>
      <w:r w:rsidRPr="000C5050">
        <w:t>Hazardous activities and industries list (HAIL)</w:t>
      </w:r>
    </w:p>
    <w:p w14:paraId="46BC9287" w14:textId="519B204B" w:rsidR="00993A94" w:rsidRPr="000C5050" w:rsidRDefault="00993A94" w:rsidP="00993A94">
      <w:pPr>
        <w:spacing w:after="240"/>
        <w:rPr>
          <w:b/>
          <w:sz w:val="24"/>
          <w:szCs w:val="24"/>
        </w:rPr>
      </w:pPr>
      <w:r w:rsidRPr="000C5050">
        <w:rPr>
          <w:b/>
          <w:sz w:val="24"/>
          <w:szCs w:val="24"/>
        </w:rPr>
        <w:t xml:space="preserve">October 2011 </w:t>
      </w:r>
      <w:r w:rsidRPr="000C5050">
        <w:rPr>
          <w:b/>
          <w:i/>
          <w:color w:val="0F7B7D"/>
          <w:sz w:val="24"/>
          <w:szCs w:val="24"/>
        </w:rPr>
        <w:t>(</w:t>
      </w:r>
      <w:r w:rsidR="00693848" w:rsidRPr="000C5050">
        <w:rPr>
          <w:b/>
          <w:i/>
          <w:color w:val="0F7B7D"/>
          <w:sz w:val="24"/>
          <w:szCs w:val="24"/>
        </w:rPr>
        <w:t>September</w:t>
      </w:r>
      <w:r w:rsidRPr="000C5050">
        <w:rPr>
          <w:b/>
          <w:i/>
          <w:color w:val="0F7B7D"/>
          <w:sz w:val="24"/>
          <w:szCs w:val="24"/>
        </w:rPr>
        <w:t xml:space="preserve"> 2016 proposed revised wording </w:t>
      </w:r>
      <w:r w:rsidR="00793A8B" w:rsidRPr="000C5050">
        <w:rPr>
          <w:b/>
          <w:i/>
          <w:color w:val="0F7B7D"/>
          <w:sz w:val="24"/>
          <w:szCs w:val="24"/>
        </w:rPr>
        <w:t xml:space="preserve">is </w:t>
      </w:r>
      <w:r w:rsidRPr="000C5050">
        <w:rPr>
          <w:b/>
          <w:i/>
          <w:color w:val="0F7B7D"/>
          <w:sz w:val="24"/>
          <w:szCs w:val="24"/>
        </w:rPr>
        <w:t xml:space="preserve">in </w:t>
      </w:r>
      <w:r w:rsidR="004F3E0D" w:rsidRPr="000C5050">
        <w:rPr>
          <w:b/>
          <w:i/>
          <w:color w:val="0F7B7D"/>
          <w:sz w:val="24"/>
          <w:szCs w:val="24"/>
        </w:rPr>
        <w:t>green</w:t>
      </w:r>
      <w:r w:rsidRPr="000C5050">
        <w:rPr>
          <w:b/>
          <w:i/>
          <w:color w:val="0F7B7D"/>
          <w:sz w:val="24"/>
          <w:szCs w:val="24"/>
        </w:rPr>
        <w:t xml:space="preserve"> italics)</w:t>
      </w:r>
      <w:r w:rsidRPr="000C5050">
        <w:rPr>
          <w:b/>
          <w:color w:val="0070C0"/>
          <w:sz w:val="24"/>
          <w:szCs w:val="24"/>
        </w:rPr>
        <w:t xml:space="preserve"> </w:t>
      </w:r>
    </w:p>
    <w:p w14:paraId="4B4E1A89" w14:textId="77777777" w:rsidR="00993A94" w:rsidRPr="000C5050" w:rsidRDefault="00993A94" w:rsidP="00993A94">
      <w:pPr>
        <w:spacing w:before="0" w:after="0" w:line="276" w:lineRule="auto"/>
        <w:jc w:val="left"/>
        <w:rPr>
          <w:rFonts w:eastAsia="Calibri" w:cs="Times New Roman"/>
          <w:lang w:eastAsia="en-US"/>
        </w:rPr>
      </w:pPr>
      <w:r w:rsidRPr="000C5050">
        <w:rPr>
          <w:rFonts w:eastAsia="Calibri" w:cs="Times New Roman"/>
          <w:lang w:eastAsia="en-US"/>
        </w:rPr>
        <w:t>General comments:</w:t>
      </w:r>
    </w:p>
    <w:p w14:paraId="0E5CDD47" w14:textId="77777777" w:rsidR="00993A94" w:rsidRPr="000C5050" w:rsidRDefault="00993A94" w:rsidP="00221B3C">
      <w:pPr>
        <w:pStyle w:val="Bullet"/>
        <w:rPr>
          <w:rFonts w:eastAsia="Calibri"/>
          <w:lang w:eastAsia="en-US"/>
        </w:rPr>
      </w:pPr>
      <w:proofErr w:type="gramStart"/>
      <w:r w:rsidRPr="000C5050">
        <w:rPr>
          <w:rFonts w:eastAsia="Calibri"/>
          <w:lang w:eastAsia="en-US"/>
        </w:rPr>
        <w:t>an</w:t>
      </w:r>
      <w:proofErr w:type="gramEnd"/>
      <w:r w:rsidRPr="000C5050">
        <w:rPr>
          <w:rFonts w:eastAsia="Calibri"/>
          <w:lang w:eastAsia="en-US"/>
        </w:rPr>
        <w:t xml:space="preserve"> industry or activity heading has been added to most categories, to allow the reader to easily scan through before reading the more detailed description.</w:t>
      </w:r>
      <w:r w:rsidR="007D080D" w:rsidRPr="000C5050">
        <w:rPr>
          <w:rFonts w:eastAsia="Calibri"/>
          <w:lang w:eastAsia="en-US"/>
        </w:rPr>
        <w:t xml:space="preserve"> </w:t>
      </w:r>
      <w:r w:rsidRPr="000C5050">
        <w:rPr>
          <w:rFonts w:eastAsia="Calibri"/>
          <w:lang w:eastAsia="en-US"/>
        </w:rPr>
        <w:t xml:space="preserve">For example: </w:t>
      </w:r>
    </w:p>
    <w:p w14:paraId="1BA1A8AA" w14:textId="77777777" w:rsidR="00993A94" w:rsidRPr="000C5050" w:rsidRDefault="00993A94" w:rsidP="00221B3C">
      <w:pPr>
        <w:pStyle w:val="Sub-bullet"/>
        <w:rPr>
          <w:rFonts w:eastAsia="Calibri"/>
          <w:lang w:eastAsia="en-US"/>
        </w:rPr>
      </w:pPr>
      <w:r w:rsidRPr="000C5050">
        <w:rPr>
          <w:rFonts w:eastAsia="Calibri"/>
          <w:lang w:eastAsia="en-US"/>
        </w:rPr>
        <w:t>in category A, the words manufacture, formulation and mixing have been adopted for consistency; these will be described in guidance</w:t>
      </w:r>
    </w:p>
    <w:p w14:paraId="23D03A41" w14:textId="77777777" w:rsidR="00993A94" w:rsidRPr="000C5050" w:rsidRDefault="00993A94" w:rsidP="00221B3C">
      <w:pPr>
        <w:pStyle w:val="Bullet"/>
        <w:rPr>
          <w:rFonts w:eastAsia="Calibri"/>
          <w:lang w:eastAsia="en-US"/>
        </w:rPr>
      </w:pPr>
      <w:proofErr w:type="gramStart"/>
      <w:r w:rsidRPr="000C5050">
        <w:rPr>
          <w:rFonts w:eastAsia="Calibri"/>
          <w:lang w:eastAsia="en-US"/>
        </w:rPr>
        <w:t>three</w:t>
      </w:r>
      <w:proofErr w:type="gramEnd"/>
      <w:r w:rsidRPr="000C5050">
        <w:rPr>
          <w:rFonts w:eastAsia="Calibri"/>
          <w:lang w:eastAsia="en-US"/>
        </w:rPr>
        <w:t xml:space="preserve"> categories that specifically referred to environment discharges (A14) and risk (H and I) have been modified to remove these words.</w:t>
      </w:r>
      <w:r w:rsidR="007D080D" w:rsidRPr="000C5050">
        <w:rPr>
          <w:rFonts w:eastAsia="Calibri"/>
          <w:lang w:eastAsia="en-US"/>
        </w:rPr>
        <w:t xml:space="preserve"> </w:t>
      </w:r>
      <w:r w:rsidRPr="000C5050">
        <w:rPr>
          <w:rFonts w:eastAsia="Calibri"/>
          <w:lang w:eastAsia="en-US"/>
        </w:rPr>
        <w:t>This is because all activities on the HAIL have potential for environmental discharges, and all can pose a risk to human health and/or the environment.</w:t>
      </w:r>
      <w:r w:rsidR="007D080D" w:rsidRPr="000C5050">
        <w:rPr>
          <w:rFonts w:eastAsia="Calibri"/>
          <w:lang w:eastAsia="en-US"/>
        </w:rPr>
        <w:t xml:space="preserve"> </w:t>
      </w:r>
    </w:p>
    <w:p w14:paraId="0657A7CF" w14:textId="77777777" w:rsidR="00993A94" w:rsidRPr="000C5050" w:rsidRDefault="00993A94" w:rsidP="00993A94">
      <w:pPr>
        <w:spacing w:line="240" w:lineRule="auto"/>
        <w:jc w:val="left"/>
        <w:rPr>
          <w:rFonts w:eastAsia="Calibri" w:cs="Times New Roman"/>
          <w:lang w:eastAsia="en-US"/>
        </w:rPr>
      </w:pPr>
      <w:r w:rsidRPr="000C5050">
        <w:rPr>
          <w:rFonts w:eastAsia="Calibri" w:cs="Times New Roman"/>
          <w:b/>
          <w:lang w:eastAsia="en-US"/>
        </w:rPr>
        <w:t xml:space="preserve">A </w:t>
      </w:r>
      <w:r w:rsidRPr="000C5050">
        <w:rPr>
          <w:rFonts w:eastAsia="Calibri" w:cs="Times New Roman"/>
          <w:b/>
          <w:lang w:eastAsia="en-US"/>
        </w:rPr>
        <w:tab/>
        <w:t>Chemical manufacture, application and bulk storage</w:t>
      </w:r>
    </w:p>
    <w:p w14:paraId="4F94CF0C" w14:textId="77777777" w:rsidR="00C847D4" w:rsidRPr="000C5050" w:rsidRDefault="00993A94" w:rsidP="00C847D4">
      <w:pPr>
        <w:numPr>
          <w:ilvl w:val="0"/>
          <w:numId w:val="19"/>
        </w:numPr>
        <w:spacing w:before="0" w:after="0" w:line="260" w:lineRule="exact"/>
        <w:ind w:left="397" w:hanging="397"/>
        <w:jc w:val="left"/>
        <w:rPr>
          <w:rFonts w:eastAsia="Calibri" w:cs="Times New Roman"/>
          <w:lang w:eastAsia="en-US"/>
        </w:rPr>
      </w:pPr>
      <w:r w:rsidRPr="000C5050">
        <w:rPr>
          <w:rFonts w:eastAsia="Calibri" w:cs="Times New Roman"/>
          <w:lang w:eastAsia="en-US"/>
        </w:rPr>
        <w:t>Agrichemicals including commercial premises used by spray contractors for filling, storing or washing out tanks for agrichemical application</w:t>
      </w:r>
    </w:p>
    <w:p w14:paraId="6BCD5BA8" w14:textId="65556F77" w:rsidR="00993A94" w:rsidRPr="000C5050" w:rsidRDefault="00993A94" w:rsidP="00C847D4">
      <w:pPr>
        <w:spacing w:before="0" w:line="260" w:lineRule="exact"/>
        <w:ind w:left="397"/>
        <w:jc w:val="left"/>
        <w:rPr>
          <w:rFonts w:eastAsia="Calibri" w:cs="Times New Roman"/>
          <w:color w:val="0F7B7D"/>
          <w:lang w:eastAsia="en-US"/>
        </w:rPr>
      </w:pPr>
      <w:r w:rsidRPr="000C5050">
        <w:rPr>
          <w:rFonts w:eastAsia="Calibri" w:cs="Times New Roman"/>
          <w:i/>
          <w:color w:val="0F7B7D"/>
          <w:lang w:eastAsia="en-US"/>
        </w:rPr>
        <w:t>Agrichemicals: Manufacture, formulation or mixing of agrichemicals, including premises where authorities or commercial operators store or prepare agrichemicals for application.</w:t>
      </w:r>
    </w:p>
    <w:p w14:paraId="4042235C" w14:textId="77777777" w:rsidR="00993A94" w:rsidRPr="000C5050" w:rsidRDefault="00993A94" w:rsidP="00095A7C">
      <w:pPr>
        <w:numPr>
          <w:ilvl w:val="0"/>
          <w:numId w:val="19"/>
        </w:numPr>
        <w:spacing w:before="0" w:after="0" w:line="260" w:lineRule="exact"/>
        <w:ind w:left="397" w:hanging="397"/>
        <w:jc w:val="left"/>
        <w:rPr>
          <w:rFonts w:eastAsia="Calibri" w:cs="Times New Roman"/>
          <w:lang w:eastAsia="en-US"/>
        </w:rPr>
      </w:pPr>
      <w:r w:rsidRPr="000C5050">
        <w:rPr>
          <w:rFonts w:eastAsia="Calibri" w:cs="Times New Roman"/>
          <w:lang w:eastAsia="en-US"/>
        </w:rPr>
        <w:t>Chemical manufacture, formulation or bulk storage</w:t>
      </w:r>
    </w:p>
    <w:p w14:paraId="4453467B" w14:textId="77777777" w:rsidR="00993A94" w:rsidRPr="000C5050" w:rsidRDefault="008C0269" w:rsidP="008C0269">
      <w:pPr>
        <w:spacing w:before="0" w:line="260" w:lineRule="exac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Chemicals: Manufacture, formulation or bulk storage of chemicals.</w:t>
      </w:r>
    </w:p>
    <w:p w14:paraId="49C3B027" w14:textId="77777777" w:rsidR="00993A94" w:rsidRPr="000C5050" w:rsidRDefault="00993A94" w:rsidP="00095A7C">
      <w:pPr>
        <w:numPr>
          <w:ilvl w:val="0"/>
          <w:numId w:val="19"/>
        </w:numPr>
        <w:spacing w:before="0" w:line="260" w:lineRule="exact"/>
        <w:ind w:left="397" w:hanging="397"/>
        <w:jc w:val="left"/>
        <w:rPr>
          <w:rFonts w:eastAsia="Calibri" w:cs="Times New Roman"/>
          <w:lang w:eastAsia="en-US"/>
        </w:rPr>
      </w:pPr>
      <w:r w:rsidRPr="000C5050">
        <w:rPr>
          <w:rFonts w:eastAsia="Calibri" w:cs="Times New Roman"/>
          <w:lang w:eastAsia="en-US"/>
        </w:rPr>
        <w:t>Commercial analytical laboratory sites</w:t>
      </w:r>
    </w:p>
    <w:p w14:paraId="7349AF57" w14:textId="77777777" w:rsidR="00993A94" w:rsidRPr="000C5050" w:rsidRDefault="00993A94" w:rsidP="00095A7C">
      <w:pPr>
        <w:numPr>
          <w:ilvl w:val="0"/>
          <w:numId w:val="19"/>
        </w:numPr>
        <w:spacing w:before="0" w:after="0" w:line="260" w:lineRule="exact"/>
        <w:ind w:left="397" w:hanging="397"/>
        <w:jc w:val="left"/>
        <w:rPr>
          <w:rFonts w:eastAsia="Calibri" w:cs="Times New Roman"/>
          <w:lang w:eastAsia="en-US"/>
        </w:rPr>
      </w:pPr>
      <w:r w:rsidRPr="000C5050">
        <w:rPr>
          <w:rFonts w:eastAsia="Calibri" w:cs="Times New Roman"/>
          <w:lang w:eastAsia="en-US"/>
        </w:rPr>
        <w:t xml:space="preserve">Corrosives including formulation or bulk storage </w:t>
      </w:r>
    </w:p>
    <w:p w14:paraId="6CD8A160" w14:textId="77777777" w:rsidR="00993A94" w:rsidRPr="000C5050" w:rsidRDefault="008C0269" w:rsidP="00993A94">
      <w:pPr>
        <w:spacing w:before="0" w:line="260" w:lineRule="exac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 xml:space="preserve">Corrosives: Manufacture, formulation or bulk storage of corrosives. </w:t>
      </w:r>
    </w:p>
    <w:p w14:paraId="4DB3DAFB" w14:textId="77777777" w:rsidR="008C0269" w:rsidRPr="000C5050" w:rsidRDefault="00993A94" w:rsidP="00095A7C">
      <w:pPr>
        <w:numPr>
          <w:ilvl w:val="0"/>
          <w:numId w:val="19"/>
        </w:numPr>
        <w:spacing w:before="0" w:after="0" w:line="260" w:lineRule="exact"/>
        <w:ind w:left="397" w:hanging="397"/>
        <w:jc w:val="left"/>
        <w:rPr>
          <w:rFonts w:eastAsia="Calibri" w:cs="Times New Roman"/>
          <w:lang w:eastAsia="en-US"/>
        </w:rPr>
      </w:pPr>
      <w:r w:rsidRPr="000C5050">
        <w:rPr>
          <w:rFonts w:eastAsia="Calibri" w:cs="Times New Roman"/>
          <w:lang w:eastAsia="en-US"/>
        </w:rPr>
        <w:t>Dry-cleaning plants including dry-cleaning premises or the bulk storage of dry-cleaning solvents</w:t>
      </w:r>
    </w:p>
    <w:p w14:paraId="07E4B9CF" w14:textId="77777777" w:rsidR="00993A94" w:rsidRPr="000C5050" w:rsidRDefault="008C0269" w:rsidP="008C0269">
      <w:pPr>
        <w:spacing w:before="0" w:line="260" w:lineRule="exact"/>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Dry-cleaning: Premises where dry-cleaning takes place.</w:t>
      </w:r>
    </w:p>
    <w:p w14:paraId="6CB8FFE1" w14:textId="77777777" w:rsidR="00993A94" w:rsidRPr="000C5050" w:rsidRDefault="00993A94" w:rsidP="008C0269">
      <w:pPr>
        <w:spacing w:line="260" w:lineRule="atLeast"/>
        <w:jc w:val="left"/>
        <w:rPr>
          <w:rFonts w:eastAsia="Calibri" w:cs="Times New Roman"/>
          <w:i/>
          <w:lang w:eastAsia="en-US"/>
        </w:rPr>
      </w:pPr>
      <w:r w:rsidRPr="000C5050">
        <w:rPr>
          <w:rFonts w:eastAsia="Calibri" w:cs="Times New Roman"/>
          <w:i/>
          <w:lang w:eastAsia="en-US"/>
        </w:rPr>
        <w:t>Commentary: Bulk storage of dry-cleaning solvents at locations where dry-cleaning doesn</w:t>
      </w:r>
      <w:r w:rsidR="0081630C" w:rsidRPr="000C5050">
        <w:rPr>
          <w:rFonts w:eastAsia="Calibri" w:cs="Times New Roman"/>
          <w:i/>
          <w:lang w:eastAsia="en-US"/>
        </w:rPr>
        <w:t>’</w:t>
      </w:r>
      <w:r w:rsidRPr="000C5050">
        <w:rPr>
          <w:rFonts w:eastAsia="Calibri" w:cs="Times New Roman"/>
          <w:i/>
          <w:lang w:eastAsia="en-US"/>
        </w:rPr>
        <w:t xml:space="preserve">t take place will be covered by category A2. </w:t>
      </w:r>
    </w:p>
    <w:p w14:paraId="6F9A704E" w14:textId="77777777" w:rsidR="00C847D4" w:rsidRPr="000C5050" w:rsidRDefault="00993A94" w:rsidP="00C847D4">
      <w:pPr>
        <w:numPr>
          <w:ilvl w:val="0"/>
          <w:numId w:val="19"/>
        </w:numPr>
        <w:spacing w:after="0" w:line="260" w:lineRule="atLeast"/>
        <w:ind w:left="397" w:hanging="397"/>
        <w:jc w:val="left"/>
        <w:rPr>
          <w:rFonts w:eastAsia="Calibri" w:cs="Times New Roman"/>
          <w:lang w:eastAsia="en-US"/>
        </w:rPr>
      </w:pPr>
      <w:r w:rsidRPr="000C5050">
        <w:rPr>
          <w:rFonts w:eastAsia="Calibri" w:cs="Times New Roman"/>
          <w:lang w:eastAsia="en-US"/>
        </w:rPr>
        <w:t>Fertiliser manufacture or bulk storage</w:t>
      </w:r>
    </w:p>
    <w:p w14:paraId="103D5819" w14:textId="52FD365D" w:rsidR="00993A94" w:rsidRPr="000C5050" w:rsidRDefault="00993A94" w:rsidP="00C847D4">
      <w:pPr>
        <w:spacing w:before="0" w:line="260" w:lineRule="atLeast"/>
        <w:ind w:left="397"/>
        <w:jc w:val="left"/>
        <w:rPr>
          <w:rFonts w:eastAsia="Calibri" w:cs="Times New Roman"/>
          <w:color w:val="0F7B7D"/>
          <w:lang w:eastAsia="en-US"/>
        </w:rPr>
      </w:pPr>
      <w:r w:rsidRPr="000C5050">
        <w:rPr>
          <w:rFonts w:eastAsia="Calibri" w:cs="Times New Roman"/>
          <w:i/>
          <w:color w:val="0F7B7D"/>
          <w:lang w:eastAsia="en-US"/>
        </w:rPr>
        <w:t>Fertiliser: Manufacture, formulation or bulk storage of fertiliser.</w:t>
      </w:r>
    </w:p>
    <w:p w14:paraId="1C696637" w14:textId="77777777" w:rsidR="00993A94" w:rsidRPr="000C5050" w:rsidRDefault="00993A94" w:rsidP="00095A7C">
      <w:pPr>
        <w:numPr>
          <w:ilvl w:val="0"/>
          <w:numId w:val="19"/>
        </w:numPr>
        <w:spacing w:before="0" w:after="0" w:line="260" w:lineRule="atLeast"/>
        <w:ind w:left="397" w:hanging="397"/>
        <w:jc w:val="left"/>
        <w:rPr>
          <w:rFonts w:eastAsia="Calibri" w:cs="Times New Roman"/>
          <w:lang w:eastAsia="en-US"/>
        </w:rPr>
      </w:pPr>
      <w:r w:rsidRPr="000C5050">
        <w:rPr>
          <w:rFonts w:eastAsia="Calibri" w:cs="Times New Roman"/>
          <w:lang w:eastAsia="en-US"/>
        </w:rPr>
        <w:t>Gasworks including the manufacture of gas from coal or oil feedstocks</w:t>
      </w:r>
    </w:p>
    <w:p w14:paraId="12830920" w14:textId="77777777" w:rsidR="00993A94" w:rsidRPr="000C5050" w:rsidRDefault="008C0269" w:rsidP="008C0269">
      <w:pPr>
        <w:spacing w:before="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Gasworks: The manufacture of gas from coal or oil feedstocks.</w:t>
      </w:r>
    </w:p>
    <w:p w14:paraId="4801CC7E" w14:textId="77777777" w:rsidR="00993A94" w:rsidRPr="000C5050" w:rsidRDefault="00993A94" w:rsidP="00095A7C">
      <w:pPr>
        <w:numPr>
          <w:ilvl w:val="0"/>
          <w:numId w:val="19"/>
        </w:numPr>
        <w:spacing w:before="0" w:line="260" w:lineRule="atLeast"/>
        <w:ind w:left="397" w:hanging="397"/>
        <w:jc w:val="left"/>
        <w:rPr>
          <w:rFonts w:eastAsia="Calibri" w:cs="Times New Roman"/>
          <w:lang w:eastAsia="en-US"/>
        </w:rPr>
      </w:pPr>
      <w:r w:rsidRPr="000C5050">
        <w:rPr>
          <w:rFonts w:eastAsia="Calibri" w:cs="Times New Roman"/>
          <w:lang w:eastAsia="en-US"/>
        </w:rPr>
        <w:t>Livestock dip or spray race operations</w:t>
      </w:r>
    </w:p>
    <w:p w14:paraId="080EDCA3" w14:textId="77777777" w:rsidR="00993A94" w:rsidRPr="000C5050" w:rsidRDefault="00993A94" w:rsidP="00095A7C">
      <w:pPr>
        <w:numPr>
          <w:ilvl w:val="0"/>
          <w:numId w:val="19"/>
        </w:numPr>
        <w:spacing w:before="0" w:after="0" w:line="260" w:lineRule="atLeast"/>
        <w:ind w:left="397" w:hanging="397"/>
        <w:jc w:val="left"/>
        <w:rPr>
          <w:rFonts w:eastAsia="Calibri" w:cs="Times New Roman"/>
          <w:lang w:eastAsia="en-US"/>
        </w:rPr>
      </w:pPr>
      <w:r w:rsidRPr="000C5050">
        <w:rPr>
          <w:rFonts w:eastAsia="Calibri" w:cs="Times New Roman"/>
          <w:lang w:eastAsia="en-US"/>
        </w:rPr>
        <w:t>Paint manufacture, formulation (excluding retail paint stores)</w:t>
      </w:r>
    </w:p>
    <w:p w14:paraId="3D330B0B" w14:textId="77777777" w:rsidR="00993A94" w:rsidRPr="000C5050" w:rsidRDefault="008C0269" w:rsidP="008C0269">
      <w:pPr>
        <w:spacing w:before="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Paint: Manufacture, formulation or bulk storage of paint (excluding retail paint stores).</w:t>
      </w:r>
    </w:p>
    <w:p w14:paraId="6A3B76D1" w14:textId="77777777" w:rsidR="00427E36" w:rsidRPr="000C5050" w:rsidRDefault="00993A94" w:rsidP="00427E36">
      <w:pPr>
        <w:numPr>
          <w:ilvl w:val="0"/>
          <w:numId w:val="19"/>
        </w:numPr>
        <w:spacing w:before="0" w:after="0" w:line="260" w:lineRule="atLeast"/>
        <w:ind w:left="397" w:hanging="397"/>
        <w:jc w:val="left"/>
        <w:rPr>
          <w:rFonts w:eastAsia="Calibri" w:cs="Times New Roman"/>
          <w:lang w:eastAsia="en-US"/>
        </w:rPr>
      </w:pPr>
      <w:r w:rsidRPr="000C5050">
        <w:rPr>
          <w:rFonts w:eastAsia="Calibri" w:cs="Times New Roman"/>
          <w:lang w:eastAsia="en-US"/>
        </w:rPr>
        <w:t xml:space="preserve">Persistent pesticide bulk storage or use including sport turfs, market gardens, orchards, glass houses or spray sheds </w:t>
      </w:r>
    </w:p>
    <w:p w14:paraId="064A1741" w14:textId="77777777" w:rsidR="00993A94" w:rsidRPr="000C5050" w:rsidRDefault="00993A94" w:rsidP="00427E36">
      <w:pPr>
        <w:spacing w:before="0" w:line="260" w:lineRule="atLeast"/>
        <w:ind w:left="426"/>
        <w:jc w:val="left"/>
        <w:rPr>
          <w:rFonts w:eastAsia="Calibri" w:cs="Times New Roman"/>
          <w:i/>
          <w:color w:val="0F7B7D"/>
          <w:lang w:eastAsia="en-US"/>
        </w:rPr>
      </w:pPr>
      <w:r w:rsidRPr="000C5050">
        <w:rPr>
          <w:rFonts w:eastAsia="Calibri" w:cs="Times New Roman"/>
          <w:i/>
          <w:color w:val="0F7B7D"/>
          <w:lang w:eastAsia="en-US"/>
        </w:rPr>
        <w:t>Persistent pesticides: Use and bulk storage of persistent pesticides, including in market gardens, orchards, glass houses and spray sheds.</w:t>
      </w:r>
    </w:p>
    <w:p w14:paraId="636ADE98" w14:textId="77777777" w:rsidR="00993A94" w:rsidRPr="000C5050" w:rsidRDefault="00993A94" w:rsidP="008C0269">
      <w:pPr>
        <w:spacing w:line="260" w:lineRule="atLeast"/>
        <w:jc w:val="left"/>
        <w:rPr>
          <w:rFonts w:eastAsia="Calibri" w:cs="Times New Roman"/>
          <w:i/>
          <w:lang w:eastAsia="en-US"/>
        </w:rPr>
      </w:pPr>
      <w:r w:rsidRPr="000C5050">
        <w:rPr>
          <w:rFonts w:eastAsia="Calibri" w:cs="Times New Roman"/>
          <w:i/>
          <w:lang w:eastAsia="en-US"/>
        </w:rPr>
        <w:t>Commentary:</w:t>
      </w:r>
      <w:r w:rsidR="007D080D" w:rsidRPr="000C5050">
        <w:rPr>
          <w:rFonts w:eastAsia="Calibri" w:cs="Times New Roman"/>
          <w:i/>
          <w:lang w:eastAsia="en-US"/>
        </w:rPr>
        <w:t xml:space="preserve"> </w:t>
      </w:r>
      <w:r w:rsidRPr="000C5050">
        <w:rPr>
          <w:rFonts w:eastAsia="Calibri" w:cs="Times New Roman"/>
          <w:i/>
          <w:lang w:eastAsia="en-US"/>
        </w:rPr>
        <w:t>This c</w:t>
      </w:r>
      <w:r w:rsidRPr="000C5050">
        <w:rPr>
          <w:rFonts w:eastAsia="Calibri" w:cs="Arial"/>
          <w:i/>
          <w:iCs/>
          <w:lang w:eastAsia="en-US"/>
        </w:rPr>
        <w:t xml:space="preserve">ategory is intended to capture locations where persistent pesticides were handled and regularly used. Sports turfs were originally included in the HAIL to target </w:t>
      </w:r>
      <w:r w:rsidRPr="000C5050">
        <w:rPr>
          <w:rFonts w:eastAsia="Calibri" w:cs="Arial"/>
          <w:i/>
          <w:iCs/>
          <w:lang w:eastAsia="en-US"/>
        </w:rPr>
        <w:lastRenderedPageBreak/>
        <w:t>persistent pesticide use on bowling greens, golf greens and other intensively managed turfs, rather than school playing fields and sports fields.</w:t>
      </w:r>
      <w:r w:rsidR="007D080D" w:rsidRPr="000C5050">
        <w:rPr>
          <w:rFonts w:eastAsia="Calibri" w:cs="Arial"/>
          <w:i/>
          <w:iCs/>
          <w:lang w:eastAsia="en-US"/>
        </w:rPr>
        <w:t xml:space="preserve"> </w:t>
      </w:r>
      <w:r w:rsidRPr="000C5050">
        <w:rPr>
          <w:rFonts w:eastAsia="Calibri" w:cs="Arial"/>
          <w:i/>
          <w:iCs/>
          <w:lang w:eastAsia="en-US"/>
        </w:rPr>
        <w:t>The Ministry proposes to remove sports turfs from the named examples in this category, and provide advice in guidance of the types of persistent pesticides that this covers, and typical applications. The Ministry is seeking feedback and evidence as to whether this change would pose an unacceptable risk.</w:t>
      </w:r>
    </w:p>
    <w:p w14:paraId="15EA6016" w14:textId="77777777" w:rsidR="00993A94" w:rsidRPr="000C5050" w:rsidRDefault="00993A94" w:rsidP="00095A7C">
      <w:pPr>
        <w:numPr>
          <w:ilvl w:val="0"/>
          <w:numId w:val="19"/>
        </w:numPr>
        <w:spacing w:after="0" w:line="260" w:lineRule="atLeast"/>
        <w:ind w:left="397" w:hanging="397"/>
        <w:jc w:val="left"/>
        <w:rPr>
          <w:rFonts w:eastAsia="Calibri" w:cs="Times New Roman"/>
          <w:lang w:eastAsia="en-US"/>
        </w:rPr>
      </w:pPr>
      <w:r w:rsidRPr="000C5050">
        <w:rPr>
          <w:rFonts w:eastAsia="Calibri" w:cs="Times New Roman"/>
          <w:lang w:eastAsia="en-US"/>
        </w:rPr>
        <w:t>Pest control including the premises of commercial pest control operators or any authorities that carry out pest control where bulk storage</w:t>
      </w:r>
      <w:r w:rsidR="007D080D" w:rsidRPr="000C5050">
        <w:rPr>
          <w:rFonts w:eastAsia="Calibri" w:cs="Times New Roman"/>
          <w:lang w:eastAsia="en-US"/>
        </w:rPr>
        <w:t xml:space="preserve"> </w:t>
      </w:r>
      <w:r w:rsidRPr="000C5050">
        <w:rPr>
          <w:rFonts w:eastAsia="Calibri" w:cs="Times New Roman"/>
          <w:lang w:eastAsia="en-US"/>
        </w:rPr>
        <w:t>or preparation of pesticide occurs, including preparation of poisoned baits or filling or washing of tanks for pesticide application</w:t>
      </w:r>
    </w:p>
    <w:p w14:paraId="5B74F0ED" w14:textId="77777777" w:rsidR="00993A94" w:rsidRPr="000C5050" w:rsidRDefault="008C0269" w:rsidP="008C0269">
      <w:pPr>
        <w:spacing w:before="0" w:after="0" w:line="260" w:lineRule="atLeast"/>
        <w:ind w:left="397" w:hanging="397"/>
        <w:jc w:val="left"/>
        <w:rPr>
          <w:rFonts w:eastAsia="Calibri" w:cs="Times New Roman"/>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Pest Control: Premises where authorities or commercial operators store or prepare pesticides for application</w:t>
      </w:r>
      <w:r w:rsidR="00993A94" w:rsidRPr="000C5050">
        <w:rPr>
          <w:rFonts w:eastAsia="Calibri" w:cs="Times New Roman"/>
          <w:color w:val="0F7B7D"/>
          <w:lang w:eastAsia="en-US"/>
        </w:rPr>
        <w:t xml:space="preserve">. </w:t>
      </w:r>
    </w:p>
    <w:p w14:paraId="304B9222" w14:textId="77777777" w:rsidR="00993A94" w:rsidRPr="000C5050" w:rsidRDefault="00993A94" w:rsidP="00095A7C">
      <w:pPr>
        <w:numPr>
          <w:ilvl w:val="0"/>
          <w:numId w:val="19"/>
        </w:numPr>
        <w:spacing w:after="0" w:line="260" w:lineRule="atLeast"/>
        <w:ind w:left="397" w:hanging="397"/>
        <w:jc w:val="left"/>
        <w:rPr>
          <w:rFonts w:eastAsia="Calibri" w:cs="Times New Roman"/>
          <w:lang w:eastAsia="en-US"/>
        </w:rPr>
      </w:pPr>
      <w:r w:rsidRPr="000C5050">
        <w:rPr>
          <w:rFonts w:eastAsia="Calibri" w:cs="Times New Roman"/>
          <w:lang w:eastAsia="en-US"/>
        </w:rPr>
        <w:t>Pesticide manufacture (including animal poisons, insecticides, fungicides or herbicides) including the commercial manufacturing, blending, mixing or formulating of pesticides</w:t>
      </w:r>
      <w:r w:rsidRPr="000C5050">
        <w:rPr>
          <w:rFonts w:eastAsia="Calibri" w:cs="Times New Roman"/>
          <w:strike/>
          <w:lang w:eastAsia="en-US"/>
        </w:rPr>
        <w:br/>
      </w:r>
      <w:proofErr w:type="spellStart"/>
      <w:r w:rsidRPr="000C5050">
        <w:rPr>
          <w:rFonts w:eastAsia="Calibri" w:cs="Times New Roman"/>
          <w:i/>
          <w:color w:val="0F7B7D"/>
          <w:lang w:eastAsia="en-US"/>
        </w:rPr>
        <w:t>Pesticides</w:t>
      </w:r>
      <w:proofErr w:type="spellEnd"/>
      <w:r w:rsidRPr="000C5050">
        <w:rPr>
          <w:rFonts w:eastAsia="Calibri" w:cs="Times New Roman"/>
          <w:i/>
          <w:color w:val="0F7B7D"/>
          <w:lang w:eastAsia="en-US"/>
        </w:rPr>
        <w:t>: Manufacture or formulation of pesticides.</w:t>
      </w:r>
    </w:p>
    <w:p w14:paraId="5E31FA9E" w14:textId="77777777" w:rsidR="00993A94" w:rsidRPr="000C5050" w:rsidRDefault="00993A94" w:rsidP="00095A7C">
      <w:pPr>
        <w:numPr>
          <w:ilvl w:val="0"/>
          <w:numId w:val="19"/>
        </w:numPr>
        <w:spacing w:after="0" w:line="260" w:lineRule="atLeast"/>
        <w:ind w:left="397" w:hanging="397"/>
        <w:jc w:val="left"/>
        <w:rPr>
          <w:rFonts w:eastAsia="Calibri" w:cs="Times New Roman"/>
          <w:lang w:eastAsia="en-US"/>
        </w:rPr>
      </w:pPr>
      <w:r w:rsidRPr="000C5050">
        <w:rPr>
          <w:rFonts w:eastAsia="Calibri" w:cs="Times New Roman"/>
          <w:lang w:eastAsia="en-US"/>
        </w:rPr>
        <w:t>Petroleum or petrochemical industries including a petroleum depot, terminal, blending plant or refinery, or facilities for recovery, reprocessing or recycling petroleum-based materials, or bulk storage of petroleum or petrochemicals above or below ground</w:t>
      </w:r>
      <w:r w:rsidRPr="000C5050">
        <w:rPr>
          <w:rFonts w:eastAsia="Calibri" w:cs="Times New Roman"/>
          <w:lang w:eastAsia="en-US"/>
        </w:rPr>
        <w:br/>
      </w:r>
      <w:r w:rsidRPr="000C5050">
        <w:rPr>
          <w:rFonts w:eastAsia="Calibri" w:cs="Times New Roman"/>
          <w:i/>
          <w:color w:val="0F7B7D"/>
          <w:lang w:eastAsia="en-US"/>
        </w:rPr>
        <w:t>Petroleum or petrochemicals: Blending, refining or bulk storage of petroleum hydrocarbons or petrochemicals, or facilities for recovery, reprocessing or recycling petroleum-based materials.</w:t>
      </w:r>
    </w:p>
    <w:p w14:paraId="3E685830" w14:textId="77777777" w:rsidR="00993A94" w:rsidRPr="000C5050" w:rsidRDefault="00993A94" w:rsidP="00095A7C">
      <w:pPr>
        <w:numPr>
          <w:ilvl w:val="0"/>
          <w:numId w:val="19"/>
        </w:numPr>
        <w:spacing w:after="0" w:line="260" w:lineRule="atLeast"/>
        <w:ind w:left="397" w:hanging="397"/>
        <w:jc w:val="left"/>
        <w:rPr>
          <w:rFonts w:eastAsia="Calibri" w:cs="Times New Roman"/>
          <w:lang w:eastAsia="en-US"/>
        </w:rPr>
      </w:pPr>
      <w:r w:rsidRPr="000C5050">
        <w:rPr>
          <w:rFonts w:eastAsia="Calibri" w:cs="Times New Roman"/>
          <w:lang w:eastAsia="en-US"/>
        </w:rPr>
        <w:t xml:space="preserve">Pharmaceutical manufacture including the commercial manufacture, blending, mixing or formulation of pharmaceuticals, including animal remedies or the manufacturing of illicit drugs with the potential for environmental discharges </w:t>
      </w:r>
    </w:p>
    <w:p w14:paraId="440C0CA5" w14:textId="77777777" w:rsidR="00993A94" w:rsidRPr="000C5050" w:rsidRDefault="008C0269" w:rsidP="008C0269">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Pharmaceuticals: Manufacture or formulation of pharmaceuticals and veterinary medicine and the manufacturing of illicit drugs.</w:t>
      </w:r>
    </w:p>
    <w:p w14:paraId="1D4DDC4D" w14:textId="77777777" w:rsidR="00993A94" w:rsidRPr="000C5050" w:rsidRDefault="00993A94" w:rsidP="008C0269">
      <w:pPr>
        <w:spacing w:line="260" w:lineRule="atLeast"/>
        <w:jc w:val="left"/>
        <w:rPr>
          <w:rFonts w:eastAsia="Calibri" w:cs="Times New Roman"/>
          <w:i/>
          <w:lang w:eastAsia="en-US"/>
        </w:rPr>
      </w:pPr>
      <w:r w:rsidRPr="000C5050">
        <w:rPr>
          <w:rFonts w:eastAsia="Calibri" w:cs="Times New Roman"/>
          <w:i/>
          <w:lang w:eastAsia="en-US"/>
        </w:rPr>
        <w:t>Commentary: Terminology has been changed to make wording consistent with that used in the Agricultural Compounds and Veterinary Medicines Act 1997.</w:t>
      </w:r>
      <w:r w:rsidR="007D080D" w:rsidRPr="000C5050">
        <w:rPr>
          <w:rFonts w:eastAsia="Calibri" w:cs="Times New Roman"/>
          <w:i/>
          <w:lang w:eastAsia="en-US"/>
        </w:rPr>
        <w:t xml:space="preserve"> </w:t>
      </w:r>
    </w:p>
    <w:p w14:paraId="4F093EF4" w14:textId="77777777" w:rsidR="00993A94" w:rsidRPr="000C5050" w:rsidRDefault="00993A94" w:rsidP="00095A7C">
      <w:pPr>
        <w:numPr>
          <w:ilvl w:val="0"/>
          <w:numId w:val="19"/>
        </w:numPr>
        <w:spacing w:after="0" w:line="260" w:lineRule="atLeast"/>
        <w:ind w:left="397" w:hanging="397"/>
        <w:jc w:val="left"/>
        <w:rPr>
          <w:rFonts w:eastAsia="Calibri" w:cs="Times New Roman"/>
          <w:lang w:eastAsia="en-US"/>
        </w:rPr>
      </w:pPr>
      <w:r w:rsidRPr="000C5050">
        <w:rPr>
          <w:rFonts w:eastAsia="Calibri" w:cs="Times New Roman"/>
          <w:lang w:eastAsia="en-US"/>
        </w:rPr>
        <w:t>Printing including commercial printing using metal type, inks, dyes, or solvents (excluding photocopy shops)</w:t>
      </w:r>
    </w:p>
    <w:p w14:paraId="30C0ED55" w14:textId="77777777" w:rsidR="00993A94" w:rsidRPr="000C5050" w:rsidRDefault="008C0269" w:rsidP="008C0269">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Printing: Commercial printing using metal type, inks, dyes, or solvents (excluding premises solely using photocopiers).</w:t>
      </w:r>
    </w:p>
    <w:p w14:paraId="745DB5C9" w14:textId="77777777" w:rsidR="00993A94" w:rsidRPr="000C5050" w:rsidRDefault="00993A94" w:rsidP="00095A7C">
      <w:pPr>
        <w:numPr>
          <w:ilvl w:val="0"/>
          <w:numId w:val="19"/>
        </w:numPr>
        <w:spacing w:after="0" w:line="260" w:lineRule="atLeast"/>
        <w:ind w:left="397" w:hanging="397"/>
        <w:jc w:val="left"/>
        <w:rPr>
          <w:rFonts w:eastAsia="Calibri" w:cs="Times New Roman"/>
          <w:lang w:eastAsia="en-US"/>
        </w:rPr>
      </w:pPr>
      <w:r w:rsidRPr="000C5050">
        <w:rPr>
          <w:rFonts w:eastAsia="Calibri" w:cs="Times New Roman"/>
          <w:lang w:eastAsia="en-US"/>
        </w:rPr>
        <w:t xml:space="preserve">Skin or wool processing including a tannery or </w:t>
      </w:r>
      <w:proofErr w:type="spellStart"/>
      <w:r w:rsidRPr="000C5050">
        <w:rPr>
          <w:rFonts w:eastAsia="Calibri" w:cs="Times New Roman"/>
          <w:lang w:eastAsia="en-US"/>
        </w:rPr>
        <w:t>fellmongery</w:t>
      </w:r>
      <w:proofErr w:type="spellEnd"/>
      <w:r w:rsidRPr="000C5050">
        <w:rPr>
          <w:rFonts w:eastAsia="Calibri" w:cs="Times New Roman"/>
          <w:lang w:eastAsia="en-US"/>
        </w:rPr>
        <w:t>, or any other commercial facility for hide curing, drying, scouring or finishing or storing wool or leather products</w:t>
      </w:r>
    </w:p>
    <w:p w14:paraId="4A13CD0A" w14:textId="77777777" w:rsidR="00993A94" w:rsidRPr="000C5050" w:rsidRDefault="008C0269" w:rsidP="008C0269">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proofErr w:type="gramStart"/>
      <w:r w:rsidR="00993A94" w:rsidRPr="000C5050">
        <w:rPr>
          <w:rFonts w:eastAsia="Calibri" w:cs="Times New Roman"/>
          <w:i/>
          <w:color w:val="0F7B7D"/>
          <w:lang w:eastAsia="en-US"/>
        </w:rPr>
        <w:t xml:space="preserve">Skin or wool processing, including at a tannery or </w:t>
      </w:r>
      <w:proofErr w:type="spellStart"/>
      <w:r w:rsidR="00993A94" w:rsidRPr="000C5050">
        <w:rPr>
          <w:rFonts w:eastAsia="Calibri" w:cs="Times New Roman"/>
          <w:i/>
          <w:color w:val="0F7B7D"/>
          <w:lang w:eastAsia="en-US"/>
        </w:rPr>
        <w:t>fellmongery</w:t>
      </w:r>
      <w:proofErr w:type="spellEnd"/>
      <w:r w:rsidR="00993A94" w:rsidRPr="000C5050">
        <w:rPr>
          <w:rFonts w:eastAsia="Calibri" w:cs="Times New Roman"/>
          <w:i/>
          <w:color w:val="0F7B7D"/>
          <w:lang w:eastAsia="en-US"/>
        </w:rPr>
        <w:t>.</w:t>
      </w:r>
      <w:proofErr w:type="gramEnd"/>
    </w:p>
    <w:p w14:paraId="74ADDD8F" w14:textId="77777777" w:rsidR="00993A94" w:rsidRPr="000C5050" w:rsidRDefault="00993A94" w:rsidP="00095A7C">
      <w:pPr>
        <w:numPr>
          <w:ilvl w:val="0"/>
          <w:numId w:val="19"/>
        </w:numPr>
        <w:spacing w:after="0" w:line="260" w:lineRule="atLeast"/>
        <w:ind w:left="397" w:hanging="397"/>
        <w:jc w:val="left"/>
        <w:rPr>
          <w:rFonts w:eastAsia="Calibri" w:cs="Times New Roman"/>
          <w:lang w:eastAsia="en-US"/>
        </w:rPr>
      </w:pPr>
      <w:r w:rsidRPr="000C5050">
        <w:rPr>
          <w:rFonts w:eastAsia="Calibri" w:cs="Times New Roman"/>
          <w:lang w:eastAsia="en-US"/>
        </w:rPr>
        <w:t>Storage tanks or drums for fuel, chemicals or liquid waste.</w:t>
      </w:r>
    </w:p>
    <w:p w14:paraId="4D19AA7D" w14:textId="77777777" w:rsidR="00993A94" w:rsidRPr="000C5050" w:rsidRDefault="00993A94" w:rsidP="00095A7C">
      <w:pPr>
        <w:numPr>
          <w:ilvl w:val="0"/>
          <w:numId w:val="19"/>
        </w:numPr>
        <w:spacing w:after="0" w:line="260" w:lineRule="atLeast"/>
        <w:ind w:left="397" w:hanging="397"/>
        <w:jc w:val="left"/>
        <w:rPr>
          <w:rFonts w:eastAsia="Calibri" w:cs="Times New Roman"/>
          <w:lang w:eastAsia="en-US"/>
        </w:rPr>
      </w:pPr>
      <w:r w:rsidRPr="000C5050">
        <w:rPr>
          <w:rFonts w:eastAsia="Calibri" w:cs="Times New Roman"/>
          <w:lang w:eastAsia="en-US"/>
        </w:rPr>
        <w:t>Wood treatment or preservation including the commercial use of anti-</w:t>
      </w:r>
      <w:proofErr w:type="spellStart"/>
      <w:r w:rsidRPr="000C5050">
        <w:rPr>
          <w:rFonts w:eastAsia="Calibri" w:cs="Times New Roman"/>
          <w:lang w:eastAsia="en-US"/>
        </w:rPr>
        <w:t>sapstain</w:t>
      </w:r>
      <w:proofErr w:type="spellEnd"/>
      <w:r w:rsidRPr="000C5050">
        <w:rPr>
          <w:rFonts w:eastAsia="Calibri" w:cs="Times New Roman"/>
          <w:lang w:eastAsia="en-US"/>
        </w:rPr>
        <w:t xml:space="preserve"> chemicals during milling, or bulk storage of treated timber outside </w:t>
      </w:r>
    </w:p>
    <w:p w14:paraId="6CAE5AD8" w14:textId="77777777" w:rsidR="00993A94" w:rsidRPr="000C5050" w:rsidRDefault="008C0269" w:rsidP="008C0269">
      <w:pPr>
        <w:spacing w:before="0" w:after="0" w:line="260" w:lineRule="atLeast"/>
        <w:ind w:left="397" w:hanging="397"/>
        <w:jc w:val="left"/>
        <w:rPr>
          <w:rFonts w:eastAsia="Calibri" w:cs="Times New Roman"/>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 xml:space="preserve">Timber treatment or bulk storage of treated timber outside. </w:t>
      </w:r>
    </w:p>
    <w:p w14:paraId="77DFFDB6" w14:textId="77777777" w:rsidR="00993A94" w:rsidRPr="000C5050" w:rsidRDefault="00993A94" w:rsidP="008C0269">
      <w:pPr>
        <w:spacing w:before="240" w:after="0" w:line="260" w:lineRule="atLeast"/>
        <w:jc w:val="left"/>
        <w:rPr>
          <w:rFonts w:eastAsia="Calibri" w:cs="Times New Roman"/>
          <w:b/>
          <w:lang w:eastAsia="en-US"/>
        </w:rPr>
      </w:pPr>
      <w:r w:rsidRPr="000C5050">
        <w:rPr>
          <w:rFonts w:eastAsia="Calibri" w:cs="Times New Roman"/>
          <w:b/>
          <w:lang w:eastAsia="en-US"/>
        </w:rPr>
        <w:t>B</w:t>
      </w:r>
      <w:r w:rsidRPr="000C5050">
        <w:rPr>
          <w:rFonts w:eastAsia="Calibri" w:cs="Times New Roman"/>
          <w:b/>
          <w:lang w:eastAsia="en-US"/>
        </w:rPr>
        <w:tab/>
        <w:t>Electrical and electronic works, power generation and transmission</w:t>
      </w:r>
    </w:p>
    <w:p w14:paraId="67152906" w14:textId="77777777" w:rsidR="00993A94" w:rsidRPr="000C5050" w:rsidRDefault="00993A94" w:rsidP="00095A7C">
      <w:pPr>
        <w:numPr>
          <w:ilvl w:val="0"/>
          <w:numId w:val="20"/>
        </w:numPr>
        <w:spacing w:after="0" w:line="260" w:lineRule="atLeast"/>
        <w:ind w:left="397" w:hanging="397"/>
        <w:jc w:val="left"/>
        <w:rPr>
          <w:rFonts w:eastAsia="Calibri" w:cs="Times New Roman"/>
          <w:lang w:eastAsia="en-US"/>
        </w:rPr>
      </w:pPr>
      <w:r w:rsidRPr="000C5050">
        <w:rPr>
          <w:rFonts w:eastAsia="Calibri" w:cs="Times New Roman"/>
          <w:lang w:eastAsia="en-US"/>
        </w:rPr>
        <w:t>Batteries including the commercial assembling, disassembling, manufacturing or recycling of batteries (but excluding retail battery stores)</w:t>
      </w:r>
    </w:p>
    <w:p w14:paraId="31D3B967" w14:textId="77777777" w:rsidR="00993A94" w:rsidRPr="000C5050" w:rsidRDefault="008C0269" w:rsidP="008C0269">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Batteries: The commercial assembling, disassembling, manufacturing or recycling of batteries (but excluding retail battery stores).</w:t>
      </w:r>
    </w:p>
    <w:p w14:paraId="227C5F50" w14:textId="77777777" w:rsidR="008C0269" w:rsidRPr="000C5050" w:rsidRDefault="00993A94" w:rsidP="00095A7C">
      <w:pPr>
        <w:keepNext/>
        <w:numPr>
          <w:ilvl w:val="0"/>
          <w:numId w:val="20"/>
        </w:numPr>
        <w:spacing w:after="0" w:line="260" w:lineRule="atLeast"/>
        <w:ind w:left="397" w:hanging="397"/>
        <w:jc w:val="left"/>
        <w:rPr>
          <w:rFonts w:eastAsia="Calibri" w:cs="Times New Roman"/>
          <w:lang w:eastAsia="en-US"/>
        </w:rPr>
      </w:pPr>
      <w:r w:rsidRPr="000C5050">
        <w:rPr>
          <w:rFonts w:eastAsia="Calibri" w:cs="Times New Roman"/>
          <w:lang w:eastAsia="en-US"/>
        </w:rPr>
        <w:lastRenderedPageBreak/>
        <w:t>Electrical transformers including the manufacturing, repairing or disposing of electrical transformers or other heavy electrical equipment</w:t>
      </w:r>
    </w:p>
    <w:p w14:paraId="18615110" w14:textId="77777777" w:rsidR="00993A94" w:rsidRPr="000C5050" w:rsidRDefault="00993A94" w:rsidP="008C0269">
      <w:pPr>
        <w:keepNext/>
        <w:spacing w:before="0" w:after="0" w:line="260" w:lineRule="atLeast"/>
        <w:ind w:left="397"/>
        <w:jc w:val="left"/>
        <w:rPr>
          <w:rFonts w:eastAsia="Calibri" w:cs="Times New Roman"/>
          <w:color w:val="0F7B7D"/>
          <w:lang w:eastAsia="en-US"/>
        </w:rPr>
      </w:pPr>
      <w:r w:rsidRPr="000C5050">
        <w:rPr>
          <w:rFonts w:eastAsia="Calibri" w:cs="Times New Roman"/>
          <w:i/>
          <w:color w:val="0F7B7D"/>
          <w:lang w:eastAsia="en-US"/>
        </w:rPr>
        <w:t>Transformers: Electrical transformers or the manufacturing, repairing or disposing of electrical transformers or other heavy electrical equipment.</w:t>
      </w:r>
    </w:p>
    <w:p w14:paraId="686F93D9" w14:textId="77777777" w:rsidR="00993A94" w:rsidRPr="000C5050" w:rsidRDefault="00993A94" w:rsidP="00095A7C">
      <w:pPr>
        <w:numPr>
          <w:ilvl w:val="0"/>
          <w:numId w:val="20"/>
        </w:numPr>
        <w:spacing w:after="0" w:line="260" w:lineRule="atLeast"/>
        <w:ind w:left="397" w:hanging="397"/>
        <w:jc w:val="left"/>
        <w:rPr>
          <w:rFonts w:eastAsia="Calibri" w:cs="Times New Roman"/>
          <w:lang w:eastAsia="en-US"/>
        </w:rPr>
      </w:pPr>
      <w:r w:rsidRPr="000C5050">
        <w:rPr>
          <w:rFonts w:eastAsia="Calibri" w:cs="Times New Roman"/>
          <w:lang w:eastAsia="en-US"/>
        </w:rPr>
        <w:t>Electronics including the commercial manufacturing, reconditioning or recycling of computers, televisions and other electronic devices</w:t>
      </w:r>
    </w:p>
    <w:p w14:paraId="1B87DF26" w14:textId="77777777" w:rsidR="00993A94" w:rsidRPr="000C5050" w:rsidRDefault="008C0269" w:rsidP="008C0269">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Electronics: The commercial manufacturing, reconditioning or recycling of computers, televisions and other electronic devices.</w:t>
      </w:r>
    </w:p>
    <w:p w14:paraId="46887D2F" w14:textId="77777777" w:rsidR="00993A94" w:rsidRPr="000C5050" w:rsidRDefault="00993A94" w:rsidP="00095A7C">
      <w:pPr>
        <w:numPr>
          <w:ilvl w:val="0"/>
          <w:numId w:val="20"/>
        </w:numPr>
        <w:spacing w:after="0" w:line="260" w:lineRule="atLeast"/>
        <w:ind w:left="397" w:hanging="397"/>
        <w:jc w:val="left"/>
        <w:rPr>
          <w:rFonts w:eastAsia="Calibri" w:cs="Times New Roman"/>
          <w:lang w:eastAsia="en-US"/>
        </w:rPr>
      </w:pPr>
      <w:r w:rsidRPr="000C5050">
        <w:rPr>
          <w:rFonts w:eastAsia="Calibri" w:cs="Times New Roman"/>
          <w:lang w:eastAsia="en-US"/>
        </w:rPr>
        <w:t>Power stations, substations or switchyards</w:t>
      </w:r>
    </w:p>
    <w:p w14:paraId="7D375FBE" w14:textId="77777777" w:rsidR="00993A94" w:rsidRPr="000C5050" w:rsidRDefault="00993A94" w:rsidP="00272D9A">
      <w:pPr>
        <w:spacing w:before="240" w:after="0" w:line="260" w:lineRule="atLeast"/>
        <w:jc w:val="left"/>
        <w:rPr>
          <w:rFonts w:eastAsia="Calibri" w:cs="Times New Roman"/>
          <w:b/>
          <w:lang w:eastAsia="en-US"/>
        </w:rPr>
      </w:pPr>
      <w:r w:rsidRPr="000C5050">
        <w:rPr>
          <w:rFonts w:eastAsia="Calibri" w:cs="Times New Roman"/>
          <w:b/>
          <w:lang w:eastAsia="en-US"/>
        </w:rPr>
        <w:t>C</w:t>
      </w:r>
      <w:r w:rsidRPr="000C5050">
        <w:rPr>
          <w:rFonts w:eastAsia="Calibri" w:cs="Times New Roman"/>
          <w:b/>
          <w:lang w:eastAsia="en-US"/>
        </w:rPr>
        <w:tab/>
        <w:t>Explosives and ordnance production, storage and use</w:t>
      </w:r>
    </w:p>
    <w:p w14:paraId="5060FCE6" w14:textId="77777777" w:rsidR="00993A94" w:rsidRPr="000C5050" w:rsidRDefault="00993A94" w:rsidP="00095A7C">
      <w:pPr>
        <w:numPr>
          <w:ilvl w:val="0"/>
          <w:numId w:val="21"/>
        </w:numPr>
        <w:spacing w:after="0" w:line="260" w:lineRule="atLeast"/>
        <w:ind w:left="397" w:hanging="397"/>
        <w:jc w:val="left"/>
        <w:rPr>
          <w:rFonts w:eastAsia="Calibri" w:cs="Times New Roman"/>
          <w:lang w:eastAsia="en-US"/>
        </w:rPr>
      </w:pPr>
      <w:r w:rsidRPr="000C5050">
        <w:rPr>
          <w:rFonts w:eastAsia="Calibri" w:cs="Times New Roman"/>
          <w:lang w:eastAsia="en-US"/>
        </w:rPr>
        <w:t xml:space="preserve">Explosive or </w:t>
      </w:r>
      <w:r w:rsidRPr="000C5050">
        <w:rPr>
          <w:rFonts w:eastAsia="Calibri" w:cs="Times New Roman"/>
          <w:color w:val="0F7B7D"/>
          <w:lang w:eastAsia="en-US"/>
        </w:rPr>
        <w:t>ordnance</w:t>
      </w:r>
      <w:r w:rsidRPr="000C5050">
        <w:rPr>
          <w:rFonts w:eastAsia="Calibri" w:cs="Times New Roman"/>
          <w:lang w:eastAsia="en-US"/>
        </w:rPr>
        <w:t xml:space="preserve"> production, maintenance, dismantling, disposal, bulk storage or re-packaging.</w:t>
      </w:r>
    </w:p>
    <w:p w14:paraId="33D2ED94" w14:textId="77777777" w:rsidR="00993A94" w:rsidRPr="000C5050" w:rsidRDefault="00993A94" w:rsidP="00272D9A">
      <w:pPr>
        <w:spacing w:line="260" w:lineRule="atLeast"/>
        <w:jc w:val="left"/>
        <w:rPr>
          <w:rFonts w:eastAsia="Calibri" w:cs="Times New Roman"/>
          <w:i/>
          <w:lang w:eastAsia="en-US"/>
        </w:rPr>
      </w:pPr>
      <w:r w:rsidRPr="000C5050">
        <w:rPr>
          <w:rFonts w:eastAsia="Calibri" w:cs="Times New Roman"/>
          <w:i/>
          <w:lang w:eastAsia="en-US"/>
        </w:rPr>
        <w:t>Commentary: No change to wording, other than correction of typographic error on ordnance.</w:t>
      </w:r>
    </w:p>
    <w:p w14:paraId="3DF1216E" w14:textId="77777777" w:rsidR="00993A94" w:rsidRPr="000C5050" w:rsidRDefault="00993A94" w:rsidP="00095A7C">
      <w:pPr>
        <w:numPr>
          <w:ilvl w:val="0"/>
          <w:numId w:val="21"/>
        </w:numPr>
        <w:spacing w:after="0" w:line="260" w:lineRule="atLeast"/>
        <w:ind w:left="397" w:hanging="397"/>
        <w:jc w:val="left"/>
        <w:rPr>
          <w:rFonts w:eastAsia="Calibri" w:cs="Times New Roman"/>
          <w:lang w:eastAsia="en-US"/>
        </w:rPr>
      </w:pPr>
      <w:r w:rsidRPr="000C5050">
        <w:rPr>
          <w:rFonts w:eastAsia="Calibri" w:cs="Times New Roman"/>
          <w:lang w:eastAsia="en-US"/>
        </w:rPr>
        <w:t>Gun clubs or rifle ranges, including clay targets clubs that use lead munitions outdoors</w:t>
      </w:r>
    </w:p>
    <w:p w14:paraId="669C4A8E" w14:textId="77777777" w:rsidR="00993A94" w:rsidRPr="000C5050" w:rsidRDefault="00272D9A" w:rsidP="00272D9A">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Gun clubs or rifle ranges that use or used lead munitions outdoors.</w:t>
      </w:r>
    </w:p>
    <w:p w14:paraId="14E52260" w14:textId="77777777" w:rsidR="00993A94" w:rsidRPr="000C5050" w:rsidRDefault="00993A94" w:rsidP="00095A7C">
      <w:pPr>
        <w:numPr>
          <w:ilvl w:val="0"/>
          <w:numId w:val="21"/>
        </w:numPr>
        <w:spacing w:after="0" w:line="260" w:lineRule="atLeast"/>
        <w:ind w:left="397" w:hanging="397"/>
        <w:jc w:val="left"/>
        <w:rPr>
          <w:rFonts w:eastAsia="Calibri" w:cs="Times New Roman"/>
          <w:lang w:eastAsia="en-US"/>
        </w:rPr>
      </w:pPr>
      <w:r w:rsidRPr="000C5050">
        <w:rPr>
          <w:rFonts w:eastAsia="Calibri" w:cs="Times New Roman"/>
          <w:lang w:eastAsia="en-US"/>
        </w:rPr>
        <w:t>Training areas set aside exclusively or primarily for the detonation of explosive ammunition.</w:t>
      </w:r>
    </w:p>
    <w:p w14:paraId="356468DC" w14:textId="77777777" w:rsidR="00993A94" w:rsidRPr="000C5050" w:rsidRDefault="00993A94" w:rsidP="00272D9A">
      <w:pPr>
        <w:spacing w:before="240" w:after="0" w:line="260" w:lineRule="atLeast"/>
        <w:jc w:val="left"/>
        <w:rPr>
          <w:rFonts w:eastAsia="Calibri" w:cs="Times New Roman"/>
          <w:b/>
          <w:lang w:eastAsia="en-US"/>
        </w:rPr>
      </w:pPr>
      <w:r w:rsidRPr="000C5050">
        <w:rPr>
          <w:rFonts w:eastAsia="Calibri" w:cs="Times New Roman"/>
          <w:b/>
          <w:lang w:eastAsia="en-US"/>
        </w:rPr>
        <w:t>D</w:t>
      </w:r>
      <w:r w:rsidRPr="000C5050">
        <w:rPr>
          <w:rFonts w:eastAsia="Calibri" w:cs="Times New Roman"/>
          <w:b/>
          <w:lang w:eastAsia="en-US"/>
        </w:rPr>
        <w:tab/>
        <w:t>Metal extraction, refining and reprocessing, storage and use</w:t>
      </w:r>
    </w:p>
    <w:p w14:paraId="68178B4C" w14:textId="77777777" w:rsidR="00993A94" w:rsidRPr="000C5050" w:rsidRDefault="00993A94" w:rsidP="00272D9A">
      <w:pPr>
        <w:spacing w:line="260" w:lineRule="exact"/>
        <w:jc w:val="left"/>
        <w:rPr>
          <w:rFonts w:eastAsia="Calibri" w:cs="Times New Roman"/>
          <w:b/>
          <w:i/>
          <w:lang w:eastAsia="en-US"/>
        </w:rPr>
      </w:pPr>
      <w:r w:rsidRPr="000C5050">
        <w:rPr>
          <w:rFonts w:eastAsia="Calibri" w:cs="Times New Roman"/>
          <w:i/>
          <w:lang w:eastAsia="en-US"/>
        </w:rPr>
        <w:t>Commentary: In general, wording in these categories has been simplified.</w:t>
      </w:r>
      <w:r w:rsidR="007D080D" w:rsidRPr="000C5050">
        <w:rPr>
          <w:rFonts w:eastAsia="Calibri" w:cs="Times New Roman"/>
          <w:i/>
          <w:lang w:eastAsia="en-US"/>
        </w:rPr>
        <w:t xml:space="preserve"> </w:t>
      </w:r>
      <w:r w:rsidRPr="000C5050">
        <w:rPr>
          <w:rFonts w:eastAsia="Calibri" w:cs="Times New Roman"/>
          <w:i/>
          <w:lang w:eastAsia="en-US"/>
        </w:rPr>
        <w:t>Examples and descriptions of the types of activities occurring, and their potential to result in contamination, will be provided in the guidance document.</w:t>
      </w:r>
    </w:p>
    <w:p w14:paraId="6A47D878" w14:textId="77777777" w:rsidR="00993A94" w:rsidRPr="000C5050" w:rsidRDefault="00993A94" w:rsidP="00095A7C">
      <w:pPr>
        <w:numPr>
          <w:ilvl w:val="0"/>
          <w:numId w:val="22"/>
        </w:numPr>
        <w:spacing w:before="0" w:after="0" w:line="260" w:lineRule="atLeast"/>
        <w:ind w:left="397" w:hanging="397"/>
        <w:jc w:val="left"/>
        <w:rPr>
          <w:rFonts w:eastAsia="Calibri" w:cs="Times New Roman"/>
          <w:lang w:eastAsia="en-US"/>
        </w:rPr>
      </w:pPr>
      <w:r w:rsidRPr="000C5050">
        <w:rPr>
          <w:rFonts w:eastAsia="Calibri" w:cs="Times New Roman"/>
          <w:lang w:eastAsia="en-US"/>
        </w:rPr>
        <w:t>Abrasive blasting including abrasive blast cleaning (excluding cleaning carried out in fully enclosed booths) or the disposal of abrasive blasting material</w:t>
      </w:r>
    </w:p>
    <w:p w14:paraId="61486914" w14:textId="77777777" w:rsidR="00993A94" w:rsidRPr="000C5050" w:rsidRDefault="00272D9A" w:rsidP="00272D9A">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 xml:space="preserve">Abrasive blasting (excluding blasting carried out in fully enclosed booths) </w:t>
      </w:r>
    </w:p>
    <w:p w14:paraId="31F41D47" w14:textId="77777777" w:rsidR="00993A94" w:rsidRPr="000C5050" w:rsidRDefault="00993A94" w:rsidP="00095A7C">
      <w:pPr>
        <w:numPr>
          <w:ilvl w:val="0"/>
          <w:numId w:val="22"/>
        </w:numPr>
        <w:spacing w:after="0" w:line="260" w:lineRule="atLeast"/>
        <w:ind w:left="397" w:hanging="397"/>
        <w:jc w:val="left"/>
        <w:rPr>
          <w:rFonts w:eastAsia="Calibri" w:cs="Times New Roman"/>
          <w:lang w:eastAsia="en-US"/>
        </w:rPr>
      </w:pPr>
      <w:r w:rsidRPr="000C5050">
        <w:rPr>
          <w:rFonts w:eastAsia="Calibri" w:cs="Times New Roman"/>
          <w:lang w:eastAsia="en-US"/>
        </w:rPr>
        <w:t>Foundry operations including the commercial production of metal products by injecting or pouring molten metal into moulds</w:t>
      </w:r>
    </w:p>
    <w:p w14:paraId="7D13EDAD" w14:textId="77777777" w:rsidR="00993A94" w:rsidRPr="000C5050" w:rsidRDefault="00272D9A" w:rsidP="00272D9A">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 xml:space="preserve">Foundry operations </w:t>
      </w:r>
    </w:p>
    <w:p w14:paraId="00921198" w14:textId="77777777" w:rsidR="00993A94" w:rsidRPr="000C5050" w:rsidRDefault="00993A94" w:rsidP="00095A7C">
      <w:pPr>
        <w:numPr>
          <w:ilvl w:val="0"/>
          <w:numId w:val="22"/>
        </w:numPr>
        <w:spacing w:after="0" w:line="260" w:lineRule="atLeast"/>
        <w:ind w:left="397" w:hanging="397"/>
        <w:jc w:val="left"/>
        <w:rPr>
          <w:rFonts w:eastAsia="Calibri" w:cs="Times New Roman"/>
          <w:lang w:eastAsia="en-US"/>
        </w:rPr>
      </w:pPr>
      <w:r w:rsidRPr="000C5050">
        <w:rPr>
          <w:rFonts w:eastAsia="Calibri" w:cs="Times New Roman"/>
          <w:lang w:eastAsia="en-US"/>
        </w:rPr>
        <w:t>Metal treatment or coating including polishing, anodising, galvanising, pickling, electroplating, or heat treatment or finishing using cyanide compounds</w:t>
      </w:r>
    </w:p>
    <w:p w14:paraId="7EB99E8D" w14:textId="77777777" w:rsidR="00993A94" w:rsidRPr="000C5050" w:rsidRDefault="00272D9A" w:rsidP="00272D9A">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Metal treatment or coating</w:t>
      </w:r>
    </w:p>
    <w:p w14:paraId="3204791E" w14:textId="77777777" w:rsidR="00993A94" w:rsidRPr="000C5050" w:rsidRDefault="00993A94" w:rsidP="00095A7C">
      <w:pPr>
        <w:numPr>
          <w:ilvl w:val="0"/>
          <w:numId w:val="22"/>
        </w:numPr>
        <w:spacing w:after="0" w:line="260" w:lineRule="atLeast"/>
        <w:ind w:left="397" w:hanging="397"/>
        <w:jc w:val="left"/>
        <w:rPr>
          <w:rFonts w:eastAsia="Calibri" w:cs="Times New Roman"/>
          <w:lang w:eastAsia="en-US"/>
        </w:rPr>
      </w:pPr>
      <w:r w:rsidRPr="000C5050">
        <w:rPr>
          <w:rFonts w:eastAsia="Calibri" w:cs="Times New Roman"/>
          <w:lang w:eastAsia="en-US"/>
        </w:rPr>
        <w:t>Metalliferous ore processing including the chemical or physical extraction of metals, including smelting, refining, fusing or refining metals</w:t>
      </w:r>
    </w:p>
    <w:p w14:paraId="70A73682" w14:textId="77777777" w:rsidR="00993A94" w:rsidRPr="000C5050" w:rsidRDefault="00272D9A" w:rsidP="00272D9A">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 xml:space="preserve">Metalliferous ore extraction and processing </w:t>
      </w:r>
    </w:p>
    <w:p w14:paraId="59E3056C" w14:textId="77777777" w:rsidR="00993A94" w:rsidRPr="000C5050" w:rsidRDefault="00993A94" w:rsidP="00095A7C">
      <w:pPr>
        <w:numPr>
          <w:ilvl w:val="0"/>
          <w:numId w:val="22"/>
        </w:numPr>
        <w:spacing w:after="0" w:line="260" w:lineRule="atLeast"/>
        <w:ind w:left="397" w:hanging="397"/>
        <w:jc w:val="left"/>
        <w:rPr>
          <w:rFonts w:eastAsia="Calibri" w:cs="Times New Roman"/>
          <w:color w:val="0F7B7D"/>
          <w:lang w:eastAsia="en-US"/>
        </w:rPr>
      </w:pPr>
      <w:r w:rsidRPr="000C5050">
        <w:rPr>
          <w:rFonts w:eastAsia="Calibri" w:cs="Times New Roman"/>
          <w:lang w:eastAsia="en-US"/>
        </w:rPr>
        <w:t>Engineering workshops with metal fabrication</w:t>
      </w:r>
      <w:r w:rsidRPr="000C5050">
        <w:rPr>
          <w:rFonts w:eastAsia="Calibri" w:cs="Times New Roman"/>
          <w:strike/>
          <w:lang w:eastAsia="en-US"/>
        </w:rPr>
        <w:br/>
      </w:r>
      <w:r w:rsidRPr="000C5050">
        <w:rPr>
          <w:rFonts w:eastAsia="Calibri" w:cs="Times New Roman"/>
          <w:i/>
          <w:color w:val="0F7B7D"/>
          <w:lang w:eastAsia="en-US"/>
        </w:rPr>
        <w:t>Engineering workshops</w:t>
      </w:r>
    </w:p>
    <w:p w14:paraId="7553E529" w14:textId="77777777" w:rsidR="00993A94" w:rsidRPr="000C5050" w:rsidRDefault="00993A94" w:rsidP="00272D9A">
      <w:pPr>
        <w:spacing w:before="240" w:after="0" w:line="260" w:lineRule="atLeast"/>
        <w:jc w:val="left"/>
        <w:rPr>
          <w:rFonts w:eastAsia="Calibri" w:cs="Times New Roman"/>
          <w:b/>
          <w:lang w:eastAsia="en-US"/>
        </w:rPr>
      </w:pPr>
      <w:r w:rsidRPr="000C5050">
        <w:rPr>
          <w:rFonts w:eastAsia="Calibri" w:cs="Times New Roman"/>
          <w:b/>
          <w:lang w:eastAsia="en-US"/>
        </w:rPr>
        <w:t>E</w:t>
      </w:r>
      <w:r w:rsidRPr="000C5050">
        <w:rPr>
          <w:rFonts w:eastAsia="Calibri" w:cs="Times New Roman"/>
          <w:b/>
          <w:lang w:eastAsia="en-US"/>
        </w:rPr>
        <w:tab/>
        <w:t>Mineral extraction, refining and reprocessing, storage and use</w:t>
      </w:r>
    </w:p>
    <w:p w14:paraId="2E8B496F" w14:textId="20E02DBE" w:rsidR="00993A94" w:rsidRPr="000C5050" w:rsidRDefault="00993A94" w:rsidP="00095A7C">
      <w:pPr>
        <w:numPr>
          <w:ilvl w:val="0"/>
          <w:numId w:val="23"/>
        </w:numPr>
        <w:spacing w:after="0" w:line="260" w:lineRule="atLeast"/>
        <w:ind w:left="397" w:hanging="397"/>
        <w:jc w:val="left"/>
        <w:rPr>
          <w:rFonts w:eastAsia="Calibri" w:cs="Times New Roman"/>
          <w:lang w:eastAsia="en-US"/>
        </w:rPr>
      </w:pPr>
      <w:r w:rsidRPr="000C5050">
        <w:rPr>
          <w:rFonts w:eastAsia="Calibri" w:cs="Times New Roman"/>
          <w:lang w:eastAsia="en-US"/>
        </w:rPr>
        <w:t>Asbestos products manufacture or disposal including sites containing asbestos products known to be in a deteriorated condition</w:t>
      </w:r>
    </w:p>
    <w:p w14:paraId="26A5C5E6" w14:textId="15933799" w:rsidR="00CA43F3" w:rsidRDefault="00993A94" w:rsidP="00594F08">
      <w:pPr>
        <w:spacing w:before="0" w:after="0" w:line="260" w:lineRule="atLeast"/>
        <w:ind w:left="390"/>
        <w:jc w:val="left"/>
        <w:rPr>
          <w:rFonts w:eastAsia="Calibri" w:cs="Times New Roman"/>
          <w:i/>
          <w:color w:val="0F7B7D"/>
          <w:lang w:eastAsia="en-US"/>
        </w:rPr>
      </w:pPr>
      <w:r w:rsidRPr="000C5050">
        <w:rPr>
          <w:rFonts w:eastAsia="Calibri" w:cs="Times New Roman"/>
          <w:i/>
          <w:color w:val="0F7B7D"/>
          <w:lang w:eastAsia="en-US"/>
        </w:rPr>
        <w:t>Asbestos: Manufacture of asbestos products, or sites containing asbestos known to be in a deteriorated condition.</w:t>
      </w:r>
      <w:r w:rsidRPr="000C5050">
        <w:rPr>
          <w:rFonts w:eastAsia="Calibri" w:cs="Times New Roman"/>
          <w:i/>
          <w:color w:val="0F7B7D"/>
          <w:lang w:eastAsia="en-US"/>
        </w:rPr>
        <w:tab/>
      </w:r>
    </w:p>
    <w:p w14:paraId="6F876F34" w14:textId="40A5D1FC" w:rsidR="00A847F0" w:rsidRPr="00CA43F3" w:rsidRDefault="008F10A7" w:rsidP="00A847F0">
      <w:pPr>
        <w:spacing w:line="260" w:lineRule="atLeast"/>
        <w:jc w:val="left"/>
        <w:rPr>
          <w:rFonts w:eastAsia="Calibri" w:cs="Times New Roman"/>
          <w:lang w:eastAsia="en-US"/>
        </w:rPr>
      </w:pPr>
      <w:r w:rsidRPr="000C5050">
        <w:rPr>
          <w:rFonts w:eastAsia="Calibri" w:cs="Times New Roman"/>
          <w:i/>
          <w:lang w:eastAsia="en-US"/>
        </w:rPr>
        <w:t xml:space="preserve">Commentary: </w:t>
      </w:r>
      <w:r w:rsidR="009A00CF" w:rsidRPr="000C5050">
        <w:rPr>
          <w:rFonts w:eastAsia="Calibri" w:cs="Times New Roman"/>
          <w:i/>
          <w:lang w:eastAsia="en-US"/>
        </w:rPr>
        <w:t>R</w:t>
      </w:r>
      <w:r w:rsidRPr="000C5050">
        <w:rPr>
          <w:rFonts w:eastAsia="Calibri" w:cs="Times New Roman"/>
          <w:i/>
          <w:lang w:eastAsia="en-US"/>
        </w:rPr>
        <w:t>emoving</w:t>
      </w:r>
      <w:r w:rsidR="009A00CF" w:rsidRPr="000C5050">
        <w:rPr>
          <w:rFonts w:eastAsia="Calibri" w:cs="Times New Roman"/>
          <w:i/>
          <w:lang w:eastAsia="en-US"/>
        </w:rPr>
        <w:t xml:space="preserve"> the words</w:t>
      </w:r>
      <w:r w:rsidRPr="000C5050">
        <w:rPr>
          <w:rFonts w:eastAsia="Calibri" w:cs="Times New Roman"/>
          <w:i/>
          <w:lang w:eastAsia="en-US"/>
        </w:rPr>
        <w:t xml:space="preserve"> “with buildings” and “products” to widen this category to include all sources of asbestos.</w:t>
      </w:r>
      <w:r w:rsidR="00D71F06" w:rsidRPr="000C5050">
        <w:rPr>
          <w:rFonts w:eastAsia="Calibri" w:cs="Times New Roman"/>
          <w:i/>
          <w:color w:val="0F7B7D"/>
          <w:lang w:eastAsia="en-US"/>
        </w:rPr>
        <w:t xml:space="preserve"> </w:t>
      </w:r>
    </w:p>
    <w:p w14:paraId="2CFC73B9" w14:textId="39C21ED8" w:rsidR="00993A94" w:rsidRPr="000C5050" w:rsidRDefault="00993A94" w:rsidP="00095A7C">
      <w:pPr>
        <w:numPr>
          <w:ilvl w:val="0"/>
          <w:numId w:val="23"/>
        </w:numPr>
        <w:spacing w:after="0" w:line="260" w:lineRule="atLeast"/>
        <w:ind w:left="397" w:hanging="397"/>
        <w:jc w:val="left"/>
        <w:rPr>
          <w:rFonts w:eastAsia="Calibri" w:cs="Times New Roman"/>
          <w:lang w:eastAsia="en-US"/>
        </w:rPr>
      </w:pPr>
      <w:r w:rsidRPr="000C5050">
        <w:rPr>
          <w:rFonts w:eastAsia="Calibri" w:cs="Times New Roman"/>
          <w:lang w:eastAsia="en-US"/>
        </w:rPr>
        <w:t>Asphalt or bitumen manufacture or bulk storage (excluding single-use sites used by a mobile asphalt plant)</w:t>
      </w:r>
    </w:p>
    <w:p w14:paraId="6BF0539A" w14:textId="77777777" w:rsidR="00993A94" w:rsidRPr="000C5050" w:rsidRDefault="00272D9A" w:rsidP="00272D9A">
      <w:pPr>
        <w:spacing w:before="0" w:after="0" w:line="260" w:lineRule="atLeast"/>
        <w:ind w:left="397" w:hanging="397"/>
        <w:jc w:val="left"/>
        <w:rPr>
          <w:rFonts w:eastAsia="Calibri" w:cs="Times New Roman"/>
          <w:color w:val="0F7B7D"/>
          <w:lang w:eastAsia="en-US"/>
        </w:rPr>
      </w:pPr>
      <w:r w:rsidRPr="000C5050">
        <w:rPr>
          <w:rFonts w:eastAsia="Calibri" w:cs="Times New Roman"/>
          <w:i/>
          <w:color w:val="0F7B7D"/>
          <w:lang w:eastAsia="en-US"/>
        </w:rPr>
        <w:lastRenderedPageBreak/>
        <w:tab/>
      </w:r>
      <w:r w:rsidR="00993A94" w:rsidRPr="000C5050">
        <w:rPr>
          <w:rFonts w:eastAsia="Calibri" w:cs="Times New Roman"/>
          <w:i/>
          <w:color w:val="0F7B7D"/>
          <w:lang w:eastAsia="en-US"/>
        </w:rPr>
        <w:t xml:space="preserve">Bitumen: manufacture, blending and bulk storage of bitumen and asphalt. </w:t>
      </w:r>
    </w:p>
    <w:p w14:paraId="7DC41B26" w14:textId="77777777" w:rsidR="00993A94" w:rsidRPr="000C5050" w:rsidRDefault="00993A94" w:rsidP="00095A7C">
      <w:pPr>
        <w:numPr>
          <w:ilvl w:val="0"/>
          <w:numId w:val="23"/>
        </w:numPr>
        <w:spacing w:after="0" w:line="260" w:lineRule="atLeast"/>
        <w:ind w:left="397" w:hanging="397"/>
        <w:jc w:val="left"/>
        <w:rPr>
          <w:rFonts w:eastAsia="Calibri" w:cs="Times New Roman"/>
          <w:lang w:eastAsia="en-US"/>
        </w:rPr>
      </w:pPr>
      <w:r w:rsidRPr="000C5050">
        <w:rPr>
          <w:rFonts w:eastAsia="Calibri" w:cs="Times New Roman"/>
          <w:lang w:eastAsia="en-US"/>
        </w:rPr>
        <w:t>Cement or lime manufacture using a kiln including the storage of wastes from the manufacturing process</w:t>
      </w:r>
    </w:p>
    <w:p w14:paraId="675289B2" w14:textId="77777777" w:rsidR="00993A94" w:rsidRPr="000C5050" w:rsidRDefault="00272D9A" w:rsidP="00272D9A">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Cement: Manufacture and bulk storage of cement and lime, including areas used for waste disposal.</w:t>
      </w:r>
    </w:p>
    <w:p w14:paraId="64796C78" w14:textId="77777777" w:rsidR="00427E36" w:rsidRPr="000C5050" w:rsidRDefault="00993A94" w:rsidP="00427E36">
      <w:pPr>
        <w:numPr>
          <w:ilvl w:val="0"/>
          <w:numId w:val="23"/>
        </w:numPr>
        <w:spacing w:after="0" w:line="260" w:lineRule="atLeast"/>
        <w:ind w:left="397" w:hanging="397"/>
        <w:jc w:val="left"/>
        <w:rPr>
          <w:rFonts w:eastAsia="Calibri" w:cs="Times New Roman"/>
          <w:lang w:eastAsia="en-US"/>
        </w:rPr>
      </w:pPr>
      <w:r w:rsidRPr="000C5050">
        <w:rPr>
          <w:rFonts w:eastAsia="Calibri" w:cs="Times New Roman"/>
          <w:lang w:eastAsia="en-US"/>
        </w:rPr>
        <w:t>Commercial concrete manufacture or commercial cement storage</w:t>
      </w:r>
    </w:p>
    <w:p w14:paraId="21432CA2" w14:textId="77777777" w:rsidR="00993A94" w:rsidRPr="000C5050" w:rsidRDefault="00993A94" w:rsidP="00427E36">
      <w:pPr>
        <w:spacing w:before="0" w:after="0" w:line="260" w:lineRule="atLeast"/>
        <w:ind w:left="397"/>
        <w:jc w:val="left"/>
        <w:rPr>
          <w:rFonts w:eastAsia="Calibri" w:cs="Times New Roman"/>
          <w:i/>
          <w:color w:val="0F7B7D"/>
          <w:lang w:eastAsia="en-US"/>
        </w:rPr>
      </w:pPr>
      <w:r w:rsidRPr="000C5050">
        <w:rPr>
          <w:rFonts w:eastAsia="Calibri" w:cs="Times New Roman"/>
          <w:i/>
          <w:color w:val="0F7B7D"/>
          <w:lang w:eastAsia="en-US"/>
        </w:rPr>
        <w:t xml:space="preserve">Concrete: Commercial concrete manufacture. </w:t>
      </w:r>
    </w:p>
    <w:p w14:paraId="2914120D" w14:textId="77777777" w:rsidR="00993A94" w:rsidRPr="000C5050" w:rsidRDefault="00993A94" w:rsidP="00427E36">
      <w:pPr>
        <w:spacing w:line="260" w:lineRule="atLeast"/>
        <w:jc w:val="left"/>
        <w:rPr>
          <w:rFonts w:eastAsia="Calibri" w:cs="Times New Roman"/>
          <w:i/>
          <w:lang w:eastAsia="en-US"/>
        </w:rPr>
      </w:pPr>
      <w:r w:rsidRPr="000C5050">
        <w:rPr>
          <w:rFonts w:eastAsia="Calibri" w:cs="Times New Roman"/>
          <w:i/>
          <w:lang w:eastAsia="en-US"/>
        </w:rPr>
        <w:t>Commentary: cement storage has been removed from E4 as it is covered by E3.</w:t>
      </w:r>
    </w:p>
    <w:p w14:paraId="02055657" w14:textId="77777777" w:rsidR="00993A94" w:rsidRPr="000C5050" w:rsidRDefault="00993A94" w:rsidP="00095A7C">
      <w:pPr>
        <w:numPr>
          <w:ilvl w:val="0"/>
          <w:numId w:val="23"/>
        </w:numPr>
        <w:spacing w:after="0" w:line="260" w:lineRule="atLeast"/>
        <w:ind w:left="397" w:hanging="397"/>
        <w:jc w:val="left"/>
        <w:rPr>
          <w:rFonts w:eastAsia="Calibri" w:cs="Times New Roman"/>
          <w:lang w:eastAsia="en-US"/>
        </w:rPr>
      </w:pPr>
      <w:r w:rsidRPr="000C5050">
        <w:rPr>
          <w:rFonts w:eastAsia="Calibri" w:cs="Times New Roman"/>
          <w:lang w:eastAsia="en-US"/>
        </w:rPr>
        <w:t>Coal or coke yards</w:t>
      </w:r>
    </w:p>
    <w:p w14:paraId="21CE0460" w14:textId="77777777" w:rsidR="00993A94" w:rsidRPr="000C5050" w:rsidRDefault="00993A94" w:rsidP="00095A7C">
      <w:pPr>
        <w:numPr>
          <w:ilvl w:val="0"/>
          <w:numId w:val="23"/>
        </w:numPr>
        <w:spacing w:after="0" w:line="260" w:lineRule="atLeast"/>
        <w:ind w:left="397" w:hanging="397"/>
        <w:jc w:val="left"/>
        <w:rPr>
          <w:rFonts w:eastAsia="Calibri" w:cs="Times New Roman"/>
          <w:lang w:eastAsia="en-US"/>
        </w:rPr>
      </w:pPr>
      <w:r w:rsidRPr="000C5050">
        <w:rPr>
          <w:rFonts w:eastAsia="Calibri" w:cs="Times New Roman"/>
          <w:lang w:eastAsia="en-US"/>
        </w:rPr>
        <w:t>Hydrocarbon exploration or production including well sites or flare pits</w:t>
      </w:r>
    </w:p>
    <w:p w14:paraId="778A9643" w14:textId="77777777" w:rsidR="00993A94" w:rsidRPr="000C5050" w:rsidRDefault="00272D9A" w:rsidP="00272D9A">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proofErr w:type="gramStart"/>
      <w:r w:rsidR="00993A94" w:rsidRPr="000C5050">
        <w:rPr>
          <w:rFonts w:eastAsia="Calibri" w:cs="Times New Roman"/>
          <w:i/>
          <w:color w:val="0F7B7D"/>
          <w:lang w:eastAsia="en-US"/>
        </w:rPr>
        <w:t>Hydrocarbon exploration or production.</w:t>
      </w:r>
      <w:proofErr w:type="gramEnd"/>
      <w:r w:rsidR="00993A94" w:rsidRPr="000C5050">
        <w:rPr>
          <w:rFonts w:eastAsia="Calibri" w:cs="Times New Roman"/>
          <w:i/>
          <w:color w:val="0F7B7D"/>
          <w:lang w:eastAsia="en-US"/>
        </w:rPr>
        <w:t xml:space="preserve"> </w:t>
      </w:r>
    </w:p>
    <w:p w14:paraId="1AB392CF" w14:textId="77777777" w:rsidR="00993A94" w:rsidRPr="000C5050" w:rsidRDefault="00993A94" w:rsidP="00095A7C">
      <w:pPr>
        <w:numPr>
          <w:ilvl w:val="0"/>
          <w:numId w:val="23"/>
        </w:numPr>
        <w:spacing w:after="0" w:line="260" w:lineRule="atLeast"/>
        <w:ind w:left="397" w:hanging="397"/>
        <w:jc w:val="left"/>
        <w:rPr>
          <w:rFonts w:eastAsia="Calibri" w:cs="Times New Roman"/>
          <w:color w:val="0F7B7D"/>
          <w:lang w:eastAsia="en-US"/>
        </w:rPr>
      </w:pPr>
      <w:r w:rsidRPr="000C5050">
        <w:rPr>
          <w:rFonts w:eastAsia="Calibri" w:cs="Times New Roman"/>
          <w:lang w:eastAsia="en-US"/>
        </w:rPr>
        <w:t xml:space="preserve">Mining industries (excluding gravel extraction) including exposure of faces or release of groundwater containing hazardous contaminants, or the storage of hazardous wastes including waste dumps or dam tailings </w:t>
      </w:r>
      <w:r w:rsidRPr="000C5050">
        <w:rPr>
          <w:rFonts w:eastAsia="Calibri" w:cs="Times New Roman"/>
          <w:lang w:eastAsia="en-US"/>
        </w:rPr>
        <w:br/>
      </w:r>
      <w:r w:rsidRPr="000C5050">
        <w:rPr>
          <w:rFonts w:eastAsia="Calibri" w:cs="Times New Roman"/>
          <w:i/>
          <w:color w:val="0F7B7D"/>
          <w:lang w:eastAsia="en-US"/>
        </w:rPr>
        <w:t>Mining:</w:t>
      </w:r>
      <w:r w:rsidR="007D080D" w:rsidRPr="000C5050">
        <w:rPr>
          <w:rFonts w:eastAsia="Calibri" w:cs="Times New Roman"/>
          <w:i/>
          <w:color w:val="0F7B7D"/>
          <w:lang w:eastAsia="en-US"/>
        </w:rPr>
        <w:t xml:space="preserve"> </w:t>
      </w:r>
      <w:r w:rsidRPr="000C5050">
        <w:rPr>
          <w:rFonts w:eastAsia="Calibri" w:cs="Times New Roman"/>
          <w:i/>
          <w:color w:val="0F7B7D"/>
          <w:lang w:eastAsia="en-US"/>
        </w:rPr>
        <w:t>Mine sites including areas used for waste disposal or dam tailings (but excluding gravel extraction).</w:t>
      </w:r>
      <w:r w:rsidRPr="000C5050">
        <w:rPr>
          <w:rFonts w:eastAsia="Calibri" w:cs="Times New Roman"/>
          <w:color w:val="0F7B7D"/>
          <w:lang w:eastAsia="en-US"/>
        </w:rPr>
        <w:t xml:space="preserve"> </w:t>
      </w:r>
    </w:p>
    <w:p w14:paraId="7613DC73" w14:textId="77777777" w:rsidR="00993A94" w:rsidRPr="000C5050" w:rsidRDefault="00993A94" w:rsidP="00272D9A">
      <w:pPr>
        <w:spacing w:before="240" w:after="0" w:line="260" w:lineRule="atLeast"/>
        <w:jc w:val="left"/>
        <w:rPr>
          <w:rFonts w:eastAsia="Calibri" w:cs="Times New Roman"/>
          <w:b/>
          <w:lang w:eastAsia="en-US"/>
        </w:rPr>
      </w:pPr>
      <w:r w:rsidRPr="000C5050">
        <w:rPr>
          <w:rFonts w:eastAsia="Calibri" w:cs="Times New Roman"/>
          <w:b/>
          <w:lang w:eastAsia="en-US"/>
        </w:rPr>
        <w:t>F</w:t>
      </w:r>
      <w:r w:rsidRPr="000C5050">
        <w:rPr>
          <w:rFonts w:eastAsia="Calibri" w:cs="Times New Roman"/>
          <w:b/>
          <w:lang w:eastAsia="en-US"/>
        </w:rPr>
        <w:tab/>
        <w:t xml:space="preserve">Vehicle </w:t>
      </w:r>
      <w:proofErr w:type="gramStart"/>
      <w:r w:rsidRPr="000C5050">
        <w:rPr>
          <w:rFonts w:eastAsia="Calibri" w:cs="Times New Roman"/>
          <w:b/>
          <w:lang w:eastAsia="en-US"/>
        </w:rPr>
        <w:t>refuelling,</w:t>
      </w:r>
      <w:proofErr w:type="gramEnd"/>
      <w:r w:rsidRPr="000C5050">
        <w:rPr>
          <w:rFonts w:eastAsia="Calibri" w:cs="Times New Roman"/>
          <w:b/>
          <w:lang w:eastAsia="en-US"/>
        </w:rPr>
        <w:t xml:space="preserve"> service and repair</w:t>
      </w:r>
    </w:p>
    <w:p w14:paraId="72FD0C07" w14:textId="77777777" w:rsidR="00993A94" w:rsidRPr="000C5050" w:rsidRDefault="00993A94" w:rsidP="00095A7C">
      <w:pPr>
        <w:numPr>
          <w:ilvl w:val="0"/>
          <w:numId w:val="24"/>
        </w:numPr>
        <w:spacing w:after="0" w:line="260" w:lineRule="atLeast"/>
        <w:ind w:left="397" w:hanging="397"/>
        <w:jc w:val="left"/>
        <w:rPr>
          <w:rFonts w:eastAsia="Calibri" w:cs="Times New Roman"/>
          <w:lang w:eastAsia="en-US"/>
        </w:rPr>
      </w:pPr>
      <w:r w:rsidRPr="000C5050">
        <w:rPr>
          <w:rFonts w:eastAsia="Calibri" w:cs="Times New Roman"/>
          <w:lang w:eastAsia="en-US"/>
        </w:rPr>
        <w:t xml:space="preserve">Airports including fuel storage, workshops, </w:t>
      </w:r>
      <w:proofErr w:type="spellStart"/>
      <w:r w:rsidRPr="000C5050">
        <w:rPr>
          <w:rFonts w:eastAsia="Calibri" w:cs="Times New Roman"/>
          <w:lang w:eastAsia="en-US"/>
        </w:rPr>
        <w:t>washdown</w:t>
      </w:r>
      <w:proofErr w:type="spellEnd"/>
      <w:r w:rsidRPr="000C5050">
        <w:rPr>
          <w:rFonts w:eastAsia="Calibri" w:cs="Times New Roman"/>
          <w:lang w:eastAsia="en-US"/>
        </w:rPr>
        <w:t xml:space="preserve"> areas, or fire practice areas</w:t>
      </w:r>
    </w:p>
    <w:p w14:paraId="70C36A3E" w14:textId="77777777" w:rsidR="00993A94" w:rsidRPr="000C5050" w:rsidRDefault="00272D9A" w:rsidP="00272D9A">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Airports:</w:t>
      </w:r>
      <w:r w:rsidR="007D080D" w:rsidRPr="000C5050">
        <w:rPr>
          <w:rFonts w:eastAsia="Calibri" w:cs="Times New Roman"/>
          <w:i/>
          <w:color w:val="0F7B7D"/>
          <w:lang w:eastAsia="en-US"/>
        </w:rPr>
        <w:t xml:space="preserve"> </w:t>
      </w:r>
      <w:r w:rsidR="00993A94" w:rsidRPr="000C5050">
        <w:rPr>
          <w:rFonts w:eastAsia="Calibri" w:cs="Times New Roman"/>
          <w:i/>
          <w:color w:val="0F7B7D"/>
          <w:lang w:eastAsia="en-US"/>
        </w:rPr>
        <w:t xml:space="preserve">Fuel storage, workshops, </w:t>
      </w:r>
      <w:proofErr w:type="spellStart"/>
      <w:r w:rsidR="00993A94" w:rsidRPr="000C5050">
        <w:rPr>
          <w:rFonts w:eastAsia="Calibri" w:cs="Times New Roman"/>
          <w:i/>
          <w:color w:val="0F7B7D"/>
          <w:lang w:eastAsia="en-US"/>
        </w:rPr>
        <w:t>washdown</w:t>
      </w:r>
      <w:proofErr w:type="spellEnd"/>
      <w:r w:rsidR="00993A94" w:rsidRPr="000C5050">
        <w:rPr>
          <w:rFonts w:eastAsia="Calibri" w:cs="Times New Roman"/>
          <w:i/>
          <w:color w:val="0F7B7D"/>
          <w:lang w:eastAsia="en-US"/>
        </w:rPr>
        <w:t xml:space="preserve"> areas or fire practice areas. </w:t>
      </w:r>
    </w:p>
    <w:p w14:paraId="13CFB68D" w14:textId="77777777" w:rsidR="00993A94" w:rsidRPr="000C5050" w:rsidRDefault="00993A94" w:rsidP="00095A7C">
      <w:pPr>
        <w:numPr>
          <w:ilvl w:val="0"/>
          <w:numId w:val="24"/>
        </w:numPr>
        <w:spacing w:after="0" w:line="260" w:lineRule="atLeast"/>
        <w:ind w:left="397" w:hanging="397"/>
        <w:jc w:val="left"/>
        <w:rPr>
          <w:rFonts w:eastAsia="Calibri" w:cs="Times New Roman"/>
          <w:lang w:eastAsia="en-US"/>
        </w:rPr>
      </w:pPr>
      <w:r w:rsidRPr="000C5050">
        <w:rPr>
          <w:rFonts w:eastAsia="Calibri" w:cs="Times New Roman"/>
          <w:lang w:eastAsia="en-US"/>
        </w:rPr>
        <w:t>Brake lining manufacturers, repairers or recyclers</w:t>
      </w:r>
    </w:p>
    <w:p w14:paraId="229AF39A" w14:textId="77777777" w:rsidR="00993A94" w:rsidRPr="000C5050" w:rsidRDefault="00993A94" w:rsidP="00095A7C">
      <w:pPr>
        <w:numPr>
          <w:ilvl w:val="0"/>
          <w:numId w:val="24"/>
        </w:numPr>
        <w:spacing w:after="0" w:line="260" w:lineRule="atLeast"/>
        <w:ind w:left="397" w:hanging="397"/>
        <w:jc w:val="left"/>
        <w:rPr>
          <w:rFonts w:eastAsia="Calibri" w:cs="Times New Roman"/>
          <w:lang w:eastAsia="en-US"/>
        </w:rPr>
      </w:pPr>
      <w:r w:rsidRPr="000C5050">
        <w:rPr>
          <w:rFonts w:eastAsia="Calibri" w:cs="Times New Roman"/>
          <w:lang w:eastAsia="en-US"/>
        </w:rPr>
        <w:t>Engine reconditioning workshops</w:t>
      </w:r>
    </w:p>
    <w:p w14:paraId="2D800D26" w14:textId="77777777" w:rsidR="00993A94" w:rsidRPr="000C5050" w:rsidRDefault="00993A94" w:rsidP="00095A7C">
      <w:pPr>
        <w:numPr>
          <w:ilvl w:val="0"/>
          <w:numId w:val="24"/>
        </w:numPr>
        <w:spacing w:after="0" w:line="260" w:lineRule="atLeast"/>
        <w:ind w:left="397" w:hanging="397"/>
        <w:jc w:val="left"/>
        <w:rPr>
          <w:rFonts w:eastAsia="Calibri" w:cs="Times New Roman"/>
          <w:lang w:eastAsia="en-US"/>
        </w:rPr>
      </w:pPr>
      <w:r w:rsidRPr="000C5050">
        <w:rPr>
          <w:rFonts w:eastAsia="Calibri" w:cs="Times New Roman"/>
          <w:lang w:eastAsia="en-US"/>
        </w:rPr>
        <w:t xml:space="preserve">Motor vehicle workshops </w:t>
      </w:r>
    </w:p>
    <w:p w14:paraId="2485391B" w14:textId="77777777" w:rsidR="00993A94" w:rsidRPr="000C5050" w:rsidRDefault="00993A94" w:rsidP="00095A7C">
      <w:pPr>
        <w:numPr>
          <w:ilvl w:val="0"/>
          <w:numId w:val="24"/>
        </w:numPr>
        <w:spacing w:after="0" w:line="260" w:lineRule="atLeast"/>
        <w:ind w:left="397" w:hanging="397"/>
        <w:jc w:val="left"/>
        <w:rPr>
          <w:rFonts w:eastAsia="Calibri" w:cs="Times New Roman"/>
          <w:lang w:eastAsia="en-US"/>
        </w:rPr>
      </w:pPr>
      <w:r w:rsidRPr="000C5050">
        <w:rPr>
          <w:rFonts w:eastAsia="Calibri" w:cs="Times New Roman"/>
          <w:lang w:eastAsia="en-US"/>
        </w:rPr>
        <w:t>Port activities including dry docks or marine vessel maintenance facilities</w:t>
      </w:r>
    </w:p>
    <w:p w14:paraId="25EC9388" w14:textId="77777777" w:rsidR="00993A94" w:rsidRPr="000C5050" w:rsidRDefault="00272D9A" w:rsidP="00272D9A">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Ports and marine facilities:</w:t>
      </w:r>
      <w:r w:rsidR="007D080D" w:rsidRPr="000C5050">
        <w:rPr>
          <w:rFonts w:eastAsia="Calibri" w:cs="Times New Roman"/>
          <w:i/>
          <w:color w:val="0F7B7D"/>
          <w:lang w:eastAsia="en-US"/>
        </w:rPr>
        <w:t xml:space="preserve"> </w:t>
      </w:r>
      <w:r w:rsidR="00993A94" w:rsidRPr="000C5050">
        <w:rPr>
          <w:rFonts w:eastAsia="Calibri" w:cs="Times New Roman"/>
          <w:i/>
          <w:color w:val="0F7B7D"/>
          <w:lang w:eastAsia="en-US"/>
        </w:rPr>
        <w:t xml:space="preserve">Fuel storage, workshops or vessel maintenance facilities. </w:t>
      </w:r>
    </w:p>
    <w:p w14:paraId="7FE49042" w14:textId="77777777" w:rsidR="00993A94" w:rsidRPr="000C5050" w:rsidRDefault="00993A94" w:rsidP="00095A7C">
      <w:pPr>
        <w:numPr>
          <w:ilvl w:val="0"/>
          <w:numId w:val="24"/>
        </w:numPr>
        <w:spacing w:after="0" w:line="260" w:lineRule="atLeast"/>
        <w:ind w:left="397" w:hanging="397"/>
        <w:jc w:val="left"/>
        <w:rPr>
          <w:rFonts w:eastAsia="Calibri" w:cs="Times New Roman"/>
          <w:lang w:eastAsia="en-US"/>
        </w:rPr>
      </w:pPr>
      <w:r w:rsidRPr="000C5050">
        <w:rPr>
          <w:rFonts w:eastAsia="Calibri" w:cs="Times New Roman"/>
          <w:lang w:eastAsia="en-US"/>
        </w:rPr>
        <w:t>Railway yards including goods-handling yards, workshops, refuelling facilities or maintenance areas</w:t>
      </w:r>
    </w:p>
    <w:p w14:paraId="7E7F3B98" w14:textId="77777777" w:rsidR="00993A94" w:rsidRPr="000C5050" w:rsidRDefault="00272D9A" w:rsidP="00272D9A">
      <w:pPr>
        <w:spacing w:before="0" w:after="0" w:line="260" w:lineRule="atLeast"/>
        <w:ind w:left="397" w:hanging="397"/>
        <w:jc w:val="left"/>
        <w:rPr>
          <w:rFonts w:eastAsia="Calibri" w:cs="Times New Roman"/>
          <w:i/>
          <w:color w:val="0F7B7D"/>
          <w:lang w:eastAsia="en-US"/>
        </w:rPr>
      </w:pPr>
      <w:r w:rsidRPr="000C5050">
        <w:rPr>
          <w:rFonts w:eastAsia="Calibri" w:cs="Times New Roman"/>
          <w:i/>
          <w:color w:val="0F7B7D"/>
          <w:lang w:eastAsia="en-US"/>
        </w:rPr>
        <w:tab/>
      </w:r>
      <w:r w:rsidR="00993A94" w:rsidRPr="000C5050">
        <w:rPr>
          <w:rFonts w:eastAsia="Calibri" w:cs="Times New Roman"/>
          <w:i/>
          <w:color w:val="0F7B7D"/>
          <w:lang w:eastAsia="en-US"/>
        </w:rPr>
        <w:t>Railways: Goods-handling, workshops or refuelling facilities.</w:t>
      </w:r>
    </w:p>
    <w:p w14:paraId="721E2DBA" w14:textId="77777777" w:rsidR="00993A94" w:rsidRPr="000C5050" w:rsidRDefault="00993A94" w:rsidP="00095A7C">
      <w:pPr>
        <w:numPr>
          <w:ilvl w:val="0"/>
          <w:numId w:val="24"/>
        </w:numPr>
        <w:spacing w:after="0" w:line="260" w:lineRule="atLeast"/>
        <w:ind w:left="397" w:hanging="397"/>
        <w:jc w:val="left"/>
        <w:rPr>
          <w:rFonts w:eastAsia="Calibri" w:cs="Times New Roman"/>
          <w:lang w:eastAsia="en-US"/>
        </w:rPr>
      </w:pPr>
      <w:r w:rsidRPr="000C5050">
        <w:rPr>
          <w:rFonts w:eastAsia="Calibri" w:cs="Times New Roman"/>
          <w:lang w:eastAsia="en-US"/>
        </w:rPr>
        <w:t>Service stations including retail or commercial refuelling facilities</w:t>
      </w:r>
    </w:p>
    <w:p w14:paraId="0ACD2DFD" w14:textId="77777777" w:rsidR="00993A94" w:rsidRPr="000C5050" w:rsidRDefault="00993A94" w:rsidP="00095A7C">
      <w:pPr>
        <w:numPr>
          <w:ilvl w:val="0"/>
          <w:numId w:val="24"/>
        </w:numPr>
        <w:spacing w:after="0" w:line="260" w:lineRule="atLeast"/>
        <w:ind w:left="397" w:hanging="397"/>
        <w:jc w:val="left"/>
        <w:rPr>
          <w:rFonts w:eastAsia="Calibri" w:cs="Times New Roman"/>
          <w:lang w:eastAsia="en-US"/>
        </w:rPr>
      </w:pPr>
      <w:r w:rsidRPr="000C5050">
        <w:rPr>
          <w:rFonts w:eastAsia="Calibri" w:cs="Times New Roman"/>
          <w:lang w:eastAsia="en-US"/>
        </w:rPr>
        <w:t xml:space="preserve">Transport depots or yards including areas used for refuelling or the bulk storage of hazardous substances </w:t>
      </w:r>
      <w:r w:rsidRPr="000C5050">
        <w:rPr>
          <w:rFonts w:eastAsia="Calibri" w:cs="Times New Roman"/>
          <w:lang w:eastAsia="en-US"/>
        </w:rPr>
        <w:br/>
      </w:r>
      <w:r w:rsidRPr="000C5050">
        <w:rPr>
          <w:rFonts w:eastAsia="Calibri" w:cs="Times New Roman"/>
          <w:i/>
          <w:color w:val="0F7B7D"/>
          <w:lang w:eastAsia="en-US"/>
        </w:rPr>
        <w:t>Transport depots: Areas used for refuelling or the bulk storage of hazardous substances.</w:t>
      </w:r>
      <w:r w:rsidRPr="000C5050">
        <w:rPr>
          <w:rFonts w:eastAsia="Calibri" w:cs="Times New Roman"/>
          <w:lang w:eastAsia="en-US"/>
        </w:rPr>
        <w:t xml:space="preserve"> </w:t>
      </w:r>
    </w:p>
    <w:p w14:paraId="7C69E84C" w14:textId="77777777" w:rsidR="00993A94" w:rsidRPr="000C5050" w:rsidRDefault="00993A94" w:rsidP="00272D9A">
      <w:pPr>
        <w:spacing w:before="240" w:after="0" w:line="260" w:lineRule="atLeast"/>
        <w:jc w:val="left"/>
        <w:rPr>
          <w:rFonts w:eastAsia="Calibri" w:cs="Times New Roman"/>
          <w:b/>
          <w:lang w:eastAsia="en-US"/>
        </w:rPr>
      </w:pPr>
      <w:r w:rsidRPr="000C5050">
        <w:rPr>
          <w:rFonts w:eastAsia="Calibri" w:cs="Times New Roman"/>
          <w:b/>
          <w:lang w:eastAsia="en-US"/>
        </w:rPr>
        <w:t>G</w:t>
      </w:r>
      <w:r w:rsidRPr="000C5050">
        <w:rPr>
          <w:rFonts w:eastAsia="Calibri" w:cs="Times New Roman"/>
          <w:b/>
          <w:lang w:eastAsia="en-US"/>
        </w:rPr>
        <w:tab/>
        <w:t>Cemeteries and waste recycling, treatment and disposal</w:t>
      </w:r>
    </w:p>
    <w:p w14:paraId="06019DF4" w14:textId="77777777" w:rsidR="00993A94" w:rsidRPr="000C5050" w:rsidRDefault="00993A94" w:rsidP="00095A7C">
      <w:pPr>
        <w:numPr>
          <w:ilvl w:val="0"/>
          <w:numId w:val="25"/>
        </w:numPr>
        <w:spacing w:after="0" w:line="260" w:lineRule="atLeast"/>
        <w:ind w:left="397" w:hanging="397"/>
        <w:jc w:val="left"/>
        <w:rPr>
          <w:rFonts w:eastAsia="Calibri" w:cs="Times New Roman"/>
          <w:lang w:eastAsia="en-US"/>
        </w:rPr>
      </w:pPr>
      <w:r w:rsidRPr="000C5050">
        <w:rPr>
          <w:rFonts w:eastAsia="Calibri" w:cs="Times New Roman"/>
          <w:lang w:eastAsia="en-US"/>
        </w:rPr>
        <w:t>Cemeteries</w:t>
      </w:r>
    </w:p>
    <w:p w14:paraId="07155450" w14:textId="77777777" w:rsidR="00993A94" w:rsidRPr="000C5050" w:rsidRDefault="00993A94" w:rsidP="00095A7C">
      <w:pPr>
        <w:numPr>
          <w:ilvl w:val="0"/>
          <w:numId w:val="25"/>
        </w:numPr>
        <w:spacing w:after="0" w:line="260" w:lineRule="atLeast"/>
        <w:ind w:left="397" w:hanging="397"/>
        <w:jc w:val="left"/>
        <w:rPr>
          <w:rFonts w:eastAsia="Calibri" w:cs="Times New Roman"/>
          <w:lang w:eastAsia="en-US"/>
        </w:rPr>
      </w:pPr>
      <w:r w:rsidRPr="000C5050">
        <w:rPr>
          <w:rFonts w:eastAsia="Calibri" w:cs="Times New Roman"/>
          <w:lang w:eastAsia="en-US"/>
        </w:rPr>
        <w:t>Drum or tank reconditioning or recycling</w:t>
      </w:r>
    </w:p>
    <w:p w14:paraId="58503D27" w14:textId="77777777" w:rsidR="00993A94" w:rsidRPr="000C5050" w:rsidRDefault="00993A94" w:rsidP="00095A7C">
      <w:pPr>
        <w:numPr>
          <w:ilvl w:val="0"/>
          <w:numId w:val="25"/>
        </w:numPr>
        <w:spacing w:after="0" w:line="260" w:lineRule="atLeast"/>
        <w:ind w:left="397" w:hanging="397"/>
        <w:jc w:val="left"/>
        <w:rPr>
          <w:rFonts w:eastAsia="Calibri" w:cs="Times New Roman"/>
          <w:lang w:eastAsia="en-US"/>
        </w:rPr>
      </w:pPr>
      <w:r w:rsidRPr="000C5050">
        <w:rPr>
          <w:rFonts w:eastAsia="Calibri" w:cs="Times New Roman"/>
          <w:lang w:eastAsia="en-US"/>
        </w:rPr>
        <w:t>Landfill sites</w:t>
      </w:r>
    </w:p>
    <w:p w14:paraId="1946F4EF" w14:textId="77777777" w:rsidR="00993A94" w:rsidRPr="000C5050" w:rsidRDefault="00993A94" w:rsidP="00095A7C">
      <w:pPr>
        <w:numPr>
          <w:ilvl w:val="0"/>
          <w:numId w:val="25"/>
        </w:numPr>
        <w:spacing w:after="0" w:line="260" w:lineRule="atLeast"/>
        <w:ind w:left="397" w:hanging="397"/>
        <w:jc w:val="left"/>
        <w:rPr>
          <w:rFonts w:eastAsia="Calibri" w:cs="Times New Roman"/>
          <w:lang w:eastAsia="en-US"/>
        </w:rPr>
      </w:pPr>
      <w:r w:rsidRPr="000C5050">
        <w:rPr>
          <w:rFonts w:eastAsia="Calibri" w:cs="Times New Roman"/>
          <w:lang w:eastAsia="en-US"/>
        </w:rPr>
        <w:t>Scrap yards including automotive dismantling, wrecking or scrap metal yards</w:t>
      </w:r>
      <w:r w:rsidRPr="000C5050">
        <w:rPr>
          <w:rFonts w:eastAsia="Calibri" w:cs="Times New Roman"/>
          <w:lang w:eastAsia="en-US"/>
        </w:rPr>
        <w:br/>
      </w:r>
      <w:r w:rsidRPr="000C5050">
        <w:rPr>
          <w:rFonts w:eastAsia="Calibri" w:cs="Times New Roman"/>
          <w:i/>
          <w:color w:val="0F7B7D"/>
          <w:lang w:eastAsia="en-US"/>
        </w:rPr>
        <w:t>Scrap yards: automotive dismantling, wrecking or scrap metal.</w:t>
      </w:r>
      <w:r w:rsidRPr="000C5050">
        <w:rPr>
          <w:rFonts w:eastAsia="Calibri" w:cs="Times New Roman"/>
          <w:color w:val="0F7B7D"/>
          <w:lang w:eastAsia="en-US"/>
        </w:rPr>
        <w:t xml:space="preserve"> </w:t>
      </w:r>
    </w:p>
    <w:p w14:paraId="522F40A7" w14:textId="77777777" w:rsidR="00427E36" w:rsidRPr="000C5050" w:rsidRDefault="00993A94" w:rsidP="00095A7C">
      <w:pPr>
        <w:numPr>
          <w:ilvl w:val="0"/>
          <w:numId w:val="25"/>
        </w:numPr>
        <w:spacing w:after="0" w:line="260" w:lineRule="atLeast"/>
        <w:ind w:left="397" w:hanging="397"/>
        <w:jc w:val="left"/>
        <w:rPr>
          <w:rFonts w:eastAsia="Calibri" w:cs="Times New Roman"/>
          <w:lang w:eastAsia="en-US"/>
        </w:rPr>
      </w:pPr>
      <w:r w:rsidRPr="000C5050">
        <w:rPr>
          <w:rFonts w:eastAsia="Calibri" w:cs="Times New Roman"/>
          <w:lang w:eastAsia="en-US"/>
        </w:rPr>
        <w:t xml:space="preserve">Waste disposal to land (excluding where </w:t>
      </w:r>
      <w:proofErr w:type="spellStart"/>
      <w:r w:rsidRPr="000C5050">
        <w:rPr>
          <w:rFonts w:eastAsia="Calibri" w:cs="Times New Roman"/>
          <w:lang w:eastAsia="en-US"/>
        </w:rPr>
        <w:t>biosolids</w:t>
      </w:r>
      <w:proofErr w:type="spellEnd"/>
      <w:r w:rsidRPr="000C5050">
        <w:rPr>
          <w:rFonts w:eastAsia="Calibri" w:cs="Times New Roman"/>
          <w:lang w:eastAsia="en-US"/>
        </w:rPr>
        <w:t xml:space="preserve"> have been used as soil conditioners)</w:t>
      </w:r>
    </w:p>
    <w:p w14:paraId="79D0199C" w14:textId="77777777" w:rsidR="00993A94" w:rsidRPr="000C5050" w:rsidRDefault="00993A94" w:rsidP="00427E36">
      <w:pPr>
        <w:spacing w:before="0" w:line="260" w:lineRule="atLeast"/>
        <w:ind w:left="397"/>
        <w:jc w:val="left"/>
        <w:rPr>
          <w:rFonts w:eastAsia="Calibri" w:cs="Times New Roman"/>
          <w:i/>
          <w:color w:val="0F7B7D"/>
          <w:lang w:eastAsia="en-US"/>
        </w:rPr>
      </w:pPr>
      <w:r w:rsidRPr="000C5050">
        <w:rPr>
          <w:rFonts w:eastAsia="Calibri" w:cs="Times New Roman"/>
          <w:i/>
          <w:color w:val="0F7B7D"/>
          <w:lang w:eastAsia="en-US"/>
        </w:rPr>
        <w:t xml:space="preserve">Waste disposal to land </w:t>
      </w:r>
    </w:p>
    <w:p w14:paraId="3F7378CC" w14:textId="77777777" w:rsidR="00993A94" w:rsidRPr="000C5050" w:rsidRDefault="00993A94" w:rsidP="00272D9A">
      <w:pPr>
        <w:spacing w:line="260" w:lineRule="atLeast"/>
        <w:jc w:val="left"/>
        <w:rPr>
          <w:rFonts w:eastAsia="Calibri" w:cs="Times New Roman"/>
          <w:i/>
          <w:lang w:eastAsia="en-US"/>
        </w:rPr>
      </w:pPr>
      <w:r w:rsidRPr="000C5050">
        <w:rPr>
          <w:rFonts w:eastAsia="Calibri" w:cs="Times New Roman"/>
          <w:i/>
          <w:lang w:eastAsia="en-US"/>
        </w:rPr>
        <w:t xml:space="preserve">Commentary: Examples and descriptions of these types of activities, including </w:t>
      </w:r>
      <w:proofErr w:type="spellStart"/>
      <w:r w:rsidRPr="000C5050">
        <w:rPr>
          <w:rFonts w:eastAsia="Calibri" w:cs="Times New Roman"/>
          <w:i/>
          <w:lang w:eastAsia="en-US"/>
        </w:rPr>
        <w:t>biosolids</w:t>
      </w:r>
      <w:proofErr w:type="spellEnd"/>
      <w:r w:rsidRPr="000C5050">
        <w:rPr>
          <w:rFonts w:eastAsia="Calibri" w:cs="Times New Roman"/>
          <w:i/>
          <w:lang w:eastAsia="en-US"/>
        </w:rPr>
        <w:t xml:space="preserve"> and </w:t>
      </w:r>
      <w:proofErr w:type="spellStart"/>
      <w:r w:rsidRPr="000C5050">
        <w:rPr>
          <w:rFonts w:eastAsia="Calibri" w:cs="Times New Roman"/>
          <w:i/>
          <w:lang w:eastAsia="en-US"/>
        </w:rPr>
        <w:t>landfarming</w:t>
      </w:r>
      <w:proofErr w:type="spellEnd"/>
      <w:r w:rsidRPr="000C5050">
        <w:rPr>
          <w:rFonts w:eastAsia="Calibri" w:cs="Times New Roman"/>
          <w:i/>
          <w:lang w:eastAsia="en-US"/>
        </w:rPr>
        <w:t>, and those with the potential to result in contamination, will be provided in the guidance document.</w:t>
      </w:r>
    </w:p>
    <w:p w14:paraId="4BEDFF27" w14:textId="77777777" w:rsidR="00993A94" w:rsidRPr="000C5050" w:rsidRDefault="00993A94" w:rsidP="00095A7C">
      <w:pPr>
        <w:numPr>
          <w:ilvl w:val="0"/>
          <w:numId w:val="25"/>
        </w:numPr>
        <w:spacing w:after="0" w:line="260" w:lineRule="atLeast"/>
        <w:ind w:left="397" w:hanging="397"/>
        <w:jc w:val="left"/>
        <w:rPr>
          <w:rFonts w:eastAsia="Calibri" w:cs="Times New Roman"/>
          <w:lang w:eastAsia="en-US"/>
        </w:rPr>
      </w:pPr>
      <w:r w:rsidRPr="000C5050">
        <w:rPr>
          <w:rFonts w:eastAsia="Calibri" w:cs="Times New Roman"/>
          <w:lang w:eastAsia="en-US"/>
        </w:rPr>
        <w:lastRenderedPageBreak/>
        <w:t>Waste recycling or waste or wastewater treatment</w:t>
      </w:r>
      <w:r w:rsidRPr="000C5050">
        <w:rPr>
          <w:rFonts w:eastAsia="Calibri" w:cs="Times New Roman"/>
          <w:lang w:eastAsia="en-US"/>
        </w:rPr>
        <w:br/>
      </w:r>
      <w:r w:rsidRPr="000C5050">
        <w:rPr>
          <w:rFonts w:eastAsia="Calibri" w:cs="Times New Roman"/>
          <w:i/>
          <w:color w:val="0F7B7D"/>
          <w:lang w:eastAsia="en-US"/>
        </w:rPr>
        <w:t>Waste and wastewater: treatment or recycling</w:t>
      </w:r>
      <w:r w:rsidRPr="000C5050">
        <w:rPr>
          <w:rFonts w:eastAsia="Calibri" w:cs="Times New Roman"/>
          <w:lang w:eastAsia="en-US"/>
        </w:rPr>
        <w:t xml:space="preserve"> </w:t>
      </w:r>
    </w:p>
    <w:p w14:paraId="04625B3B" w14:textId="3BB660B3" w:rsidR="00993A94" w:rsidRPr="000C5050" w:rsidRDefault="00993A94" w:rsidP="000871C1">
      <w:pPr>
        <w:spacing w:line="260" w:lineRule="atLeast"/>
        <w:jc w:val="left"/>
        <w:rPr>
          <w:rFonts w:eastAsia="Calibri" w:cs="Times New Roman"/>
          <w:i/>
          <w:lang w:eastAsia="en-US"/>
        </w:rPr>
      </w:pPr>
      <w:r w:rsidRPr="000C5050">
        <w:rPr>
          <w:rFonts w:eastAsia="Calibri" w:cs="Times New Roman"/>
          <w:i/>
          <w:lang w:eastAsia="en-US"/>
        </w:rPr>
        <w:t xml:space="preserve">Commentary: Examples and descriptions of these types of activities and those with the potential to result in </w:t>
      </w:r>
      <w:r w:rsidR="00D71F06" w:rsidRPr="000C5050">
        <w:rPr>
          <w:rFonts w:eastAsia="Calibri" w:cs="Times New Roman"/>
          <w:i/>
          <w:lang w:eastAsia="en-US"/>
        </w:rPr>
        <w:t>contamination</w:t>
      </w:r>
      <w:r w:rsidRPr="000C5050">
        <w:rPr>
          <w:rFonts w:eastAsia="Calibri" w:cs="Times New Roman"/>
          <w:i/>
          <w:lang w:eastAsia="en-US"/>
        </w:rPr>
        <w:t xml:space="preserve"> will be provided in the guidance document.</w:t>
      </w:r>
    </w:p>
    <w:p w14:paraId="4C5294AA" w14:textId="77777777" w:rsidR="00993A94" w:rsidRPr="000C5050" w:rsidRDefault="00993A94" w:rsidP="000871C1">
      <w:pPr>
        <w:spacing w:before="240" w:after="0" w:line="260" w:lineRule="atLeast"/>
        <w:ind w:left="397" w:hanging="397"/>
        <w:jc w:val="left"/>
        <w:rPr>
          <w:rFonts w:eastAsia="Calibri" w:cs="Times New Roman"/>
          <w:b/>
          <w:lang w:eastAsia="en-US"/>
        </w:rPr>
      </w:pPr>
      <w:r w:rsidRPr="000C5050">
        <w:rPr>
          <w:rFonts w:eastAsia="Calibri" w:cs="Times New Roman"/>
          <w:b/>
          <w:lang w:eastAsia="en-US"/>
        </w:rPr>
        <w:t>H</w:t>
      </w:r>
      <w:r w:rsidRPr="000C5050">
        <w:rPr>
          <w:rFonts w:eastAsia="Calibri" w:cs="Times New Roman"/>
          <w:b/>
          <w:lang w:eastAsia="en-US"/>
        </w:rPr>
        <w:tab/>
        <w:t xml:space="preserve">Any land that has been subject to the migration of hazardous substances from adjacent land in sufficient quantity that it could be a risk to human health or the environment </w:t>
      </w:r>
    </w:p>
    <w:p w14:paraId="171E1A5F" w14:textId="77777777" w:rsidR="00993A94" w:rsidRPr="000C5050" w:rsidRDefault="00993A94" w:rsidP="000871C1">
      <w:pPr>
        <w:spacing w:before="0" w:after="0" w:line="276" w:lineRule="auto"/>
        <w:ind w:left="397" w:hanging="397"/>
        <w:jc w:val="left"/>
        <w:rPr>
          <w:rFonts w:eastAsia="Calibri" w:cs="Times New Roman"/>
          <w:i/>
          <w:color w:val="0F7B7D"/>
          <w:lang w:eastAsia="en-US"/>
        </w:rPr>
      </w:pPr>
      <w:r w:rsidRPr="000C5050">
        <w:rPr>
          <w:rFonts w:eastAsia="Calibri" w:cs="Times New Roman"/>
          <w:color w:val="0F7B7D"/>
          <w:lang w:eastAsia="en-US"/>
        </w:rPr>
        <w:tab/>
      </w:r>
      <w:proofErr w:type="gramStart"/>
      <w:r w:rsidRPr="000C5050">
        <w:rPr>
          <w:rFonts w:eastAsia="Calibri" w:cs="Times New Roman"/>
          <w:b/>
          <w:i/>
          <w:color w:val="0F7B7D"/>
          <w:lang w:eastAsia="en-US"/>
        </w:rPr>
        <w:t>Any land that has been subject to the migration of hazardous substances from adjacent land.</w:t>
      </w:r>
      <w:proofErr w:type="gramEnd"/>
    </w:p>
    <w:p w14:paraId="78E67577" w14:textId="77777777" w:rsidR="00993A94" w:rsidRPr="000C5050" w:rsidRDefault="00993A94" w:rsidP="000871C1">
      <w:pPr>
        <w:spacing w:after="0" w:line="260" w:lineRule="atLeast"/>
        <w:ind w:left="426" w:hanging="426"/>
        <w:jc w:val="left"/>
        <w:rPr>
          <w:rFonts w:eastAsia="Calibri" w:cs="Times New Roman"/>
          <w:b/>
          <w:lang w:eastAsia="en-US"/>
        </w:rPr>
      </w:pPr>
      <w:r w:rsidRPr="000C5050">
        <w:rPr>
          <w:rFonts w:eastAsia="Calibri" w:cs="Times New Roman"/>
          <w:b/>
          <w:lang w:eastAsia="en-US"/>
        </w:rPr>
        <w:t>I</w:t>
      </w:r>
      <w:r w:rsidRPr="000C5050">
        <w:rPr>
          <w:rFonts w:eastAsia="Calibri" w:cs="Times New Roman"/>
          <w:b/>
          <w:lang w:eastAsia="en-US"/>
        </w:rPr>
        <w:tab/>
      </w:r>
      <w:proofErr w:type="gramStart"/>
      <w:r w:rsidRPr="000C5050">
        <w:rPr>
          <w:rFonts w:eastAsia="Calibri" w:cs="Times New Roman"/>
          <w:b/>
          <w:lang w:eastAsia="en-US"/>
        </w:rPr>
        <w:t>Any</w:t>
      </w:r>
      <w:proofErr w:type="gramEnd"/>
      <w:r w:rsidRPr="000C5050">
        <w:rPr>
          <w:rFonts w:eastAsia="Calibri" w:cs="Times New Roman"/>
          <w:b/>
          <w:lang w:eastAsia="en-US"/>
        </w:rPr>
        <w:t xml:space="preserve"> other land that has been subject to the intentional or accidental release of a hazardous substance in sufficient quantity that it could be a risk to human health or the environment</w:t>
      </w:r>
    </w:p>
    <w:p w14:paraId="3C3556F5" w14:textId="77777777" w:rsidR="00993A94" w:rsidRPr="000C5050" w:rsidRDefault="00993A94" w:rsidP="000871C1">
      <w:pPr>
        <w:spacing w:before="0"/>
        <w:ind w:left="397" w:hanging="397"/>
        <w:rPr>
          <w:rFonts w:eastAsia="Calibri" w:cs="Times New Roman"/>
          <w:b/>
          <w:i/>
          <w:color w:val="0F7B7D"/>
          <w:lang w:eastAsia="en-US"/>
        </w:rPr>
      </w:pPr>
      <w:r w:rsidRPr="000C5050">
        <w:rPr>
          <w:rFonts w:eastAsia="Calibri" w:cs="Times New Roman"/>
          <w:b/>
          <w:lang w:eastAsia="en-US"/>
        </w:rPr>
        <w:tab/>
      </w:r>
      <w:proofErr w:type="gramStart"/>
      <w:r w:rsidRPr="000C5050">
        <w:rPr>
          <w:rFonts w:eastAsia="Calibri" w:cs="Times New Roman"/>
          <w:b/>
          <w:i/>
          <w:color w:val="0F7B7D"/>
          <w:lang w:eastAsia="en-US"/>
        </w:rPr>
        <w:t>Any land that has been subject to the intentional or accidental release of a hazardous substance.</w:t>
      </w:r>
      <w:proofErr w:type="gramEnd"/>
    </w:p>
    <w:p w14:paraId="6555D13D" w14:textId="77777777" w:rsidR="000113BC" w:rsidRPr="000C5050" w:rsidRDefault="000113BC" w:rsidP="000113BC">
      <w:pPr>
        <w:pStyle w:val="BodyText"/>
        <w:sectPr w:rsidR="000113BC" w:rsidRPr="000C5050" w:rsidSect="00741FD0">
          <w:headerReference w:type="even" r:id="rId26"/>
          <w:headerReference w:type="default" r:id="rId27"/>
          <w:footerReference w:type="even" r:id="rId28"/>
          <w:footerReference w:type="default" r:id="rId29"/>
          <w:endnotePr>
            <w:numFmt w:val="decimal"/>
          </w:endnotePr>
          <w:pgSz w:w="11907" w:h="16840" w:code="9"/>
          <w:pgMar w:top="1134" w:right="1418" w:bottom="1134" w:left="1418" w:header="567" w:footer="567" w:gutter="567"/>
          <w:cols w:space="720"/>
        </w:sectPr>
      </w:pPr>
    </w:p>
    <w:p w14:paraId="28490201" w14:textId="77777777" w:rsidR="000113BC" w:rsidRPr="000C5050" w:rsidRDefault="000113BC" w:rsidP="00CE4162">
      <w:pPr>
        <w:pStyle w:val="Heading1"/>
        <w:spacing w:after="360"/>
        <w:ind w:left="0" w:firstLine="0"/>
      </w:pPr>
      <w:bookmarkStart w:id="65" w:name="_Toc460081257"/>
      <w:r w:rsidRPr="000C5050">
        <w:lastRenderedPageBreak/>
        <w:t>Appendix 4 – Proposed changes to the NESCS activities and planning controls by activity classification</w:t>
      </w:r>
      <w:bookmarkEnd w:id="65"/>
    </w:p>
    <w:tbl>
      <w:tblPr>
        <w:tblStyle w:val="TableGrid"/>
        <w:tblW w:w="14515" w:type="dxa"/>
        <w:tblInd w:w="85" w:type="dxa"/>
        <w:tblBorders>
          <w:top w:val="single" w:sz="4" w:space="0" w:color="593731"/>
          <w:left w:val="none" w:sz="0" w:space="0" w:color="auto"/>
          <w:bottom w:val="single" w:sz="4" w:space="0" w:color="593731"/>
          <w:right w:val="none" w:sz="0" w:space="0" w:color="auto"/>
          <w:insideH w:val="single" w:sz="4" w:space="0" w:color="593731"/>
          <w:insideV w:val="single" w:sz="4" w:space="0" w:color="593731"/>
        </w:tblBorders>
        <w:tblLayout w:type="fixed"/>
        <w:tblLook w:val="04A0" w:firstRow="1" w:lastRow="0" w:firstColumn="1" w:lastColumn="0" w:noHBand="0" w:noVBand="1"/>
      </w:tblPr>
      <w:tblGrid>
        <w:gridCol w:w="1866"/>
        <w:gridCol w:w="1843"/>
        <w:gridCol w:w="1701"/>
        <w:gridCol w:w="3260"/>
        <w:gridCol w:w="3969"/>
        <w:gridCol w:w="1876"/>
      </w:tblGrid>
      <w:tr w:rsidR="00CD696B" w:rsidRPr="000C5050" w14:paraId="2C3CD3CD" w14:textId="77777777" w:rsidTr="000D5E13">
        <w:trPr>
          <w:tblHeader/>
        </w:trPr>
        <w:tc>
          <w:tcPr>
            <w:tcW w:w="1866" w:type="dxa"/>
            <w:tcBorders>
              <w:top w:val="single" w:sz="4" w:space="0" w:color="17556C"/>
              <w:bottom w:val="single" w:sz="4" w:space="0" w:color="17556C"/>
              <w:right w:val="single" w:sz="4" w:space="0" w:color="17556C"/>
            </w:tcBorders>
            <w:shd w:val="clear" w:color="auto" w:fill="17556C"/>
            <w:vAlign w:val="bottom"/>
          </w:tcPr>
          <w:p w14:paraId="13DEA8F9" w14:textId="77777777" w:rsidR="008572A1" w:rsidRPr="000C5050" w:rsidRDefault="008572A1" w:rsidP="00CD696B">
            <w:pPr>
              <w:pStyle w:val="TableTextbold"/>
              <w:rPr>
                <w:color w:val="FFFFFF" w:themeColor="background1"/>
              </w:rPr>
            </w:pPr>
            <w:r w:rsidRPr="000C5050">
              <w:rPr>
                <w:color w:val="FFFFFF" w:themeColor="background1"/>
              </w:rPr>
              <w:t>Activity classification</w:t>
            </w:r>
          </w:p>
        </w:tc>
        <w:tc>
          <w:tcPr>
            <w:tcW w:w="1843" w:type="dxa"/>
            <w:tcBorders>
              <w:top w:val="single" w:sz="4" w:space="0" w:color="17556C"/>
              <w:left w:val="single" w:sz="4" w:space="0" w:color="17556C"/>
              <w:bottom w:val="single" w:sz="4" w:space="0" w:color="17556C"/>
              <w:right w:val="single" w:sz="4" w:space="0" w:color="17556C"/>
            </w:tcBorders>
            <w:shd w:val="clear" w:color="auto" w:fill="17556C"/>
            <w:vAlign w:val="bottom"/>
          </w:tcPr>
          <w:p w14:paraId="60050C4E" w14:textId="77777777" w:rsidR="008572A1" w:rsidRPr="000C5050" w:rsidRDefault="008572A1" w:rsidP="00CD696B">
            <w:pPr>
              <w:pStyle w:val="TableTextbold"/>
              <w:rPr>
                <w:color w:val="FFFFFF" w:themeColor="background1"/>
              </w:rPr>
            </w:pPr>
            <w:r w:rsidRPr="000C5050">
              <w:rPr>
                <w:color w:val="FFFFFF" w:themeColor="background1"/>
              </w:rPr>
              <w:t xml:space="preserve">Land use (residential, rural residential </w:t>
            </w:r>
            <w:proofErr w:type="spellStart"/>
            <w:r w:rsidRPr="000C5050">
              <w:rPr>
                <w:color w:val="FFFFFF" w:themeColor="background1"/>
              </w:rPr>
              <w:t>etc</w:t>
            </w:r>
            <w:proofErr w:type="spellEnd"/>
            <w:r w:rsidRPr="000C5050">
              <w:rPr>
                <w:color w:val="FFFFFF" w:themeColor="background1"/>
              </w:rPr>
              <w:t>)</w:t>
            </w:r>
          </w:p>
        </w:tc>
        <w:tc>
          <w:tcPr>
            <w:tcW w:w="1701" w:type="dxa"/>
            <w:tcBorders>
              <w:top w:val="single" w:sz="4" w:space="0" w:color="17556C"/>
              <w:left w:val="single" w:sz="4" w:space="0" w:color="17556C"/>
              <w:bottom w:val="single" w:sz="4" w:space="0" w:color="17556C"/>
              <w:right w:val="single" w:sz="4" w:space="0" w:color="17556C"/>
            </w:tcBorders>
            <w:shd w:val="clear" w:color="auto" w:fill="17556C"/>
            <w:vAlign w:val="bottom"/>
          </w:tcPr>
          <w:p w14:paraId="3CB600DA" w14:textId="77777777" w:rsidR="008572A1" w:rsidRPr="000C5050" w:rsidRDefault="008572A1" w:rsidP="00CD696B">
            <w:pPr>
              <w:pStyle w:val="TableTextbold"/>
              <w:rPr>
                <w:color w:val="FFFFFF" w:themeColor="background1"/>
              </w:rPr>
            </w:pPr>
            <w:r w:rsidRPr="000C5050">
              <w:rPr>
                <w:color w:val="FFFFFF" w:themeColor="background1"/>
              </w:rPr>
              <w:t xml:space="preserve">Activity </w:t>
            </w:r>
          </w:p>
        </w:tc>
        <w:tc>
          <w:tcPr>
            <w:tcW w:w="3260" w:type="dxa"/>
            <w:tcBorders>
              <w:top w:val="single" w:sz="4" w:space="0" w:color="17556C"/>
              <w:left w:val="single" w:sz="4" w:space="0" w:color="17556C"/>
              <w:bottom w:val="single" w:sz="4" w:space="0" w:color="17556C"/>
              <w:right w:val="single" w:sz="4" w:space="0" w:color="17556C"/>
            </w:tcBorders>
            <w:shd w:val="clear" w:color="auto" w:fill="17556C"/>
            <w:vAlign w:val="bottom"/>
          </w:tcPr>
          <w:p w14:paraId="2D4B6FFB" w14:textId="77777777" w:rsidR="008572A1" w:rsidRPr="000C5050" w:rsidRDefault="008572A1" w:rsidP="00CD696B">
            <w:pPr>
              <w:pStyle w:val="TableTextbold"/>
              <w:rPr>
                <w:color w:val="FFFFFF" w:themeColor="background1"/>
              </w:rPr>
            </w:pPr>
            <w:r w:rsidRPr="000C5050">
              <w:rPr>
                <w:color w:val="FFFFFF" w:themeColor="background1"/>
              </w:rPr>
              <w:t>Testing requirements</w:t>
            </w:r>
          </w:p>
        </w:tc>
        <w:tc>
          <w:tcPr>
            <w:tcW w:w="3969" w:type="dxa"/>
            <w:tcBorders>
              <w:top w:val="single" w:sz="4" w:space="0" w:color="17556C"/>
              <w:left w:val="single" w:sz="4" w:space="0" w:color="17556C"/>
              <w:bottom w:val="single" w:sz="4" w:space="0" w:color="17556C"/>
              <w:right w:val="single" w:sz="4" w:space="0" w:color="17556C"/>
            </w:tcBorders>
            <w:shd w:val="clear" w:color="auto" w:fill="17556C"/>
            <w:vAlign w:val="bottom"/>
          </w:tcPr>
          <w:p w14:paraId="4213C048" w14:textId="77777777" w:rsidR="008572A1" w:rsidRPr="000C5050" w:rsidRDefault="008572A1" w:rsidP="00CD696B">
            <w:pPr>
              <w:pStyle w:val="TableTextbold"/>
              <w:rPr>
                <w:color w:val="FFFFFF" w:themeColor="background1"/>
              </w:rPr>
            </w:pPr>
            <w:r w:rsidRPr="000C5050">
              <w:rPr>
                <w:color w:val="FFFFFF" w:themeColor="background1"/>
              </w:rPr>
              <w:t>Other requirements</w:t>
            </w:r>
          </w:p>
        </w:tc>
        <w:tc>
          <w:tcPr>
            <w:tcW w:w="1876" w:type="dxa"/>
            <w:tcBorders>
              <w:top w:val="single" w:sz="4" w:space="0" w:color="17556C"/>
              <w:left w:val="single" w:sz="4" w:space="0" w:color="17556C"/>
              <w:bottom w:val="single" w:sz="4" w:space="0" w:color="17556C"/>
            </w:tcBorders>
            <w:shd w:val="clear" w:color="auto" w:fill="17556C"/>
            <w:vAlign w:val="bottom"/>
          </w:tcPr>
          <w:p w14:paraId="0AC46AAB" w14:textId="77777777" w:rsidR="008572A1" w:rsidRPr="000C5050" w:rsidRDefault="008572A1" w:rsidP="00CD696B">
            <w:pPr>
              <w:pStyle w:val="TableTextbold"/>
              <w:rPr>
                <w:color w:val="FFFFFF" w:themeColor="background1"/>
              </w:rPr>
            </w:pPr>
            <w:r w:rsidRPr="000C5050">
              <w:rPr>
                <w:color w:val="FFFFFF" w:themeColor="background1"/>
              </w:rPr>
              <w:t>Change from status quo?</w:t>
            </w:r>
          </w:p>
        </w:tc>
      </w:tr>
      <w:tr w:rsidR="00CE4162" w:rsidRPr="000C5050" w14:paraId="718E7A47" w14:textId="77777777" w:rsidTr="000D5E13">
        <w:tc>
          <w:tcPr>
            <w:tcW w:w="1866" w:type="dxa"/>
            <w:vMerge w:val="restart"/>
            <w:tcBorders>
              <w:top w:val="single" w:sz="4" w:space="0" w:color="17556C"/>
              <w:bottom w:val="single" w:sz="4" w:space="0" w:color="17556C"/>
              <w:right w:val="single" w:sz="4" w:space="0" w:color="17556C"/>
            </w:tcBorders>
            <w:shd w:val="clear" w:color="auto" w:fill="A4BBC4"/>
            <w:vAlign w:val="center"/>
          </w:tcPr>
          <w:p w14:paraId="3496235C" w14:textId="77777777" w:rsidR="008572A1" w:rsidRPr="000C5050" w:rsidRDefault="008572A1" w:rsidP="00CD696B">
            <w:pPr>
              <w:pStyle w:val="Tabletext"/>
            </w:pPr>
            <w:r w:rsidRPr="000C5050">
              <w:t>Permitted</w:t>
            </w:r>
          </w:p>
        </w:tc>
        <w:tc>
          <w:tcPr>
            <w:tcW w:w="1843" w:type="dxa"/>
            <w:vMerge w:val="restart"/>
            <w:tcBorders>
              <w:top w:val="single" w:sz="4" w:space="0" w:color="17556C"/>
              <w:left w:val="single" w:sz="4" w:space="0" w:color="17556C"/>
              <w:bottom w:val="single" w:sz="4" w:space="0" w:color="17556C"/>
              <w:right w:val="single" w:sz="4" w:space="0" w:color="17556C"/>
            </w:tcBorders>
            <w:shd w:val="clear" w:color="auto" w:fill="A4BBC4"/>
            <w:vAlign w:val="center"/>
          </w:tcPr>
          <w:p w14:paraId="7ED749A0" w14:textId="77777777" w:rsidR="008572A1" w:rsidRPr="000C5050" w:rsidRDefault="008572A1" w:rsidP="00CD696B">
            <w:pPr>
              <w:pStyle w:val="Tabletext"/>
            </w:pPr>
            <w:r w:rsidRPr="000C5050">
              <w:t>Any land use</w:t>
            </w:r>
          </w:p>
        </w:tc>
        <w:tc>
          <w:tcPr>
            <w:tcW w:w="1701" w:type="dxa"/>
            <w:tcBorders>
              <w:top w:val="single" w:sz="4" w:space="0" w:color="17556C"/>
              <w:left w:val="single" w:sz="4" w:space="0" w:color="17556C"/>
              <w:bottom w:val="single" w:sz="4" w:space="0" w:color="17556C"/>
              <w:right w:val="single" w:sz="4" w:space="0" w:color="17556C"/>
            </w:tcBorders>
            <w:shd w:val="clear" w:color="auto" w:fill="A4BBC4"/>
          </w:tcPr>
          <w:p w14:paraId="24306AB9" w14:textId="77777777" w:rsidR="008572A1" w:rsidRPr="000C5050" w:rsidRDefault="008572A1" w:rsidP="00CD696B">
            <w:pPr>
              <w:pStyle w:val="Tabletext"/>
            </w:pPr>
            <w:r w:rsidRPr="000C5050">
              <w:t>All except disposal of soil (which is controlled)</w:t>
            </w:r>
          </w:p>
        </w:tc>
        <w:tc>
          <w:tcPr>
            <w:tcW w:w="3260" w:type="dxa"/>
            <w:tcBorders>
              <w:top w:val="single" w:sz="4" w:space="0" w:color="17556C"/>
              <w:left w:val="single" w:sz="4" w:space="0" w:color="17556C"/>
              <w:bottom w:val="single" w:sz="4" w:space="0" w:color="17556C"/>
              <w:right w:val="single" w:sz="4" w:space="0" w:color="17556C"/>
            </w:tcBorders>
            <w:shd w:val="clear" w:color="auto" w:fill="A4BBC4"/>
          </w:tcPr>
          <w:p w14:paraId="707B0EC0" w14:textId="74D83F34" w:rsidR="008572A1" w:rsidRPr="000C5050" w:rsidRDefault="0027012D" w:rsidP="00237503">
            <w:pPr>
              <w:pStyle w:val="Tabletext"/>
            </w:pPr>
            <w:r w:rsidRPr="000C5050">
              <w:t>DSI</w:t>
            </w:r>
            <w:r w:rsidR="008572A1" w:rsidRPr="000C5050">
              <w:t xml:space="preserve"> – finds contamination is below </w:t>
            </w:r>
            <w:r w:rsidR="00237503" w:rsidRPr="000C5050">
              <w:t>soil contaminant standards or Tier 1 soil acceptance criteria</w:t>
            </w:r>
          </w:p>
        </w:tc>
        <w:tc>
          <w:tcPr>
            <w:tcW w:w="3969" w:type="dxa"/>
            <w:tcBorders>
              <w:top w:val="single" w:sz="4" w:space="0" w:color="17556C"/>
              <w:left w:val="single" w:sz="4" w:space="0" w:color="17556C"/>
              <w:bottom w:val="single" w:sz="4" w:space="0" w:color="17556C"/>
              <w:right w:val="single" w:sz="4" w:space="0" w:color="17556C"/>
            </w:tcBorders>
            <w:shd w:val="clear" w:color="auto" w:fill="A4BBC4"/>
          </w:tcPr>
          <w:p w14:paraId="3BF1C9E5" w14:textId="77777777" w:rsidR="008572A1" w:rsidRPr="000C5050" w:rsidRDefault="008572A1" w:rsidP="00CE4162">
            <w:pPr>
              <w:pStyle w:val="Tabletext"/>
              <w:spacing w:after="40"/>
            </w:pPr>
            <w:r w:rsidRPr="000C5050">
              <w:t>Copy of DSI to be provided to council</w:t>
            </w:r>
          </w:p>
          <w:p w14:paraId="45DB30A1" w14:textId="77777777" w:rsidR="008572A1" w:rsidRPr="000C5050" w:rsidRDefault="008572A1" w:rsidP="00CE4162">
            <w:pPr>
              <w:pStyle w:val="Tabletext"/>
              <w:spacing w:before="40"/>
            </w:pPr>
            <w:r w:rsidRPr="000C5050">
              <w:t xml:space="preserve">For soil disturbance and fuel tank removals, controls in place to prevent discharges to environment and minimise exposure to people </w:t>
            </w:r>
          </w:p>
        </w:tc>
        <w:tc>
          <w:tcPr>
            <w:tcW w:w="1876" w:type="dxa"/>
            <w:tcBorders>
              <w:top w:val="single" w:sz="4" w:space="0" w:color="17556C"/>
              <w:left w:val="single" w:sz="4" w:space="0" w:color="17556C"/>
              <w:bottom w:val="single" w:sz="4" w:space="0" w:color="17556C"/>
            </w:tcBorders>
            <w:shd w:val="clear" w:color="auto" w:fill="A4BBC4"/>
          </w:tcPr>
          <w:p w14:paraId="04E5738C" w14:textId="77777777" w:rsidR="008572A1" w:rsidRPr="000C5050" w:rsidRDefault="008572A1" w:rsidP="00CD696B">
            <w:pPr>
              <w:pStyle w:val="Tabletext"/>
            </w:pPr>
            <w:r w:rsidRPr="000C5050">
              <w:t>Yes</w:t>
            </w:r>
          </w:p>
        </w:tc>
      </w:tr>
      <w:tr w:rsidR="00CE4162" w:rsidRPr="000C5050" w14:paraId="60641AA2" w14:textId="77777777" w:rsidTr="000D5E13">
        <w:tc>
          <w:tcPr>
            <w:tcW w:w="1866" w:type="dxa"/>
            <w:vMerge/>
            <w:tcBorders>
              <w:top w:val="single" w:sz="4" w:space="0" w:color="17556C"/>
              <w:bottom w:val="single" w:sz="4" w:space="0" w:color="17556C"/>
              <w:right w:val="single" w:sz="4" w:space="0" w:color="17556C"/>
            </w:tcBorders>
            <w:shd w:val="clear" w:color="auto" w:fill="A4BBC4"/>
          </w:tcPr>
          <w:p w14:paraId="01F5ED62" w14:textId="77777777" w:rsidR="008572A1" w:rsidRPr="000C5050" w:rsidRDefault="008572A1" w:rsidP="00CD696B">
            <w:pPr>
              <w:pStyle w:val="Tabletext"/>
            </w:pPr>
          </w:p>
        </w:tc>
        <w:tc>
          <w:tcPr>
            <w:tcW w:w="1843" w:type="dxa"/>
            <w:vMerge/>
            <w:tcBorders>
              <w:left w:val="single" w:sz="4" w:space="0" w:color="17556C"/>
              <w:bottom w:val="single" w:sz="4" w:space="0" w:color="17556C"/>
              <w:right w:val="single" w:sz="4" w:space="0" w:color="17556C"/>
            </w:tcBorders>
            <w:shd w:val="clear" w:color="auto" w:fill="A4BBC4"/>
          </w:tcPr>
          <w:p w14:paraId="52A0782E" w14:textId="77777777" w:rsidR="008572A1" w:rsidRPr="000C5050" w:rsidRDefault="008572A1" w:rsidP="00CD696B">
            <w:pPr>
              <w:pStyle w:val="Tabletext"/>
            </w:pPr>
          </w:p>
        </w:tc>
        <w:tc>
          <w:tcPr>
            <w:tcW w:w="1701" w:type="dxa"/>
            <w:tcBorders>
              <w:top w:val="single" w:sz="4" w:space="0" w:color="17556C"/>
              <w:left w:val="single" w:sz="4" w:space="0" w:color="17556C"/>
              <w:bottom w:val="single" w:sz="4" w:space="0" w:color="17556C"/>
              <w:right w:val="single" w:sz="4" w:space="0" w:color="17556C"/>
            </w:tcBorders>
            <w:shd w:val="clear" w:color="auto" w:fill="A4BBC4"/>
          </w:tcPr>
          <w:p w14:paraId="712F63A9" w14:textId="77777777" w:rsidR="008572A1" w:rsidRPr="000C5050" w:rsidRDefault="008572A1" w:rsidP="00CD696B">
            <w:pPr>
              <w:pStyle w:val="Tabletext"/>
            </w:pPr>
            <w:r w:rsidRPr="000C5050">
              <w:t>Soil disturbance – small scale</w:t>
            </w:r>
          </w:p>
        </w:tc>
        <w:tc>
          <w:tcPr>
            <w:tcW w:w="3260" w:type="dxa"/>
            <w:tcBorders>
              <w:top w:val="single" w:sz="4" w:space="0" w:color="17556C"/>
              <w:left w:val="single" w:sz="4" w:space="0" w:color="17556C"/>
              <w:bottom w:val="single" w:sz="4" w:space="0" w:color="17556C"/>
              <w:right w:val="single" w:sz="4" w:space="0" w:color="17556C"/>
            </w:tcBorders>
            <w:shd w:val="clear" w:color="auto" w:fill="A4BBC4"/>
          </w:tcPr>
          <w:p w14:paraId="420F5144" w14:textId="77777777" w:rsidR="008572A1" w:rsidRPr="000C5050" w:rsidRDefault="008572A1" w:rsidP="00CD696B">
            <w:pPr>
              <w:pStyle w:val="Tabletext"/>
            </w:pPr>
            <w:r w:rsidRPr="000C5050">
              <w:t>None</w:t>
            </w:r>
          </w:p>
        </w:tc>
        <w:tc>
          <w:tcPr>
            <w:tcW w:w="3969" w:type="dxa"/>
            <w:tcBorders>
              <w:top w:val="single" w:sz="4" w:space="0" w:color="17556C"/>
              <w:left w:val="single" w:sz="4" w:space="0" w:color="17556C"/>
              <w:bottom w:val="single" w:sz="4" w:space="0" w:color="17556C"/>
              <w:right w:val="single" w:sz="4" w:space="0" w:color="17556C"/>
            </w:tcBorders>
            <w:shd w:val="clear" w:color="auto" w:fill="A4BBC4"/>
          </w:tcPr>
          <w:p w14:paraId="60AD75BE" w14:textId="77777777" w:rsidR="008572A1" w:rsidRPr="000C5050" w:rsidRDefault="008572A1" w:rsidP="00CE4162">
            <w:pPr>
              <w:pStyle w:val="Tabletext"/>
            </w:pPr>
            <w:r w:rsidRPr="000C5050">
              <w:t>Soil disturbance can be undertaken as a permitted activity without testing up to a volume threshold</w:t>
            </w:r>
          </w:p>
        </w:tc>
        <w:tc>
          <w:tcPr>
            <w:tcW w:w="1876" w:type="dxa"/>
            <w:tcBorders>
              <w:top w:val="single" w:sz="4" w:space="0" w:color="17556C"/>
              <w:left w:val="single" w:sz="4" w:space="0" w:color="17556C"/>
              <w:bottom w:val="single" w:sz="4" w:space="0" w:color="17556C"/>
            </w:tcBorders>
            <w:shd w:val="clear" w:color="auto" w:fill="A4BBC4"/>
          </w:tcPr>
          <w:p w14:paraId="798AE445" w14:textId="77777777" w:rsidR="008572A1" w:rsidRPr="000C5050" w:rsidRDefault="008572A1" w:rsidP="00CD696B">
            <w:pPr>
              <w:pStyle w:val="Tabletext"/>
              <w:rPr>
                <w:i/>
              </w:rPr>
            </w:pPr>
            <w:r w:rsidRPr="000C5050">
              <w:rPr>
                <w:i/>
              </w:rPr>
              <w:t>Yes – minor changes to wording to clarify application</w:t>
            </w:r>
          </w:p>
        </w:tc>
      </w:tr>
      <w:tr w:rsidR="00CE4162" w:rsidRPr="000C5050" w14:paraId="2D5E8111" w14:textId="77777777" w:rsidTr="000D5E13">
        <w:tc>
          <w:tcPr>
            <w:tcW w:w="1866" w:type="dxa"/>
            <w:vMerge/>
            <w:tcBorders>
              <w:top w:val="single" w:sz="4" w:space="0" w:color="17556C"/>
              <w:bottom w:val="single" w:sz="4" w:space="0" w:color="17556C"/>
              <w:right w:val="single" w:sz="4" w:space="0" w:color="17556C"/>
            </w:tcBorders>
            <w:shd w:val="clear" w:color="auto" w:fill="A4BBC4"/>
          </w:tcPr>
          <w:p w14:paraId="7B5EA485" w14:textId="77777777" w:rsidR="008572A1" w:rsidRPr="000C5050" w:rsidRDefault="008572A1" w:rsidP="00CD696B">
            <w:pPr>
              <w:pStyle w:val="Tabletext"/>
            </w:pPr>
          </w:p>
        </w:tc>
        <w:tc>
          <w:tcPr>
            <w:tcW w:w="1843" w:type="dxa"/>
            <w:vMerge/>
            <w:tcBorders>
              <w:left w:val="single" w:sz="4" w:space="0" w:color="17556C"/>
              <w:bottom w:val="single" w:sz="4" w:space="0" w:color="17556C"/>
              <w:right w:val="single" w:sz="4" w:space="0" w:color="17556C"/>
            </w:tcBorders>
            <w:shd w:val="clear" w:color="auto" w:fill="A4BBC4"/>
          </w:tcPr>
          <w:p w14:paraId="78DA8331" w14:textId="77777777" w:rsidR="008572A1" w:rsidRPr="000C5050" w:rsidRDefault="008572A1" w:rsidP="00CD696B">
            <w:pPr>
              <w:pStyle w:val="Tabletext"/>
            </w:pPr>
          </w:p>
        </w:tc>
        <w:tc>
          <w:tcPr>
            <w:tcW w:w="1701" w:type="dxa"/>
            <w:tcBorders>
              <w:top w:val="single" w:sz="4" w:space="0" w:color="17556C"/>
              <w:left w:val="single" w:sz="4" w:space="0" w:color="17556C"/>
              <w:bottom w:val="single" w:sz="4" w:space="0" w:color="17556C"/>
              <w:right w:val="single" w:sz="4" w:space="0" w:color="17556C"/>
            </w:tcBorders>
            <w:shd w:val="clear" w:color="auto" w:fill="A4BBC4"/>
          </w:tcPr>
          <w:p w14:paraId="71E7D8D2" w14:textId="115274EB" w:rsidR="008572A1" w:rsidRPr="000C5050" w:rsidRDefault="008572A1" w:rsidP="00CD696B">
            <w:pPr>
              <w:pStyle w:val="Tabletext"/>
            </w:pPr>
            <w:r w:rsidRPr="000C5050">
              <w:t xml:space="preserve">Soil disturbance – network utility operators </w:t>
            </w:r>
          </w:p>
        </w:tc>
        <w:tc>
          <w:tcPr>
            <w:tcW w:w="3260" w:type="dxa"/>
            <w:tcBorders>
              <w:top w:val="single" w:sz="4" w:space="0" w:color="17556C"/>
              <w:left w:val="single" w:sz="4" w:space="0" w:color="17556C"/>
              <w:bottom w:val="single" w:sz="4" w:space="0" w:color="17556C"/>
              <w:right w:val="single" w:sz="4" w:space="0" w:color="17556C"/>
            </w:tcBorders>
            <w:shd w:val="clear" w:color="auto" w:fill="A4BBC4"/>
          </w:tcPr>
          <w:p w14:paraId="6675F163" w14:textId="77777777" w:rsidR="008572A1" w:rsidRPr="000C5050" w:rsidRDefault="008572A1" w:rsidP="00CD696B">
            <w:pPr>
              <w:pStyle w:val="Tabletext"/>
            </w:pPr>
            <w:r w:rsidRPr="000C5050">
              <w:t>No testing required up front, but results of testing undertaken during course of works to be provided to council</w:t>
            </w:r>
          </w:p>
        </w:tc>
        <w:tc>
          <w:tcPr>
            <w:tcW w:w="3969" w:type="dxa"/>
            <w:tcBorders>
              <w:top w:val="single" w:sz="4" w:space="0" w:color="17556C"/>
              <w:left w:val="single" w:sz="4" w:space="0" w:color="17556C"/>
              <w:bottom w:val="single" w:sz="4" w:space="0" w:color="17556C"/>
              <w:right w:val="single" w:sz="4" w:space="0" w:color="17556C"/>
            </w:tcBorders>
            <w:shd w:val="clear" w:color="auto" w:fill="A4BBC4"/>
          </w:tcPr>
          <w:p w14:paraId="55BA61F8" w14:textId="77777777" w:rsidR="008572A1" w:rsidRPr="000C5050" w:rsidRDefault="008572A1" w:rsidP="00CE4162">
            <w:pPr>
              <w:pStyle w:val="Tabletext"/>
              <w:spacing w:after="40"/>
            </w:pPr>
            <w:r w:rsidRPr="000C5050">
              <w:t>No volume or timeframe limitations</w:t>
            </w:r>
          </w:p>
          <w:p w14:paraId="6A4D3C5C" w14:textId="77777777" w:rsidR="008572A1" w:rsidRPr="000C5050" w:rsidRDefault="008572A1" w:rsidP="00CE4162">
            <w:pPr>
              <w:pStyle w:val="Tabletext"/>
              <w:spacing w:before="40" w:after="40"/>
              <w:rPr>
                <w:i/>
              </w:rPr>
            </w:pPr>
            <w:r w:rsidRPr="000C5050">
              <w:rPr>
                <w:i/>
              </w:rPr>
              <w:t>A site management plan (SMP) must be prepared and available on site, including:</w:t>
            </w:r>
          </w:p>
          <w:p w14:paraId="30118A63" w14:textId="77777777" w:rsidR="008572A1" w:rsidRPr="000C5050" w:rsidRDefault="008572A1" w:rsidP="00CE4162">
            <w:pPr>
              <w:pStyle w:val="Tablebullet"/>
              <w:spacing w:after="40"/>
            </w:pPr>
            <w:r w:rsidRPr="000C5050">
              <w:t>an unexpected discovery protocol</w:t>
            </w:r>
          </w:p>
          <w:p w14:paraId="2BF6C033" w14:textId="77777777" w:rsidR="008572A1" w:rsidRPr="000C5050" w:rsidRDefault="008572A1" w:rsidP="00CE4162">
            <w:pPr>
              <w:pStyle w:val="Tablebullet"/>
              <w:spacing w:after="40"/>
            </w:pPr>
            <w:r w:rsidRPr="000C5050">
              <w:t>sediment and dust control</w:t>
            </w:r>
          </w:p>
          <w:p w14:paraId="34381BE7" w14:textId="77777777" w:rsidR="008572A1" w:rsidRPr="000C5050" w:rsidRDefault="008572A1" w:rsidP="00CE4162">
            <w:pPr>
              <w:pStyle w:val="Tablebullet"/>
              <w:spacing w:after="40"/>
            </w:pPr>
            <w:r w:rsidRPr="000C5050">
              <w:t xml:space="preserve">controls for handling and transport of soil, including testing to be carried out to inform disposal </w:t>
            </w:r>
          </w:p>
          <w:p w14:paraId="6793294F" w14:textId="77777777" w:rsidR="008572A1" w:rsidRPr="000C5050" w:rsidRDefault="008572A1" w:rsidP="00CE4162">
            <w:pPr>
              <w:pStyle w:val="Tablebullet"/>
              <w:spacing w:after="40"/>
            </w:pPr>
            <w:proofErr w:type="gramStart"/>
            <w:r w:rsidRPr="000C5050">
              <w:t>description</w:t>
            </w:r>
            <w:proofErr w:type="gramEnd"/>
            <w:r w:rsidRPr="000C5050">
              <w:t xml:space="preserve"> of the condition in which land will be left on completion.</w:t>
            </w:r>
          </w:p>
          <w:p w14:paraId="13A4A4FA" w14:textId="77777777" w:rsidR="008572A1" w:rsidRPr="000C5050" w:rsidRDefault="008572A1" w:rsidP="00CE4162">
            <w:pPr>
              <w:pStyle w:val="Tabletext"/>
              <w:spacing w:before="40" w:after="40"/>
            </w:pPr>
            <w:r w:rsidRPr="000C5050">
              <w:t>Disposal must be to an appropriate location – council must be notified of location, and provided with testing results.</w:t>
            </w:r>
          </w:p>
          <w:p w14:paraId="2E59C62A" w14:textId="77777777" w:rsidR="008572A1" w:rsidRPr="000C5050" w:rsidRDefault="008572A1" w:rsidP="00CD696B">
            <w:pPr>
              <w:pStyle w:val="Tabletext"/>
              <w:rPr>
                <w:i/>
              </w:rPr>
            </w:pPr>
            <w:r w:rsidRPr="000C5050">
              <w:t>Notification to council prior to works.</w:t>
            </w:r>
          </w:p>
        </w:tc>
        <w:tc>
          <w:tcPr>
            <w:tcW w:w="1876" w:type="dxa"/>
            <w:tcBorders>
              <w:top w:val="single" w:sz="4" w:space="0" w:color="17556C"/>
              <w:left w:val="single" w:sz="4" w:space="0" w:color="17556C"/>
              <w:bottom w:val="single" w:sz="4" w:space="0" w:color="17556C"/>
            </w:tcBorders>
            <w:shd w:val="clear" w:color="auto" w:fill="A4BBC4"/>
          </w:tcPr>
          <w:p w14:paraId="45140DB4" w14:textId="77777777" w:rsidR="008572A1" w:rsidRPr="000C5050" w:rsidRDefault="008572A1" w:rsidP="00CD696B">
            <w:pPr>
              <w:pStyle w:val="Tabletext"/>
              <w:rPr>
                <w:i/>
              </w:rPr>
            </w:pPr>
            <w:r w:rsidRPr="000C5050">
              <w:t xml:space="preserve">Yes </w:t>
            </w:r>
          </w:p>
        </w:tc>
      </w:tr>
      <w:tr w:rsidR="00CE4162" w:rsidRPr="000C5050" w14:paraId="20583DB5" w14:textId="77777777" w:rsidTr="000D5E13">
        <w:tc>
          <w:tcPr>
            <w:tcW w:w="1866" w:type="dxa"/>
            <w:vMerge/>
            <w:tcBorders>
              <w:top w:val="single" w:sz="4" w:space="0" w:color="17556C"/>
              <w:bottom w:val="single" w:sz="4" w:space="0" w:color="17556C"/>
              <w:right w:val="single" w:sz="4" w:space="0" w:color="17556C"/>
            </w:tcBorders>
            <w:shd w:val="clear" w:color="auto" w:fill="A4BBC4"/>
          </w:tcPr>
          <w:p w14:paraId="1D8A3861" w14:textId="77777777" w:rsidR="008572A1" w:rsidRPr="000C5050" w:rsidRDefault="008572A1" w:rsidP="00CD696B">
            <w:pPr>
              <w:pStyle w:val="Tabletext"/>
            </w:pPr>
          </w:p>
        </w:tc>
        <w:tc>
          <w:tcPr>
            <w:tcW w:w="1843" w:type="dxa"/>
            <w:vMerge/>
            <w:tcBorders>
              <w:left w:val="single" w:sz="4" w:space="0" w:color="17556C"/>
              <w:bottom w:val="single" w:sz="4" w:space="0" w:color="17556C"/>
              <w:right w:val="single" w:sz="4" w:space="0" w:color="17556C"/>
            </w:tcBorders>
            <w:shd w:val="clear" w:color="auto" w:fill="A4BBC4"/>
          </w:tcPr>
          <w:p w14:paraId="5AA1947D" w14:textId="77777777" w:rsidR="008572A1" w:rsidRPr="000C5050" w:rsidRDefault="008572A1" w:rsidP="00CD696B">
            <w:pPr>
              <w:pStyle w:val="Tabletext"/>
            </w:pPr>
          </w:p>
        </w:tc>
        <w:tc>
          <w:tcPr>
            <w:tcW w:w="1701" w:type="dxa"/>
            <w:tcBorders>
              <w:top w:val="single" w:sz="4" w:space="0" w:color="17556C"/>
              <w:left w:val="single" w:sz="4" w:space="0" w:color="17556C"/>
              <w:bottom w:val="single" w:sz="4" w:space="0" w:color="17556C"/>
              <w:right w:val="single" w:sz="4" w:space="0" w:color="17556C"/>
            </w:tcBorders>
            <w:shd w:val="clear" w:color="auto" w:fill="A4BBC4"/>
          </w:tcPr>
          <w:p w14:paraId="03CA628B" w14:textId="77777777" w:rsidR="008572A1" w:rsidRPr="000C5050" w:rsidRDefault="008572A1" w:rsidP="00CD696B">
            <w:pPr>
              <w:pStyle w:val="Tabletext"/>
            </w:pPr>
            <w:r w:rsidRPr="000C5050">
              <w:t>Subdivision and change of use</w:t>
            </w:r>
          </w:p>
        </w:tc>
        <w:tc>
          <w:tcPr>
            <w:tcW w:w="3260" w:type="dxa"/>
            <w:tcBorders>
              <w:top w:val="single" w:sz="4" w:space="0" w:color="17556C"/>
              <w:left w:val="single" w:sz="4" w:space="0" w:color="17556C"/>
              <w:bottom w:val="single" w:sz="4" w:space="0" w:color="17556C"/>
              <w:right w:val="single" w:sz="4" w:space="0" w:color="17556C"/>
            </w:tcBorders>
            <w:shd w:val="clear" w:color="auto" w:fill="A4BBC4"/>
          </w:tcPr>
          <w:p w14:paraId="06332DE4" w14:textId="0756D104" w:rsidR="008572A1" w:rsidRPr="000C5050" w:rsidRDefault="0027012D" w:rsidP="00981A10">
            <w:pPr>
              <w:pStyle w:val="Tabletext"/>
            </w:pPr>
            <w:r w:rsidRPr="000C5050">
              <w:t>PSI</w:t>
            </w:r>
            <w:r w:rsidR="008572A1" w:rsidRPr="000C5050">
              <w:t xml:space="preserve"> – </w:t>
            </w:r>
            <w:r w:rsidR="00981A10" w:rsidRPr="000C5050">
              <w:t xml:space="preserve">demonstrates that the </w:t>
            </w:r>
            <w:r w:rsidR="008572A1" w:rsidRPr="000C5050">
              <w:t xml:space="preserve">activity is highly unlikely to </w:t>
            </w:r>
            <w:r w:rsidR="008572A1" w:rsidRPr="000C5050">
              <w:rPr>
                <w:i/>
              </w:rPr>
              <w:t>increase</w:t>
            </w:r>
            <w:r w:rsidR="008572A1" w:rsidRPr="000C5050">
              <w:t xml:space="preserve"> risks to health (</w:t>
            </w:r>
            <w:r w:rsidR="00321D77" w:rsidRPr="000C5050">
              <w:t>if Option 2 of proposal 5.3 is adopted</w:t>
            </w:r>
            <w:r w:rsidR="008572A1" w:rsidRPr="000C5050">
              <w:t>)</w:t>
            </w:r>
          </w:p>
        </w:tc>
        <w:tc>
          <w:tcPr>
            <w:tcW w:w="3969" w:type="dxa"/>
            <w:tcBorders>
              <w:top w:val="single" w:sz="4" w:space="0" w:color="17556C"/>
              <w:left w:val="single" w:sz="4" w:space="0" w:color="17556C"/>
              <w:bottom w:val="single" w:sz="4" w:space="0" w:color="17556C"/>
              <w:right w:val="single" w:sz="4" w:space="0" w:color="17556C"/>
            </w:tcBorders>
            <w:shd w:val="clear" w:color="auto" w:fill="A4BBC4"/>
          </w:tcPr>
          <w:p w14:paraId="74742A90" w14:textId="289D4A44" w:rsidR="008572A1" w:rsidRPr="000C5050" w:rsidRDefault="008572A1" w:rsidP="0027012D">
            <w:pPr>
              <w:pStyle w:val="Tabletext"/>
            </w:pPr>
            <w:r w:rsidRPr="000C5050">
              <w:t xml:space="preserve">PSI </w:t>
            </w:r>
            <w:r w:rsidR="0027012D" w:rsidRPr="000C5050">
              <w:t>is</w:t>
            </w:r>
            <w:r w:rsidRPr="000C5050">
              <w:t xml:space="preserve"> provided to council etc. See NESCS – no changes proposed.</w:t>
            </w:r>
          </w:p>
        </w:tc>
        <w:tc>
          <w:tcPr>
            <w:tcW w:w="1876" w:type="dxa"/>
            <w:tcBorders>
              <w:top w:val="single" w:sz="4" w:space="0" w:color="17556C"/>
              <w:left w:val="single" w:sz="4" w:space="0" w:color="17556C"/>
              <w:bottom w:val="single" w:sz="4" w:space="0" w:color="17556C"/>
            </w:tcBorders>
            <w:shd w:val="clear" w:color="auto" w:fill="A4BBC4"/>
          </w:tcPr>
          <w:p w14:paraId="2791D2FF" w14:textId="77777777" w:rsidR="008572A1" w:rsidRPr="000C5050" w:rsidRDefault="008572A1" w:rsidP="00CD696B">
            <w:pPr>
              <w:pStyle w:val="Tabletext"/>
            </w:pPr>
            <w:r w:rsidRPr="000C5050">
              <w:t xml:space="preserve">Yes – change test to </w:t>
            </w:r>
            <w:r w:rsidR="0081630C" w:rsidRPr="000C5050">
              <w:t>‘</w:t>
            </w:r>
            <w:r w:rsidRPr="000C5050">
              <w:t>increase in risk</w:t>
            </w:r>
            <w:r w:rsidR="0081630C" w:rsidRPr="000C5050">
              <w:t>’</w:t>
            </w:r>
          </w:p>
        </w:tc>
      </w:tr>
      <w:tr w:rsidR="00CE4162" w:rsidRPr="000C5050" w14:paraId="2582E7D9" w14:textId="77777777" w:rsidTr="000D5E13">
        <w:tc>
          <w:tcPr>
            <w:tcW w:w="1866" w:type="dxa"/>
            <w:vMerge/>
            <w:tcBorders>
              <w:top w:val="single" w:sz="4" w:space="0" w:color="17556C"/>
              <w:bottom w:val="single" w:sz="4" w:space="0" w:color="17556C"/>
              <w:right w:val="single" w:sz="4" w:space="0" w:color="17556C"/>
            </w:tcBorders>
            <w:shd w:val="clear" w:color="auto" w:fill="A4BBC4"/>
          </w:tcPr>
          <w:p w14:paraId="69A32F89" w14:textId="77777777" w:rsidR="008572A1" w:rsidRPr="000C5050" w:rsidRDefault="008572A1" w:rsidP="00CD696B">
            <w:pPr>
              <w:pStyle w:val="Tabletext"/>
            </w:pPr>
          </w:p>
        </w:tc>
        <w:tc>
          <w:tcPr>
            <w:tcW w:w="1843" w:type="dxa"/>
            <w:vMerge/>
            <w:tcBorders>
              <w:left w:val="single" w:sz="4" w:space="0" w:color="17556C"/>
              <w:bottom w:val="single" w:sz="4" w:space="0" w:color="17556C"/>
              <w:right w:val="single" w:sz="4" w:space="0" w:color="17556C"/>
            </w:tcBorders>
            <w:shd w:val="clear" w:color="auto" w:fill="A4BBC4"/>
          </w:tcPr>
          <w:p w14:paraId="34639906" w14:textId="77777777" w:rsidR="008572A1" w:rsidRPr="000C5050" w:rsidRDefault="008572A1" w:rsidP="00CD696B">
            <w:pPr>
              <w:pStyle w:val="Tabletext"/>
            </w:pPr>
          </w:p>
        </w:tc>
        <w:tc>
          <w:tcPr>
            <w:tcW w:w="1701" w:type="dxa"/>
            <w:tcBorders>
              <w:top w:val="single" w:sz="4" w:space="0" w:color="17556C"/>
              <w:left w:val="single" w:sz="4" w:space="0" w:color="17556C"/>
              <w:bottom w:val="single" w:sz="4" w:space="0" w:color="17556C"/>
              <w:right w:val="single" w:sz="4" w:space="0" w:color="17556C"/>
            </w:tcBorders>
            <w:shd w:val="clear" w:color="auto" w:fill="A4BBC4"/>
          </w:tcPr>
          <w:p w14:paraId="6BF2577D" w14:textId="77777777" w:rsidR="008572A1" w:rsidRPr="000C5050" w:rsidRDefault="008572A1" w:rsidP="002D3410">
            <w:pPr>
              <w:pStyle w:val="Tabletext"/>
              <w:spacing w:before="40" w:after="40"/>
            </w:pPr>
            <w:r w:rsidRPr="000C5050">
              <w:t>Fuel tank removal</w:t>
            </w:r>
          </w:p>
        </w:tc>
        <w:tc>
          <w:tcPr>
            <w:tcW w:w="3260" w:type="dxa"/>
            <w:tcBorders>
              <w:top w:val="single" w:sz="4" w:space="0" w:color="17556C"/>
              <w:left w:val="single" w:sz="4" w:space="0" w:color="17556C"/>
              <w:bottom w:val="single" w:sz="4" w:space="0" w:color="17556C"/>
              <w:right w:val="single" w:sz="4" w:space="0" w:color="17556C"/>
            </w:tcBorders>
            <w:shd w:val="clear" w:color="auto" w:fill="A4BBC4"/>
          </w:tcPr>
          <w:p w14:paraId="4B134E38" w14:textId="77777777" w:rsidR="008572A1" w:rsidRPr="000C5050" w:rsidRDefault="008572A1" w:rsidP="002D3410">
            <w:pPr>
              <w:pStyle w:val="Tabletext"/>
              <w:spacing w:before="40" w:after="40"/>
            </w:pPr>
            <w:r w:rsidRPr="000C5050">
              <w:t>None</w:t>
            </w:r>
          </w:p>
        </w:tc>
        <w:tc>
          <w:tcPr>
            <w:tcW w:w="3969" w:type="dxa"/>
            <w:tcBorders>
              <w:top w:val="single" w:sz="4" w:space="0" w:color="17556C"/>
              <w:left w:val="single" w:sz="4" w:space="0" w:color="17556C"/>
              <w:bottom w:val="single" w:sz="4" w:space="0" w:color="17556C"/>
              <w:right w:val="single" w:sz="4" w:space="0" w:color="17556C"/>
            </w:tcBorders>
            <w:shd w:val="clear" w:color="auto" w:fill="A4BBC4"/>
          </w:tcPr>
          <w:p w14:paraId="3EACA544" w14:textId="77777777" w:rsidR="008572A1" w:rsidRPr="000C5050" w:rsidRDefault="008572A1" w:rsidP="002D3410">
            <w:pPr>
              <w:pStyle w:val="Tabletext"/>
              <w:spacing w:before="40" w:after="40"/>
            </w:pPr>
            <w:r w:rsidRPr="000C5050">
              <w:t>See NESCS – no changes proposed.</w:t>
            </w:r>
          </w:p>
        </w:tc>
        <w:tc>
          <w:tcPr>
            <w:tcW w:w="1876" w:type="dxa"/>
            <w:tcBorders>
              <w:top w:val="single" w:sz="4" w:space="0" w:color="17556C"/>
              <w:left w:val="single" w:sz="4" w:space="0" w:color="17556C"/>
              <w:bottom w:val="single" w:sz="4" w:space="0" w:color="17556C"/>
            </w:tcBorders>
            <w:shd w:val="clear" w:color="auto" w:fill="A4BBC4"/>
          </w:tcPr>
          <w:p w14:paraId="004D0344" w14:textId="77777777" w:rsidR="008572A1" w:rsidRPr="000C5050" w:rsidRDefault="008572A1" w:rsidP="002D3410">
            <w:pPr>
              <w:pStyle w:val="Tabletext"/>
              <w:spacing w:before="40" w:after="40"/>
            </w:pPr>
            <w:r w:rsidRPr="000C5050">
              <w:t>No</w:t>
            </w:r>
          </w:p>
        </w:tc>
      </w:tr>
      <w:tr w:rsidR="00CE4162" w:rsidRPr="000C5050" w14:paraId="7517E20D" w14:textId="77777777" w:rsidTr="000D5E13">
        <w:tc>
          <w:tcPr>
            <w:tcW w:w="1866" w:type="dxa"/>
            <w:vMerge/>
            <w:tcBorders>
              <w:top w:val="single" w:sz="4" w:space="0" w:color="17556C"/>
              <w:bottom w:val="single" w:sz="4" w:space="0" w:color="17556C"/>
              <w:right w:val="single" w:sz="4" w:space="0" w:color="17556C"/>
            </w:tcBorders>
            <w:shd w:val="clear" w:color="auto" w:fill="A4BBC4"/>
          </w:tcPr>
          <w:p w14:paraId="2A0546C1" w14:textId="77777777" w:rsidR="008572A1" w:rsidRPr="000C5050" w:rsidRDefault="008572A1" w:rsidP="00CD696B">
            <w:pPr>
              <w:pStyle w:val="Tabletext"/>
            </w:pPr>
          </w:p>
        </w:tc>
        <w:tc>
          <w:tcPr>
            <w:tcW w:w="1843" w:type="dxa"/>
            <w:vMerge/>
            <w:tcBorders>
              <w:left w:val="single" w:sz="4" w:space="0" w:color="17556C"/>
              <w:bottom w:val="single" w:sz="4" w:space="0" w:color="17556C"/>
              <w:right w:val="single" w:sz="4" w:space="0" w:color="17556C"/>
            </w:tcBorders>
            <w:shd w:val="clear" w:color="auto" w:fill="A4BBC4"/>
          </w:tcPr>
          <w:p w14:paraId="27781097" w14:textId="77777777" w:rsidR="008572A1" w:rsidRPr="000C5050" w:rsidRDefault="008572A1" w:rsidP="00CD696B">
            <w:pPr>
              <w:pStyle w:val="Tabletext"/>
            </w:pPr>
          </w:p>
        </w:tc>
        <w:tc>
          <w:tcPr>
            <w:tcW w:w="1701" w:type="dxa"/>
            <w:tcBorders>
              <w:top w:val="single" w:sz="4" w:space="0" w:color="17556C"/>
              <w:left w:val="single" w:sz="4" w:space="0" w:color="17556C"/>
              <w:bottom w:val="single" w:sz="4" w:space="0" w:color="17556C"/>
              <w:right w:val="single" w:sz="4" w:space="0" w:color="17556C"/>
            </w:tcBorders>
            <w:shd w:val="clear" w:color="auto" w:fill="A4BBC4"/>
          </w:tcPr>
          <w:p w14:paraId="4421265B" w14:textId="77777777" w:rsidR="008572A1" w:rsidRPr="000C5050" w:rsidRDefault="008572A1" w:rsidP="002D3410">
            <w:pPr>
              <w:pStyle w:val="Tabletext"/>
              <w:spacing w:before="40" w:after="40"/>
            </w:pPr>
            <w:r w:rsidRPr="000C5050">
              <w:t>Soil sampling</w:t>
            </w:r>
          </w:p>
        </w:tc>
        <w:tc>
          <w:tcPr>
            <w:tcW w:w="3260" w:type="dxa"/>
            <w:tcBorders>
              <w:top w:val="single" w:sz="4" w:space="0" w:color="17556C"/>
              <w:left w:val="single" w:sz="4" w:space="0" w:color="17556C"/>
              <w:bottom w:val="single" w:sz="4" w:space="0" w:color="17556C"/>
              <w:right w:val="single" w:sz="4" w:space="0" w:color="17556C"/>
            </w:tcBorders>
            <w:shd w:val="clear" w:color="auto" w:fill="A4BBC4"/>
          </w:tcPr>
          <w:p w14:paraId="46C93F0F" w14:textId="77777777" w:rsidR="008572A1" w:rsidRPr="000C5050" w:rsidRDefault="008572A1" w:rsidP="002D3410">
            <w:pPr>
              <w:pStyle w:val="Tabletext"/>
              <w:spacing w:before="40" w:after="40"/>
            </w:pPr>
            <w:r w:rsidRPr="000C5050">
              <w:t>None</w:t>
            </w:r>
          </w:p>
        </w:tc>
        <w:tc>
          <w:tcPr>
            <w:tcW w:w="3969" w:type="dxa"/>
            <w:tcBorders>
              <w:top w:val="single" w:sz="4" w:space="0" w:color="17556C"/>
              <w:left w:val="single" w:sz="4" w:space="0" w:color="17556C"/>
              <w:bottom w:val="single" w:sz="4" w:space="0" w:color="17556C"/>
              <w:right w:val="single" w:sz="4" w:space="0" w:color="17556C"/>
            </w:tcBorders>
            <w:shd w:val="clear" w:color="auto" w:fill="A4BBC4"/>
          </w:tcPr>
          <w:p w14:paraId="3184FFA9" w14:textId="77777777" w:rsidR="008572A1" w:rsidRPr="000C5050" w:rsidRDefault="008572A1" w:rsidP="002D3410">
            <w:pPr>
              <w:pStyle w:val="Tabletext"/>
              <w:spacing w:before="40" w:after="40"/>
            </w:pPr>
            <w:r w:rsidRPr="000C5050">
              <w:t>See NESCS – no changes proposed.</w:t>
            </w:r>
          </w:p>
        </w:tc>
        <w:tc>
          <w:tcPr>
            <w:tcW w:w="1876" w:type="dxa"/>
            <w:tcBorders>
              <w:top w:val="single" w:sz="4" w:space="0" w:color="17556C"/>
              <w:left w:val="single" w:sz="4" w:space="0" w:color="17556C"/>
              <w:bottom w:val="single" w:sz="4" w:space="0" w:color="17556C"/>
            </w:tcBorders>
            <w:shd w:val="clear" w:color="auto" w:fill="A4BBC4"/>
          </w:tcPr>
          <w:p w14:paraId="5650CEBC" w14:textId="77777777" w:rsidR="008572A1" w:rsidRPr="000C5050" w:rsidRDefault="008572A1" w:rsidP="002D3410">
            <w:pPr>
              <w:pStyle w:val="Tabletext"/>
              <w:spacing w:before="40" w:after="40"/>
            </w:pPr>
            <w:r w:rsidRPr="000C5050">
              <w:t>No</w:t>
            </w:r>
          </w:p>
        </w:tc>
      </w:tr>
      <w:tr w:rsidR="00CE4162" w:rsidRPr="000C5050" w14:paraId="78B4689E" w14:textId="77777777" w:rsidTr="000D5E13">
        <w:tc>
          <w:tcPr>
            <w:tcW w:w="1866" w:type="dxa"/>
            <w:vMerge/>
            <w:tcBorders>
              <w:top w:val="single" w:sz="4" w:space="0" w:color="17556C"/>
              <w:bottom w:val="single" w:sz="4" w:space="0" w:color="17556C"/>
              <w:right w:val="single" w:sz="4" w:space="0" w:color="17556C"/>
            </w:tcBorders>
            <w:shd w:val="clear" w:color="auto" w:fill="A4BBC4"/>
          </w:tcPr>
          <w:p w14:paraId="3048122C" w14:textId="77777777" w:rsidR="008572A1" w:rsidRPr="000C5050" w:rsidRDefault="008572A1" w:rsidP="00CD696B">
            <w:pPr>
              <w:pStyle w:val="Tabletext"/>
            </w:pPr>
          </w:p>
        </w:tc>
        <w:tc>
          <w:tcPr>
            <w:tcW w:w="1843" w:type="dxa"/>
            <w:vMerge/>
            <w:tcBorders>
              <w:left w:val="single" w:sz="4" w:space="0" w:color="17556C"/>
              <w:bottom w:val="single" w:sz="4" w:space="0" w:color="17556C"/>
              <w:right w:val="single" w:sz="4" w:space="0" w:color="17556C"/>
            </w:tcBorders>
            <w:shd w:val="clear" w:color="auto" w:fill="A4BBC4"/>
          </w:tcPr>
          <w:p w14:paraId="57EDE8CA" w14:textId="77777777" w:rsidR="008572A1" w:rsidRPr="000C5050" w:rsidRDefault="008572A1" w:rsidP="00CD696B">
            <w:pPr>
              <w:pStyle w:val="Tabletext"/>
            </w:pPr>
          </w:p>
        </w:tc>
        <w:tc>
          <w:tcPr>
            <w:tcW w:w="1701" w:type="dxa"/>
            <w:tcBorders>
              <w:top w:val="single" w:sz="4" w:space="0" w:color="17556C"/>
              <w:left w:val="single" w:sz="4" w:space="0" w:color="17556C"/>
              <w:bottom w:val="single" w:sz="4" w:space="0" w:color="17556C"/>
              <w:right w:val="single" w:sz="4" w:space="0" w:color="17556C"/>
            </w:tcBorders>
            <w:shd w:val="clear" w:color="auto" w:fill="A4BBC4"/>
          </w:tcPr>
          <w:p w14:paraId="5D08802C" w14:textId="77777777" w:rsidR="008572A1" w:rsidRPr="000C5050" w:rsidRDefault="008572A1" w:rsidP="002D3410">
            <w:pPr>
              <w:pStyle w:val="Tabletext"/>
              <w:spacing w:before="40" w:after="40"/>
            </w:pPr>
            <w:r w:rsidRPr="000C5050">
              <w:t>Soil disposal</w:t>
            </w:r>
          </w:p>
        </w:tc>
        <w:tc>
          <w:tcPr>
            <w:tcW w:w="3260" w:type="dxa"/>
            <w:tcBorders>
              <w:top w:val="single" w:sz="4" w:space="0" w:color="17556C"/>
              <w:left w:val="single" w:sz="4" w:space="0" w:color="17556C"/>
              <w:bottom w:val="single" w:sz="4" w:space="0" w:color="17556C"/>
              <w:right w:val="single" w:sz="4" w:space="0" w:color="17556C"/>
            </w:tcBorders>
            <w:shd w:val="clear" w:color="auto" w:fill="A4BBC4"/>
          </w:tcPr>
          <w:p w14:paraId="2A29FC51" w14:textId="77777777" w:rsidR="008572A1" w:rsidRPr="000C5050" w:rsidRDefault="008572A1" w:rsidP="002D3410">
            <w:pPr>
              <w:pStyle w:val="Tabletext"/>
              <w:spacing w:before="40" w:after="40"/>
            </w:pPr>
            <w:r w:rsidRPr="000C5050">
              <w:t>None</w:t>
            </w:r>
          </w:p>
        </w:tc>
        <w:tc>
          <w:tcPr>
            <w:tcW w:w="3969" w:type="dxa"/>
            <w:tcBorders>
              <w:top w:val="single" w:sz="4" w:space="0" w:color="17556C"/>
              <w:left w:val="single" w:sz="4" w:space="0" w:color="17556C"/>
              <w:bottom w:val="single" w:sz="4" w:space="0" w:color="17556C"/>
              <w:right w:val="single" w:sz="4" w:space="0" w:color="17556C"/>
            </w:tcBorders>
            <w:shd w:val="clear" w:color="auto" w:fill="A4BBC4"/>
          </w:tcPr>
          <w:p w14:paraId="423B1B3C" w14:textId="1393EAE9" w:rsidR="008572A1" w:rsidRPr="000C5050" w:rsidRDefault="008572A1" w:rsidP="002D3410">
            <w:pPr>
              <w:pStyle w:val="Tabletext"/>
              <w:spacing w:before="40" w:after="40"/>
            </w:pPr>
            <w:r w:rsidRPr="000C5050">
              <w:t>Small volumes of soil disposed of to an appropriate location.</w:t>
            </w:r>
          </w:p>
        </w:tc>
        <w:tc>
          <w:tcPr>
            <w:tcW w:w="1876" w:type="dxa"/>
            <w:tcBorders>
              <w:top w:val="single" w:sz="4" w:space="0" w:color="17556C"/>
              <w:left w:val="single" w:sz="4" w:space="0" w:color="17556C"/>
              <w:bottom w:val="single" w:sz="4" w:space="0" w:color="17556C"/>
            </w:tcBorders>
            <w:shd w:val="clear" w:color="auto" w:fill="A4BBC4"/>
          </w:tcPr>
          <w:p w14:paraId="7090A91B" w14:textId="77777777" w:rsidR="008572A1" w:rsidRPr="000C5050" w:rsidRDefault="008572A1" w:rsidP="002D3410">
            <w:pPr>
              <w:pStyle w:val="Tabletext"/>
              <w:spacing w:before="40" w:after="40"/>
            </w:pPr>
            <w:r w:rsidRPr="000C5050">
              <w:t>No – except will sit as a separate activity</w:t>
            </w:r>
          </w:p>
        </w:tc>
      </w:tr>
      <w:tr w:rsidR="00CE4162" w:rsidRPr="000C5050" w14:paraId="274B6CC3" w14:textId="77777777" w:rsidTr="000D5E13">
        <w:tc>
          <w:tcPr>
            <w:tcW w:w="1866" w:type="dxa"/>
            <w:vMerge w:val="restart"/>
            <w:tcBorders>
              <w:top w:val="single" w:sz="4" w:space="0" w:color="17556C"/>
              <w:bottom w:val="single" w:sz="4" w:space="0" w:color="17556C"/>
              <w:right w:val="single" w:sz="4" w:space="0" w:color="17556C"/>
            </w:tcBorders>
            <w:shd w:val="clear" w:color="auto" w:fill="D5EBE5"/>
            <w:vAlign w:val="center"/>
          </w:tcPr>
          <w:p w14:paraId="3C1E6052" w14:textId="77777777" w:rsidR="008572A1" w:rsidRPr="000C5050" w:rsidRDefault="008572A1" w:rsidP="002D3410">
            <w:pPr>
              <w:pStyle w:val="Tabletext"/>
              <w:spacing w:before="40" w:after="40"/>
            </w:pPr>
            <w:r w:rsidRPr="000C5050">
              <w:t>Controlled</w:t>
            </w:r>
          </w:p>
        </w:tc>
        <w:tc>
          <w:tcPr>
            <w:tcW w:w="1843" w:type="dxa"/>
            <w:tcBorders>
              <w:top w:val="single" w:sz="4" w:space="0" w:color="17556C"/>
              <w:left w:val="single" w:sz="4" w:space="0" w:color="17556C"/>
              <w:bottom w:val="single" w:sz="4" w:space="0" w:color="17556C"/>
              <w:right w:val="single" w:sz="4" w:space="0" w:color="17556C"/>
            </w:tcBorders>
            <w:shd w:val="clear" w:color="auto" w:fill="D5EBE5"/>
          </w:tcPr>
          <w:p w14:paraId="74620B6B" w14:textId="4BC8B828" w:rsidR="008572A1" w:rsidRPr="000C5050" w:rsidRDefault="008572A1" w:rsidP="00651C84">
            <w:pPr>
              <w:pStyle w:val="Tabletext"/>
              <w:spacing w:before="40" w:after="40"/>
            </w:pPr>
            <w:r w:rsidRPr="000C5050">
              <w:t xml:space="preserve">Residential and rural residential (based on the description of land-use scenarios in the methodology (Ministry for the Environment, 2011e), does not include other land uses that generally use the residential/ rural-residential exposure scenario </w:t>
            </w:r>
            <w:proofErr w:type="spellStart"/>
            <w:r w:rsidRPr="000C5050">
              <w:t>eg</w:t>
            </w:r>
            <w:proofErr w:type="spellEnd"/>
            <w:r w:rsidRPr="000C5050">
              <w:t>, schools, childcare centres)</w:t>
            </w:r>
          </w:p>
        </w:tc>
        <w:tc>
          <w:tcPr>
            <w:tcW w:w="1701" w:type="dxa"/>
            <w:tcBorders>
              <w:top w:val="single" w:sz="4" w:space="0" w:color="17556C"/>
              <w:left w:val="single" w:sz="4" w:space="0" w:color="17556C"/>
              <w:bottom w:val="single" w:sz="4" w:space="0" w:color="17556C"/>
              <w:right w:val="single" w:sz="4" w:space="0" w:color="17556C"/>
            </w:tcBorders>
            <w:shd w:val="clear" w:color="auto" w:fill="D5EBE5"/>
          </w:tcPr>
          <w:p w14:paraId="705CFBB5" w14:textId="77777777" w:rsidR="008572A1" w:rsidRPr="000C5050" w:rsidRDefault="008572A1" w:rsidP="002D3410">
            <w:pPr>
              <w:pStyle w:val="Tabletext"/>
              <w:spacing w:before="40" w:after="40"/>
            </w:pPr>
            <w:r w:rsidRPr="000C5050">
              <w:t>Subdivision, change of use</w:t>
            </w:r>
          </w:p>
        </w:tc>
        <w:tc>
          <w:tcPr>
            <w:tcW w:w="3260" w:type="dxa"/>
            <w:tcBorders>
              <w:top w:val="single" w:sz="4" w:space="0" w:color="17556C"/>
              <w:left w:val="single" w:sz="4" w:space="0" w:color="17556C"/>
              <w:bottom w:val="single" w:sz="4" w:space="0" w:color="17556C"/>
              <w:right w:val="single" w:sz="4" w:space="0" w:color="17556C"/>
            </w:tcBorders>
            <w:shd w:val="clear" w:color="auto" w:fill="D5EBE5"/>
          </w:tcPr>
          <w:p w14:paraId="3A314810" w14:textId="2CA79974" w:rsidR="008572A1" w:rsidRPr="000C5050" w:rsidRDefault="0027012D" w:rsidP="002D3410">
            <w:pPr>
              <w:pStyle w:val="Tabletext"/>
              <w:spacing w:before="40" w:after="40"/>
            </w:pPr>
            <w:r w:rsidRPr="000C5050">
              <w:t>DSI -</w:t>
            </w:r>
            <w:r w:rsidR="008572A1" w:rsidRPr="000C5050">
              <w:t xml:space="preserve"> finds contamination exceeds the soil contaminant standard (for residential or rural residential land use) but does not exceed the applicable soil guideline value for a template ongoing site management plan (TOSMP) (this plan is discussed in</w:t>
            </w:r>
            <w:r w:rsidR="007D080D" w:rsidRPr="000C5050">
              <w:t xml:space="preserve"> </w:t>
            </w:r>
            <w:r w:rsidR="008572A1" w:rsidRPr="000C5050">
              <w:t>chapter 6).</w:t>
            </w:r>
          </w:p>
        </w:tc>
        <w:tc>
          <w:tcPr>
            <w:tcW w:w="3969" w:type="dxa"/>
            <w:tcBorders>
              <w:top w:val="single" w:sz="4" w:space="0" w:color="17556C"/>
              <w:left w:val="single" w:sz="4" w:space="0" w:color="17556C"/>
              <w:bottom w:val="single" w:sz="4" w:space="0" w:color="17556C"/>
              <w:right w:val="single" w:sz="4" w:space="0" w:color="17556C"/>
            </w:tcBorders>
            <w:shd w:val="clear" w:color="auto" w:fill="D5EBE5"/>
          </w:tcPr>
          <w:p w14:paraId="0FA66AA7" w14:textId="77777777" w:rsidR="008572A1" w:rsidRPr="000C5050" w:rsidRDefault="008572A1" w:rsidP="002D3410">
            <w:pPr>
              <w:pStyle w:val="Tabletext"/>
              <w:spacing w:before="40" w:after="40"/>
            </w:pPr>
            <w:r w:rsidRPr="000C5050">
              <w:t>DSI is provided to council. Council has control as to the adequacy of the DSI (</w:t>
            </w:r>
            <w:proofErr w:type="spellStart"/>
            <w:r w:rsidRPr="000C5050">
              <w:t>ie</w:t>
            </w:r>
            <w:proofErr w:type="spellEnd"/>
            <w:r w:rsidRPr="000C5050">
              <w:t>, is it in accordance with CLMG No 1 (Ministry for the Environment, 2011a) and CLMG No 5 (Ministry for the Environment, 2011c)).</w:t>
            </w:r>
          </w:p>
          <w:p w14:paraId="7E563E2A" w14:textId="77777777" w:rsidR="008572A1" w:rsidRPr="000C5050" w:rsidRDefault="008572A1" w:rsidP="002D3410">
            <w:pPr>
              <w:pStyle w:val="Tabletext"/>
              <w:spacing w:before="40" w:after="40"/>
            </w:pPr>
            <w:r w:rsidRPr="000C5050">
              <w:t>Landowner opts to accept a TOSMP.</w:t>
            </w:r>
          </w:p>
          <w:p w14:paraId="4D9BC59F" w14:textId="1582A0B7" w:rsidR="008572A1" w:rsidRPr="000C5050" w:rsidRDefault="008572A1" w:rsidP="002D3410">
            <w:pPr>
              <w:pStyle w:val="Tabletext"/>
              <w:spacing w:before="40" w:after="40"/>
            </w:pPr>
            <w:r w:rsidRPr="000C5050">
              <w:t>TO</w:t>
            </w:r>
            <w:r w:rsidR="00686DB1" w:rsidRPr="000C5050">
              <w:t>S</w:t>
            </w:r>
            <w:r w:rsidRPr="000C5050">
              <w:t>MP is provided to council. The TOSMP is recorded as a condition of resource consent, which will apply for duration of residential/rural residential land use. Council has control over certain implementation measures of the TOSMP.</w:t>
            </w:r>
          </w:p>
          <w:p w14:paraId="6BF9420C" w14:textId="6E4DAC9F" w:rsidR="008572A1" w:rsidRPr="000C5050" w:rsidRDefault="008572A1" w:rsidP="00651C84">
            <w:pPr>
              <w:pStyle w:val="Tabletext"/>
              <w:spacing w:before="40" w:after="40"/>
              <w:rPr>
                <w:i/>
              </w:rPr>
            </w:pPr>
            <w:r w:rsidRPr="000C5050">
              <w:rPr>
                <w:i/>
              </w:rPr>
              <w:t>If landowner does not want to have a TOSMP, or have a TOSMP with the conditions provided, activity will be restricted discretionary. If other contaminants are found, activity will be restricted discretionary.</w:t>
            </w:r>
          </w:p>
        </w:tc>
        <w:tc>
          <w:tcPr>
            <w:tcW w:w="1876" w:type="dxa"/>
            <w:tcBorders>
              <w:top w:val="single" w:sz="4" w:space="0" w:color="17556C"/>
              <w:left w:val="single" w:sz="4" w:space="0" w:color="17556C"/>
              <w:bottom w:val="single" w:sz="4" w:space="0" w:color="17556C"/>
            </w:tcBorders>
            <w:shd w:val="clear" w:color="auto" w:fill="D5EBE5"/>
          </w:tcPr>
          <w:p w14:paraId="5467A5AB" w14:textId="77777777" w:rsidR="008572A1" w:rsidRPr="000C5050" w:rsidRDefault="008572A1" w:rsidP="002D3410">
            <w:pPr>
              <w:pStyle w:val="Tabletext"/>
              <w:spacing w:before="40" w:after="40"/>
            </w:pPr>
            <w:r w:rsidRPr="000C5050">
              <w:t>Yes</w:t>
            </w:r>
          </w:p>
        </w:tc>
      </w:tr>
      <w:tr w:rsidR="00CE4162" w:rsidRPr="000C5050" w14:paraId="001E8D8D" w14:textId="77777777" w:rsidTr="000D5E13">
        <w:tc>
          <w:tcPr>
            <w:tcW w:w="1866" w:type="dxa"/>
            <w:vMerge/>
            <w:tcBorders>
              <w:top w:val="single" w:sz="4" w:space="0" w:color="17556C"/>
              <w:bottom w:val="single" w:sz="4" w:space="0" w:color="17556C"/>
              <w:right w:val="single" w:sz="4" w:space="0" w:color="17556C"/>
            </w:tcBorders>
            <w:shd w:val="clear" w:color="auto" w:fill="D5EBE5"/>
          </w:tcPr>
          <w:p w14:paraId="13982DF0" w14:textId="77777777" w:rsidR="008572A1" w:rsidRPr="000C5050" w:rsidRDefault="008572A1" w:rsidP="00CD696B">
            <w:pPr>
              <w:pStyle w:val="Tabletext"/>
            </w:pPr>
          </w:p>
        </w:tc>
        <w:tc>
          <w:tcPr>
            <w:tcW w:w="1843" w:type="dxa"/>
            <w:tcBorders>
              <w:top w:val="single" w:sz="4" w:space="0" w:color="17556C"/>
              <w:left w:val="single" w:sz="4" w:space="0" w:color="17556C"/>
              <w:bottom w:val="single" w:sz="4" w:space="0" w:color="17556C"/>
              <w:right w:val="single" w:sz="4" w:space="0" w:color="17556C"/>
            </w:tcBorders>
            <w:shd w:val="clear" w:color="auto" w:fill="D5EBE5"/>
          </w:tcPr>
          <w:p w14:paraId="50271366" w14:textId="77777777" w:rsidR="008572A1" w:rsidRPr="000C5050" w:rsidRDefault="008572A1" w:rsidP="002D3410">
            <w:pPr>
              <w:pStyle w:val="Tabletext"/>
              <w:spacing w:before="40"/>
            </w:pPr>
            <w:r w:rsidRPr="000C5050">
              <w:t>Any</w:t>
            </w:r>
          </w:p>
        </w:tc>
        <w:tc>
          <w:tcPr>
            <w:tcW w:w="1701" w:type="dxa"/>
            <w:tcBorders>
              <w:top w:val="single" w:sz="4" w:space="0" w:color="17556C"/>
              <w:left w:val="single" w:sz="4" w:space="0" w:color="17556C"/>
              <w:bottom w:val="single" w:sz="4" w:space="0" w:color="17556C"/>
              <w:right w:val="single" w:sz="4" w:space="0" w:color="17556C"/>
            </w:tcBorders>
            <w:shd w:val="clear" w:color="auto" w:fill="D5EBE5"/>
          </w:tcPr>
          <w:p w14:paraId="06200746" w14:textId="77777777" w:rsidR="008572A1" w:rsidRPr="000C5050" w:rsidRDefault="008572A1" w:rsidP="002D3410">
            <w:pPr>
              <w:pStyle w:val="Tabletext"/>
              <w:spacing w:before="40"/>
            </w:pPr>
            <w:r w:rsidRPr="000C5050">
              <w:t>Soil disposal</w:t>
            </w:r>
          </w:p>
        </w:tc>
        <w:tc>
          <w:tcPr>
            <w:tcW w:w="3260" w:type="dxa"/>
            <w:tcBorders>
              <w:top w:val="single" w:sz="4" w:space="0" w:color="17556C"/>
              <w:left w:val="single" w:sz="4" w:space="0" w:color="17556C"/>
              <w:bottom w:val="single" w:sz="4" w:space="0" w:color="17556C"/>
              <w:right w:val="single" w:sz="4" w:space="0" w:color="17556C"/>
            </w:tcBorders>
            <w:shd w:val="clear" w:color="auto" w:fill="D5EBE5"/>
          </w:tcPr>
          <w:p w14:paraId="15C3CC64" w14:textId="77777777" w:rsidR="008572A1" w:rsidRPr="000C5050" w:rsidRDefault="008572A1" w:rsidP="002D3410">
            <w:pPr>
              <w:pStyle w:val="Tabletext"/>
              <w:spacing w:before="40"/>
            </w:pPr>
            <w:r w:rsidRPr="000C5050">
              <w:t>DSI – finds contamination is above background concentrations.</w:t>
            </w:r>
            <w:r w:rsidR="007D080D" w:rsidRPr="000C5050">
              <w:t xml:space="preserve"> </w:t>
            </w:r>
          </w:p>
        </w:tc>
        <w:tc>
          <w:tcPr>
            <w:tcW w:w="3969" w:type="dxa"/>
            <w:tcBorders>
              <w:top w:val="single" w:sz="4" w:space="0" w:color="17556C"/>
              <w:left w:val="single" w:sz="4" w:space="0" w:color="17556C"/>
              <w:bottom w:val="single" w:sz="4" w:space="0" w:color="17556C"/>
              <w:right w:val="single" w:sz="4" w:space="0" w:color="17556C"/>
            </w:tcBorders>
            <w:shd w:val="clear" w:color="auto" w:fill="D5EBE5"/>
          </w:tcPr>
          <w:p w14:paraId="1384E881" w14:textId="34E444A7" w:rsidR="008572A1" w:rsidRPr="000C5050" w:rsidRDefault="008572A1" w:rsidP="002D3410">
            <w:pPr>
              <w:pStyle w:val="Tabletext"/>
              <w:spacing w:after="40"/>
            </w:pPr>
            <w:r w:rsidRPr="000C5050">
              <w:t xml:space="preserve">Controlled resource consent required as soil may be below the soil contaminant standard (SCS) for its source site, but may be above the SCS for the site it is disposed to </w:t>
            </w:r>
            <w:r w:rsidR="005F4262">
              <w:t>(</w:t>
            </w:r>
            <w:proofErr w:type="spellStart"/>
            <w:r w:rsidRPr="000C5050">
              <w:t>eg</w:t>
            </w:r>
            <w:proofErr w:type="spellEnd"/>
            <w:r w:rsidRPr="000C5050">
              <w:t>, if moved from industrial land use to residential land use</w:t>
            </w:r>
            <w:r w:rsidR="005F4262">
              <w:t>)</w:t>
            </w:r>
            <w:r w:rsidRPr="000C5050">
              <w:t xml:space="preserve">. </w:t>
            </w:r>
          </w:p>
          <w:p w14:paraId="6CD85DF9" w14:textId="77777777" w:rsidR="008572A1" w:rsidRPr="000C5050" w:rsidRDefault="008572A1" w:rsidP="00CD696B">
            <w:pPr>
              <w:pStyle w:val="Tabletext"/>
            </w:pPr>
            <w:r w:rsidRPr="000C5050">
              <w:t>Matters of control:</w:t>
            </w:r>
          </w:p>
          <w:p w14:paraId="439A13BD" w14:textId="77777777" w:rsidR="008572A1" w:rsidRPr="000C5050" w:rsidRDefault="008572A1" w:rsidP="002D3410">
            <w:pPr>
              <w:pStyle w:val="Tablebullet"/>
              <w:spacing w:after="40"/>
            </w:pPr>
            <w:r w:rsidRPr="000C5050">
              <w:t>adequacy of DSI</w:t>
            </w:r>
          </w:p>
          <w:p w14:paraId="08F42449" w14:textId="77777777" w:rsidR="008572A1" w:rsidRPr="000C5050" w:rsidRDefault="008572A1" w:rsidP="002D3410">
            <w:pPr>
              <w:pStyle w:val="Tablebullet"/>
              <w:spacing w:after="40"/>
            </w:pPr>
            <w:r w:rsidRPr="000C5050">
              <w:t>transport method and disposal location</w:t>
            </w:r>
          </w:p>
          <w:p w14:paraId="1920CA35" w14:textId="77777777" w:rsidR="008572A1" w:rsidRPr="000C5050" w:rsidRDefault="008572A1" w:rsidP="002D3410">
            <w:pPr>
              <w:pStyle w:val="Tablebullet"/>
              <w:spacing w:after="40"/>
            </w:pPr>
            <w:r w:rsidRPr="000C5050">
              <w:t>monitoring and reporting of disposal</w:t>
            </w:r>
          </w:p>
          <w:p w14:paraId="19FA03E3" w14:textId="77777777" w:rsidR="008572A1" w:rsidRPr="000C5050" w:rsidRDefault="008572A1" w:rsidP="002D3410">
            <w:pPr>
              <w:pStyle w:val="Tablebullet"/>
              <w:spacing w:after="40"/>
            </w:pPr>
            <w:r w:rsidRPr="000C5050">
              <w:t>duration of consent</w:t>
            </w:r>
          </w:p>
          <w:p w14:paraId="2773CA86" w14:textId="77777777" w:rsidR="008572A1" w:rsidRPr="000C5050" w:rsidRDefault="008572A1" w:rsidP="002B4891">
            <w:pPr>
              <w:pStyle w:val="Tablebullet"/>
            </w:pPr>
            <w:proofErr w:type="gramStart"/>
            <w:r w:rsidRPr="000C5050">
              <w:t>timing</w:t>
            </w:r>
            <w:proofErr w:type="gramEnd"/>
            <w:r w:rsidRPr="000C5050">
              <w:t xml:space="preserve"> and nature of review of conditions.</w:t>
            </w:r>
          </w:p>
        </w:tc>
        <w:tc>
          <w:tcPr>
            <w:tcW w:w="1876" w:type="dxa"/>
            <w:tcBorders>
              <w:top w:val="single" w:sz="4" w:space="0" w:color="17556C"/>
              <w:left w:val="single" w:sz="4" w:space="0" w:color="17556C"/>
              <w:bottom w:val="single" w:sz="4" w:space="0" w:color="17556C"/>
            </w:tcBorders>
            <w:shd w:val="clear" w:color="auto" w:fill="D5EBE5"/>
          </w:tcPr>
          <w:p w14:paraId="202D2CDB" w14:textId="77777777" w:rsidR="008572A1" w:rsidRPr="000C5050" w:rsidRDefault="008572A1" w:rsidP="00CD696B">
            <w:pPr>
              <w:pStyle w:val="Tabletext"/>
            </w:pPr>
            <w:r w:rsidRPr="000C5050">
              <w:t>Yes (these requirements previously applied to all activities, not just disposal).</w:t>
            </w:r>
          </w:p>
        </w:tc>
      </w:tr>
      <w:tr w:rsidR="00CE4162" w:rsidRPr="000C5050" w14:paraId="3680EDAE" w14:textId="77777777" w:rsidTr="000D5E13">
        <w:tc>
          <w:tcPr>
            <w:tcW w:w="1866" w:type="dxa"/>
            <w:vMerge/>
            <w:tcBorders>
              <w:top w:val="single" w:sz="4" w:space="0" w:color="17556C"/>
              <w:bottom w:val="single" w:sz="4" w:space="0" w:color="17556C"/>
              <w:right w:val="single" w:sz="4" w:space="0" w:color="17556C"/>
            </w:tcBorders>
            <w:shd w:val="clear" w:color="auto" w:fill="D5EBE5"/>
          </w:tcPr>
          <w:p w14:paraId="2F291258" w14:textId="77777777" w:rsidR="008572A1" w:rsidRPr="000C5050" w:rsidRDefault="008572A1" w:rsidP="00CD696B">
            <w:pPr>
              <w:pStyle w:val="Tabletext"/>
            </w:pPr>
          </w:p>
        </w:tc>
        <w:tc>
          <w:tcPr>
            <w:tcW w:w="1843" w:type="dxa"/>
            <w:tcBorders>
              <w:top w:val="single" w:sz="4" w:space="0" w:color="17556C"/>
              <w:left w:val="single" w:sz="4" w:space="0" w:color="17556C"/>
              <w:bottom w:val="single" w:sz="4" w:space="0" w:color="17556C"/>
              <w:right w:val="single" w:sz="4" w:space="0" w:color="17556C"/>
            </w:tcBorders>
            <w:shd w:val="clear" w:color="auto" w:fill="D5EBE5"/>
          </w:tcPr>
          <w:p w14:paraId="55B195AE" w14:textId="77777777" w:rsidR="008572A1" w:rsidRPr="000C5050" w:rsidRDefault="008572A1" w:rsidP="00CD696B">
            <w:pPr>
              <w:pStyle w:val="Tabletext"/>
            </w:pPr>
            <w:r w:rsidRPr="000C5050">
              <w:t>Any</w:t>
            </w:r>
          </w:p>
        </w:tc>
        <w:tc>
          <w:tcPr>
            <w:tcW w:w="1701" w:type="dxa"/>
            <w:tcBorders>
              <w:top w:val="single" w:sz="4" w:space="0" w:color="17556C"/>
              <w:left w:val="single" w:sz="4" w:space="0" w:color="17556C"/>
              <w:bottom w:val="single" w:sz="4" w:space="0" w:color="17556C"/>
              <w:right w:val="single" w:sz="4" w:space="0" w:color="17556C"/>
            </w:tcBorders>
            <w:shd w:val="clear" w:color="auto" w:fill="D5EBE5"/>
          </w:tcPr>
          <w:p w14:paraId="18C82907" w14:textId="77777777" w:rsidR="008572A1" w:rsidRPr="000C5050" w:rsidRDefault="008572A1" w:rsidP="00CD696B">
            <w:pPr>
              <w:pStyle w:val="Tabletext"/>
            </w:pPr>
            <w:r w:rsidRPr="000C5050">
              <w:t>Any</w:t>
            </w:r>
          </w:p>
        </w:tc>
        <w:tc>
          <w:tcPr>
            <w:tcW w:w="3260" w:type="dxa"/>
            <w:tcBorders>
              <w:top w:val="single" w:sz="4" w:space="0" w:color="17556C"/>
              <w:left w:val="single" w:sz="4" w:space="0" w:color="17556C"/>
              <w:bottom w:val="single" w:sz="4" w:space="0" w:color="17556C"/>
              <w:right w:val="single" w:sz="4" w:space="0" w:color="17556C"/>
            </w:tcBorders>
            <w:shd w:val="clear" w:color="auto" w:fill="D5EBE5"/>
          </w:tcPr>
          <w:p w14:paraId="51DAABD6" w14:textId="77777777" w:rsidR="008572A1" w:rsidRPr="000C5050" w:rsidRDefault="008572A1" w:rsidP="00CD696B">
            <w:pPr>
              <w:pStyle w:val="Tabletext"/>
            </w:pPr>
            <w:r w:rsidRPr="000C5050">
              <w:t>DSI – has determined concentration of contaminants, and a site-specific soil guideline value has been calculated.</w:t>
            </w:r>
            <w:r w:rsidR="007D080D" w:rsidRPr="000C5050">
              <w:t xml:space="preserve"> </w:t>
            </w:r>
          </w:p>
        </w:tc>
        <w:tc>
          <w:tcPr>
            <w:tcW w:w="3969" w:type="dxa"/>
            <w:tcBorders>
              <w:top w:val="single" w:sz="4" w:space="0" w:color="17556C"/>
              <w:left w:val="single" w:sz="4" w:space="0" w:color="17556C"/>
              <w:bottom w:val="single" w:sz="4" w:space="0" w:color="17556C"/>
              <w:right w:val="single" w:sz="4" w:space="0" w:color="17556C"/>
            </w:tcBorders>
            <w:shd w:val="clear" w:color="auto" w:fill="D5EBE5"/>
          </w:tcPr>
          <w:p w14:paraId="4CFF16B8" w14:textId="77777777" w:rsidR="008572A1" w:rsidRPr="000C5050" w:rsidRDefault="008572A1" w:rsidP="00DF0234">
            <w:pPr>
              <w:pStyle w:val="Tabletext"/>
              <w:spacing w:after="40"/>
            </w:pPr>
            <w:r w:rsidRPr="000C5050">
              <w:t xml:space="preserve">A site-specific soil guideline value has been calculated, and contamination levels are below the re-calculated soil guideline value. </w:t>
            </w:r>
          </w:p>
          <w:p w14:paraId="711772D9" w14:textId="77777777" w:rsidR="008572A1" w:rsidRPr="000C5050" w:rsidRDefault="008572A1" w:rsidP="00DF0234">
            <w:pPr>
              <w:pStyle w:val="Tabletext"/>
              <w:spacing w:after="40"/>
            </w:pPr>
            <w:r w:rsidRPr="000C5050">
              <w:t>Controlled resource consent is required as the council needs to check the derived numbers are appropriate, and resource consent serves as a mechanism for recording any management measures needed for site specific soil guideline value to apply (whereas when using the standard SCS we consider this can be done as permitted activity).</w:t>
            </w:r>
          </w:p>
          <w:p w14:paraId="6286996E" w14:textId="34B6C272" w:rsidR="002B4891" w:rsidRPr="000C5050" w:rsidRDefault="008572A1" w:rsidP="00CD696B">
            <w:pPr>
              <w:pStyle w:val="Tabletext"/>
            </w:pPr>
            <w:r w:rsidRPr="000C5050">
              <w:t xml:space="preserve">The management measures which informed the site-specific soil guideline </w:t>
            </w:r>
            <w:proofErr w:type="gramStart"/>
            <w:r w:rsidRPr="000C5050">
              <w:t>value are</w:t>
            </w:r>
            <w:proofErr w:type="gramEnd"/>
            <w:r w:rsidRPr="000C5050">
              <w:t xml:space="preserve"> recorded as consent conditions (or in the case of a subdivision consent, the conditions may be recorded as a section 221 consent notice). Consent conditions apply for duration of land use/activity.</w:t>
            </w:r>
            <w:r w:rsidR="007D080D" w:rsidRPr="000C5050">
              <w:t xml:space="preserve"> </w:t>
            </w:r>
          </w:p>
        </w:tc>
        <w:tc>
          <w:tcPr>
            <w:tcW w:w="1876" w:type="dxa"/>
            <w:tcBorders>
              <w:top w:val="single" w:sz="4" w:space="0" w:color="17556C"/>
              <w:left w:val="single" w:sz="4" w:space="0" w:color="17556C"/>
              <w:bottom w:val="single" w:sz="4" w:space="0" w:color="17556C"/>
            </w:tcBorders>
            <w:shd w:val="clear" w:color="auto" w:fill="D5EBE5"/>
          </w:tcPr>
          <w:p w14:paraId="60B90EFD" w14:textId="77777777" w:rsidR="008572A1" w:rsidRPr="000C5050" w:rsidRDefault="008572A1" w:rsidP="00CD696B">
            <w:pPr>
              <w:pStyle w:val="Tabletext"/>
            </w:pPr>
            <w:r w:rsidRPr="000C5050">
              <w:t>No (although clarifies that councils can record any management measures which are critical to the site specific soil guideline value as a condition of consent)</w:t>
            </w:r>
          </w:p>
        </w:tc>
      </w:tr>
      <w:tr w:rsidR="00CE4162" w:rsidRPr="000C5050" w14:paraId="127C6514" w14:textId="77777777" w:rsidTr="000D5E13">
        <w:tc>
          <w:tcPr>
            <w:tcW w:w="1866" w:type="dxa"/>
            <w:vMerge/>
            <w:tcBorders>
              <w:top w:val="single" w:sz="4" w:space="0" w:color="17556C"/>
              <w:bottom w:val="single" w:sz="4" w:space="0" w:color="17556C"/>
              <w:right w:val="single" w:sz="4" w:space="0" w:color="17556C"/>
            </w:tcBorders>
            <w:shd w:val="clear" w:color="auto" w:fill="D5EBE5"/>
          </w:tcPr>
          <w:p w14:paraId="0B2B0A06" w14:textId="77777777" w:rsidR="008572A1" w:rsidRPr="000C5050" w:rsidRDefault="008572A1" w:rsidP="00CD696B">
            <w:pPr>
              <w:pStyle w:val="Tabletext"/>
            </w:pPr>
          </w:p>
        </w:tc>
        <w:tc>
          <w:tcPr>
            <w:tcW w:w="1843" w:type="dxa"/>
            <w:tcBorders>
              <w:top w:val="single" w:sz="4" w:space="0" w:color="17556C"/>
              <w:left w:val="single" w:sz="4" w:space="0" w:color="17556C"/>
              <w:bottom w:val="single" w:sz="4" w:space="0" w:color="17556C"/>
              <w:right w:val="single" w:sz="4" w:space="0" w:color="17556C"/>
            </w:tcBorders>
            <w:shd w:val="clear" w:color="auto" w:fill="D5EBE5"/>
          </w:tcPr>
          <w:p w14:paraId="0D2C4B8B" w14:textId="77777777" w:rsidR="008572A1" w:rsidRPr="000C5050" w:rsidRDefault="008572A1" w:rsidP="00CD696B">
            <w:pPr>
              <w:pStyle w:val="Tabletext"/>
            </w:pPr>
            <w:r w:rsidRPr="000C5050">
              <w:t xml:space="preserve">Any </w:t>
            </w:r>
          </w:p>
        </w:tc>
        <w:tc>
          <w:tcPr>
            <w:tcW w:w="1701" w:type="dxa"/>
            <w:tcBorders>
              <w:top w:val="single" w:sz="4" w:space="0" w:color="17556C"/>
              <w:left w:val="single" w:sz="4" w:space="0" w:color="17556C"/>
              <w:bottom w:val="single" w:sz="4" w:space="0" w:color="17556C"/>
              <w:right w:val="single" w:sz="4" w:space="0" w:color="17556C"/>
            </w:tcBorders>
            <w:shd w:val="clear" w:color="auto" w:fill="D5EBE5"/>
          </w:tcPr>
          <w:p w14:paraId="775AD248" w14:textId="77777777" w:rsidR="008572A1" w:rsidRPr="000C5050" w:rsidRDefault="008572A1" w:rsidP="00CD696B">
            <w:pPr>
              <w:pStyle w:val="Tabletext"/>
            </w:pPr>
            <w:r w:rsidRPr="000C5050">
              <w:t xml:space="preserve">Soil disturbance </w:t>
            </w:r>
          </w:p>
        </w:tc>
        <w:tc>
          <w:tcPr>
            <w:tcW w:w="3260" w:type="dxa"/>
            <w:tcBorders>
              <w:top w:val="single" w:sz="4" w:space="0" w:color="17556C"/>
              <w:left w:val="single" w:sz="4" w:space="0" w:color="17556C"/>
              <w:bottom w:val="single" w:sz="4" w:space="0" w:color="17556C"/>
              <w:right w:val="single" w:sz="4" w:space="0" w:color="17556C"/>
            </w:tcBorders>
            <w:shd w:val="clear" w:color="auto" w:fill="D5EBE5"/>
          </w:tcPr>
          <w:p w14:paraId="72421C99" w14:textId="624E57F1" w:rsidR="008572A1" w:rsidRPr="000C5050" w:rsidRDefault="008572A1" w:rsidP="00CD696B">
            <w:pPr>
              <w:pStyle w:val="Tabletext"/>
            </w:pPr>
            <w:r w:rsidRPr="000C5050">
              <w:t xml:space="preserve">DSI is provided with the application. Contamination exceeds </w:t>
            </w:r>
            <w:r w:rsidR="007168A8" w:rsidRPr="000C5050">
              <w:t>soil contaminant standards or Tier 1 soil acceptance criteria</w:t>
            </w:r>
            <w:r w:rsidR="007168A8" w:rsidRPr="000C5050" w:rsidDel="007168A8">
              <w:t xml:space="preserve"> </w:t>
            </w:r>
            <w:r w:rsidRPr="000C5050">
              <w:t xml:space="preserve">(if below, activity is permitted). DSI only in area of proposed activity. </w:t>
            </w:r>
          </w:p>
        </w:tc>
        <w:tc>
          <w:tcPr>
            <w:tcW w:w="3969" w:type="dxa"/>
            <w:tcBorders>
              <w:top w:val="single" w:sz="4" w:space="0" w:color="17556C"/>
              <w:left w:val="single" w:sz="4" w:space="0" w:color="17556C"/>
              <w:bottom w:val="single" w:sz="4" w:space="0" w:color="17556C"/>
              <w:right w:val="single" w:sz="4" w:space="0" w:color="17556C"/>
            </w:tcBorders>
            <w:shd w:val="clear" w:color="auto" w:fill="D5EBE5"/>
          </w:tcPr>
          <w:p w14:paraId="6D5010F1" w14:textId="77777777" w:rsidR="008572A1" w:rsidRPr="000C5050" w:rsidRDefault="008572A1" w:rsidP="00CD696B">
            <w:pPr>
              <w:pStyle w:val="Tabletext"/>
            </w:pPr>
            <w:r w:rsidRPr="000C5050">
              <w:t>Matters of control:</w:t>
            </w:r>
          </w:p>
          <w:p w14:paraId="33A6D507" w14:textId="77777777" w:rsidR="008572A1" w:rsidRPr="000C5050" w:rsidRDefault="008572A1" w:rsidP="00DF0234">
            <w:pPr>
              <w:pStyle w:val="Tablebullet"/>
              <w:spacing w:after="40"/>
              <w:rPr>
                <w:rFonts w:eastAsiaTheme="minorHAnsi"/>
              </w:rPr>
            </w:pPr>
            <w:r w:rsidRPr="000C5050">
              <w:rPr>
                <w:rFonts w:eastAsiaTheme="minorHAnsi"/>
              </w:rPr>
              <w:t>adequacy of DSI</w:t>
            </w:r>
          </w:p>
          <w:p w14:paraId="2247418A" w14:textId="77777777" w:rsidR="008572A1" w:rsidRPr="000C5050" w:rsidRDefault="008572A1" w:rsidP="00DF0234">
            <w:pPr>
              <w:pStyle w:val="Tablebullet"/>
              <w:spacing w:after="40"/>
              <w:rPr>
                <w:rFonts w:eastAsiaTheme="minorHAnsi"/>
              </w:rPr>
            </w:pPr>
            <w:r w:rsidRPr="000C5050">
              <w:rPr>
                <w:rFonts w:eastAsiaTheme="minorHAnsi"/>
              </w:rPr>
              <w:t>the approach to managing the soil disturbance, including adequacy of site management plan (SMP), and how it must be monitored and reported on</w:t>
            </w:r>
          </w:p>
          <w:p w14:paraId="22AA165D" w14:textId="77777777" w:rsidR="008572A1" w:rsidRPr="000C5050" w:rsidRDefault="008572A1" w:rsidP="00DF0234">
            <w:pPr>
              <w:pStyle w:val="Tablebullet"/>
              <w:spacing w:after="40"/>
              <w:rPr>
                <w:rFonts w:eastAsiaTheme="minorHAnsi"/>
              </w:rPr>
            </w:pPr>
            <w:r w:rsidRPr="000C5050">
              <w:rPr>
                <w:rFonts w:eastAsiaTheme="minorHAnsi"/>
              </w:rPr>
              <w:t>duration of consent</w:t>
            </w:r>
          </w:p>
          <w:p w14:paraId="7228AF58" w14:textId="77777777" w:rsidR="008572A1" w:rsidRPr="000C5050" w:rsidRDefault="008572A1" w:rsidP="002B4891">
            <w:pPr>
              <w:pStyle w:val="Tablebullet"/>
              <w:rPr>
                <w:rFonts w:eastAsiaTheme="minorHAnsi"/>
              </w:rPr>
            </w:pPr>
            <w:proofErr w:type="gramStart"/>
            <w:r w:rsidRPr="000C5050">
              <w:t>timing</w:t>
            </w:r>
            <w:proofErr w:type="gramEnd"/>
            <w:r w:rsidRPr="000C5050">
              <w:t xml:space="preserve"> and nature of review of conditions.</w:t>
            </w:r>
          </w:p>
        </w:tc>
        <w:tc>
          <w:tcPr>
            <w:tcW w:w="1876" w:type="dxa"/>
            <w:tcBorders>
              <w:top w:val="single" w:sz="4" w:space="0" w:color="17556C"/>
              <w:left w:val="single" w:sz="4" w:space="0" w:color="17556C"/>
              <w:bottom w:val="single" w:sz="4" w:space="0" w:color="17556C"/>
            </w:tcBorders>
            <w:shd w:val="clear" w:color="auto" w:fill="D5EBE5"/>
          </w:tcPr>
          <w:p w14:paraId="1DDBC0B3" w14:textId="77777777" w:rsidR="008572A1" w:rsidRPr="000C5050" w:rsidRDefault="008572A1" w:rsidP="00CD696B">
            <w:pPr>
              <w:pStyle w:val="Tabletext"/>
            </w:pPr>
            <w:r w:rsidRPr="000C5050">
              <w:t>Yes</w:t>
            </w:r>
          </w:p>
        </w:tc>
      </w:tr>
      <w:tr w:rsidR="00CE4162" w:rsidRPr="000C5050" w14:paraId="71C6C13F" w14:textId="77777777" w:rsidTr="000D5E13">
        <w:tc>
          <w:tcPr>
            <w:tcW w:w="1866" w:type="dxa"/>
            <w:vMerge/>
            <w:tcBorders>
              <w:top w:val="single" w:sz="4" w:space="0" w:color="17556C"/>
              <w:bottom w:val="single" w:sz="4" w:space="0" w:color="17556C"/>
              <w:right w:val="single" w:sz="4" w:space="0" w:color="17556C"/>
            </w:tcBorders>
            <w:shd w:val="clear" w:color="auto" w:fill="D5EBE5"/>
          </w:tcPr>
          <w:p w14:paraId="493E5FC5" w14:textId="77777777" w:rsidR="008572A1" w:rsidRPr="000C5050" w:rsidRDefault="008572A1" w:rsidP="00CD696B">
            <w:pPr>
              <w:pStyle w:val="Tabletext"/>
            </w:pPr>
          </w:p>
        </w:tc>
        <w:tc>
          <w:tcPr>
            <w:tcW w:w="1843" w:type="dxa"/>
            <w:tcBorders>
              <w:top w:val="single" w:sz="4" w:space="0" w:color="17556C"/>
              <w:left w:val="single" w:sz="4" w:space="0" w:color="17556C"/>
              <w:bottom w:val="single" w:sz="4" w:space="0" w:color="17556C"/>
              <w:right w:val="single" w:sz="4" w:space="0" w:color="17556C"/>
            </w:tcBorders>
            <w:shd w:val="clear" w:color="auto" w:fill="D5EBE5"/>
          </w:tcPr>
          <w:p w14:paraId="78ECE88C" w14:textId="77777777" w:rsidR="008572A1" w:rsidRPr="000C5050" w:rsidRDefault="008572A1" w:rsidP="00CD696B">
            <w:pPr>
              <w:pStyle w:val="Tabletext"/>
            </w:pPr>
            <w:r w:rsidRPr="000C5050">
              <w:t>Any</w:t>
            </w:r>
          </w:p>
        </w:tc>
        <w:tc>
          <w:tcPr>
            <w:tcW w:w="1701" w:type="dxa"/>
            <w:tcBorders>
              <w:top w:val="single" w:sz="4" w:space="0" w:color="17556C"/>
              <w:left w:val="single" w:sz="4" w:space="0" w:color="17556C"/>
              <w:bottom w:val="single" w:sz="4" w:space="0" w:color="17556C"/>
              <w:right w:val="single" w:sz="4" w:space="0" w:color="17556C"/>
            </w:tcBorders>
            <w:shd w:val="clear" w:color="auto" w:fill="D5EBE5"/>
          </w:tcPr>
          <w:p w14:paraId="33A236D9" w14:textId="77777777" w:rsidR="008572A1" w:rsidRPr="000C5050" w:rsidRDefault="008572A1" w:rsidP="00CD696B">
            <w:pPr>
              <w:pStyle w:val="Tabletext"/>
            </w:pPr>
            <w:r w:rsidRPr="000C5050">
              <w:t>Fuel tank removal</w:t>
            </w:r>
          </w:p>
        </w:tc>
        <w:tc>
          <w:tcPr>
            <w:tcW w:w="3260" w:type="dxa"/>
            <w:tcBorders>
              <w:top w:val="single" w:sz="4" w:space="0" w:color="17556C"/>
              <w:left w:val="single" w:sz="4" w:space="0" w:color="17556C"/>
              <w:bottom w:val="single" w:sz="4" w:space="0" w:color="17556C"/>
              <w:right w:val="single" w:sz="4" w:space="0" w:color="17556C"/>
            </w:tcBorders>
            <w:shd w:val="clear" w:color="auto" w:fill="D5EBE5"/>
          </w:tcPr>
          <w:p w14:paraId="711F0390" w14:textId="77777777" w:rsidR="008572A1" w:rsidRPr="000C5050" w:rsidRDefault="008572A1" w:rsidP="00CD696B">
            <w:pPr>
              <w:pStyle w:val="Tabletext"/>
            </w:pPr>
            <w:r w:rsidRPr="000C5050">
              <w:t>DSI is provided with the application. Contamination exceeds Tier 1 soil acceptance criteria (if below, activity is permitted). DSI only in area of proposed activity.</w:t>
            </w:r>
          </w:p>
        </w:tc>
        <w:tc>
          <w:tcPr>
            <w:tcW w:w="3969" w:type="dxa"/>
            <w:tcBorders>
              <w:top w:val="single" w:sz="4" w:space="0" w:color="17556C"/>
              <w:left w:val="single" w:sz="4" w:space="0" w:color="17556C"/>
              <w:bottom w:val="single" w:sz="4" w:space="0" w:color="17556C"/>
              <w:right w:val="single" w:sz="4" w:space="0" w:color="17556C"/>
            </w:tcBorders>
            <w:shd w:val="clear" w:color="auto" w:fill="D5EBE5"/>
          </w:tcPr>
          <w:p w14:paraId="4DD89842" w14:textId="77777777" w:rsidR="008572A1" w:rsidRPr="000C5050" w:rsidRDefault="008572A1" w:rsidP="00DF0234">
            <w:pPr>
              <w:pStyle w:val="Tabletext"/>
              <w:spacing w:after="40"/>
            </w:pPr>
            <w:r w:rsidRPr="000C5050">
              <w:t>Matters of control:</w:t>
            </w:r>
          </w:p>
          <w:p w14:paraId="0955FA04" w14:textId="3A9D4455" w:rsidR="008572A1" w:rsidRPr="000C5050" w:rsidRDefault="008572A1" w:rsidP="00DF0234">
            <w:pPr>
              <w:pStyle w:val="Tablebullet"/>
              <w:spacing w:after="40"/>
            </w:pPr>
            <w:r w:rsidRPr="000C5050">
              <w:t>activity in accordance with Petroleum Guidelines</w:t>
            </w:r>
            <w:r w:rsidR="007D080D" w:rsidRPr="000C5050">
              <w:t xml:space="preserve"> </w:t>
            </w:r>
            <w:r w:rsidRPr="000C5050">
              <w:t>(Ministry for the Environment, revised 2011</w:t>
            </w:r>
            <w:r w:rsidR="00452EB1">
              <w:t>d</w:t>
            </w:r>
            <w:r w:rsidRPr="000C5050">
              <w:t>)</w:t>
            </w:r>
          </w:p>
          <w:p w14:paraId="42651D5B" w14:textId="77777777" w:rsidR="008572A1" w:rsidRPr="000C5050" w:rsidRDefault="008572A1" w:rsidP="00DF0234">
            <w:pPr>
              <w:pStyle w:val="Tablebullet"/>
              <w:spacing w:after="40"/>
            </w:pPr>
            <w:r w:rsidRPr="000C5050">
              <w:t>adequacy of DSI</w:t>
            </w:r>
          </w:p>
          <w:p w14:paraId="3C2404D9" w14:textId="77777777" w:rsidR="008572A1" w:rsidRPr="000C5050" w:rsidRDefault="008572A1" w:rsidP="002B4891">
            <w:pPr>
              <w:pStyle w:val="Tablebullet"/>
            </w:pPr>
            <w:r w:rsidRPr="000C5050">
              <w:t>transport method and disposal location</w:t>
            </w:r>
          </w:p>
          <w:p w14:paraId="4CDADC09" w14:textId="77777777" w:rsidR="008572A1" w:rsidRPr="000C5050" w:rsidRDefault="008572A1" w:rsidP="00DF0234">
            <w:pPr>
              <w:pStyle w:val="Tablebullet"/>
              <w:spacing w:after="40"/>
            </w:pPr>
            <w:r w:rsidRPr="000C5050">
              <w:t>monitoring and reporting of disposal</w:t>
            </w:r>
          </w:p>
          <w:p w14:paraId="033831FF" w14:textId="77777777" w:rsidR="008572A1" w:rsidRPr="000C5050" w:rsidRDefault="008572A1" w:rsidP="00DF0234">
            <w:pPr>
              <w:pStyle w:val="Tablebullet"/>
              <w:spacing w:after="40"/>
            </w:pPr>
            <w:r w:rsidRPr="000C5050">
              <w:lastRenderedPageBreak/>
              <w:t>duration of consent</w:t>
            </w:r>
          </w:p>
          <w:p w14:paraId="1DE2A642" w14:textId="77777777" w:rsidR="008572A1" w:rsidRPr="000C5050" w:rsidRDefault="008572A1" w:rsidP="002B4891">
            <w:pPr>
              <w:pStyle w:val="Tablebullet"/>
            </w:pPr>
            <w:proofErr w:type="gramStart"/>
            <w:r w:rsidRPr="000C5050">
              <w:t>timing</w:t>
            </w:r>
            <w:proofErr w:type="gramEnd"/>
            <w:r w:rsidRPr="000C5050">
              <w:t xml:space="preserve"> and nature of review of conditions.</w:t>
            </w:r>
          </w:p>
        </w:tc>
        <w:tc>
          <w:tcPr>
            <w:tcW w:w="1876" w:type="dxa"/>
            <w:tcBorders>
              <w:top w:val="single" w:sz="4" w:space="0" w:color="17556C"/>
              <w:left w:val="single" w:sz="4" w:space="0" w:color="17556C"/>
              <w:bottom w:val="single" w:sz="4" w:space="0" w:color="17556C"/>
            </w:tcBorders>
            <w:shd w:val="clear" w:color="auto" w:fill="D5EBE5"/>
          </w:tcPr>
          <w:p w14:paraId="1B10E24F" w14:textId="77777777" w:rsidR="008572A1" w:rsidRPr="000C5050" w:rsidRDefault="008572A1" w:rsidP="00CD696B">
            <w:pPr>
              <w:pStyle w:val="Tabletext"/>
            </w:pPr>
            <w:r w:rsidRPr="000C5050">
              <w:lastRenderedPageBreak/>
              <w:t>Yes</w:t>
            </w:r>
          </w:p>
        </w:tc>
      </w:tr>
      <w:tr w:rsidR="00CE4162" w:rsidRPr="000C5050" w14:paraId="58309114" w14:textId="77777777" w:rsidTr="000D5E13">
        <w:tc>
          <w:tcPr>
            <w:tcW w:w="1866" w:type="dxa"/>
            <w:vMerge/>
            <w:tcBorders>
              <w:top w:val="single" w:sz="4" w:space="0" w:color="17556C"/>
              <w:bottom w:val="single" w:sz="4" w:space="0" w:color="17556C"/>
              <w:right w:val="single" w:sz="4" w:space="0" w:color="17556C"/>
            </w:tcBorders>
            <w:shd w:val="clear" w:color="auto" w:fill="D5EBE5"/>
          </w:tcPr>
          <w:p w14:paraId="70F071D7" w14:textId="77777777" w:rsidR="008572A1" w:rsidRPr="000C5050" w:rsidRDefault="008572A1" w:rsidP="00CD696B">
            <w:pPr>
              <w:pStyle w:val="Tabletext"/>
            </w:pPr>
          </w:p>
        </w:tc>
        <w:tc>
          <w:tcPr>
            <w:tcW w:w="1843" w:type="dxa"/>
            <w:tcBorders>
              <w:top w:val="single" w:sz="4" w:space="0" w:color="17556C"/>
              <w:left w:val="single" w:sz="4" w:space="0" w:color="17556C"/>
              <w:bottom w:val="single" w:sz="4" w:space="0" w:color="17556C"/>
              <w:right w:val="single" w:sz="4" w:space="0" w:color="17556C"/>
            </w:tcBorders>
            <w:shd w:val="clear" w:color="auto" w:fill="D5EBE5"/>
          </w:tcPr>
          <w:p w14:paraId="534C2AEF" w14:textId="77777777" w:rsidR="008572A1" w:rsidRPr="000C5050" w:rsidRDefault="008572A1" w:rsidP="000D5E13">
            <w:pPr>
              <w:pStyle w:val="Tabletext"/>
              <w:spacing w:before="40"/>
            </w:pPr>
            <w:r w:rsidRPr="000C5050">
              <w:t>Any</w:t>
            </w:r>
          </w:p>
        </w:tc>
        <w:tc>
          <w:tcPr>
            <w:tcW w:w="1701" w:type="dxa"/>
            <w:tcBorders>
              <w:top w:val="single" w:sz="4" w:space="0" w:color="17556C"/>
              <w:left w:val="single" w:sz="4" w:space="0" w:color="17556C"/>
              <w:bottom w:val="single" w:sz="4" w:space="0" w:color="17556C"/>
              <w:right w:val="single" w:sz="4" w:space="0" w:color="17556C"/>
            </w:tcBorders>
            <w:shd w:val="clear" w:color="auto" w:fill="D5EBE5"/>
          </w:tcPr>
          <w:p w14:paraId="2C17E6F8" w14:textId="77777777" w:rsidR="008572A1" w:rsidRPr="000C5050" w:rsidRDefault="008572A1" w:rsidP="000D5E13">
            <w:pPr>
              <w:pStyle w:val="Tabletext"/>
              <w:spacing w:before="40"/>
            </w:pPr>
            <w:r w:rsidRPr="000C5050">
              <w:t>Soil sampling</w:t>
            </w:r>
          </w:p>
        </w:tc>
        <w:tc>
          <w:tcPr>
            <w:tcW w:w="3260" w:type="dxa"/>
            <w:tcBorders>
              <w:top w:val="single" w:sz="4" w:space="0" w:color="17556C"/>
              <w:left w:val="single" w:sz="4" w:space="0" w:color="17556C"/>
              <w:bottom w:val="single" w:sz="4" w:space="0" w:color="17556C"/>
              <w:right w:val="single" w:sz="4" w:space="0" w:color="17556C"/>
            </w:tcBorders>
            <w:shd w:val="clear" w:color="auto" w:fill="D5EBE5"/>
          </w:tcPr>
          <w:p w14:paraId="2C049143" w14:textId="77777777" w:rsidR="008572A1" w:rsidRPr="000C5050" w:rsidRDefault="008572A1" w:rsidP="000D5E13">
            <w:pPr>
              <w:pStyle w:val="Tabletext"/>
              <w:spacing w:before="40"/>
            </w:pPr>
            <w:r w:rsidRPr="000C5050">
              <w:t>None</w:t>
            </w:r>
          </w:p>
        </w:tc>
        <w:tc>
          <w:tcPr>
            <w:tcW w:w="3969" w:type="dxa"/>
            <w:tcBorders>
              <w:top w:val="single" w:sz="4" w:space="0" w:color="17556C"/>
              <w:left w:val="single" w:sz="4" w:space="0" w:color="17556C"/>
              <w:bottom w:val="single" w:sz="4" w:space="0" w:color="17556C"/>
              <w:right w:val="single" w:sz="4" w:space="0" w:color="17556C"/>
            </w:tcBorders>
            <w:shd w:val="clear" w:color="auto" w:fill="D5EBE5"/>
          </w:tcPr>
          <w:p w14:paraId="464570A9" w14:textId="77777777" w:rsidR="008572A1" w:rsidRPr="000C5050" w:rsidRDefault="008572A1" w:rsidP="00CD696B">
            <w:pPr>
              <w:pStyle w:val="Tabletext"/>
            </w:pPr>
            <w:r w:rsidRPr="000C5050">
              <w:t>Where soil sampling cannot comply with permitted activity classification it is controlled.</w:t>
            </w:r>
          </w:p>
          <w:p w14:paraId="70FFDB82" w14:textId="77777777" w:rsidR="008572A1" w:rsidRPr="000C5050" w:rsidRDefault="008572A1" w:rsidP="00DF0234">
            <w:pPr>
              <w:pStyle w:val="Tabletext"/>
              <w:spacing w:after="40"/>
            </w:pPr>
            <w:r w:rsidRPr="000C5050">
              <w:t>Matters of control:</w:t>
            </w:r>
          </w:p>
          <w:p w14:paraId="2294FB72" w14:textId="77777777" w:rsidR="008572A1" w:rsidRPr="000C5050" w:rsidRDefault="008572A1" w:rsidP="00DF0234">
            <w:pPr>
              <w:pStyle w:val="Tablebullet"/>
              <w:spacing w:after="40"/>
            </w:pPr>
            <w:r w:rsidRPr="000C5050">
              <w:t>adequacy of DSI</w:t>
            </w:r>
          </w:p>
          <w:p w14:paraId="487F0993" w14:textId="77777777" w:rsidR="008572A1" w:rsidRPr="000C5050" w:rsidRDefault="008572A1" w:rsidP="00DF0234">
            <w:pPr>
              <w:pStyle w:val="Tablebullet"/>
              <w:spacing w:after="40"/>
            </w:pPr>
            <w:r w:rsidRPr="000C5050">
              <w:t>transport method and disposal location</w:t>
            </w:r>
          </w:p>
          <w:p w14:paraId="4C9F18FB" w14:textId="77777777" w:rsidR="008572A1" w:rsidRPr="000C5050" w:rsidRDefault="008572A1" w:rsidP="00DF0234">
            <w:pPr>
              <w:pStyle w:val="Tablebullet"/>
              <w:spacing w:after="40"/>
            </w:pPr>
            <w:r w:rsidRPr="000C5050">
              <w:t>monitoring and reporting of disposal</w:t>
            </w:r>
          </w:p>
          <w:p w14:paraId="0E8E2117" w14:textId="77777777" w:rsidR="008572A1" w:rsidRPr="000C5050" w:rsidRDefault="008572A1" w:rsidP="00DF0234">
            <w:pPr>
              <w:pStyle w:val="Tablebullet"/>
              <w:spacing w:after="40"/>
            </w:pPr>
            <w:r w:rsidRPr="000C5050">
              <w:t>duration of consent</w:t>
            </w:r>
          </w:p>
          <w:p w14:paraId="7D9822E7" w14:textId="77777777" w:rsidR="008572A1" w:rsidRPr="000C5050" w:rsidRDefault="008572A1" w:rsidP="002B4891">
            <w:pPr>
              <w:pStyle w:val="Tablebullet"/>
            </w:pPr>
            <w:proofErr w:type="gramStart"/>
            <w:r w:rsidRPr="000C5050">
              <w:t>timing</w:t>
            </w:r>
            <w:proofErr w:type="gramEnd"/>
            <w:r w:rsidRPr="000C5050">
              <w:t xml:space="preserve"> and nature of review of conditions.</w:t>
            </w:r>
          </w:p>
        </w:tc>
        <w:tc>
          <w:tcPr>
            <w:tcW w:w="1876" w:type="dxa"/>
            <w:tcBorders>
              <w:top w:val="single" w:sz="4" w:space="0" w:color="17556C"/>
              <w:left w:val="single" w:sz="4" w:space="0" w:color="17556C"/>
              <w:bottom w:val="single" w:sz="4" w:space="0" w:color="17556C"/>
            </w:tcBorders>
            <w:shd w:val="clear" w:color="auto" w:fill="D5EBE5"/>
          </w:tcPr>
          <w:p w14:paraId="507FF6EC" w14:textId="77777777" w:rsidR="008572A1" w:rsidRPr="000C5050" w:rsidRDefault="008572A1" w:rsidP="00CD696B">
            <w:pPr>
              <w:pStyle w:val="Tabletext"/>
            </w:pPr>
            <w:r w:rsidRPr="000C5050">
              <w:t>Yes</w:t>
            </w:r>
          </w:p>
        </w:tc>
      </w:tr>
      <w:tr w:rsidR="00CE4162" w:rsidRPr="000C5050" w14:paraId="50E84814" w14:textId="77777777" w:rsidTr="000D5E13">
        <w:tc>
          <w:tcPr>
            <w:tcW w:w="1866" w:type="dxa"/>
            <w:vMerge w:val="restart"/>
            <w:tcBorders>
              <w:top w:val="single" w:sz="4" w:space="0" w:color="17556C"/>
              <w:bottom w:val="nil"/>
              <w:right w:val="single" w:sz="4" w:space="0" w:color="17556C"/>
            </w:tcBorders>
            <w:shd w:val="clear" w:color="auto" w:fill="D2DDE2"/>
            <w:vAlign w:val="bottom"/>
          </w:tcPr>
          <w:p w14:paraId="5A3A81D5" w14:textId="77777777" w:rsidR="008572A1" w:rsidRPr="000C5050" w:rsidRDefault="008572A1" w:rsidP="00D35657">
            <w:pPr>
              <w:pStyle w:val="Tabletext"/>
              <w:keepNext/>
            </w:pPr>
            <w:r w:rsidRPr="000C5050">
              <w:t>Restricted discretionary</w:t>
            </w:r>
          </w:p>
        </w:tc>
        <w:tc>
          <w:tcPr>
            <w:tcW w:w="1843" w:type="dxa"/>
            <w:tcBorders>
              <w:top w:val="single" w:sz="4" w:space="0" w:color="17556C"/>
              <w:left w:val="single" w:sz="4" w:space="0" w:color="17556C"/>
              <w:bottom w:val="single" w:sz="4" w:space="0" w:color="17556C"/>
              <w:right w:val="single" w:sz="4" w:space="0" w:color="17556C"/>
            </w:tcBorders>
            <w:shd w:val="clear" w:color="auto" w:fill="D2DDE2"/>
          </w:tcPr>
          <w:p w14:paraId="1193B2DB" w14:textId="77777777" w:rsidR="008572A1" w:rsidRPr="000C5050" w:rsidRDefault="008572A1" w:rsidP="00DF0234">
            <w:pPr>
              <w:pStyle w:val="Tabletext"/>
              <w:spacing w:before="40" w:after="40"/>
            </w:pPr>
            <w:r w:rsidRPr="000C5050">
              <w:t>Residential and rural residential</w:t>
            </w:r>
          </w:p>
        </w:tc>
        <w:tc>
          <w:tcPr>
            <w:tcW w:w="1701" w:type="dxa"/>
            <w:tcBorders>
              <w:top w:val="single" w:sz="4" w:space="0" w:color="17556C"/>
              <w:left w:val="single" w:sz="4" w:space="0" w:color="17556C"/>
              <w:bottom w:val="single" w:sz="4" w:space="0" w:color="17556C"/>
              <w:right w:val="single" w:sz="4" w:space="0" w:color="17556C"/>
            </w:tcBorders>
            <w:shd w:val="clear" w:color="auto" w:fill="D2DDE2"/>
          </w:tcPr>
          <w:p w14:paraId="6A41334E" w14:textId="77777777" w:rsidR="008572A1" w:rsidRPr="000C5050" w:rsidRDefault="008572A1" w:rsidP="00DF0234">
            <w:pPr>
              <w:pStyle w:val="Tabletext"/>
              <w:spacing w:before="40" w:after="40"/>
            </w:pPr>
            <w:r w:rsidRPr="000C5050">
              <w:t>Subdivision, change of use</w:t>
            </w:r>
          </w:p>
        </w:tc>
        <w:tc>
          <w:tcPr>
            <w:tcW w:w="3260" w:type="dxa"/>
            <w:tcBorders>
              <w:top w:val="single" w:sz="4" w:space="0" w:color="17556C"/>
              <w:left w:val="single" w:sz="4" w:space="0" w:color="17556C"/>
              <w:bottom w:val="single" w:sz="4" w:space="0" w:color="17556C"/>
              <w:right w:val="single" w:sz="4" w:space="0" w:color="17556C"/>
            </w:tcBorders>
            <w:shd w:val="clear" w:color="auto" w:fill="D2DDE2"/>
          </w:tcPr>
          <w:p w14:paraId="625A1691" w14:textId="7290B228" w:rsidR="008572A1" w:rsidRPr="000C5050" w:rsidRDefault="008572A1" w:rsidP="00DF0234">
            <w:pPr>
              <w:pStyle w:val="Tabletext"/>
              <w:spacing w:before="40" w:after="40"/>
            </w:pPr>
            <w:r w:rsidRPr="000C5050">
              <w:t xml:space="preserve">DSI – has found that soil </w:t>
            </w:r>
            <w:proofErr w:type="gramStart"/>
            <w:r w:rsidRPr="000C5050">
              <w:t>contaminants on a site exceeds</w:t>
            </w:r>
            <w:proofErr w:type="gramEnd"/>
            <w:r w:rsidRPr="000C5050">
              <w:t xml:space="preserve"> the applicable soil guideline value for a TOSMP. </w:t>
            </w:r>
          </w:p>
        </w:tc>
        <w:tc>
          <w:tcPr>
            <w:tcW w:w="3969" w:type="dxa"/>
            <w:tcBorders>
              <w:top w:val="single" w:sz="4" w:space="0" w:color="17556C"/>
              <w:left w:val="single" w:sz="4" w:space="0" w:color="17556C"/>
              <w:bottom w:val="single" w:sz="4" w:space="0" w:color="17556C"/>
              <w:right w:val="single" w:sz="4" w:space="0" w:color="17556C"/>
            </w:tcBorders>
            <w:shd w:val="clear" w:color="auto" w:fill="D2DDE2"/>
          </w:tcPr>
          <w:p w14:paraId="3520B3B6" w14:textId="77777777" w:rsidR="008572A1" w:rsidRPr="000C5050" w:rsidRDefault="008572A1" w:rsidP="000D5E13">
            <w:pPr>
              <w:pStyle w:val="Tabletext"/>
              <w:spacing w:before="40" w:after="40"/>
              <w:rPr>
                <w:i/>
              </w:rPr>
            </w:pPr>
            <w:r w:rsidRPr="000C5050">
              <w:t xml:space="preserve">Matters of discretion will be same as existing restricted discretionary matters. </w:t>
            </w:r>
          </w:p>
        </w:tc>
        <w:tc>
          <w:tcPr>
            <w:tcW w:w="1876" w:type="dxa"/>
            <w:tcBorders>
              <w:top w:val="single" w:sz="4" w:space="0" w:color="17556C"/>
              <w:left w:val="single" w:sz="4" w:space="0" w:color="17556C"/>
              <w:bottom w:val="single" w:sz="4" w:space="0" w:color="17556C"/>
            </w:tcBorders>
            <w:shd w:val="clear" w:color="auto" w:fill="D2DDE2"/>
          </w:tcPr>
          <w:p w14:paraId="429B0A55" w14:textId="77777777" w:rsidR="008572A1" w:rsidRPr="000C5050" w:rsidRDefault="008572A1" w:rsidP="00CD696B">
            <w:pPr>
              <w:pStyle w:val="Tabletext"/>
            </w:pPr>
            <w:r w:rsidRPr="000C5050">
              <w:t>Yes</w:t>
            </w:r>
          </w:p>
        </w:tc>
      </w:tr>
      <w:tr w:rsidR="00CE4162" w:rsidRPr="000C5050" w14:paraId="234CC47A" w14:textId="77777777" w:rsidTr="000D5E13">
        <w:tc>
          <w:tcPr>
            <w:tcW w:w="1866" w:type="dxa"/>
            <w:vMerge/>
            <w:tcBorders>
              <w:bottom w:val="nil"/>
              <w:right w:val="single" w:sz="4" w:space="0" w:color="17556C"/>
            </w:tcBorders>
            <w:shd w:val="clear" w:color="auto" w:fill="D2DDE2"/>
          </w:tcPr>
          <w:p w14:paraId="7A220200" w14:textId="77777777" w:rsidR="008572A1" w:rsidRPr="000C5050" w:rsidRDefault="008572A1" w:rsidP="00CD696B">
            <w:pPr>
              <w:pStyle w:val="Tabletext"/>
            </w:pPr>
          </w:p>
        </w:tc>
        <w:tc>
          <w:tcPr>
            <w:tcW w:w="1843" w:type="dxa"/>
            <w:tcBorders>
              <w:top w:val="single" w:sz="4" w:space="0" w:color="17556C"/>
              <w:left w:val="single" w:sz="4" w:space="0" w:color="17556C"/>
              <w:bottom w:val="single" w:sz="4" w:space="0" w:color="17556C"/>
              <w:right w:val="single" w:sz="4" w:space="0" w:color="17556C"/>
            </w:tcBorders>
            <w:shd w:val="clear" w:color="auto" w:fill="D2DDE2"/>
          </w:tcPr>
          <w:p w14:paraId="05B3B8EF" w14:textId="77777777" w:rsidR="008572A1" w:rsidRPr="000C5050" w:rsidRDefault="008572A1" w:rsidP="00DF0234">
            <w:pPr>
              <w:pStyle w:val="Tabletext"/>
              <w:spacing w:before="40" w:after="40"/>
            </w:pPr>
            <w:r w:rsidRPr="000C5050">
              <w:t>Any</w:t>
            </w:r>
          </w:p>
        </w:tc>
        <w:tc>
          <w:tcPr>
            <w:tcW w:w="1701" w:type="dxa"/>
            <w:tcBorders>
              <w:top w:val="single" w:sz="4" w:space="0" w:color="17556C"/>
              <w:left w:val="single" w:sz="4" w:space="0" w:color="17556C"/>
              <w:bottom w:val="single" w:sz="4" w:space="0" w:color="17556C"/>
              <w:right w:val="single" w:sz="4" w:space="0" w:color="17556C"/>
            </w:tcBorders>
            <w:shd w:val="clear" w:color="auto" w:fill="D2DDE2"/>
          </w:tcPr>
          <w:p w14:paraId="5ACA50E9" w14:textId="77777777" w:rsidR="008572A1" w:rsidRPr="000C5050" w:rsidRDefault="008572A1" w:rsidP="00DF0234">
            <w:pPr>
              <w:pStyle w:val="Tabletext"/>
              <w:spacing w:before="40" w:after="40"/>
            </w:pPr>
            <w:r w:rsidRPr="000C5050">
              <w:t>Subdivision, change of use</w:t>
            </w:r>
          </w:p>
        </w:tc>
        <w:tc>
          <w:tcPr>
            <w:tcW w:w="3260" w:type="dxa"/>
            <w:tcBorders>
              <w:top w:val="single" w:sz="4" w:space="0" w:color="17556C"/>
              <w:left w:val="single" w:sz="4" w:space="0" w:color="17556C"/>
              <w:bottom w:val="single" w:sz="4" w:space="0" w:color="17556C"/>
              <w:right w:val="single" w:sz="4" w:space="0" w:color="17556C"/>
            </w:tcBorders>
            <w:shd w:val="clear" w:color="auto" w:fill="D2DDE2"/>
          </w:tcPr>
          <w:p w14:paraId="1E8EDB4E" w14:textId="340FA12B" w:rsidR="008572A1" w:rsidRPr="000C5050" w:rsidRDefault="008572A1" w:rsidP="00DF0234">
            <w:pPr>
              <w:pStyle w:val="Tabletext"/>
              <w:spacing w:before="40" w:after="40"/>
            </w:pPr>
            <w:r w:rsidRPr="000C5050">
              <w:t xml:space="preserve">DSI – has found soil contaminants that exceed the </w:t>
            </w:r>
            <w:r w:rsidR="007168A8" w:rsidRPr="000C5050">
              <w:t>soil contaminant standards or Tier 1 soil acceptance criteria</w:t>
            </w:r>
            <w:r w:rsidRPr="000C5050">
              <w:t>.</w:t>
            </w:r>
          </w:p>
        </w:tc>
        <w:tc>
          <w:tcPr>
            <w:tcW w:w="3969" w:type="dxa"/>
            <w:tcBorders>
              <w:top w:val="single" w:sz="4" w:space="0" w:color="17556C"/>
              <w:left w:val="single" w:sz="4" w:space="0" w:color="17556C"/>
              <w:bottom w:val="single" w:sz="4" w:space="0" w:color="17556C"/>
              <w:right w:val="single" w:sz="4" w:space="0" w:color="17556C"/>
            </w:tcBorders>
            <w:shd w:val="clear" w:color="auto" w:fill="D2DDE2"/>
          </w:tcPr>
          <w:p w14:paraId="697FFEF3" w14:textId="77777777" w:rsidR="008572A1" w:rsidRPr="000C5050" w:rsidRDefault="008572A1" w:rsidP="000D5E13">
            <w:pPr>
              <w:pStyle w:val="Tabletext"/>
              <w:spacing w:before="40" w:after="40"/>
            </w:pPr>
            <w:r w:rsidRPr="000C5050">
              <w:t>Matters of discretion to be same as existing restricted discretionary matters.</w:t>
            </w:r>
          </w:p>
        </w:tc>
        <w:tc>
          <w:tcPr>
            <w:tcW w:w="1876" w:type="dxa"/>
            <w:tcBorders>
              <w:top w:val="single" w:sz="4" w:space="0" w:color="17556C"/>
              <w:left w:val="single" w:sz="4" w:space="0" w:color="17556C"/>
              <w:bottom w:val="single" w:sz="4" w:space="0" w:color="17556C"/>
            </w:tcBorders>
            <w:shd w:val="clear" w:color="auto" w:fill="D2DDE2"/>
          </w:tcPr>
          <w:p w14:paraId="6E649248" w14:textId="77777777" w:rsidR="008572A1" w:rsidRPr="000C5050" w:rsidRDefault="008572A1" w:rsidP="00CD696B">
            <w:pPr>
              <w:pStyle w:val="Tabletext"/>
            </w:pPr>
            <w:r w:rsidRPr="000C5050">
              <w:t>No</w:t>
            </w:r>
          </w:p>
        </w:tc>
      </w:tr>
      <w:tr w:rsidR="00CE4162" w:rsidRPr="000C5050" w14:paraId="30DF8969" w14:textId="77777777" w:rsidTr="000D5E13">
        <w:tc>
          <w:tcPr>
            <w:tcW w:w="1866" w:type="dxa"/>
            <w:vMerge/>
            <w:tcBorders>
              <w:bottom w:val="nil"/>
              <w:right w:val="single" w:sz="4" w:space="0" w:color="17556C"/>
            </w:tcBorders>
            <w:shd w:val="clear" w:color="auto" w:fill="D2DDE2"/>
          </w:tcPr>
          <w:p w14:paraId="531A3A96" w14:textId="77777777" w:rsidR="008572A1" w:rsidRPr="000C5050" w:rsidRDefault="008572A1" w:rsidP="00CD696B">
            <w:pPr>
              <w:pStyle w:val="Tabletext"/>
            </w:pPr>
          </w:p>
        </w:tc>
        <w:tc>
          <w:tcPr>
            <w:tcW w:w="1843" w:type="dxa"/>
            <w:tcBorders>
              <w:top w:val="single" w:sz="4" w:space="0" w:color="17556C"/>
              <w:left w:val="single" w:sz="4" w:space="0" w:color="17556C"/>
              <w:bottom w:val="single" w:sz="4" w:space="0" w:color="17556C"/>
              <w:right w:val="single" w:sz="4" w:space="0" w:color="17556C"/>
            </w:tcBorders>
            <w:shd w:val="clear" w:color="auto" w:fill="D2DDE2"/>
          </w:tcPr>
          <w:p w14:paraId="30466429" w14:textId="77777777" w:rsidR="008572A1" w:rsidRPr="000C5050" w:rsidRDefault="008572A1" w:rsidP="00DF0234">
            <w:pPr>
              <w:pStyle w:val="Tabletext"/>
              <w:spacing w:before="40" w:after="40"/>
            </w:pPr>
            <w:r w:rsidRPr="000C5050">
              <w:t>Any</w:t>
            </w:r>
          </w:p>
        </w:tc>
        <w:tc>
          <w:tcPr>
            <w:tcW w:w="1701" w:type="dxa"/>
            <w:tcBorders>
              <w:top w:val="single" w:sz="4" w:space="0" w:color="17556C"/>
              <w:left w:val="single" w:sz="4" w:space="0" w:color="17556C"/>
              <w:bottom w:val="single" w:sz="4" w:space="0" w:color="17556C"/>
              <w:right w:val="single" w:sz="4" w:space="0" w:color="17556C"/>
            </w:tcBorders>
            <w:shd w:val="clear" w:color="auto" w:fill="D2DDE2"/>
          </w:tcPr>
          <w:p w14:paraId="177D404E" w14:textId="77777777" w:rsidR="008572A1" w:rsidRPr="000C5050" w:rsidRDefault="008572A1" w:rsidP="00DF0234">
            <w:pPr>
              <w:pStyle w:val="Tabletext"/>
              <w:spacing w:before="40" w:after="40"/>
            </w:pPr>
            <w:r w:rsidRPr="000C5050">
              <w:t>Fuel tank removal, soil disturbance</w:t>
            </w:r>
          </w:p>
        </w:tc>
        <w:tc>
          <w:tcPr>
            <w:tcW w:w="3260" w:type="dxa"/>
            <w:tcBorders>
              <w:top w:val="single" w:sz="4" w:space="0" w:color="17556C"/>
              <w:left w:val="single" w:sz="4" w:space="0" w:color="17556C"/>
              <w:bottom w:val="single" w:sz="4" w:space="0" w:color="17556C"/>
              <w:right w:val="single" w:sz="4" w:space="0" w:color="17556C"/>
            </w:tcBorders>
            <w:shd w:val="clear" w:color="auto" w:fill="D2DDE2"/>
          </w:tcPr>
          <w:p w14:paraId="3B18A7C9" w14:textId="77777777" w:rsidR="008572A1" w:rsidRPr="000C5050" w:rsidRDefault="008572A1" w:rsidP="00DF0234">
            <w:pPr>
              <w:pStyle w:val="Tabletext"/>
              <w:spacing w:before="40" w:after="40"/>
            </w:pPr>
            <w:r w:rsidRPr="000C5050">
              <w:t>No DSI provided</w:t>
            </w:r>
          </w:p>
        </w:tc>
        <w:tc>
          <w:tcPr>
            <w:tcW w:w="3969" w:type="dxa"/>
            <w:tcBorders>
              <w:top w:val="single" w:sz="4" w:space="0" w:color="17556C"/>
              <w:left w:val="single" w:sz="4" w:space="0" w:color="17556C"/>
              <w:bottom w:val="single" w:sz="4" w:space="0" w:color="17556C"/>
              <w:right w:val="single" w:sz="4" w:space="0" w:color="17556C"/>
            </w:tcBorders>
            <w:shd w:val="clear" w:color="auto" w:fill="D2DDE2"/>
          </w:tcPr>
          <w:p w14:paraId="3BE98D61" w14:textId="77777777" w:rsidR="008572A1" w:rsidRPr="000C5050" w:rsidRDefault="008572A1" w:rsidP="000D5E13">
            <w:pPr>
              <w:pStyle w:val="Tabletext"/>
              <w:spacing w:before="40" w:after="40"/>
            </w:pPr>
            <w:r w:rsidRPr="000C5050">
              <w:t xml:space="preserve">Matters of discretion linked to effects of the proposed activity, not wider HAIL site. </w:t>
            </w:r>
          </w:p>
        </w:tc>
        <w:tc>
          <w:tcPr>
            <w:tcW w:w="1876" w:type="dxa"/>
            <w:tcBorders>
              <w:top w:val="single" w:sz="4" w:space="0" w:color="17556C"/>
              <w:left w:val="single" w:sz="4" w:space="0" w:color="17556C"/>
              <w:bottom w:val="single" w:sz="4" w:space="0" w:color="17556C"/>
            </w:tcBorders>
            <w:shd w:val="clear" w:color="auto" w:fill="D2DDE2"/>
          </w:tcPr>
          <w:p w14:paraId="09E1A765" w14:textId="77777777" w:rsidR="008572A1" w:rsidRPr="000C5050" w:rsidRDefault="008572A1" w:rsidP="00CD696B">
            <w:pPr>
              <w:pStyle w:val="Tabletext"/>
            </w:pPr>
            <w:r w:rsidRPr="000C5050">
              <w:t>Yes</w:t>
            </w:r>
          </w:p>
        </w:tc>
      </w:tr>
      <w:tr w:rsidR="00CE4162" w:rsidRPr="000C5050" w14:paraId="7FF56104" w14:textId="77777777" w:rsidTr="000D5E13">
        <w:tc>
          <w:tcPr>
            <w:tcW w:w="1866" w:type="dxa"/>
            <w:tcBorders>
              <w:top w:val="nil"/>
              <w:bottom w:val="single" w:sz="4" w:space="0" w:color="17556C"/>
              <w:right w:val="single" w:sz="4" w:space="0" w:color="17556C"/>
            </w:tcBorders>
            <w:shd w:val="clear" w:color="auto" w:fill="D2DDE2"/>
          </w:tcPr>
          <w:p w14:paraId="0AA75212" w14:textId="77777777" w:rsidR="008572A1" w:rsidRPr="000C5050" w:rsidRDefault="008572A1" w:rsidP="00CD696B">
            <w:pPr>
              <w:pStyle w:val="Tabletext"/>
            </w:pPr>
          </w:p>
        </w:tc>
        <w:tc>
          <w:tcPr>
            <w:tcW w:w="1843" w:type="dxa"/>
            <w:tcBorders>
              <w:top w:val="single" w:sz="4" w:space="0" w:color="17556C"/>
              <w:left w:val="single" w:sz="4" w:space="0" w:color="17556C"/>
              <w:bottom w:val="single" w:sz="4" w:space="0" w:color="17556C"/>
              <w:right w:val="single" w:sz="4" w:space="0" w:color="17556C"/>
            </w:tcBorders>
            <w:shd w:val="clear" w:color="auto" w:fill="D2DDE2"/>
          </w:tcPr>
          <w:p w14:paraId="5004369C" w14:textId="77777777" w:rsidR="008572A1" w:rsidRPr="000C5050" w:rsidRDefault="008572A1" w:rsidP="00DF0234">
            <w:pPr>
              <w:pStyle w:val="Tabletext"/>
              <w:spacing w:before="40" w:after="40"/>
            </w:pPr>
            <w:r w:rsidRPr="000C5050">
              <w:t>Any</w:t>
            </w:r>
          </w:p>
        </w:tc>
        <w:tc>
          <w:tcPr>
            <w:tcW w:w="1701" w:type="dxa"/>
            <w:tcBorders>
              <w:top w:val="single" w:sz="4" w:space="0" w:color="17556C"/>
              <w:left w:val="single" w:sz="4" w:space="0" w:color="17556C"/>
              <w:bottom w:val="single" w:sz="4" w:space="0" w:color="17556C"/>
              <w:right w:val="single" w:sz="4" w:space="0" w:color="17556C"/>
            </w:tcBorders>
            <w:shd w:val="clear" w:color="auto" w:fill="D2DDE2"/>
          </w:tcPr>
          <w:p w14:paraId="4CAFCFBE" w14:textId="77777777" w:rsidR="008572A1" w:rsidRPr="000C5050" w:rsidRDefault="008572A1" w:rsidP="00DF0234">
            <w:pPr>
              <w:pStyle w:val="Tabletext"/>
              <w:spacing w:before="40" w:after="40"/>
            </w:pPr>
            <w:r w:rsidRPr="000C5050">
              <w:t>Soil disposal</w:t>
            </w:r>
          </w:p>
        </w:tc>
        <w:tc>
          <w:tcPr>
            <w:tcW w:w="3260" w:type="dxa"/>
            <w:tcBorders>
              <w:top w:val="single" w:sz="4" w:space="0" w:color="17556C"/>
              <w:left w:val="single" w:sz="4" w:space="0" w:color="17556C"/>
              <w:bottom w:val="single" w:sz="4" w:space="0" w:color="17556C"/>
              <w:right w:val="single" w:sz="4" w:space="0" w:color="17556C"/>
            </w:tcBorders>
            <w:shd w:val="clear" w:color="auto" w:fill="D2DDE2"/>
          </w:tcPr>
          <w:p w14:paraId="0FC19A65" w14:textId="77777777" w:rsidR="008572A1" w:rsidRPr="000C5050" w:rsidRDefault="008572A1" w:rsidP="00DF0234">
            <w:pPr>
              <w:pStyle w:val="Tabletext"/>
              <w:spacing w:before="40" w:after="40"/>
            </w:pPr>
            <w:r w:rsidRPr="000C5050">
              <w:t>No DSI provided</w:t>
            </w:r>
          </w:p>
        </w:tc>
        <w:tc>
          <w:tcPr>
            <w:tcW w:w="3969" w:type="dxa"/>
            <w:tcBorders>
              <w:top w:val="single" w:sz="4" w:space="0" w:color="17556C"/>
              <w:left w:val="single" w:sz="4" w:space="0" w:color="17556C"/>
              <w:bottom w:val="single" w:sz="4" w:space="0" w:color="17556C"/>
              <w:right w:val="single" w:sz="4" w:space="0" w:color="17556C"/>
            </w:tcBorders>
            <w:shd w:val="clear" w:color="auto" w:fill="D2DDE2"/>
          </w:tcPr>
          <w:p w14:paraId="114CDD86" w14:textId="77777777" w:rsidR="008572A1" w:rsidRPr="000C5050" w:rsidRDefault="008572A1" w:rsidP="00DF0234">
            <w:pPr>
              <w:pStyle w:val="Tabletext"/>
              <w:spacing w:after="40"/>
            </w:pPr>
            <w:r w:rsidRPr="000C5050">
              <w:t>Matters of discretion:</w:t>
            </w:r>
          </w:p>
          <w:p w14:paraId="4CDB266F" w14:textId="77777777" w:rsidR="008572A1" w:rsidRPr="000C5050" w:rsidRDefault="008572A1" w:rsidP="00DF0234">
            <w:pPr>
              <w:pStyle w:val="Tablebullet"/>
              <w:spacing w:after="40"/>
            </w:pPr>
            <w:r w:rsidRPr="000C5050">
              <w:t>the approach to managing the soil disposal including soil testing requirements, disposal location, transport method</w:t>
            </w:r>
          </w:p>
          <w:p w14:paraId="0E5E587A" w14:textId="77777777" w:rsidR="008572A1" w:rsidRPr="000C5050" w:rsidRDefault="008572A1" w:rsidP="00DF0234">
            <w:pPr>
              <w:pStyle w:val="Tablebullet"/>
              <w:spacing w:after="40"/>
            </w:pPr>
            <w:r w:rsidRPr="000C5050">
              <w:t>monitoring and reporting of disposal</w:t>
            </w:r>
            <w:r w:rsidR="007D080D" w:rsidRPr="000C5050">
              <w:t xml:space="preserve"> </w:t>
            </w:r>
          </w:p>
          <w:p w14:paraId="5475063A" w14:textId="77777777" w:rsidR="008572A1" w:rsidRPr="000C5050" w:rsidRDefault="008572A1" w:rsidP="00DF0234">
            <w:pPr>
              <w:pStyle w:val="Tablebullet"/>
              <w:spacing w:after="40"/>
            </w:pPr>
            <w:r w:rsidRPr="000C5050">
              <w:t>duration of consent</w:t>
            </w:r>
          </w:p>
          <w:p w14:paraId="287CCAF8" w14:textId="77777777" w:rsidR="008572A1" w:rsidRPr="000C5050" w:rsidRDefault="008572A1" w:rsidP="00DF0234">
            <w:pPr>
              <w:pStyle w:val="Tablebullet"/>
              <w:spacing w:after="40"/>
            </w:pPr>
            <w:r w:rsidRPr="000C5050">
              <w:t>timing and nature of review of conditions</w:t>
            </w:r>
          </w:p>
          <w:p w14:paraId="56835526" w14:textId="77777777" w:rsidR="008572A1" w:rsidRPr="000C5050" w:rsidRDefault="008572A1" w:rsidP="002B4891">
            <w:pPr>
              <w:pStyle w:val="Tablebullet"/>
            </w:pPr>
            <w:proofErr w:type="gramStart"/>
            <w:r w:rsidRPr="000C5050">
              <w:t>requirement</w:t>
            </w:r>
            <w:proofErr w:type="gramEnd"/>
            <w:r w:rsidRPr="000C5050">
              <w:t xml:space="preserve"> for and conditions of a financial bond.</w:t>
            </w:r>
          </w:p>
        </w:tc>
        <w:tc>
          <w:tcPr>
            <w:tcW w:w="1876" w:type="dxa"/>
            <w:tcBorders>
              <w:top w:val="single" w:sz="4" w:space="0" w:color="17556C"/>
              <w:left w:val="single" w:sz="4" w:space="0" w:color="17556C"/>
              <w:bottom w:val="single" w:sz="4" w:space="0" w:color="17556C"/>
            </w:tcBorders>
            <w:shd w:val="clear" w:color="auto" w:fill="D2DDE2"/>
          </w:tcPr>
          <w:p w14:paraId="07667078" w14:textId="77777777" w:rsidR="008572A1" w:rsidRPr="000C5050" w:rsidRDefault="008572A1" w:rsidP="00CD696B">
            <w:pPr>
              <w:pStyle w:val="Tabletext"/>
            </w:pPr>
            <w:r w:rsidRPr="000C5050">
              <w:t>Yes</w:t>
            </w:r>
          </w:p>
        </w:tc>
      </w:tr>
      <w:tr w:rsidR="00CE4162" w:rsidRPr="000C5050" w14:paraId="2297B84A" w14:textId="77777777" w:rsidTr="000D5E13">
        <w:tc>
          <w:tcPr>
            <w:tcW w:w="1866" w:type="dxa"/>
            <w:tcBorders>
              <w:top w:val="single" w:sz="4" w:space="0" w:color="17556C"/>
              <w:bottom w:val="single" w:sz="4" w:space="0" w:color="17556C"/>
              <w:right w:val="single" w:sz="4" w:space="0" w:color="17556C"/>
            </w:tcBorders>
            <w:shd w:val="clear" w:color="auto" w:fill="6FC7B7"/>
          </w:tcPr>
          <w:p w14:paraId="0397C3DA" w14:textId="77777777" w:rsidR="008572A1" w:rsidRPr="000C5050" w:rsidRDefault="008572A1" w:rsidP="000D5E13">
            <w:pPr>
              <w:pStyle w:val="Tabletext"/>
              <w:spacing w:before="40" w:after="40"/>
            </w:pPr>
            <w:r w:rsidRPr="000C5050">
              <w:t>Discretionary</w:t>
            </w:r>
          </w:p>
        </w:tc>
        <w:tc>
          <w:tcPr>
            <w:tcW w:w="1843" w:type="dxa"/>
            <w:tcBorders>
              <w:top w:val="single" w:sz="4" w:space="0" w:color="17556C"/>
              <w:left w:val="single" w:sz="4" w:space="0" w:color="17556C"/>
              <w:bottom w:val="single" w:sz="4" w:space="0" w:color="17556C"/>
              <w:right w:val="single" w:sz="4" w:space="0" w:color="17556C"/>
            </w:tcBorders>
            <w:shd w:val="clear" w:color="auto" w:fill="6FC7B7"/>
          </w:tcPr>
          <w:p w14:paraId="70413D29" w14:textId="77777777" w:rsidR="008572A1" w:rsidRPr="000C5050" w:rsidRDefault="008572A1" w:rsidP="000D5E13">
            <w:pPr>
              <w:pStyle w:val="Tabletext"/>
              <w:spacing w:before="40" w:after="40"/>
            </w:pPr>
            <w:r w:rsidRPr="000C5050">
              <w:t>Any</w:t>
            </w:r>
          </w:p>
        </w:tc>
        <w:tc>
          <w:tcPr>
            <w:tcW w:w="1701" w:type="dxa"/>
            <w:tcBorders>
              <w:top w:val="single" w:sz="4" w:space="0" w:color="17556C"/>
              <w:left w:val="single" w:sz="4" w:space="0" w:color="17556C"/>
              <w:bottom w:val="single" w:sz="4" w:space="0" w:color="17556C"/>
              <w:right w:val="single" w:sz="4" w:space="0" w:color="17556C"/>
            </w:tcBorders>
            <w:shd w:val="clear" w:color="auto" w:fill="6FC7B7"/>
          </w:tcPr>
          <w:p w14:paraId="11D44C3A" w14:textId="77777777" w:rsidR="008572A1" w:rsidRPr="000C5050" w:rsidRDefault="008572A1" w:rsidP="000D5E13">
            <w:pPr>
              <w:pStyle w:val="Tabletext"/>
              <w:spacing w:before="40" w:after="40"/>
            </w:pPr>
            <w:r w:rsidRPr="000C5050">
              <w:t>Subdivision, change of use</w:t>
            </w:r>
          </w:p>
        </w:tc>
        <w:tc>
          <w:tcPr>
            <w:tcW w:w="3260" w:type="dxa"/>
            <w:tcBorders>
              <w:top w:val="single" w:sz="4" w:space="0" w:color="17556C"/>
              <w:left w:val="single" w:sz="4" w:space="0" w:color="17556C"/>
              <w:bottom w:val="single" w:sz="4" w:space="0" w:color="17556C"/>
              <w:right w:val="single" w:sz="4" w:space="0" w:color="17556C"/>
            </w:tcBorders>
            <w:shd w:val="clear" w:color="auto" w:fill="6FC7B7"/>
          </w:tcPr>
          <w:p w14:paraId="187D0A24" w14:textId="77777777" w:rsidR="008572A1" w:rsidRPr="000C5050" w:rsidRDefault="008572A1" w:rsidP="000D5E13">
            <w:pPr>
              <w:pStyle w:val="Tabletext"/>
              <w:spacing w:before="40" w:after="40"/>
            </w:pPr>
            <w:r w:rsidRPr="000C5050">
              <w:t xml:space="preserve">None – landowner has chosen not to test their property </w:t>
            </w:r>
          </w:p>
        </w:tc>
        <w:tc>
          <w:tcPr>
            <w:tcW w:w="3969" w:type="dxa"/>
            <w:tcBorders>
              <w:top w:val="single" w:sz="4" w:space="0" w:color="17556C"/>
              <w:left w:val="single" w:sz="4" w:space="0" w:color="17556C"/>
              <w:bottom w:val="single" w:sz="4" w:space="0" w:color="17556C"/>
              <w:right w:val="single" w:sz="4" w:space="0" w:color="17556C"/>
            </w:tcBorders>
            <w:shd w:val="clear" w:color="auto" w:fill="6FC7B7"/>
          </w:tcPr>
          <w:p w14:paraId="0FFABBFB" w14:textId="77777777" w:rsidR="008572A1" w:rsidRPr="000C5050" w:rsidRDefault="008572A1" w:rsidP="000D5E13">
            <w:pPr>
              <w:pStyle w:val="Tabletext"/>
              <w:spacing w:before="40" w:after="40"/>
            </w:pPr>
            <w:r w:rsidRPr="000C5050">
              <w:t>N/A – council have full discretion – they will determine what the requirements are</w:t>
            </w:r>
          </w:p>
        </w:tc>
        <w:tc>
          <w:tcPr>
            <w:tcW w:w="1876" w:type="dxa"/>
            <w:tcBorders>
              <w:top w:val="single" w:sz="4" w:space="0" w:color="17556C"/>
              <w:left w:val="single" w:sz="4" w:space="0" w:color="17556C"/>
              <w:bottom w:val="single" w:sz="4" w:space="0" w:color="17556C"/>
            </w:tcBorders>
            <w:shd w:val="clear" w:color="auto" w:fill="6FC7B7"/>
          </w:tcPr>
          <w:p w14:paraId="210A48CE" w14:textId="77777777" w:rsidR="008572A1" w:rsidRPr="000C5050" w:rsidRDefault="008572A1" w:rsidP="000D5E13">
            <w:pPr>
              <w:pStyle w:val="Tabletext"/>
              <w:spacing w:before="40" w:after="40"/>
            </w:pPr>
            <w:r w:rsidRPr="000C5050">
              <w:t xml:space="preserve">No (except now only applies to subdivision and change of use). </w:t>
            </w:r>
          </w:p>
        </w:tc>
      </w:tr>
    </w:tbl>
    <w:p w14:paraId="0395E9B1" w14:textId="77777777" w:rsidR="00293312" w:rsidRPr="000C5050" w:rsidRDefault="00293312" w:rsidP="000D5E13">
      <w:pPr>
        <w:pStyle w:val="Heading1"/>
        <w:spacing w:after="240"/>
      </w:pPr>
      <w:bookmarkStart w:id="66" w:name="_Toc460081258"/>
      <w:r w:rsidRPr="000C5050">
        <w:lastRenderedPageBreak/>
        <w:t>Appendix 5 – Proposed new soil guideline value</w:t>
      </w:r>
      <w:bookmarkEnd w:id="66"/>
    </w:p>
    <w:p w14:paraId="2932E320" w14:textId="77777777" w:rsidR="000113BC" w:rsidRPr="000C5050" w:rsidRDefault="00293312" w:rsidP="00E54D8D">
      <w:pPr>
        <w:pStyle w:val="BodyText"/>
        <w:spacing w:after="160"/>
      </w:pPr>
      <w:r w:rsidRPr="000C5050">
        <w:t>Soil contaminant standards (SCSs) and soil guideline values (SGV) – 50 PER CENT REDUCTION IN SOIL INGESTION RATE</w:t>
      </w:r>
    </w:p>
    <w:tbl>
      <w:tblPr>
        <w:tblW w:w="14515" w:type="dxa"/>
        <w:tblInd w:w="85" w:type="dxa"/>
        <w:tblBorders>
          <w:top w:val="single" w:sz="4" w:space="0" w:color="593731"/>
          <w:bottom w:val="single" w:sz="4" w:space="0" w:color="593731"/>
          <w:insideH w:val="single" w:sz="4" w:space="0" w:color="593731"/>
          <w:insideV w:val="single" w:sz="4" w:space="0" w:color="593731"/>
        </w:tblBorders>
        <w:tblLayout w:type="fixed"/>
        <w:tblCellMar>
          <w:left w:w="57" w:type="dxa"/>
          <w:right w:w="57" w:type="dxa"/>
        </w:tblCellMar>
        <w:tblLook w:val="01E0" w:firstRow="1" w:lastRow="1" w:firstColumn="1" w:lastColumn="1" w:noHBand="0" w:noVBand="0"/>
      </w:tblPr>
      <w:tblGrid>
        <w:gridCol w:w="2570"/>
        <w:gridCol w:w="756"/>
        <w:gridCol w:w="756"/>
        <w:gridCol w:w="907"/>
        <w:gridCol w:w="756"/>
        <w:gridCol w:w="605"/>
        <w:gridCol w:w="756"/>
        <w:gridCol w:w="907"/>
        <w:gridCol w:w="1058"/>
        <w:gridCol w:w="908"/>
        <w:gridCol w:w="693"/>
        <w:gridCol w:w="63"/>
        <w:gridCol w:w="907"/>
        <w:gridCol w:w="908"/>
        <w:gridCol w:w="907"/>
        <w:gridCol w:w="1058"/>
      </w:tblGrid>
      <w:tr w:rsidR="00293312" w:rsidRPr="000C5050" w14:paraId="0B757EE1" w14:textId="77777777" w:rsidTr="00165D18">
        <w:trPr>
          <w:cantSplit/>
        </w:trPr>
        <w:tc>
          <w:tcPr>
            <w:tcW w:w="2410" w:type="dxa"/>
            <w:vMerge w:val="restart"/>
            <w:tcBorders>
              <w:top w:val="single" w:sz="4" w:space="0" w:color="17556C"/>
              <w:bottom w:val="single" w:sz="4" w:space="0" w:color="17556C"/>
              <w:right w:val="single" w:sz="4" w:space="0" w:color="17556C"/>
            </w:tcBorders>
            <w:shd w:val="clear" w:color="auto" w:fill="17556C"/>
            <w:vAlign w:val="bottom"/>
          </w:tcPr>
          <w:p w14:paraId="20400277" w14:textId="77777777" w:rsidR="00293312" w:rsidRPr="000C5050" w:rsidRDefault="00293312" w:rsidP="00293312">
            <w:pPr>
              <w:pStyle w:val="TableTextbold"/>
              <w:rPr>
                <w:color w:val="FFFFFF" w:themeColor="background1"/>
              </w:rPr>
            </w:pPr>
          </w:p>
        </w:tc>
        <w:tc>
          <w:tcPr>
            <w:tcW w:w="709" w:type="dxa"/>
            <w:vMerge w:val="restart"/>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52AB5FC7" w14:textId="77777777" w:rsidR="00293312" w:rsidRPr="000C5050" w:rsidRDefault="00293312" w:rsidP="00E54D8D">
            <w:pPr>
              <w:pStyle w:val="TableTextbold"/>
              <w:spacing w:before="0" w:after="0"/>
              <w:jc w:val="center"/>
              <w:rPr>
                <w:color w:val="FFFFFF" w:themeColor="background1"/>
              </w:rPr>
            </w:pPr>
            <w:r w:rsidRPr="000C5050">
              <w:rPr>
                <w:color w:val="FFFFFF" w:themeColor="background1"/>
              </w:rPr>
              <w:t>Arsenic</w:t>
            </w:r>
          </w:p>
        </w:tc>
        <w:tc>
          <w:tcPr>
            <w:tcW w:w="709" w:type="dxa"/>
            <w:vMerge w:val="restart"/>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13863940" w14:textId="77777777" w:rsidR="00293312" w:rsidRPr="000C5050" w:rsidRDefault="00293312" w:rsidP="00E54D8D">
            <w:pPr>
              <w:pStyle w:val="TableTextbold"/>
              <w:spacing w:before="0" w:after="0"/>
              <w:jc w:val="center"/>
              <w:rPr>
                <w:color w:val="FFFFFF" w:themeColor="background1"/>
                <w:vertAlign w:val="superscript"/>
              </w:rPr>
            </w:pPr>
            <w:r w:rsidRPr="000C5050">
              <w:rPr>
                <w:color w:val="FFFFFF" w:themeColor="background1"/>
              </w:rPr>
              <w:t>Boron</w:t>
            </w:r>
          </w:p>
        </w:tc>
        <w:tc>
          <w:tcPr>
            <w:tcW w:w="850" w:type="dxa"/>
            <w:vMerge w:val="restart"/>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1F4F0B91" w14:textId="77777777" w:rsidR="00293312" w:rsidRPr="000C5050" w:rsidRDefault="00293312" w:rsidP="00E54D8D">
            <w:pPr>
              <w:pStyle w:val="TableTextbold"/>
              <w:spacing w:before="0" w:after="0"/>
              <w:jc w:val="center"/>
              <w:rPr>
                <w:color w:val="FFFFFF" w:themeColor="background1"/>
                <w:vertAlign w:val="superscript"/>
              </w:rPr>
            </w:pPr>
            <w:r w:rsidRPr="000C5050">
              <w:rPr>
                <w:color w:val="FFFFFF" w:themeColor="background1"/>
              </w:rPr>
              <w:t>Cadmium</w:t>
            </w:r>
            <w:r w:rsidRPr="000C5050">
              <w:rPr>
                <w:color w:val="FFFFFF" w:themeColor="background1"/>
              </w:rPr>
              <w:br/>
              <w:t>(pH 5)</w:t>
            </w:r>
          </w:p>
        </w:tc>
        <w:tc>
          <w:tcPr>
            <w:tcW w:w="1276" w:type="dxa"/>
            <w:gridSpan w:val="2"/>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367B7FCF" w14:textId="77777777" w:rsidR="00293312" w:rsidRPr="000C5050" w:rsidRDefault="00293312" w:rsidP="00E54D8D">
            <w:pPr>
              <w:pStyle w:val="TableTextbold"/>
              <w:spacing w:after="0"/>
              <w:jc w:val="center"/>
              <w:rPr>
                <w:color w:val="FFFFFF" w:themeColor="background1"/>
                <w:vertAlign w:val="superscript"/>
              </w:rPr>
            </w:pPr>
            <w:r w:rsidRPr="000C5050">
              <w:rPr>
                <w:color w:val="FFFFFF" w:themeColor="background1"/>
              </w:rPr>
              <w:t>Chromium</w:t>
            </w:r>
          </w:p>
        </w:tc>
        <w:tc>
          <w:tcPr>
            <w:tcW w:w="709" w:type="dxa"/>
            <w:vMerge w:val="restart"/>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3AE302A3" w14:textId="77777777" w:rsidR="00293312" w:rsidRPr="000C5050" w:rsidRDefault="00293312" w:rsidP="00E54D8D">
            <w:pPr>
              <w:pStyle w:val="TableTextbold"/>
              <w:spacing w:before="0" w:after="0"/>
              <w:jc w:val="center"/>
              <w:rPr>
                <w:color w:val="FFFFFF" w:themeColor="background1"/>
                <w:vertAlign w:val="superscript"/>
              </w:rPr>
            </w:pPr>
            <w:r w:rsidRPr="000C5050">
              <w:rPr>
                <w:color w:val="FFFFFF" w:themeColor="background1"/>
              </w:rPr>
              <w:t>Copper</w:t>
            </w:r>
          </w:p>
        </w:tc>
        <w:tc>
          <w:tcPr>
            <w:tcW w:w="850" w:type="dxa"/>
            <w:vMerge w:val="restart"/>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31E90A45" w14:textId="77777777" w:rsidR="00293312" w:rsidRPr="000C5050" w:rsidRDefault="00293312" w:rsidP="00E54D8D">
            <w:pPr>
              <w:pStyle w:val="TableTextbold"/>
              <w:spacing w:before="0" w:after="0"/>
              <w:jc w:val="center"/>
              <w:rPr>
                <w:color w:val="FFFFFF" w:themeColor="background1"/>
              </w:rPr>
            </w:pPr>
            <w:r w:rsidRPr="000C5050">
              <w:rPr>
                <w:color w:val="FFFFFF" w:themeColor="background1"/>
              </w:rPr>
              <w:t>Inorganic lead</w:t>
            </w:r>
          </w:p>
        </w:tc>
        <w:tc>
          <w:tcPr>
            <w:tcW w:w="992" w:type="dxa"/>
            <w:vMerge w:val="restart"/>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543BD7DA" w14:textId="77777777" w:rsidR="00293312" w:rsidRPr="000C5050" w:rsidRDefault="00293312" w:rsidP="00E54D8D">
            <w:pPr>
              <w:pStyle w:val="TableTextbold"/>
              <w:spacing w:before="0" w:after="0"/>
              <w:jc w:val="center"/>
              <w:rPr>
                <w:color w:val="FFFFFF" w:themeColor="background1"/>
                <w:vertAlign w:val="superscript"/>
              </w:rPr>
            </w:pPr>
            <w:r w:rsidRPr="000C5050">
              <w:rPr>
                <w:color w:val="FFFFFF" w:themeColor="background1"/>
              </w:rPr>
              <w:t xml:space="preserve">Inorganic mercury </w:t>
            </w:r>
            <w:proofErr w:type="spellStart"/>
            <w:r w:rsidRPr="000C5050">
              <w:rPr>
                <w:color w:val="FFFFFF" w:themeColor="background1"/>
              </w:rPr>
              <w:t>compds</w:t>
            </w:r>
            <w:proofErr w:type="spellEnd"/>
          </w:p>
        </w:tc>
        <w:tc>
          <w:tcPr>
            <w:tcW w:w="851" w:type="dxa"/>
            <w:vMerge w:val="restart"/>
            <w:tcBorders>
              <w:top w:val="single" w:sz="4" w:space="0" w:color="17556C"/>
              <w:left w:val="single" w:sz="4" w:space="0" w:color="17556C"/>
              <w:bottom w:val="single" w:sz="4" w:space="0" w:color="17556C"/>
              <w:right w:val="single" w:sz="4" w:space="0" w:color="17556C"/>
            </w:tcBorders>
            <w:shd w:val="clear" w:color="auto" w:fill="17556C"/>
            <w:vAlign w:val="bottom"/>
          </w:tcPr>
          <w:p w14:paraId="16D4976C" w14:textId="77777777" w:rsidR="00293312" w:rsidRPr="000C5050" w:rsidRDefault="00293312" w:rsidP="00E54D8D">
            <w:pPr>
              <w:pStyle w:val="TableTextbold"/>
              <w:spacing w:before="0" w:after="0"/>
              <w:jc w:val="center"/>
              <w:rPr>
                <w:color w:val="FFFFFF" w:themeColor="background1"/>
              </w:rPr>
            </w:pPr>
            <w:proofErr w:type="spellStart"/>
            <w:r w:rsidRPr="000C5050">
              <w:rPr>
                <w:color w:val="FFFFFF" w:themeColor="background1"/>
              </w:rPr>
              <w:t>BaP</w:t>
            </w:r>
            <w:proofErr w:type="spellEnd"/>
            <w:r w:rsidRPr="000C5050">
              <w:rPr>
                <w:color w:val="FFFFFF" w:themeColor="background1"/>
              </w:rPr>
              <w:t xml:space="preserve"> TEQ</w:t>
            </w:r>
          </w:p>
        </w:tc>
        <w:tc>
          <w:tcPr>
            <w:tcW w:w="709" w:type="dxa"/>
            <w:gridSpan w:val="2"/>
            <w:vMerge w:val="restart"/>
            <w:tcBorders>
              <w:top w:val="single" w:sz="4" w:space="0" w:color="17556C"/>
              <w:left w:val="single" w:sz="4" w:space="0" w:color="17556C"/>
              <w:bottom w:val="single" w:sz="4" w:space="0" w:color="17556C"/>
              <w:right w:val="single" w:sz="4" w:space="0" w:color="17556C"/>
            </w:tcBorders>
            <w:shd w:val="clear" w:color="auto" w:fill="17556C"/>
            <w:vAlign w:val="bottom"/>
          </w:tcPr>
          <w:p w14:paraId="74C1B9D0" w14:textId="77777777" w:rsidR="00293312" w:rsidRPr="000C5050" w:rsidRDefault="00E54D8D" w:rsidP="00E54D8D">
            <w:pPr>
              <w:pStyle w:val="TableTextbold"/>
              <w:spacing w:before="0" w:after="0"/>
              <w:jc w:val="center"/>
              <w:rPr>
                <w:color w:val="FFFFFF" w:themeColor="background1"/>
              </w:rPr>
            </w:pPr>
            <w:r w:rsidRPr="000C5050">
              <w:rPr>
                <w:color w:val="FFFFFF" w:themeColor="background1"/>
              </w:rPr>
              <w:t>DDT</w:t>
            </w:r>
          </w:p>
        </w:tc>
        <w:tc>
          <w:tcPr>
            <w:tcW w:w="850" w:type="dxa"/>
            <w:vMerge w:val="restart"/>
            <w:tcBorders>
              <w:top w:val="single" w:sz="4" w:space="0" w:color="17556C"/>
              <w:left w:val="single" w:sz="4" w:space="0" w:color="17556C"/>
              <w:bottom w:val="single" w:sz="4" w:space="0" w:color="17556C"/>
              <w:right w:val="single" w:sz="4" w:space="0" w:color="17556C"/>
            </w:tcBorders>
            <w:shd w:val="clear" w:color="auto" w:fill="17556C"/>
            <w:vAlign w:val="bottom"/>
          </w:tcPr>
          <w:p w14:paraId="47024784" w14:textId="77777777" w:rsidR="00293312" w:rsidRPr="000C5050" w:rsidRDefault="00293312" w:rsidP="00E54D8D">
            <w:pPr>
              <w:pStyle w:val="TableTextbold"/>
              <w:spacing w:before="0" w:after="0"/>
              <w:jc w:val="center"/>
              <w:rPr>
                <w:color w:val="FFFFFF" w:themeColor="background1"/>
                <w:vertAlign w:val="superscript"/>
              </w:rPr>
            </w:pPr>
            <w:r w:rsidRPr="000C5050">
              <w:rPr>
                <w:color w:val="FFFFFF" w:themeColor="background1"/>
              </w:rPr>
              <w:t>Dieldrin</w:t>
            </w:r>
            <w:r w:rsidRPr="000C5050">
              <w:rPr>
                <w:color w:val="FFFFFF" w:themeColor="background1"/>
                <w:vertAlign w:val="superscript"/>
              </w:rPr>
              <w:t>2</w:t>
            </w:r>
            <w:r w:rsidRPr="000C5050">
              <w:rPr>
                <w:color w:val="FFFFFF" w:themeColor="background1"/>
              </w:rPr>
              <w:br/>
              <w:t>(mg/kg)</w:t>
            </w:r>
          </w:p>
        </w:tc>
        <w:tc>
          <w:tcPr>
            <w:tcW w:w="851" w:type="dxa"/>
            <w:vMerge w:val="restart"/>
            <w:tcBorders>
              <w:top w:val="single" w:sz="4" w:space="0" w:color="17556C"/>
              <w:left w:val="single" w:sz="4" w:space="0" w:color="17556C"/>
              <w:bottom w:val="single" w:sz="4" w:space="0" w:color="17556C"/>
              <w:right w:val="single" w:sz="4" w:space="0" w:color="17556C"/>
            </w:tcBorders>
            <w:shd w:val="clear" w:color="auto" w:fill="17556C"/>
            <w:vAlign w:val="bottom"/>
          </w:tcPr>
          <w:p w14:paraId="3D7E5C9C" w14:textId="77777777" w:rsidR="00293312" w:rsidRPr="000C5050" w:rsidRDefault="00293312" w:rsidP="00E54D8D">
            <w:pPr>
              <w:pStyle w:val="TableTextbold"/>
              <w:spacing w:before="0" w:after="0"/>
              <w:jc w:val="center"/>
              <w:rPr>
                <w:color w:val="FFFFFF" w:themeColor="background1"/>
                <w:vertAlign w:val="superscript"/>
              </w:rPr>
            </w:pPr>
            <w:r w:rsidRPr="000C5050">
              <w:rPr>
                <w:color w:val="FFFFFF" w:themeColor="background1"/>
              </w:rPr>
              <w:t>PCP</w:t>
            </w:r>
            <w:r w:rsidRPr="000C5050">
              <w:rPr>
                <w:color w:val="FFFFFF" w:themeColor="background1"/>
                <w:vertAlign w:val="superscript"/>
              </w:rPr>
              <w:t>3</w:t>
            </w:r>
            <w:r w:rsidRPr="000C5050">
              <w:rPr>
                <w:color w:val="FFFFFF" w:themeColor="background1"/>
              </w:rPr>
              <w:br/>
              <w:t>(mg/kg)</w:t>
            </w:r>
          </w:p>
        </w:tc>
        <w:tc>
          <w:tcPr>
            <w:tcW w:w="1842" w:type="dxa"/>
            <w:gridSpan w:val="2"/>
            <w:tcBorders>
              <w:top w:val="single" w:sz="4" w:space="0" w:color="17556C"/>
              <w:left w:val="single" w:sz="4" w:space="0" w:color="17556C"/>
              <w:bottom w:val="single" w:sz="4" w:space="0" w:color="17556C"/>
            </w:tcBorders>
            <w:shd w:val="clear" w:color="auto" w:fill="17556C"/>
            <w:vAlign w:val="bottom"/>
          </w:tcPr>
          <w:p w14:paraId="33B3955A" w14:textId="77777777" w:rsidR="00293312" w:rsidRPr="000C5050" w:rsidRDefault="00293312" w:rsidP="00E54D8D">
            <w:pPr>
              <w:pStyle w:val="TableTextbold"/>
              <w:spacing w:before="0" w:after="0"/>
              <w:jc w:val="center"/>
              <w:rPr>
                <w:color w:val="FFFFFF" w:themeColor="background1"/>
              </w:rPr>
            </w:pPr>
            <w:r w:rsidRPr="000C5050">
              <w:rPr>
                <w:color w:val="FFFFFF" w:themeColor="background1"/>
              </w:rPr>
              <w:t>Dioxins TEQ</w:t>
            </w:r>
          </w:p>
        </w:tc>
      </w:tr>
      <w:tr w:rsidR="00293312" w:rsidRPr="000C5050" w14:paraId="0EBCB904" w14:textId="77777777" w:rsidTr="00165D18">
        <w:trPr>
          <w:cantSplit/>
        </w:trPr>
        <w:tc>
          <w:tcPr>
            <w:tcW w:w="2410" w:type="dxa"/>
            <w:vMerge/>
            <w:tcBorders>
              <w:top w:val="single" w:sz="4" w:space="0" w:color="17556C"/>
              <w:bottom w:val="single" w:sz="4" w:space="0" w:color="17556C"/>
              <w:right w:val="single" w:sz="4" w:space="0" w:color="17556C"/>
            </w:tcBorders>
            <w:shd w:val="clear" w:color="auto" w:fill="17556C"/>
            <w:vAlign w:val="bottom"/>
          </w:tcPr>
          <w:p w14:paraId="359147C5" w14:textId="77777777" w:rsidR="00293312" w:rsidRPr="000C5050" w:rsidRDefault="00293312" w:rsidP="00293312">
            <w:pPr>
              <w:pStyle w:val="TableTextbold"/>
              <w:jc w:val="center"/>
              <w:rPr>
                <w:color w:val="FFFFFF" w:themeColor="background1"/>
              </w:rPr>
            </w:pPr>
          </w:p>
        </w:tc>
        <w:tc>
          <w:tcPr>
            <w:tcW w:w="709" w:type="dxa"/>
            <w:vMerge/>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217B15BA" w14:textId="77777777" w:rsidR="00293312" w:rsidRPr="000C5050" w:rsidRDefault="00293312" w:rsidP="00E54D8D">
            <w:pPr>
              <w:pStyle w:val="TableTextbold"/>
              <w:spacing w:before="0" w:after="0"/>
              <w:jc w:val="center"/>
              <w:rPr>
                <w:color w:val="FFFFFF" w:themeColor="background1"/>
              </w:rPr>
            </w:pPr>
          </w:p>
        </w:tc>
        <w:tc>
          <w:tcPr>
            <w:tcW w:w="709" w:type="dxa"/>
            <w:vMerge/>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09FD4D27" w14:textId="77777777" w:rsidR="00293312" w:rsidRPr="000C5050" w:rsidRDefault="00293312" w:rsidP="00E54D8D">
            <w:pPr>
              <w:pStyle w:val="TableTextbold"/>
              <w:spacing w:before="0" w:after="0"/>
              <w:jc w:val="center"/>
              <w:rPr>
                <w:color w:val="FFFFFF" w:themeColor="background1"/>
              </w:rPr>
            </w:pPr>
          </w:p>
        </w:tc>
        <w:tc>
          <w:tcPr>
            <w:tcW w:w="850" w:type="dxa"/>
            <w:vMerge/>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558576B5" w14:textId="77777777" w:rsidR="00293312" w:rsidRPr="000C5050" w:rsidRDefault="00293312" w:rsidP="00E54D8D">
            <w:pPr>
              <w:pStyle w:val="TableTextbold"/>
              <w:spacing w:before="0" w:after="0"/>
              <w:jc w:val="center"/>
              <w:rPr>
                <w:color w:val="FFFFFF" w:themeColor="background1"/>
              </w:rPr>
            </w:pPr>
          </w:p>
        </w:tc>
        <w:tc>
          <w:tcPr>
            <w:tcW w:w="709" w:type="dxa"/>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7C27D7AA" w14:textId="77777777" w:rsidR="00293312" w:rsidRPr="000C5050" w:rsidRDefault="00293312" w:rsidP="00E54D8D">
            <w:pPr>
              <w:pStyle w:val="TableTextbold"/>
              <w:spacing w:before="0" w:after="0"/>
              <w:jc w:val="center"/>
              <w:rPr>
                <w:color w:val="FFFFFF" w:themeColor="background1"/>
              </w:rPr>
            </w:pPr>
            <w:r w:rsidRPr="000C5050">
              <w:rPr>
                <w:color w:val="FFFFFF" w:themeColor="background1"/>
              </w:rPr>
              <w:t>III</w:t>
            </w:r>
          </w:p>
        </w:tc>
        <w:tc>
          <w:tcPr>
            <w:tcW w:w="567" w:type="dxa"/>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1F8993C3" w14:textId="77777777" w:rsidR="00293312" w:rsidRPr="000C5050" w:rsidRDefault="00293312" w:rsidP="00E54D8D">
            <w:pPr>
              <w:pStyle w:val="TableTextbold"/>
              <w:spacing w:before="0" w:after="0"/>
              <w:jc w:val="center"/>
              <w:rPr>
                <w:color w:val="FFFFFF" w:themeColor="background1"/>
              </w:rPr>
            </w:pPr>
            <w:r w:rsidRPr="000C5050">
              <w:rPr>
                <w:color w:val="FFFFFF" w:themeColor="background1"/>
              </w:rPr>
              <w:t>VI</w:t>
            </w:r>
          </w:p>
        </w:tc>
        <w:tc>
          <w:tcPr>
            <w:tcW w:w="709" w:type="dxa"/>
            <w:vMerge/>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7BF6752E" w14:textId="77777777" w:rsidR="00293312" w:rsidRPr="000C5050" w:rsidRDefault="00293312" w:rsidP="00E54D8D">
            <w:pPr>
              <w:pStyle w:val="TableTextbold"/>
              <w:spacing w:before="0" w:after="0"/>
              <w:jc w:val="center"/>
              <w:rPr>
                <w:color w:val="FFFFFF" w:themeColor="background1"/>
              </w:rPr>
            </w:pPr>
          </w:p>
        </w:tc>
        <w:tc>
          <w:tcPr>
            <w:tcW w:w="850" w:type="dxa"/>
            <w:vMerge/>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38FA61A5" w14:textId="77777777" w:rsidR="00293312" w:rsidRPr="000C5050" w:rsidRDefault="00293312" w:rsidP="00E54D8D">
            <w:pPr>
              <w:pStyle w:val="TableTextbold"/>
              <w:spacing w:before="0" w:after="0"/>
              <w:jc w:val="center"/>
              <w:rPr>
                <w:color w:val="FFFFFF" w:themeColor="background1"/>
              </w:rPr>
            </w:pPr>
          </w:p>
        </w:tc>
        <w:tc>
          <w:tcPr>
            <w:tcW w:w="992" w:type="dxa"/>
            <w:vMerge/>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7880BB33" w14:textId="77777777" w:rsidR="00293312" w:rsidRPr="000C5050" w:rsidRDefault="00293312" w:rsidP="00E54D8D">
            <w:pPr>
              <w:pStyle w:val="TableTextbold"/>
              <w:spacing w:before="0" w:after="0"/>
              <w:jc w:val="center"/>
              <w:rPr>
                <w:color w:val="FFFFFF" w:themeColor="background1"/>
              </w:rPr>
            </w:pPr>
          </w:p>
        </w:tc>
        <w:tc>
          <w:tcPr>
            <w:tcW w:w="851" w:type="dxa"/>
            <w:vMerge/>
            <w:tcBorders>
              <w:top w:val="single" w:sz="4" w:space="0" w:color="17556C"/>
              <w:left w:val="single" w:sz="4" w:space="0" w:color="17556C"/>
              <w:bottom w:val="single" w:sz="4" w:space="0" w:color="17556C"/>
              <w:right w:val="single" w:sz="4" w:space="0" w:color="17556C"/>
            </w:tcBorders>
            <w:shd w:val="clear" w:color="auto" w:fill="17556C"/>
            <w:vAlign w:val="bottom"/>
          </w:tcPr>
          <w:p w14:paraId="7D9A7F92" w14:textId="77777777" w:rsidR="00293312" w:rsidRPr="000C5050" w:rsidRDefault="00293312" w:rsidP="00E54D8D">
            <w:pPr>
              <w:pStyle w:val="TableTextbold"/>
              <w:spacing w:before="0" w:after="0"/>
              <w:jc w:val="center"/>
              <w:rPr>
                <w:color w:val="FFFFFF" w:themeColor="background1"/>
              </w:rPr>
            </w:pPr>
          </w:p>
        </w:tc>
        <w:tc>
          <w:tcPr>
            <w:tcW w:w="709" w:type="dxa"/>
            <w:gridSpan w:val="2"/>
            <w:vMerge/>
            <w:tcBorders>
              <w:top w:val="single" w:sz="4" w:space="0" w:color="17556C"/>
              <w:left w:val="single" w:sz="4" w:space="0" w:color="17556C"/>
              <w:bottom w:val="single" w:sz="4" w:space="0" w:color="17556C"/>
              <w:right w:val="single" w:sz="4" w:space="0" w:color="17556C"/>
            </w:tcBorders>
            <w:shd w:val="clear" w:color="auto" w:fill="17556C"/>
            <w:vAlign w:val="bottom"/>
          </w:tcPr>
          <w:p w14:paraId="2B1D018C" w14:textId="77777777" w:rsidR="00293312" w:rsidRPr="000C5050" w:rsidRDefault="00293312" w:rsidP="00E54D8D">
            <w:pPr>
              <w:pStyle w:val="TableTextbold"/>
              <w:spacing w:before="0" w:after="0"/>
              <w:jc w:val="center"/>
              <w:rPr>
                <w:color w:val="FFFFFF" w:themeColor="background1"/>
              </w:rPr>
            </w:pPr>
          </w:p>
        </w:tc>
        <w:tc>
          <w:tcPr>
            <w:tcW w:w="850" w:type="dxa"/>
            <w:vMerge/>
            <w:tcBorders>
              <w:top w:val="single" w:sz="4" w:space="0" w:color="17556C"/>
              <w:left w:val="single" w:sz="4" w:space="0" w:color="17556C"/>
              <w:bottom w:val="single" w:sz="4" w:space="0" w:color="17556C"/>
              <w:right w:val="single" w:sz="4" w:space="0" w:color="17556C"/>
            </w:tcBorders>
            <w:shd w:val="clear" w:color="auto" w:fill="17556C"/>
            <w:vAlign w:val="bottom"/>
          </w:tcPr>
          <w:p w14:paraId="12D114EE" w14:textId="77777777" w:rsidR="00293312" w:rsidRPr="000C5050" w:rsidRDefault="00293312" w:rsidP="00E54D8D">
            <w:pPr>
              <w:pStyle w:val="TableTextbold"/>
              <w:spacing w:before="0" w:after="0"/>
              <w:jc w:val="center"/>
              <w:rPr>
                <w:color w:val="FFFFFF" w:themeColor="background1"/>
              </w:rPr>
            </w:pPr>
          </w:p>
        </w:tc>
        <w:tc>
          <w:tcPr>
            <w:tcW w:w="851" w:type="dxa"/>
            <w:vMerge/>
            <w:tcBorders>
              <w:top w:val="single" w:sz="4" w:space="0" w:color="17556C"/>
              <w:left w:val="single" w:sz="4" w:space="0" w:color="17556C"/>
              <w:bottom w:val="single" w:sz="4" w:space="0" w:color="17556C"/>
              <w:right w:val="single" w:sz="4" w:space="0" w:color="17556C"/>
            </w:tcBorders>
            <w:shd w:val="clear" w:color="auto" w:fill="17556C"/>
            <w:vAlign w:val="bottom"/>
          </w:tcPr>
          <w:p w14:paraId="7A1CA35B" w14:textId="77777777" w:rsidR="00293312" w:rsidRPr="000C5050" w:rsidRDefault="00293312" w:rsidP="00E54D8D">
            <w:pPr>
              <w:pStyle w:val="TableTextbold"/>
              <w:spacing w:before="0" w:after="0"/>
              <w:jc w:val="center"/>
              <w:rPr>
                <w:color w:val="FFFFFF" w:themeColor="background1"/>
              </w:rPr>
            </w:pPr>
          </w:p>
        </w:tc>
        <w:tc>
          <w:tcPr>
            <w:tcW w:w="850" w:type="dxa"/>
            <w:tcBorders>
              <w:top w:val="single" w:sz="4" w:space="0" w:color="17556C"/>
              <w:left w:val="single" w:sz="4" w:space="0" w:color="17556C"/>
              <w:bottom w:val="single" w:sz="4" w:space="0" w:color="17556C"/>
              <w:right w:val="single" w:sz="4" w:space="0" w:color="17556C"/>
            </w:tcBorders>
            <w:shd w:val="clear" w:color="auto" w:fill="17556C"/>
            <w:vAlign w:val="bottom"/>
          </w:tcPr>
          <w:p w14:paraId="37B3E367" w14:textId="77777777" w:rsidR="00293312" w:rsidRPr="000C5050" w:rsidRDefault="00293312" w:rsidP="00E54D8D">
            <w:pPr>
              <w:pStyle w:val="TableTextbold"/>
              <w:spacing w:before="0" w:after="0"/>
              <w:jc w:val="center"/>
              <w:rPr>
                <w:color w:val="FFFFFF" w:themeColor="background1"/>
              </w:rPr>
            </w:pPr>
            <w:r w:rsidRPr="000C5050">
              <w:rPr>
                <w:color w:val="FFFFFF" w:themeColor="background1"/>
              </w:rPr>
              <w:t>TCDD</w:t>
            </w:r>
          </w:p>
        </w:tc>
        <w:tc>
          <w:tcPr>
            <w:tcW w:w="992" w:type="dxa"/>
            <w:tcBorders>
              <w:top w:val="single" w:sz="4" w:space="0" w:color="17556C"/>
              <w:left w:val="single" w:sz="4" w:space="0" w:color="17556C"/>
              <w:bottom w:val="single" w:sz="4" w:space="0" w:color="17556C"/>
            </w:tcBorders>
            <w:shd w:val="clear" w:color="auto" w:fill="17556C"/>
            <w:vAlign w:val="bottom"/>
          </w:tcPr>
          <w:p w14:paraId="0B27BE50" w14:textId="77777777" w:rsidR="00293312" w:rsidRPr="000C5050" w:rsidRDefault="00293312" w:rsidP="00E54D8D">
            <w:pPr>
              <w:pStyle w:val="TableTextbold"/>
              <w:spacing w:before="0" w:after="0"/>
              <w:jc w:val="center"/>
              <w:rPr>
                <w:color w:val="FFFFFF" w:themeColor="background1"/>
                <w:vertAlign w:val="superscript"/>
              </w:rPr>
            </w:pPr>
            <w:r w:rsidRPr="000C5050">
              <w:rPr>
                <w:color w:val="FFFFFF" w:themeColor="background1"/>
              </w:rPr>
              <w:t>Dioxin-like PCBs</w:t>
            </w:r>
            <w:r w:rsidRPr="000C5050">
              <w:rPr>
                <w:color w:val="FFFFFF" w:themeColor="background1"/>
                <w:vertAlign w:val="superscript"/>
              </w:rPr>
              <w:t>5</w:t>
            </w:r>
          </w:p>
        </w:tc>
      </w:tr>
      <w:tr w:rsidR="00293312" w:rsidRPr="000C5050" w14:paraId="3A614A53" w14:textId="77777777" w:rsidTr="00AF3699">
        <w:trPr>
          <w:cantSplit/>
        </w:trPr>
        <w:tc>
          <w:tcPr>
            <w:tcW w:w="2410" w:type="dxa"/>
            <w:tcBorders>
              <w:top w:val="single" w:sz="4" w:space="0" w:color="17556C"/>
              <w:bottom w:val="single" w:sz="4" w:space="0" w:color="17556C"/>
              <w:right w:val="single" w:sz="4" w:space="0" w:color="17556C"/>
            </w:tcBorders>
            <w:shd w:val="clear" w:color="auto" w:fill="17556C"/>
            <w:vAlign w:val="bottom"/>
          </w:tcPr>
          <w:p w14:paraId="79127989" w14:textId="77777777" w:rsidR="00293312" w:rsidRPr="000C5050" w:rsidRDefault="00293312" w:rsidP="00293312">
            <w:pPr>
              <w:pStyle w:val="TableTextbold"/>
              <w:rPr>
                <w:color w:val="FFFFFF" w:themeColor="background1"/>
              </w:rPr>
            </w:pPr>
            <w:r w:rsidRPr="000C5050">
              <w:rPr>
                <w:color w:val="FFFFFF" w:themeColor="background1"/>
              </w:rPr>
              <w:t>Scenario</w:t>
            </w:r>
          </w:p>
        </w:tc>
        <w:tc>
          <w:tcPr>
            <w:tcW w:w="709" w:type="dxa"/>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54CD679E" w14:textId="77777777" w:rsidR="00293312" w:rsidRPr="000C5050" w:rsidRDefault="00293312" w:rsidP="00E54D8D">
            <w:pPr>
              <w:pStyle w:val="TableTextbold"/>
              <w:spacing w:before="0"/>
              <w:jc w:val="center"/>
              <w:rPr>
                <w:color w:val="FFFFFF" w:themeColor="background1"/>
              </w:rPr>
            </w:pPr>
            <w:r w:rsidRPr="000C5050">
              <w:rPr>
                <w:color w:val="FFFFFF" w:themeColor="background1"/>
              </w:rPr>
              <w:t>mg/kg</w:t>
            </w:r>
          </w:p>
        </w:tc>
        <w:tc>
          <w:tcPr>
            <w:tcW w:w="709" w:type="dxa"/>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670CF322" w14:textId="77777777" w:rsidR="00293312" w:rsidRPr="000C5050" w:rsidRDefault="00293312" w:rsidP="00E54D8D">
            <w:pPr>
              <w:pStyle w:val="TableTextbold"/>
              <w:spacing w:before="0"/>
              <w:jc w:val="center"/>
              <w:rPr>
                <w:color w:val="FFFFFF" w:themeColor="background1"/>
              </w:rPr>
            </w:pPr>
            <w:r w:rsidRPr="000C5050">
              <w:rPr>
                <w:color w:val="FFFFFF" w:themeColor="background1"/>
              </w:rPr>
              <w:t>mg/kg</w:t>
            </w:r>
          </w:p>
        </w:tc>
        <w:tc>
          <w:tcPr>
            <w:tcW w:w="850" w:type="dxa"/>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76D85E47" w14:textId="77777777" w:rsidR="00293312" w:rsidRPr="000C5050" w:rsidRDefault="00293312" w:rsidP="00E54D8D">
            <w:pPr>
              <w:pStyle w:val="TableTextbold"/>
              <w:spacing w:before="0"/>
              <w:jc w:val="center"/>
              <w:rPr>
                <w:color w:val="FFFFFF" w:themeColor="background1"/>
              </w:rPr>
            </w:pPr>
            <w:r w:rsidRPr="000C5050">
              <w:rPr>
                <w:color w:val="FFFFFF" w:themeColor="background1"/>
              </w:rPr>
              <w:t>mg/kg</w:t>
            </w:r>
          </w:p>
        </w:tc>
        <w:tc>
          <w:tcPr>
            <w:tcW w:w="1276" w:type="dxa"/>
            <w:gridSpan w:val="2"/>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65A5BE74" w14:textId="77777777" w:rsidR="00293312" w:rsidRPr="000C5050" w:rsidRDefault="00293312" w:rsidP="00E54D8D">
            <w:pPr>
              <w:pStyle w:val="TableTextbold"/>
              <w:spacing w:before="0"/>
              <w:jc w:val="center"/>
              <w:rPr>
                <w:color w:val="FFFFFF" w:themeColor="background1"/>
              </w:rPr>
            </w:pPr>
            <w:r w:rsidRPr="000C5050">
              <w:rPr>
                <w:color w:val="FFFFFF" w:themeColor="background1"/>
              </w:rPr>
              <w:t>mg/kg</w:t>
            </w:r>
          </w:p>
        </w:tc>
        <w:tc>
          <w:tcPr>
            <w:tcW w:w="709" w:type="dxa"/>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2288614D" w14:textId="77777777" w:rsidR="00293312" w:rsidRPr="000C5050" w:rsidRDefault="00293312" w:rsidP="00E54D8D">
            <w:pPr>
              <w:pStyle w:val="TableTextbold"/>
              <w:spacing w:before="0"/>
              <w:jc w:val="center"/>
              <w:rPr>
                <w:color w:val="FFFFFF" w:themeColor="background1"/>
              </w:rPr>
            </w:pPr>
            <w:r w:rsidRPr="000C5050">
              <w:rPr>
                <w:color w:val="FFFFFF" w:themeColor="background1"/>
              </w:rPr>
              <w:t>mg/kg</w:t>
            </w:r>
          </w:p>
        </w:tc>
        <w:tc>
          <w:tcPr>
            <w:tcW w:w="850" w:type="dxa"/>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650995CC" w14:textId="77777777" w:rsidR="00293312" w:rsidRPr="000C5050" w:rsidRDefault="00293312" w:rsidP="00E54D8D">
            <w:pPr>
              <w:pStyle w:val="TableTextbold"/>
              <w:spacing w:before="0"/>
              <w:jc w:val="center"/>
              <w:rPr>
                <w:color w:val="FFFFFF" w:themeColor="background1"/>
              </w:rPr>
            </w:pPr>
            <w:r w:rsidRPr="000C5050">
              <w:rPr>
                <w:color w:val="FFFFFF" w:themeColor="background1"/>
              </w:rPr>
              <w:t>mg/kg</w:t>
            </w:r>
          </w:p>
        </w:tc>
        <w:tc>
          <w:tcPr>
            <w:tcW w:w="992" w:type="dxa"/>
            <w:tcBorders>
              <w:top w:val="single" w:sz="4" w:space="0" w:color="17556C"/>
              <w:left w:val="single" w:sz="4" w:space="0" w:color="17556C"/>
              <w:bottom w:val="single" w:sz="4" w:space="0" w:color="17556C"/>
              <w:right w:val="single" w:sz="4" w:space="0" w:color="17556C"/>
            </w:tcBorders>
            <w:shd w:val="clear" w:color="auto" w:fill="17556C"/>
            <w:tcMar>
              <w:left w:w="57" w:type="dxa"/>
              <w:right w:w="57" w:type="dxa"/>
            </w:tcMar>
            <w:vAlign w:val="bottom"/>
          </w:tcPr>
          <w:p w14:paraId="3BC4903F" w14:textId="77777777" w:rsidR="00293312" w:rsidRPr="000C5050" w:rsidRDefault="00293312" w:rsidP="00E54D8D">
            <w:pPr>
              <w:pStyle w:val="TableTextbold"/>
              <w:spacing w:before="0"/>
              <w:jc w:val="center"/>
              <w:rPr>
                <w:color w:val="FFFFFF" w:themeColor="background1"/>
              </w:rPr>
            </w:pPr>
            <w:r w:rsidRPr="000C5050">
              <w:rPr>
                <w:color w:val="FFFFFF" w:themeColor="background1"/>
              </w:rPr>
              <w:t>mg/kg</w:t>
            </w:r>
          </w:p>
        </w:tc>
        <w:tc>
          <w:tcPr>
            <w:tcW w:w="851" w:type="dxa"/>
            <w:tcBorders>
              <w:top w:val="single" w:sz="4" w:space="0" w:color="17556C"/>
              <w:left w:val="single" w:sz="4" w:space="0" w:color="17556C"/>
              <w:bottom w:val="single" w:sz="4" w:space="0" w:color="17556C"/>
              <w:right w:val="single" w:sz="4" w:space="0" w:color="17556C"/>
            </w:tcBorders>
            <w:shd w:val="clear" w:color="auto" w:fill="17556C"/>
            <w:vAlign w:val="bottom"/>
          </w:tcPr>
          <w:p w14:paraId="7EDE9241" w14:textId="77777777" w:rsidR="00293312" w:rsidRPr="000C5050" w:rsidRDefault="00293312" w:rsidP="00E54D8D">
            <w:pPr>
              <w:pStyle w:val="TableTextbold"/>
              <w:spacing w:before="0"/>
              <w:jc w:val="center"/>
              <w:rPr>
                <w:color w:val="FFFFFF" w:themeColor="background1"/>
              </w:rPr>
            </w:pPr>
            <w:r w:rsidRPr="000C5050">
              <w:rPr>
                <w:color w:val="FFFFFF" w:themeColor="background1"/>
              </w:rPr>
              <w:t>mg/kg</w:t>
            </w:r>
          </w:p>
        </w:tc>
        <w:tc>
          <w:tcPr>
            <w:tcW w:w="709" w:type="dxa"/>
            <w:gridSpan w:val="2"/>
            <w:tcBorders>
              <w:top w:val="single" w:sz="4" w:space="0" w:color="17556C"/>
              <w:left w:val="single" w:sz="4" w:space="0" w:color="17556C"/>
              <w:bottom w:val="single" w:sz="4" w:space="0" w:color="17556C"/>
              <w:right w:val="single" w:sz="4" w:space="0" w:color="17556C"/>
            </w:tcBorders>
            <w:shd w:val="clear" w:color="auto" w:fill="17556C"/>
            <w:vAlign w:val="bottom"/>
          </w:tcPr>
          <w:p w14:paraId="3B9DD1DB" w14:textId="77777777" w:rsidR="00293312" w:rsidRPr="000C5050" w:rsidRDefault="00293312" w:rsidP="00E54D8D">
            <w:pPr>
              <w:pStyle w:val="TableTextbold"/>
              <w:spacing w:before="0"/>
              <w:jc w:val="center"/>
              <w:rPr>
                <w:color w:val="FFFFFF" w:themeColor="background1"/>
              </w:rPr>
            </w:pPr>
            <w:r w:rsidRPr="000C5050">
              <w:rPr>
                <w:color w:val="FFFFFF" w:themeColor="background1"/>
              </w:rPr>
              <w:t>mg/kg</w:t>
            </w:r>
          </w:p>
        </w:tc>
        <w:tc>
          <w:tcPr>
            <w:tcW w:w="850" w:type="dxa"/>
            <w:tcBorders>
              <w:top w:val="single" w:sz="4" w:space="0" w:color="17556C"/>
              <w:left w:val="single" w:sz="4" w:space="0" w:color="17556C"/>
              <w:bottom w:val="single" w:sz="4" w:space="0" w:color="17556C"/>
              <w:right w:val="single" w:sz="4" w:space="0" w:color="17556C"/>
            </w:tcBorders>
            <w:shd w:val="clear" w:color="auto" w:fill="17556C"/>
            <w:vAlign w:val="bottom"/>
          </w:tcPr>
          <w:p w14:paraId="30889D58" w14:textId="77777777" w:rsidR="00293312" w:rsidRPr="000C5050" w:rsidRDefault="00293312" w:rsidP="00E54D8D">
            <w:pPr>
              <w:pStyle w:val="TableTextbold"/>
              <w:spacing w:before="0"/>
              <w:jc w:val="center"/>
              <w:rPr>
                <w:color w:val="FFFFFF" w:themeColor="background1"/>
              </w:rPr>
            </w:pPr>
            <w:r w:rsidRPr="000C5050">
              <w:rPr>
                <w:color w:val="FFFFFF" w:themeColor="background1"/>
              </w:rPr>
              <w:t>mg/kg</w:t>
            </w:r>
          </w:p>
        </w:tc>
        <w:tc>
          <w:tcPr>
            <w:tcW w:w="851" w:type="dxa"/>
            <w:tcBorders>
              <w:top w:val="single" w:sz="4" w:space="0" w:color="17556C"/>
              <w:left w:val="single" w:sz="4" w:space="0" w:color="17556C"/>
              <w:bottom w:val="single" w:sz="4" w:space="0" w:color="17556C"/>
              <w:right w:val="single" w:sz="4" w:space="0" w:color="17556C"/>
            </w:tcBorders>
            <w:shd w:val="clear" w:color="auto" w:fill="17556C"/>
            <w:vAlign w:val="bottom"/>
          </w:tcPr>
          <w:p w14:paraId="04090A32" w14:textId="77777777" w:rsidR="00293312" w:rsidRPr="000C5050" w:rsidRDefault="00293312" w:rsidP="00E54D8D">
            <w:pPr>
              <w:pStyle w:val="TableTextbold"/>
              <w:spacing w:before="0"/>
              <w:jc w:val="center"/>
              <w:rPr>
                <w:color w:val="FFFFFF" w:themeColor="background1"/>
              </w:rPr>
            </w:pPr>
            <w:r w:rsidRPr="000C5050">
              <w:rPr>
                <w:color w:val="FFFFFF" w:themeColor="background1"/>
              </w:rPr>
              <w:t>mg/kg</w:t>
            </w:r>
          </w:p>
        </w:tc>
        <w:tc>
          <w:tcPr>
            <w:tcW w:w="850" w:type="dxa"/>
            <w:tcBorders>
              <w:top w:val="single" w:sz="4" w:space="0" w:color="17556C"/>
              <w:left w:val="single" w:sz="4" w:space="0" w:color="17556C"/>
              <w:bottom w:val="single" w:sz="4" w:space="0" w:color="17556C"/>
              <w:right w:val="single" w:sz="4" w:space="0" w:color="17556C"/>
            </w:tcBorders>
            <w:shd w:val="clear" w:color="auto" w:fill="17556C"/>
            <w:vAlign w:val="bottom"/>
          </w:tcPr>
          <w:p w14:paraId="69D8CFBE" w14:textId="77777777" w:rsidR="00293312" w:rsidRPr="000C5050" w:rsidRDefault="00293312" w:rsidP="00E54D8D">
            <w:pPr>
              <w:pStyle w:val="TableTextbold"/>
              <w:spacing w:before="0"/>
              <w:jc w:val="center"/>
              <w:rPr>
                <w:color w:val="FFFFFF" w:themeColor="background1"/>
              </w:rPr>
            </w:pPr>
            <w:proofErr w:type="spellStart"/>
            <w:r w:rsidRPr="000C5050">
              <w:rPr>
                <w:color w:val="FFFFFF" w:themeColor="background1"/>
              </w:rPr>
              <w:t>ug</w:t>
            </w:r>
            <w:proofErr w:type="spellEnd"/>
            <w:r w:rsidRPr="000C5050">
              <w:rPr>
                <w:color w:val="FFFFFF" w:themeColor="background1"/>
              </w:rPr>
              <w:t>/kg</w:t>
            </w:r>
          </w:p>
        </w:tc>
        <w:tc>
          <w:tcPr>
            <w:tcW w:w="992" w:type="dxa"/>
            <w:tcBorders>
              <w:top w:val="single" w:sz="4" w:space="0" w:color="17556C"/>
              <w:left w:val="single" w:sz="4" w:space="0" w:color="17556C"/>
              <w:bottom w:val="single" w:sz="4" w:space="0" w:color="17556C"/>
            </w:tcBorders>
            <w:shd w:val="clear" w:color="auto" w:fill="17556C"/>
            <w:vAlign w:val="bottom"/>
          </w:tcPr>
          <w:p w14:paraId="3DA692FA" w14:textId="77777777" w:rsidR="00293312" w:rsidRPr="000C5050" w:rsidRDefault="00293312" w:rsidP="00E54D8D">
            <w:pPr>
              <w:pStyle w:val="TableTextbold"/>
              <w:spacing w:before="0"/>
              <w:jc w:val="center"/>
              <w:rPr>
                <w:color w:val="FFFFFF" w:themeColor="background1"/>
              </w:rPr>
            </w:pPr>
            <w:proofErr w:type="spellStart"/>
            <w:r w:rsidRPr="000C5050">
              <w:rPr>
                <w:color w:val="FFFFFF" w:themeColor="background1"/>
              </w:rPr>
              <w:t>ug</w:t>
            </w:r>
            <w:proofErr w:type="spellEnd"/>
            <w:r w:rsidRPr="000C5050">
              <w:rPr>
                <w:color w:val="FFFFFF" w:themeColor="background1"/>
              </w:rPr>
              <w:t>/kg</w:t>
            </w:r>
          </w:p>
        </w:tc>
      </w:tr>
      <w:tr w:rsidR="00293312" w:rsidRPr="000C5050" w14:paraId="56AE26DE" w14:textId="77777777" w:rsidTr="00AF3699">
        <w:trPr>
          <w:cantSplit/>
        </w:trPr>
        <w:tc>
          <w:tcPr>
            <w:tcW w:w="2410" w:type="dxa"/>
            <w:tcBorders>
              <w:top w:val="single" w:sz="4" w:space="0" w:color="17556C"/>
              <w:bottom w:val="single" w:sz="4" w:space="0" w:color="17556C"/>
              <w:right w:val="single" w:sz="4" w:space="0" w:color="17556C"/>
            </w:tcBorders>
            <w:shd w:val="clear" w:color="auto" w:fill="A4BBC4"/>
          </w:tcPr>
          <w:p w14:paraId="416D3342" w14:textId="77777777" w:rsidR="00293312" w:rsidRPr="000C5050" w:rsidRDefault="00293312" w:rsidP="00E54D8D">
            <w:pPr>
              <w:pStyle w:val="Tabletext"/>
              <w:spacing w:before="40" w:after="40"/>
            </w:pPr>
            <w:r w:rsidRPr="000C5050">
              <w:t>Rural residential / lifestyle block 25% produce</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15545467" w14:textId="77777777" w:rsidR="00293312" w:rsidRPr="000C5050" w:rsidRDefault="00293312" w:rsidP="00E54D8D">
            <w:pPr>
              <w:pStyle w:val="Tabletext"/>
              <w:spacing w:before="40" w:after="40"/>
              <w:jc w:val="center"/>
              <w:rPr>
                <w:vertAlign w:val="superscript"/>
              </w:rPr>
            </w:pPr>
            <w:r w:rsidRPr="000C5050">
              <w:t>17</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5F36BCB2"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51F1EB3B" w14:textId="77777777" w:rsidR="00293312" w:rsidRPr="000C5050" w:rsidRDefault="00293312" w:rsidP="00E54D8D">
            <w:pPr>
              <w:pStyle w:val="Tabletext"/>
              <w:spacing w:before="40" w:after="40"/>
              <w:jc w:val="center"/>
            </w:pPr>
            <w:r w:rsidRPr="000C5050">
              <w:t>0.8</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48DA05DB" w14:textId="77777777" w:rsidR="00293312" w:rsidRPr="000C5050" w:rsidRDefault="00293312" w:rsidP="00E54D8D">
            <w:pPr>
              <w:pStyle w:val="Tabletext"/>
              <w:spacing w:before="40" w:after="40"/>
              <w:jc w:val="center"/>
            </w:pPr>
            <w:r w:rsidRPr="000C5050">
              <w:t>NL</w:t>
            </w:r>
          </w:p>
        </w:tc>
        <w:tc>
          <w:tcPr>
            <w:tcW w:w="567"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6F1F9113" w14:textId="77777777" w:rsidR="00293312" w:rsidRPr="000C5050" w:rsidRDefault="00293312" w:rsidP="00E54D8D">
            <w:pPr>
              <w:pStyle w:val="Tabletext"/>
              <w:spacing w:before="40" w:after="40"/>
              <w:jc w:val="center"/>
            </w:pPr>
            <w:r w:rsidRPr="000C5050">
              <w:t>290</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290D8309"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0668B0F0" w14:textId="77777777" w:rsidR="00293312" w:rsidRPr="000C5050" w:rsidRDefault="00293312" w:rsidP="00E54D8D">
            <w:pPr>
              <w:pStyle w:val="Tabletext"/>
              <w:spacing w:before="40" w:after="40"/>
              <w:jc w:val="center"/>
            </w:pPr>
            <w:r w:rsidRPr="000C5050">
              <w:t>160</w:t>
            </w:r>
          </w:p>
        </w:tc>
        <w:tc>
          <w:tcPr>
            <w:tcW w:w="992"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7958914B" w14:textId="77777777" w:rsidR="00293312" w:rsidRPr="000C5050" w:rsidRDefault="00293312" w:rsidP="00E54D8D">
            <w:pPr>
              <w:pStyle w:val="Tabletext"/>
              <w:spacing w:before="40" w:after="40"/>
              <w:jc w:val="center"/>
            </w:pPr>
            <w:r w:rsidRPr="000C5050">
              <w:t>200</w:t>
            </w:r>
          </w:p>
        </w:tc>
        <w:tc>
          <w:tcPr>
            <w:tcW w:w="851" w:type="dxa"/>
            <w:tcBorders>
              <w:top w:val="single" w:sz="4" w:space="0" w:color="17556C"/>
              <w:left w:val="single" w:sz="4" w:space="0" w:color="17556C"/>
              <w:bottom w:val="single" w:sz="4" w:space="0" w:color="17556C"/>
              <w:right w:val="single" w:sz="4" w:space="0" w:color="17556C"/>
            </w:tcBorders>
            <w:shd w:val="clear" w:color="auto" w:fill="A4BBC4"/>
          </w:tcPr>
          <w:p w14:paraId="55CAED98" w14:textId="77777777" w:rsidR="00293312" w:rsidRPr="000C5050" w:rsidRDefault="00293312" w:rsidP="00E54D8D">
            <w:pPr>
              <w:pStyle w:val="Tabletext"/>
              <w:spacing w:before="40" w:after="40"/>
              <w:jc w:val="center"/>
            </w:pPr>
            <w:r w:rsidRPr="000C5050">
              <w:t>6</w:t>
            </w:r>
          </w:p>
        </w:tc>
        <w:tc>
          <w:tcPr>
            <w:tcW w:w="709" w:type="dxa"/>
            <w:gridSpan w:val="2"/>
            <w:tcBorders>
              <w:top w:val="single" w:sz="4" w:space="0" w:color="17556C"/>
              <w:left w:val="single" w:sz="4" w:space="0" w:color="17556C"/>
              <w:bottom w:val="single" w:sz="4" w:space="0" w:color="17556C"/>
              <w:right w:val="single" w:sz="4" w:space="0" w:color="17556C"/>
            </w:tcBorders>
            <w:shd w:val="clear" w:color="auto" w:fill="A4BBC4"/>
          </w:tcPr>
          <w:p w14:paraId="6509CA17" w14:textId="77777777" w:rsidR="00293312" w:rsidRPr="000C5050" w:rsidRDefault="00293312" w:rsidP="00E54D8D">
            <w:pPr>
              <w:pStyle w:val="Tabletext"/>
              <w:spacing w:before="40" w:after="40"/>
              <w:jc w:val="center"/>
            </w:pPr>
            <w:r w:rsidRPr="000C5050">
              <w:t>45</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Pr>
          <w:p w14:paraId="439AC772" w14:textId="77777777" w:rsidR="00293312" w:rsidRPr="000C5050" w:rsidRDefault="00293312" w:rsidP="00E54D8D">
            <w:pPr>
              <w:pStyle w:val="Tabletext"/>
              <w:spacing w:before="40" w:after="40"/>
              <w:jc w:val="center"/>
            </w:pPr>
            <w:r w:rsidRPr="000C5050">
              <w:t>1.1</w:t>
            </w:r>
          </w:p>
        </w:tc>
        <w:tc>
          <w:tcPr>
            <w:tcW w:w="851" w:type="dxa"/>
            <w:tcBorders>
              <w:top w:val="single" w:sz="4" w:space="0" w:color="17556C"/>
              <w:left w:val="single" w:sz="4" w:space="0" w:color="17556C"/>
              <w:bottom w:val="single" w:sz="4" w:space="0" w:color="17556C"/>
              <w:right w:val="single" w:sz="4" w:space="0" w:color="17556C"/>
            </w:tcBorders>
            <w:shd w:val="clear" w:color="auto" w:fill="A4BBC4"/>
          </w:tcPr>
          <w:p w14:paraId="23E23A41" w14:textId="77777777" w:rsidR="00293312" w:rsidRPr="000C5050" w:rsidRDefault="00293312" w:rsidP="00E54D8D">
            <w:pPr>
              <w:pStyle w:val="Tabletext"/>
              <w:spacing w:before="40" w:after="40"/>
              <w:jc w:val="center"/>
            </w:pPr>
            <w:r w:rsidRPr="000C5050">
              <w:t>55</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Pr>
          <w:p w14:paraId="38E1A149" w14:textId="77777777" w:rsidR="00293312" w:rsidRPr="000C5050" w:rsidRDefault="00293312" w:rsidP="00E54D8D">
            <w:pPr>
              <w:pStyle w:val="Tabletext"/>
              <w:spacing w:before="40" w:after="40"/>
              <w:jc w:val="center"/>
            </w:pPr>
            <w:r w:rsidRPr="000C5050">
              <w:t>0.12</w:t>
            </w:r>
          </w:p>
        </w:tc>
        <w:tc>
          <w:tcPr>
            <w:tcW w:w="992" w:type="dxa"/>
            <w:tcBorders>
              <w:top w:val="single" w:sz="4" w:space="0" w:color="17556C"/>
              <w:left w:val="single" w:sz="4" w:space="0" w:color="17556C"/>
              <w:bottom w:val="single" w:sz="4" w:space="0" w:color="17556C"/>
            </w:tcBorders>
            <w:shd w:val="clear" w:color="auto" w:fill="A4BBC4"/>
          </w:tcPr>
          <w:p w14:paraId="42F546E9" w14:textId="77777777" w:rsidR="00293312" w:rsidRPr="000C5050" w:rsidRDefault="00293312" w:rsidP="00E54D8D">
            <w:pPr>
              <w:pStyle w:val="Tabletext"/>
              <w:spacing w:before="40" w:after="40"/>
              <w:jc w:val="center"/>
            </w:pPr>
            <w:r w:rsidRPr="000C5050">
              <w:t>0.09</w:t>
            </w:r>
          </w:p>
        </w:tc>
      </w:tr>
      <w:tr w:rsidR="00293312" w:rsidRPr="000C5050" w14:paraId="6A5312F8" w14:textId="77777777" w:rsidTr="00165D18">
        <w:trPr>
          <w:cantSplit/>
        </w:trPr>
        <w:tc>
          <w:tcPr>
            <w:tcW w:w="2410" w:type="dxa"/>
            <w:tcBorders>
              <w:top w:val="single" w:sz="4" w:space="0" w:color="17556C"/>
              <w:bottom w:val="single" w:sz="4" w:space="0" w:color="17556C"/>
              <w:right w:val="single" w:sz="4" w:space="0" w:color="17556C"/>
            </w:tcBorders>
          </w:tcPr>
          <w:p w14:paraId="721604C3" w14:textId="77777777" w:rsidR="00293312" w:rsidRPr="000C5050" w:rsidRDefault="00293312" w:rsidP="00E54D8D">
            <w:pPr>
              <w:pStyle w:val="Tabletext"/>
              <w:spacing w:before="40" w:after="40"/>
            </w:pPr>
            <w:r w:rsidRPr="000C5050">
              <w:t>Rural residential / lifestyle block 10% produce</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51C19F2E" w14:textId="77777777" w:rsidR="00293312" w:rsidRPr="000C5050" w:rsidRDefault="00293312" w:rsidP="00E54D8D">
            <w:pPr>
              <w:pStyle w:val="Tabletext"/>
              <w:spacing w:before="40" w:after="40"/>
              <w:jc w:val="center"/>
            </w:pPr>
            <w:r w:rsidRPr="000C5050">
              <w:t>17</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0C0488BF"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tcMar>
              <w:left w:w="57" w:type="dxa"/>
              <w:right w:w="57" w:type="dxa"/>
            </w:tcMar>
          </w:tcPr>
          <w:p w14:paraId="24FEC37B" w14:textId="77777777" w:rsidR="00293312" w:rsidRPr="000C5050" w:rsidRDefault="00293312" w:rsidP="00E54D8D">
            <w:pPr>
              <w:pStyle w:val="Tabletext"/>
              <w:spacing w:before="40" w:after="40"/>
              <w:jc w:val="center"/>
            </w:pPr>
            <w:r w:rsidRPr="000C5050">
              <w:t>3</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5C9E1315" w14:textId="77777777" w:rsidR="00293312" w:rsidRPr="000C5050" w:rsidRDefault="00293312" w:rsidP="00E54D8D">
            <w:pPr>
              <w:pStyle w:val="Tabletext"/>
              <w:spacing w:before="40" w:after="40"/>
              <w:jc w:val="center"/>
            </w:pPr>
            <w:r w:rsidRPr="000C5050">
              <w:t>NL</w:t>
            </w:r>
          </w:p>
        </w:tc>
        <w:tc>
          <w:tcPr>
            <w:tcW w:w="567" w:type="dxa"/>
            <w:tcBorders>
              <w:top w:val="single" w:sz="4" w:space="0" w:color="17556C"/>
              <w:left w:val="single" w:sz="4" w:space="0" w:color="17556C"/>
              <w:bottom w:val="single" w:sz="4" w:space="0" w:color="17556C"/>
              <w:right w:val="single" w:sz="4" w:space="0" w:color="17556C"/>
            </w:tcBorders>
            <w:tcMar>
              <w:left w:w="57" w:type="dxa"/>
              <w:right w:w="57" w:type="dxa"/>
            </w:tcMar>
          </w:tcPr>
          <w:p w14:paraId="374EFED2" w14:textId="77777777" w:rsidR="00293312" w:rsidRPr="000C5050" w:rsidRDefault="00293312" w:rsidP="00E54D8D">
            <w:pPr>
              <w:pStyle w:val="Tabletext"/>
              <w:spacing w:before="40" w:after="40"/>
              <w:jc w:val="center"/>
            </w:pPr>
            <w:r w:rsidRPr="000C5050">
              <w:t>460</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6C92913B"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tcMar>
              <w:left w:w="57" w:type="dxa"/>
              <w:right w:w="57" w:type="dxa"/>
            </w:tcMar>
          </w:tcPr>
          <w:p w14:paraId="4DDA878F" w14:textId="77777777" w:rsidR="00293312" w:rsidRPr="000C5050" w:rsidRDefault="00293312" w:rsidP="00E54D8D">
            <w:pPr>
              <w:pStyle w:val="Tabletext"/>
              <w:spacing w:before="40" w:after="40"/>
              <w:jc w:val="center"/>
            </w:pPr>
            <w:r w:rsidRPr="000C5050">
              <w:t>210</w:t>
            </w:r>
          </w:p>
        </w:tc>
        <w:tc>
          <w:tcPr>
            <w:tcW w:w="992" w:type="dxa"/>
            <w:tcBorders>
              <w:top w:val="single" w:sz="4" w:space="0" w:color="17556C"/>
              <w:left w:val="single" w:sz="4" w:space="0" w:color="17556C"/>
              <w:bottom w:val="single" w:sz="4" w:space="0" w:color="17556C"/>
              <w:right w:val="single" w:sz="4" w:space="0" w:color="17556C"/>
            </w:tcBorders>
            <w:tcMar>
              <w:left w:w="57" w:type="dxa"/>
              <w:right w:w="57" w:type="dxa"/>
            </w:tcMar>
          </w:tcPr>
          <w:p w14:paraId="538F4DFE" w14:textId="77777777" w:rsidR="00293312" w:rsidRPr="000C5050" w:rsidRDefault="00293312" w:rsidP="00E54D8D">
            <w:pPr>
              <w:pStyle w:val="Tabletext"/>
              <w:spacing w:before="40" w:after="40"/>
              <w:jc w:val="center"/>
            </w:pPr>
            <w:r w:rsidRPr="000C5050">
              <w:t>310</w:t>
            </w:r>
          </w:p>
        </w:tc>
        <w:tc>
          <w:tcPr>
            <w:tcW w:w="851" w:type="dxa"/>
            <w:tcBorders>
              <w:top w:val="single" w:sz="4" w:space="0" w:color="17556C"/>
              <w:left w:val="single" w:sz="4" w:space="0" w:color="17556C"/>
              <w:bottom w:val="single" w:sz="4" w:space="0" w:color="17556C"/>
              <w:right w:val="single" w:sz="4" w:space="0" w:color="17556C"/>
            </w:tcBorders>
          </w:tcPr>
          <w:p w14:paraId="3BAFE955" w14:textId="77777777" w:rsidR="00293312" w:rsidRPr="000C5050" w:rsidRDefault="00293312" w:rsidP="00E54D8D">
            <w:pPr>
              <w:pStyle w:val="Tabletext"/>
              <w:spacing w:before="40" w:after="40"/>
              <w:jc w:val="center"/>
            </w:pPr>
            <w:r w:rsidRPr="000C5050">
              <w:t>8</w:t>
            </w:r>
          </w:p>
        </w:tc>
        <w:tc>
          <w:tcPr>
            <w:tcW w:w="709" w:type="dxa"/>
            <w:gridSpan w:val="2"/>
            <w:tcBorders>
              <w:top w:val="single" w:sz="4" w:space="0" w:color="17556C"/>
              <w:left w:val="single" w:sz="4" w:space="0" w:color="17556C"/>
              <w:bottom w:val="single" w:sz="4" w:space="0" w:color="17556C"/>
              <w:right w:val="single" w:sz="4" w:space="0" w:color="17556C"/>
            </w:tcBorders>
          </w:tcPr>
          <w:p w14:paraId="66973679" w14:textId="77777777" w:rsidR="00293312" w:rsidRPr="000C5050" w:rsidRDefault="00293312" w:rsidP="00E54D8D">
            <w:pPr>
              <w:pStyle w:val="Tabletext"/>
              <w:spacing w:before="40" w:after="40"/>
              <w:jc w:val="center"/>
            </w:pPr>
            <w:r w:rsidRPr="000C5050">
              <w:t>70</w:t>
            </w:r>
          </w:p>
        </w:tc>
        <w:tc>
          <w:tcPr>
            <w:tcW w:w="850" w:type="dxa"/>
            <w:tcBorders>
              <w:top w:val="single" w:sz="4" w:space="0" w:color="17556C"/>
              <w:left w:val="single" w:sz="4" w:space="0" w:color="17556C"/>
              <w:bottom w:val="single" w:sz="4" w:space="0" w:color="17556C"/>
              <w:right w:val="single" w:sz="4" w:space="0" w:color="17556C"/>
            </w:tcBorders>
          </w:tcPr>
          <w:p w14:paraId="52119C91" w14:textId="77777777" w:rsidR="00293312" w:rsidRPr="000C5050" w:rsidRDefault="00293312" w:rsidP="00E54D8D">
            <w:pPr>
              <w:pStyle w:val="Tabletext"/>
              <w:spacing w:before="40" w:after="40"/>
              <w:jc w:val="center"/>
            </w:pPr>
            <w:r w:rsidRPr="000C5050">
              <w:t>2.6</w:t>
            </w:r>
          </w:p>
        </w:tc>
        <w:tc>
          <w:tcPr>
            <w:tcW w:w="851" w:type="dxa"/>
            <w:tcBorders>
              <w:top w:val="single" w:sz="4" w:space="0" w:color="17556C"/>
              <w:left w:val="single" w:sz="4" w:space="0" w:color="17556C"/>
              <w:bottom w:val="single" w:sz="4" w:space="0" w:color="17556C"/>
              <w:right w:val="single" w:sz="4" w:space="0" w:color="17556C"/>
            </w:tcBorders>
          </w:tcPr>
          <w:p w14:paraId="08B05400" w14:textId="77777777" w:rsidR="00293312" w:rsidRPr="000C5050" w:rsidRDefault="00293312" w:rsidP="00E54D8D">
            <w:pPr>
              <w:pStyle w:val="Tabletext"/>
              <w:spacing w:before="40" w:after="40"/>
              <w:jc w:val="center"/>
            </w:pPr>
            <w:r w:rsidRPr="000C5050">
              <w:t>55</w:t>
            </w:r>
          </w:p>
        </w:tc>
        <w:tc>
          <w:tcPr>
            <w:tcW w:w="850" w:type="dxa"/>
            <w:tcBorders>
              <w:top w:val="single" w:sz="4" w:space="0" w:color="17556C"/>
              <w:left w:val="single" w:sz="4" w:space="0" w:color="17556C"/>
              <w:bottom w:val="single" w:sz="4" w:space="0" w:color="17556C"/>
              <w:right w:val="single" w:sz="4" w:space="0" w:color="17556C"/>
            </w:tcBorders>
          </w:tcPr>
          <w:p w14:paraId="6F9337FF" w14:textId="77777777" w:rsidR="00293312" w:rsidRPr="000C5050" w:rsidRDefault="00293312" w:rsidP="00E54D8D">
            <w:pPr>
              <w:pStyle w:val="Tabletext"/>
              <w:spacing w:before="40" w:after="40"/>
              <w:jc w:val="center"/>
            </w:pPr>
            <w:r w:rsidRPr="000C5050">
              <w:t>0.15</w:t>
            </w:r>
          </w:p>
        </w:tc>
        <w:tc>
          <w:tcPr>
            <w:tcW w:w="992" w:type="dxa"/>
            <w:tcBorders>
              <w:top w:val="single" w:sz="4" w:space="0" w:color="17556C"/>
              <w:left w:val="single" w:sz="4" w:space="0" w:color="17556C"/>
              <w:bottom w:val="single" w:sz="4" w:space="0" w:color="17556C"/>
            </w:tcBorders>
          </w:tcPr>
          <w:p w14:paraId="7DD83415" w14:textId="77777777" w:rsidR="00293312" w:rsidRPr="000C5050" w:rsidRDefault="00293312" w:rsidP="00E54D8D">
            <w:pPr>
              <w:pStyle w:val="Tabletext"/>
              <w:spacing w:before="40" w:after="40"/>
              <w:jc w:val="center"/>
            </w:pPr>
            <w:r w:rsidRPr="000C5050">
              <w:t>0.12</w:t>
            </w:r>
          </w:p>
        </w:tc>
      </w:tr>
      <w:tr w:rsidR="00293312" w:rsidRPr="000C5050" w14:paraId="206C626A" w14:textId="77777777" w:rsidTr="00165D18">
        <w:trPr>
          <w:cantSplit/>
        </w:trPr>
        <w:tc>
          <w:tcPr>
            <w:tcW w:w="2410" w:type="dxa"/>
            <w:tcBorders>
              <w:top w:val="single" w:sz="4" w:space="0" w:color="17556C"/>
              <w:bottom w:val="single" w:sz="4" w:space="0" w:color="17556C"/>
              <w:right w:val="single" w:sz="4" w:space="0" w:color="17556C"/>
            </w:tcBorders>
          </w:tcPr>
          <w:p w14:paraId="100BB25A" w14:textId="77777777" w:rsidR="00293312" w:rsidRPr="000C5050" w:rsidRDefault="00293312" w:rsidP="00E54D8D">
            <w:pPr>
              <w:pStyle w:val="Tabletext"/>
              <w:spacing w:before="40" w:after="40"/>
            </w:pPr>
            <w:r w:rsidRPr="000C5050">
              <w:t>Rural residential / lifestyle block no produce</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2BC5DCA5" w14:textId="77777777" w:rsidR="00293312" w:rsidRPr="000C5050" w:rsidRDefault="00293312" w:rsidP="00E54D8D">
            <w:pPr>
              <w:pStyle w:val="Tabletext"/>
              <w:spacing w:before="40" w:after="40"/>
              <w:jc w:val="center"/>
            </w:pPr>
            <w:r w:rsidRPr="000C5050">
              <w:t>21</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60AE7763"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tcMar>
              <w:left w:w="57" w:type="dxa"/>
              <w:right w:w="57" w:type="dxa"/>
            </w:tcMar>
          </w:tcPr>
          <w:p w14:paraId="2026FBD1" w14:textId="77777777" w:rsidR="00293312" w:rsidRPr="000C5050" w:rsidRDefault="00293312" w:rsidP="00E54D8D">
            <w:pPr>
              <w:pStyle w:val="Tabletext"/>
              <w:spacing w:before="40" w:after="40"/>
              <w:jc w:val="center"/>
            </w:pPr>
            <w:r w:rsidRPr="000C5050">
              <w:t>110</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12973527" w14:textId="77777777" w:rsidR="00293312" w:rsidRPr="000C5050" w:rsidRDefault="00293312" w:rsidP="00E54D8D">
            <w:pPr>
              <w:pStyle w:val="Tabletext"/>
              <w:spacing w:before="40" w:after="40"/>
              <w:jc w:val="center"/>
            </w:pPr>
            <w:r w:rsidRPr="000C5050">
              <w:t>NL</w:t>
            </w:r>
          </w:p>
        </w:tc>
        <w:tc>
          <w:tcPr>
            <w:tcW w:w="567" w:type="dxa"/>
            <w:tcBorders>
              <w:top w:val="single" w:sz="4" w:space="0" w:color="17556C"/>
              <w:left w:val="single" w:sz="4" w:space="0" w:color="17556C"/>
              <w:bottom w:val="single" w:sz="4" w:space="0" w:color="17556C"/>
              <w:right w:val="single" w:sz="4" w:space="0" w:color="17556C"/>
            </w:tcBorders>
            <w:tcMar>
              <w:left w:w="57" w:type="dxa"/>
              <w:right w:w="57" w:type="dxa"/>
            </w:tcMar>
          </w:tcPr>
          <w:p w14:paraId="4DDEE3CC" w14:textId="77777777" w:rsidR="00293312" w:rsidRPr="000C5050" w:rsidRDefault="00293312" w:rsidP="00E54D8D">
            <w:pPr>
              <w:pStyle w:val="Tabletext"/>
              <w:spacing w:before="40" w:after="40"/>
              <w:jc w:val="center"/>
            </w:pPr>
            <w:r w:rsidRPr="000C5050">
              <w:t>770</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7AD5DFA6"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tcMar>
              <w:left w:w="57" w:type="dxa"/>
              <w:right w:w="57" w:type="dxa"/>
            </w:tcMar>
          </w:tcPr>
          <w:p w14:paraId="79F1DBA3" w14:textId="77777777" w:rsidR="00293312" w:rsidRPr="000C5050" w:rsidRDefault="00293312" w:rsidP="00E54D8D">
            <w:pPr>
              <w:pStyle w:val="Tabletext"/>
              <w:spacing w:before="40" w:after="40"/>
              <w:jc w:val="center"/>
            </w:pPr>
            <w:r w:rsidRPr="000C5050">
              <w:t>250</w:t>
            </w:r>
          </w:p>
        </w:tc>
        <w:tc>
          <w:tcPr>
            <w:tcW w:w="992" w:type="dxa"/>
            <w:tcBorders>
              <w:top w:val="single" w:sz="4" w:space="0" w:color="17556C"/>
              <w:left w:val="single" w:sz="4" w:space="0" w:color="17556C"/>
              <w:bottom w:val="single" w:sz="4" w:space="0" w:color="17556C"/>
              <w:right w:val="single" w:sz="4" w:space="0" w:color="17556C"/>
            </w:tcBorders>
            <w:tcMar>
              <w:left w:w="57" w:type="dxa"/>
              <w:right w:w="57" w:type="dxa"/>
            </w:tcMar>
          </w:tcPr>
          <w:p w14:paraId="4E83F1A0" w14:textId="77777777" w:rsidR="00293312" w:rsidRPr="000C5050" w:rsidRDefault="00293312" w:rsidP="00E54D8D">
            <w:pPr>
              <w:pStyle w:val="Tabletext"/>
              <w:spacing w:before="40" w:after="40"/>
              <w:jc w:val="center"/>
            </w:pPr>
            <w:r w:rsidRPr="000C5050">
              <w:t>510</w:t>
            </w:r>
          </w:p>
        </w:tc>
        <w:tc>
          <w:tcPr>
            <w:tcW w:w="851" w:type="dxa"/>
            <w:tcBorders>
              <w:top w:val="single" w:sz="4" w:space="0" w:color="17556C"/>
              <w:left w:val="single" w:sz="4" w:space="0" w:color="17556C"/>
              <w:bottom w:val="single" w:sz="4" w:space="0" w:color="17556C"/>
              <w:right w:val="single" w:sz="4" w:space="0" w:color="17556C"/>
            </w:tcBorders>
          </w:tcPr>
          <w:p w14:paraId="36D9793E" w14:textId="77777777" w:rsidR="00293312" w:rsidRPr="000C5050" w:rsidRDefault="00293312" w:rsidP="00E54D8D">
            <w:pPr>
              <w:pStyle w:val="Tabletext"/>
              <w:spacing w:before="40" w:after="40"/>
              <w:jc w:val="center"/>
            </w:pPr>
            <w:r w:rsidRPr="000C5050">
              <w:t>11</w:t>
            </w:r>
          </w:p>
        </w:tc>
        <w:tc>
          <w:tcPr>
            <w:tcW w:w="709" w:type="dxa"/>
            <w:gridSpan w:val="2"/>
            <w:tcBorders>
              <w:top w:val="single" w:sz="4" w:space="0" w:color="17556C"/>
              <w:left w:val="single" w:sz="4" w:space="0" w:color="17556C"/>
              <w:bottom w:val="single" w:sz="4" w:space="0" w:color="17556C"/>
              <w:right w:val="single" w:sz="4" w:space="0" w:color="17556C"/>
            </w:tcBorders>
          </w:tcPr>
          <w:p w14:paraId="500D0B80" w14:textId="77777777" w:rsidR="00293312" w:rsidRPr="000C5050" w:rsidRDefault="00293312" w:rsidP="00E54D8D">
            <w:pPr>
              <w:pStyle w:val="Tabletext"/>
              <w:spacing w:before="40" w:after="40"/>
              <w:jc w:val="center"/>
            </w:pPr>
            <w:r w:rsidRPr="000C5050">
              <w:t>120</w:t>
            </w:r>
          </w:p>
        </w:tc>
        <w:tc>
          <w:tcPr>
            <w:tcW w:w="850" w:type="dxa"/>
            <w:tcBorders>
              <w:top w:val="single" w:sz="4" w:space="0" w:color="17556C"/>
              <w:left w:val="single" w:sz="4" w:space="0" w:color="17556C"/>
              <w:bottom w:val="single" w:sz="4" w:space="0" w:color="17556C"/>
              <w:right w:val="single" w:sz="4" w:space="0" w:color="17556C"/>
            </w:tcBorders>
          </w:tcPr>
          <w:p w14:paraId="1F7F0E62" w14:textId="77777777" w:rsidR="00293312" w:rsidRPr="000C5050" w:rsidRDefault="00293312" w:rsidP="00E54D8D">
            <w:pPr>
              <w:pStyle w:val="Tabletext"/>
              <w:spacing w:before="40" w:after="40"/>
              <w:jc w:val="center"/>
            </w:pPr>
            <w:r w:rsidRPr="000C5050">
              <w:t>22</w:t>
            </w:r>
          </w:p>
        </w:tc>
        <w:tc>
          <w:tcPr>
            <w:tcW w:w="851" w:type="dxa"/>
            <w:tcBorders>
              <w:top w:val="single" w:sz="4" w:space="0" w:color="17556C"/>
              <w:left w:val="single" w:sz="4" w:space="0" w:color="17556C"/>
              <w:bottom w:val="single" w:sz="4" w:space="0" w:color="17556C"/>
              <w:right w:val="single" w:sz="4" w:space="0" w:color="17556C"/>
            </w:tcBorders>
          </w:tcPr>
          <w:p w14:paraId="68579A1E" w14:textId="77777777" w:rsidR="00293312" w:rsidRPr="000C5050" w:rsidRDefault="00293312" w:rsidP="00E54D8D">
            <w:pPr>
              <w:pStyle w:val="Tabletext"/>
              <w:spacing w:before="40" w:after="40"/>
              <w:jc w:val="center"/>
            </w:pPr>
            <w:r w:rsidRPr="000C5050">
              <w:t>55</w:t>
            </w:r>
          </w:p>
        </w:tc>
        <w:tc>
          <w:tcPr>
            <w:tcW w:w="850" w:type="dxa"/>
            <w:tcBorders>
              <w:top w:val="single" w:sz="4" w:space="0" w:color="17556C"/>
              <w:left w:val="single" w:sz="4" w:space="0" w:color="17556C"/>
              <w:bottom w:val="single" w:sz="4" w:space="0" w:color="17556C"/>
              <w:right w:val="single" w:sz="4" w:space="0" w:color="17556C"/>
            </w:tcBorders>
          </w:tcPr>
          <w:p w14:paraId="03C06CE9" w14:textId="77777777" w:rsidR="00293312" w:rsidRPr="000C5050" w:rsidRDefault="00293312" w:rsidP="00E54D8D">
            <w:pPr>
              <w:pStyle w:val="Tabletext"/>
              <w:spacing w:before="40" w:after="40"/>
              <w:jc w:val="center"/>
            </w:pPr>
            <w:r w:rsidRPr="000C5050">
              <w:t>0.18</w:t>
            </w:r>
          </w:p>
        </w:tc>
        <w:tc>
          <w:tcPr>
            <w:tcW w:w="992" w:type="dxa"/>
            <w:tcBorders>
              <w:top w:val="single" w:sz="4" w:space="0" w:color="17556C"/>
              <w:left w:val="single" w:sz="4" w:space="0" w:color="17556C"/>
              <w:bottom w:val="single" w:sz="4" w:space="0" w:color="17556C"/>
            </w:tcBorders>
          </w:tcPr>
          <w:p w14:paraId="081ECB5D" w14:textId="77777777" w:rsidR="00293312" w:rsidRPr="000C5050" w:rsidRDefault="00293312" w:rsidP="00E54D8D">
            <w:pPr>
              <w:pStyle w:val="Tabletext"/>
              <w:spacing w:before="40" w:after="40"/>
              <w:jc w:val="center"/>
            </w:pPr>
            <w:r w:rsidRPr="000C5050">
              <w:t>0.16</w:t>
            </w:r>
          </w:p>
        </w:tc>
      </w:tr>
      <w:tr w:rsidR="00293312" w:rsidRPr="000C5050" w14:paraId="1F77785F" w14:textId="77777777" w:rsidTr="00165D18">
        <w:trPr>
          <w:cantSplit/>
        </w:trPr>
        <w:tc>
          <w:tcPr>
            <w:tcW w:w="2410" w:type="dxa"/>
            <w:tcBorders>
              <w:top w:val="single" w:sz="4" w:space="0" w:color="17556C"/>
              <w:bottom w:val="single" w:sz="4" w:space="0" w:color="17556C"/>
              <w:right w:val="single" w:sz="4" w:space="0" w:color="17556C"/>
            </w:tcBorders>
            <w:shd w:val="clear" w:color="auto" w:fill="F2F2F2" w:themeFill="background1" w:themeFillShade="F2"/>
          </w:tcPr>
          <w:p w14:paraId="790835C0" w14:textId="77777777" w:rsidR="00293312" w:rsidRPr="000C5050" w:rsidRDefault="00293312" w:rsidP="00E54D8D">
            <w:pPr>
              <w:pStyle w:val="Tabletext"/>
              <w:spacing w:before="40" w:after="40"/>
              <w:rPr>
                <w:color w:val="0070C0"/>
              </w:rPr>
            </w:pPr>
            <w:r w:rsidRPr="000C5050">
              <w:rPr>
                <w:color w:val="0070C0"/>
              </w:rPr>
              <w:t>Rural residential w/TOSMP (no produce + reduced soil ingestion)</w:t>
            </w:r>
          </w:p>
        </w:tc>
        <w:tc>
          <w:tcPr>
            <w:tcW w:w="709"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4B02FE43" w14:textId="77777777" w:rsidR="00293312" w:rsidRPr="000C5050" w:rsidRDefault="00293312" w:rsidP="00E54D8D">
            <w:pPr>
              <w:pStyle w:val="Tabletext"/>
              <w:spacing w:before="40" w:after="40"/>
              <w:jc w:val="center"/>
              <w:rPr>
                <w:color w:val="0070C0"/>
              </w:rPr>
            </w:pPr>
            <w:r w:rsidRPr="000C5050">
              <w:rPr>
                <w:color w:val="0070C0"/>
              </w:rPr>
              <w:t>42</w:t>
            </w:r>
          </w:p>
        </w:tc>
        <w:tc>
          <w:tcPr>
            <w:tcW w:w="709"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4CE11F64" w14:textId="77777777" w:rsidR="00293312" w:rsidRPr="000C5050" w:rsidRDefault="00293312" w:rsidP="00E54D8D">
            <w:pPr>
              <w:pStyle w:val="Tabletext"/>
              <w:spacing w:before="40" w:after="40"/>
              <w:jc w:val="center"/>
              <w:rPr>
                <w:color w:val="0070C0"/>
              </w:rPr>
            </w:pPr>
            <w:r w:rsidRPr="000C5050">
              <w:rPr>
                <w:color w:val="0070C0"/>
              </w:rPr>
              <w:t>NL</w:t>
            </w:r>
          </w:p>
        </w:tc>
        <w:tc>
          <w:tcPr>
            <w:tcW w:w="850"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737E0B01" w14:textId="77777777" w:rsidR="00293312" w:rsidRPr="000C5050" w:rsidRDefault="00293312" w:rsidP="00E54D8D">
            <w:pPr>
              <w:pStyle w:val="Tabletext"/>
              <w:spacing w:before="40" w:after="40"/>
              <w:jc w:val="center"/>
              <w:rPr>
                <w:color w:val="0070C0"/>
              </w:rPr>
            </w:pPr>
            <w:r w:rsidRPr="000C5050">
              <w:rPr>
                <w:color w:val="0070C0"/>
              </w:rPr>
              <w:t>230</w:t>
            </w:r>
          </w:p>
        </w:tc>
        <w:tc>
          <w:tcPr>
            <w:tcW w:w="709"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457910BC" w14:textId="77777777" w:rsidR="00293312" w:rsidRPr="000C5050" w:rsidRDefault="00293312" w:rsidP="00E54D8D">
            <w:pPr>
              <w:pStyle w:val="Tabletext"/>
              <w:spacing w:before="40" w:after="40"/>
              <w:jc w:val="center"/>
              <w:rPr>
                <w:color w:val="0070C0"/>
              </w:rPr>
            </w:pPr>
            <w:r w:rsidRPr="000C5050">
              <w:rPr>
                <w:color w:val="0070C0"/>
              </w:rPr>
              <w:t>NL</w:t>
            </w:r>
          </w:p>
        </w:tc>
        <w:tc>
          <w:tcPr>
            <w:tcW w:w="567"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5083E160" w14:textId="77777777" w:rsidR="00293312" w:rsidRPr="000C5050" w:rsidRDefault="00293312" w:rsidP="00E54D8D">
            <w:pPr>
              <w:pStyle w:val="Tabletext"/>
              <w:spacing w:before="40" w:after="40"/>
              <w:jc w:val="center"/>
              <w:rPr>
                <w:color w:val="0070C0"/>
              </w:rPr>
            </w:pPr>
            <w:r w:rsidRPr="000C5050">
              <w:rPr>
                <w:color w:val="0070C0"/>
              </w:rPr>
              <w:t>1500</w:t>
            </w:r>
          </w:p>
        </w:tc>
        <w:tc>
          <w:tcPr>
            <w:tcW w:w="709"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6E69FAFC" w14:textId="77777777" w:rsidR="00293312" w:rsidRPr="000C5050" w:rsidRDefault="00293312" w:rsidP="00E54D8D">
            <w:pPr>
              <w:pStyle w:val="Tabletext"/>
              <w:spacing w:before="40" w:after="40"/>
              <w:jc w:val="center"/>
              <w:rPr>
                <w:color w:val="0070C0"/>
              </w:rPr>
            </w:pPr>
            <w:r w:rsidRPr="000C5050">
              <w:rPr>
                <w:color w:val="0070C0"/>
              </w:rPr>
              <w:t>NL</w:t>
            </w:r>
          </w:p>
        </w:tc>
        <w:tc>
          <w:tcPr>
            <w:tcW w:w="850"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72CE90F3" w14:textId="77777777" w:rsidR="00293312" w:rsidRPr="000C5050" w:rsidRDefault="00293312" w:rsidP="00E54D8D">
            <w:pPr>
              <w:pStyle w:val="Tabletext"/>
              <w:spacing w:before="40" w:after="40"/>
              <w:jc w:val="center"/>
              <w:rPr>
                <w:color w:val="0070C0"/>
              </w:rPr>
            </w:pPr>
            <w:r w:rsidRPr="000C5050">
              <w:rPr>
                <w:color w:val="0070C0"/>
              </w:rPr>
              <w:t>500</w:t>
            </w:r>
          </w:p>
        </w:tc>
        <w:tc>
          <w:tcPr>
            <w:tcW w:w="992"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799BC0C5" w14:textId="77777777" w:rsidR="00293312" w:rsidRPr="000C5050" w:rsidRDefault="00293312" w:rsidP="00E54D8D">
            <w:pPr>
              <w:pStyle w:val="Tabletext"/>
              <w:spacing w:before="40" w:after="40"/>
              <w:jc w:val="center"/>
              <w:rPr>
                <w:color w:val="0070C0"/>
              </w:rPr>
            </w:pPr>
            <w:r w:rsidRPr="000C5050">
              <w:rPr>
                <w:color w:val="0070C0"/>
              </w:rPr>
              <w:t>1000</w:t>
            </w:r>
          </w:p>
        </w:tc>
        <w:tc>
          <w:tcPr>
            <w:tcW w:w="851"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Pr>
          <w:p w14:paraId="673F4791" w14:textId="77777777" w:rsidR="00293312" w:rsidRPr="000C5050" w:rsidRDefault="00293312" w:rsidP="00E54D8D">
            <w:pPr>
              <w:pStyle w:val="Tabletext"/>
              <w:spacing w:before="40" w:after="40"/>
              <w:jc w:val="center"/>
              <w:rPr>
                <w:color w:val="0070C0"/>
              </w:rPr>
            </w:pPr>
            <w:r w:rsidRPr="000C5050">
              <w:rPr>
                <w:color w:val="0070C0"/>
              </w:rPr>
              <w:t>20</w:t>
            </w:r>
          </w:p>
        </w:tc>
        <w:tc>
          <w:tcPr>
            <w:tcW w:w="709" w:type="dxa"/>
            <w:gridSpan w:val="2"/>
            <w:tcBorders>
              <w:top w:val="single" w:sz="4" w:space="0" w:color="17556C"/>
              <w:left w:val="single" w:sz="4" w:space="0" w:color="17556C"/>
              <w:bottom w:val="single" w:sz="4" w:space="0" w:color="17556C"/>
              <w:right w:val="single" w:sz="4" w:space="0" w:color="17556C"/>
            </w:tcBorders>
            <w:shd w:val="clear" w:color="auto" w:fill="F2F2F2" w:themeFill="background1" w:themeFillShade="F2"/>
          </w:tcPr>
          <w:p w14:paraId="01A96537" w14:textId="77777777" w:rsidR="00293312" w:rsidRPr="000C5050" w:rsidRDefault="00293312" w:rsidP="00E54D8D">
            <w:pPr>
              <w:pStyle w:val="Tabletext"/>
              <w:spacing w:before="40" w:after="40"/>
              <w:jc w:val="center"/>
              <w:rPr>
                <w:color w:val="0070C0"/>
              </w:rPr>
            </w:pPr>
            <w:r w:rsidRPr="000C5050">
              <w:rPr>
                <w:color w:val="0070C0"/>
              </w:rPr>
              <w:t>230</w:t>
            </w:r>
          </w:p>
        </w:tc>
        <w:tc>
          <w:tcPr>
            <w:tcW w:w="850"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Pr>
          <w:p w14:paraId="5A9C92CB" w14:textId="77777777" w:rsidR="00293312" w:rsidRPr="000C5050" w:rsidRDefault="00293312" w:rsidP="00E54D8D">
            <w:pPr>
              <w:pStyle w:val="Tabletext"/>
              <w:spacing w:before="40" w:after="40"/>
              <w:jc w:val="center"/>
              <w:rPr>
                <w:color w:val="0070C0"/>
              </w:rPr>
            </w:pPr>
            <w:r w:rsidRPr="000C5050">
              <w:rPr>
                <w:color w:val="0070C0"/>
              </w:rPr>
              <w:t>40</w:t>
            </w:r>
          </w:p>
        </w:tc>
        <w:tc>
          <w:tcPr>
            <w:tcW w:w="851"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Pr>
          <w:p w14:paraId="43B86F35" w14:textId="77777777" w:rsidR="00293312" w:rsidRPr="000C5050" w:rsidRDefault="00293312" w:rsidP="00E54D8D">
            <w:pPr>
              <w:pStyle w:val="Tabletext"/>
              <w:spacing w:before="40" w:after="40"/>
              <w:jc w:val="center"/>
              <w:rPr>
                <w:color w:val="0070C0"/>
              </w:rPr>
            </w:pPr>
            <w:r w:rsidRPr="000C5050">
              <w:rPr>
                <w:color w:val="0070C0"/>
              </w:rPr>
              <w:t>88</w:t>
            </w:r>
          </w:p>
        </w:tc>
        <w:tc>
          <w:tcPr>
            <w:tcW w:w="850"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Pr>
          <w:p w14:paraId="158F140E" w14:textId="77777777" w:rsidR="00293312" w:rsidRPr="000C5050" w:rsidRDefault="00293312" w:rsidP="00E54D8D">
            <w:pPr>
              <w:pStyle w:val="Tabletext"/>
              <w:spacing w:before="40" w:after="40"/>
              <w:jc w:val="center"/>
              <w:rPr>
                <w:color w:val="0070C0"/>
              </w:rPr>
            </w:pPr>
            <w:r w:rsidRPr="000C5050">
              <w:rPr>
                <w:color w:val="0070C0"/>
              </w:rPr>
              <w:t>0.34</w:t>
            </w:r>
          </w:p>
        </w:tc>
        <w:tc>
          <w:tcPr>
            <w:tcW w:w="992" w:type="dxa"/>
            <w:tcBorders>
              <w:top w:val="single" w:sz="4" w:space="0" w:color="17556C"/>
              <w:left w:val="single" w:sz="4" w:space="0" w:color="17556C"/>
              <w:bottom w:val="single" w:sz="4" w:space="0" w:color="17556C"/>
            </w:tcBorders>
            <w:shd w:val="clear" w:color="auto" w:fill="F2F2F2" w:themeFill="background1" w:themeFillShade="F2"/>
          </w:tcPr>
          <w:p w14:paraId="2D0121B9" w14:textId="77777777" w:rsidR="00293312" w:rsidRPr="000C5050" w:rsidRDefault="00293312" w:rsidP="00E54D8D">
            <w:pPr>
              <w:pStyle w:val="Tabletext"/>
              <w:spacing w:before="40" w:after="40"/>
              <w:jc w:val="center"/>
              <w:rPr>
                <w:color w:val="0070C0"/>
              </w:rPr>
            </w:pPr>
            <w:r w:rsidRPr="000C5050">
              <w:rPr>
                <w:color w:val="0070C0"/>
              </w:rPr>
              <w:t>0.30</w:t>
            </w:r>
          </w:p>
        </w:tc>
      </w:tr>
      <w:tr w:rsidR="00293312" w:rsidRPr="000C5050" w14:paraId="01C8DA66" w14:textId="77777777" w:rsidTr="00AF3699">
        <w:trPr>
          <w:cantSplit/>
        </w:trPr>
        <w:tc>
          <w:tcPr>
            <w:tcW w:w="2410" w:type="dxa"/>
            <w:tcBorders>
              <w:top w:val="single" w:sz="4" w:space="0" w:color="17556C"/>
              <w:bottom w:val="single" w:sz="4" w:space="0" w:color="17556C"/>
              <w:right w:val="single" w:sz="4" w:space="0" w:color="17556C"/>
            </w:tcBorders>
          </w:tcPr>
          <w:p w14:paraId="455196E6" w14:textId="77777777" w:rsidR="00293312" w:rsidRPr="000C5050" w:rsidRDefault="00293312" w:rsidP="00E54D8D">
            <w:pPr>
              <w:pStyle w:val="Tabletext"/>
              <w:spacing w:before="40" w:after="40"/>
            </w:pPr>
            <w:r w:rsidRPr="000C5050">
              <w:t>Residential 25% produce</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6616CCD8" w14:textId="77777777" w:rsidR="00293312" w:rsidRPr="000C5050" w:rsidRDefault="00293312" w:rsidP="00E54D8D">
            <w:pPr>
              <w:pStyle w:val="Tabletext"/>
              <w:spacing w:before="40" w:after="40"/>
              <w:jc w:val="center"/>
              <w:rPr>
                <w:vertAlign w:val="superscript"/>
              </w:rPr>
            </w:pPr>
            <w:r w:rsidRPr="000C5050">
              <w:t>17</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13BD6BC3"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tcMar>
              <w:left w:w="57" w:type="dxa"/>
              <w:right w:w="57" w:type="dxa"/>
            </w:tcMar>
          </w:tcPr>
          <w:p w14:paraId="64DBE3E4" w14:textId="77777777" w:rsidR="00293312" w:rsidRPr="000C5050" w:rsidRDefault="00293312" w:rsidP="00E54D8D">
            <w:pPr>
              <w:pStyle w:val="Tabletext"/>
              <w:spacing w:before="40" w:after="40"/>
              <w:jc w:val="center"/>
            </w:pPr>
            <w:r w:rsidRPr="000C5050">
              <w:t>0.8</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62C289AD" w14:textId="77777777" w:rsidR="00293312" w:rsidRPr="000C5050" w:rsidRDefault="00293312" w:rsidP="00E54D8D">
            <w:pPr>
              <w:pStyle w:val="Tabletext"/>
              <w:spacing w:before="40" w:after="40"/>
              <w:jc w:val="center"/>
            </w:pPr>
            <w:r w:rsidRPr="000C5050">
              <w:t>NL</w:t>
            </w:r>
          </w:p>
        </w:tc>
        <w:tc>
          <w:tcPr>
            <w:tcW w:w="567" w:type="dxa"/>
            <w:tcBorders>
              <w:top w:val="single" w:sz="4" w:space="0" w:color="17556C"/>
              <w:left w:val="single" w:sz="4" w:space="0" w:color="17556C"/>
              <w:bottom w:val="single" w:sz="4" w:space="0" w:color="17556C"/>
              <w:right w:val="single" w:sz="4" w:space="0" w:color="17556C"/>
            </w:tcBorders>
            <w:tcMar>
              <w:left w:w="57" w:type="dxa"/>
              <w:right w:w="57" w:type="dxa"/>
            </w:tcMar>
          </w:tcPr>
          <w:p w14:paraId="5C28A89C" w14:textId="77777777" w:rsidR="00293312" w:rsidRPr="000C5050" w:rsidRDefault="00293312" w:rsidP="00E54D8D">
            <w:pPr>
              <w:pStyle w:val="Tabletext"/>
              <w:spacing w:before="40" w:after="40"/>
              <w:jc w:val="center"/>
            </w:pPr>
            <w:r w:rsidRPr="000C5050">
              <w:t>290</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1ED93EB1"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tcMar>
              <w:left w:w="57" w:type="dxa"/>
              <w:right w:w="57" w:type="dxa"/>
            </w:tcMar>
          </w:tcPr>
          <w:p w14:paraId="0F46D3DC" w14:textId="77777777" w:rsidR="00293312" w:rsidRPr="000C5050" w:rsidRDefault="00293312" w:rsidP="00E54D8D">
            <w:pPr>
              <w:pStyle w:val="Tabletext"/>
              <w:spacing w:before="40" w:after="40"/>
              <w:jc w:val="center"/>
            </w:pPr>
            <w:r w:rsidRPr="000C5050">
              <w:t>160</w:t>
            </w:r>
          </w:p>
        </w:tc>
        <w:tc>
          <w:tcPr>
            <w:tcW w:w="992" w:type="dxa"/>
            <w:tcBorders>
              <w:top w:val="single" w:sz="4" w:space="0" w:color="17556C"/>
              <w:left w:val="single" w:sz="4" w:space="0" w:color="17556C"/>
              <w:bottom w:val="single" w:sz="4" w:space="0" w:color="17556C"/>
              <w:right w:val="single" w:sz="4" w:space="0" w:color="17556C"/>
            </w:tcBorders>
            <w:tcMar>
              <w:left w:w="57" w:type="dxa"/>
              <w:right w:w="57" w:type="dxa"/>
            </w:tcMar>
          </w:tcPr>
          <w:p w14:paraId="2B3A644F" w14:textId="77777777" w:rsidR="00293312" w:rsidRPr="000C5050" w:rsidRDefault="00293312" w:rsidP="00E54D8D">
            <w:pPr>
              <w:pStyle w:val="Tabletext"/>
              <w:spacing w:before="40" w:after="40"/>
              <w:jc w:val="center"/>
            </w:pPr>
            <w:r w:rsidRPr="000C5050">
              <w:t>200</w:t>
            </w:r>
          </w:p>
        </w:tc>
        <w:tc>
          <w:tcPr>
            <w:tcW w:w="851" w:type="dxa"/>
            <w:tcBorders>
              <w:top w:val="single" w:sz="4" w:space="0" w:color="17556C"/>
              <w:left w:val="single" w:sz="4" w:space="0" w:color="17556C"/>
              <w:bottom w:val="single" w:sz="4" w:space="0" w:color="17556C"/>
              <w:right w:val="single" w:sz="4" w:space="0" w:color="17556C"/>
            </w:tcBorders>
          </w:tcPr>
          <w:p w14:paraId="7A26E5D0" w14:textId="77777777" w:rsidR="00293312" w:rsidRPr="000C5050" w:rsidRDefault="00293312" w:rsidP="00E54D8D">
            <w:pPr>
              <w:pStyle w:val="Tabletext"/>
              <w:spacing w:before="40" w:after="40"/>
              <w:jc w:val="center"/>
            </w:pPr>
            <w:r w:rsidRPr="000C5050">
              <w:t>7</w:t>
            </w:r>
          </w:p>
        </w:tc>
        <w:tc>
          <w:tcPr>
            <w:tcW w:w="709" w:type="dxa"/>
            <w:gridSpan w:val="2"/>
            <w:tcBorders>
              <w:top w:val="single" w:sz="4" w:space="0" w:color="17556C"/>
              <w:left w:val="single" w:sz="4" w:space="0" w:color="17556C"/>
              <w:bottom w:val="single" w:sz="4" w:space="0" w:color="17556C"/>
              <w:right w:val="single" w:sz="4" w:space="0" w:color="17556C"/>
            </w:tcBorders>
          </w:tcPr>
          <w:p w14:paraId="414B68D4" w14:textId="77777777" w:rsidR="00293312" w:rsidRPr="000C5050" w:rsidRDefault="00293312" w:rsidP="00E54D8D">
            <w:pPr>
              <w:pStyle w:val="Tabletext"/>
              <w:spacing w:before="40" w:after="40"/>
              <w:jc w:val="center"/>
            </w:pPr>
            <w:r w:rsidRPr="000C5050">
              <w:t>45</w:t>
            </w:r>
          </w:p>
        </w:tc>
        <w:tc>
          <w:tcPr>
            <w:tcW w:w="850" w:type="dxa"/>
            <w:tcBorders>
              <w:top w:val="single" w:sz="4" w:space="0" w:color="17556C"/>
              <w:left w:val="single" w:sz="4" w:space="0" w:color="17556C"/>
              <w:bottom w:val="single" w:sz="4" w:space="0" w:color="17556C"/>
              <w:right w:val="single" w:sz="4" w:space="0" w:color="17556C"/>
            </w:tcBorders>
          </w:tcPr>
          <w:p w14:paraId="0501680F" w14:textId="77777777" w:rsidR="00293312" w:rsidRPr="000C5050" w:rsidRDefault="00293312" w:rsidP="00E54D8D">
            <w:pPr>
              <w:pStyle w:val="Tabletext"/>
              <w:spacing w:before="40" w:after="40"/>
              <w:jc w:val="center"/>
            </w:pPr>
            <w:r w:rsidRPr="000C5050">
              <w:t>1.1</w:t>
            </w:r>
          </w:p>
        </w:tc>
        <w:tc>
          <w:tcPr>
            <w:tcW w:w="851" w:type="dxa"/>
            <w:tcBorders>
              <w:top w:val="single" w:sz="4" w:space="0" w:color="17556C"/>
              <w:left w:val="single" w:sz="4" w:space="0" w:color="17556C"/>
              <w:bottom w:val="single" w:sz="4" w:space="0" w:color="17556C"/>
              <w:right w:val="single" w:sz="4" w:space="0" w:color="17556C"/>
            </w:tcBorders>
          </w:tcPr>
          <w:p w14:paraId="2201AF2A" w14:textId="77777777" w:rsidR="00293312" w:rsidRPr="000C5050" w:rsidRDefault="00293312" w:rsidP="00E54D8D">
            <w:pPr>
              <w:pStyle w:val="Tabletext"/>
              <w:spacing w:before="40" w:after="40"/>
              <w:jc w:val="center"/>
            </w:pPr>
            <w:r w:rsidRPr="000C5050">
              <w:t>55</w:t>
            </w:r>
          </w:p>
        </w:tc>
        <w:tc>
          <w:tcPr>
            <w:tcW w:w="850" w:type="dxa"/>
            <w:tcBorders>
              <w:top w:val="single" w:sz="4" w:space="0" w:color="17556C"/>
              <w:left w:val="single" w:sz="4" w:space="0" w:color="17556C"/>
              <w:bottom w:val="single" w:sz="4" w:space="0" w:color="17556C"/>
              <w:right w:val="single" w:sz="4" w:space="0" w:color="17556C"/>
            </w:tcBorders>
          </w:tcPr>
          <w:p w14:paraId="35A99C13" w14:textId="77777777" w:rsidR="00293312" w:rsidRPr="000C5050" w:rsidRDefault="00293312" w:rsidP="00E54D8D">
            <w:pPr>
              <w:pStyle w:val="Tabletext"/>
              <w:spacing w:before="40" w:after="40"/>
              <w:jc w:val="center"/>
            </w:pPr>
            <w:r w:rsidRPr="000C5050">
              <w:t>0.12</w:t>
            </w:r>
          </w:p>
        </w:tc>
        <w:tc>
          <w:tcPr>
            <w:tcW w:w="992" w:type="dxa"/>
            <w:tcBorders>
              <w:top w:val="single" w:sz="4" w:space="0" w:color="17556C"/>
              <w:left w:val="single" w:sz="4" w:space="0" w:color="17556C"/>
              <w:bottom w:val="single" w:sz="4" w:space="0" w:color="17556C"/>
            </w:tcBorders>
          </w:tcPr>
          <w:p w14:paraId="46D5591F" w14:textId="77777777" w:rsidR="00293312" w:rsidRPr="000C5050" w:rsidRDefault="00293312" w:rsidP="00E54D8D">
            <w:pPr>
              <w:pStyle w:val="Tabletext"/>
              <w:spacing w:before="40" w:after="40"/>
              <w:jc w:val="center"/>
            </w:pPr>
            <w:r w:rsidRPr="000C5050">
              <w:t>0.09</w:t>
            </w:r>
          </w:p>
        </w:tc>
      </w:tr>
      <w:tr w:rsidR="00293312" w:rsidRPr="000C5050" w14:paraId="32B725B4" w14:textId="77777777" w:rsidTr="00AF3699">
        <w:trPr>
          <w:cantSplit/>
        </w:trPr>
        <w:tc>
          <w:tcPr>
            <w:tcW w:w="2410" w:type="dxa"/>
            <w:tcBorders>
              <w:top w:val="single" w:sz="4" w:space="0" w:color="17556C"/>
              <w:bottom w:val="single" w:sz="4" w:space="0" w:color="17556C"/>
              <w:right w:val="single" w:sz="4" w:space="0" w:color="17556C"/>
            </w:tcBorders>
            <w:shd w:val="clear" w:color="auto" w:fill="A4BBC4"/>
          </w:tcPr>
          <w:p w14:paraId="116F3042" w14:textId="77777777" w:rsidR="00293312" w:rsidRPr="000C5050" w:rsidRDefault="00293312" w:rsidP="00E54D8D">
            <w:pPr>
              <w:pStyle w:val="Tabletext"/>
              <w:spacing w:before="40" w:after="40"/>
            </w:pPr>
            <w:r w:rsidRPr="000C5050">
              <w:t>Residential 10% produce</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719B061A" w14:textId="77777777" w:rsidR="00293312" w:rsidRPr="000C5050" w:rsidRDefault="00293312" w:rsidP="00E54D8D">
            <w:pPr>
              <w:pStyle w:val="Tabletext"/>
              <w:spacing w:before="40" w:after="40"/>
              <w:jc w:val="center"/>
            </w:pPr>
            <w:r w:rsidRPr="000C5050">
              <w:t>20</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63461824"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1319114C" w14:textId="77777777" w:rsidR="00293312" w:rsidRPr="000C5050" w:rsidRDefault="00293312" w:rsidP="00E54D8D">
            <w:pPr>
              <w:pStyle w:val="Tabletext"/>
              <w:spacing w:before="40" w:after="40"/>
              <w:jc w:val="center"/>
            </w:pPr>
            <w:r w:rsidRPr="000C5050">
              <w:t>3</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43B93985" w14:textId="77777777" w:rsidR="00293312" w:rsidRPr="000C5050" w:rsidRDefault="00293312" w:rsidP="00E54D8D">
            <w:pPr>
              <w:pStyle w:val="Tabletext"/>
              <w:spacing w:before="40" w:after="40"/>
              <w:jc w:val="center"/>
            </w:pPr>
            <w:r w:rsidRPr="000C5050">
              <w:t>NL</w:t>
            </w:r>
          </w:p>
        </w:tc>
        <w:tc>
          <w:tcPr>
            <w:tcW w:w="567"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33E083E6" w14:textId="77777777" w:rsidR="00293312" w:rsidRPr="000C5050" w:rsidRDefault="00293312" w:rsidP="00E54D8D">
            <w:pPr>
              <w:pStyle w:val="Tabletext"/>
              <w:spacing w:before="40" w:after="40"/>
              <w:jc w:val="center"/>
            </w:pPr>
            <w:r w:rsidRPr="000C5050">
              <w:t>460</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4730ED90"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3B169371" w14:textId="77777777" w:rsidR="00293312" w:rsidRPr="000C5050" w:rsidRDefault="00293312" w:rsidP="00E54D8D">
            <w:pPr>
              <w:pStyle w:val="Tabletext"/>
              <w:spacing w:before="40" w:after="40"/>
              <w:jc w:val="center"/>
            </w:pPr>
            <w:r w:rsidRPr="000C5050">
              <w:t>210</w:t>
            </w:r>
          </w:p>
        </w:tc>
        <w:tc>
          <w:tcPr>
            <w:tcW w:w="992"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6C231FA1" w14:textId="77777777" w:rsidR="00293312" w:rsidRPr="000C5050" w:rsidRDefault="00293312" w:rsidP="00E54D8D">
            <w:pPr>
              <w:pStyle w:val="Tabletext"/>
              <w:spacing w:before="40" w:after="40"/>
              <w:jc w:val="center"/>
            </w:pPr>
            <w:r w:rsidRPr="000C5050">
              <w:t>310</w:t>
            </w:r>
          </w:p>
        </w:tc>
        <w:tc>
          <w:tcPr>
            <w:tcW w:w="851" w:type="dxa"/>
            <w:tcBorders>
              <w:top w:val="single" w:sz="4" w:space="0" w:color="17556C"/>
              <w:left w:val="single" w:sz="4" w:space="0" w:color="17556C"/>
              <w:bottom w:val="single" w:sz="4" w:space="0" w:color="17556C"/>
              <w:right w:val="single" w:sz="4" w:space="0" w:color="17556C"/>
            </w:tcBorders>
            <w:shd w:val="clear" w:color="auto" w:fill="A4BBC4"/>
          </w:tcPr>
          <w:p w14:paraId="1A814B91" w14:textId="77777777" w:rsidR="00293312" w:rsidRPr="000C5050" w:rsidRDefault="00293312" w:rsidP="00E54D8D">
            <w:pPr>
              <w:pStyle w:val="Tabletext"/>
              <w:spacing w:before="40" w:after="40"/>
              <w:jc w:val="center"/>
            </w:pPr>
            <w:r w:rsidRPr="000C5050">
              <w:t>10</w:t>
            </w:r>
          </w:p>
        </w:tc>
        <w:tc>
          <w:tcPr>
            <w:tcW w:w="709" w:type="dxa"/>
            <w:gridSpan w:val="2"/>
            <w:tcBorders>
              <w:top w:val="single" w:sz="4" w:space="0" w:color="17556C"/>
              <w:left w:val="single" w:sz="4" w:space="0" w:color="17556C"/>
              <w:bottom w:val="single" w:sz="4" w:space="0" w:color="17556C"/>
              <w:right w:val="single" w:sz="4" w:space="0" w:color="17556C"/>
            </w:tcBorders>
            <w:shd w:val="clear" w:color="auto" w:fill="A4BBC4"/>
          </w:tcPr>
          <w:p w14:paraId="6D3CB8B0" w14:textId="77777777" w:rsidR="00293312" w:rsidRPr="000C5050" w:rsidRDefault="00293312" w:rsidP="00E54D8D">
            <w:pPr>
              <w:pStyle w:val="Tabletext"/>
              <w:spacing w:before="40" w:after="40"/>
              <w:jc w:val="center"/>
            </w:pPr>
            <w:r w:rsidRPr="000C5050">
              <w:t>70</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Pr>
          <w:p w14:paraId="4D862EEC" w14:textId="77777777" w:rsidR="00293312" w:rsidRPr="000C5050" w:rsidRDefault="00293312" w:rsidP="00E54D8D">
            <w:pPr>
              <w:pStyle w:val="Tabletext"/>
              <w:spacing w:before="40" w:after="40"/>
              <w:jc w:val="center"/>
            </w:pPr>
            <w:r w:rsidRPr="000C5050">
              <w:t>2.6</w:t>
            </w:r>
          </w:p>
        </w:tc>
        <w:tc>
          <w:tcPr>
            <w:tcW w:w="851" w:type="dxa"/>
            <w:tcBorders>
              <w:top w:val="single" w:sz="4" w:space="0" w:color="17556C"/>
              <w:left w:val="single" w:sz="4" w:space="0" w:color="17556C"/>
              <w:bottom w:val="single" w:sz="4" w:space="0" w:color="17556C"/>
              <w:right w:val="single" w:sz="4" w:space="0" w:color="17556C"/>
            </w:tcBorders>
            <w:shd w:val="clear" w:color="auto" w:fill="A4BBC4"/>
          </w:tcPr>
          <w:p w14:paraId="2FC2FEA9" w14:textId="77777777" w:rsidR="00293312" w:rsidRPr="000C5050" w:rsidRDefault="00293312" w:rsidP="00E54D8D">
            <w:pPr>
              <w:pStyle w:val="Tabletext"/>
              <w:spacing w:before="40" w:after="40"/>
              <w:jc w:val="center"/>
            </w:pPr>
            <w:r w:rsidRPr="000C5050">
              <w:t>55</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Pr>
          <w:p w14:paraId="66B05496" w14:textId="77777777" w:rsidR="00293312" w:rsidRPr="000C5050" w:rsidRDefault="00293312" w:rsidP="00E54D8D">
            <w:pPr>
              <w:pStyle w:val="Tabletext"/>
              <w:spacing w:before="40" w:after="40"/>
              <w:jc w:val="center"/>
            </w:pPr>
            <w:r w:rsidRPr="000C5050">
              <w:t>0.15</w:t>
            </w:r>
          </w:p>
        </w:tc>
        <w:tc>
          <w:tcPr>
            <w:tcW w:w="992" w:type="dxa"/>
            <w:tcBorders>
              <w:top w:val="single" w:sz="4" w:space="0" w:color="17556C"/>
              <w:left w:val="single" w:sz="4" w:space="0" w:color="17556C"/>
              <w:bottom w:val="single" w:sz="4" w:space="0" w:color="17556C"/>
            </w:tcBorders>
            <w:shd w:val="clear" w:color="auto" w:fill="A4BBC4"/>
          </w:tcPr>
          <w:p w14:paraId="15A9EB5E" w14:textId="77777777" w:rsidR="00293312" w:rsidRPr="000C5050" w:rsidRDefault="00293312" w:rsidP="00E54D8D">
            <w:pPr>
              <w:pStyle w:val="Tabletext"/>
              <w:spacing w:before="40" w:after="40"/>
              <w:jc w:val="center"/>
            </w:pPr>
            <w:r w:rsidRPr="000C5050">
              <w:t>0.12</w:t>
            </w:r>
          </w:p>
        </w:tc>
      </w:tr>
      <w:tr w:rsidR="00293312" w:rsidRPr="000C5050" w14:paraId="4866B244" w14:textId="77777777" w:rsidTr="00165D18">
        <w:trPr>
          <w:cantSplit/>
        </w:trPr>
        <w:tc>
          <w:tcPr>
            <w:tcW w:w="2410" w:type="dxa"/>
            <w:tcBorders>
              <w:top w:val="single" w:sz="4" w:space="0" w:color="17556C"/>
              <w:bottom w:val="single" w:sz="4" w:space="0" w:color="17556C"/>
              <w:right w:val="single" w:sz="4" w:space="0" w:color="17556C"/>
            </w:tcBorders>
          </w:tcPr>
          <w:p w14:paraId="372E38D7" w14:textId="77777777" w:rsidR="00293312" w:rsidRPr="000C5050" w:rsidRDefault="00293312" w:rsidP="00E54D8D">
            <w:pPr>
              <w:pStyle w:val="Tabletext"/>
              <w:spacing w:before="40" w:after="40"/>
            </w:pPr>
            <w:r w:rsidRPr="000C5050">
              <w:t>Residential no produce</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034770C4" w14:textId="77777777" w:rsidR="00293312" w:rsidRPr="000C5050" w:rsidRDefault="00293312" w:rsidP="00E54D8D">
            <w:pPr>
              <w:pStyle w:val="Tabletext"/>
              <w:spacing w:before="40" w:after="40"/>
              <w:jc w:val="center"/>
            </w:pPr>
            <w:r w:rsidRPr="000C5050">
              <w:t>24</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66BDCED1"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tcMar>
              <w:left w:w="57" w:type="dxa"/>
              <w:right w:w="57" w:type="dxa"/>
            </w:tcMar>
          </w:tcPr>
          <w:p w14:paraId="1AB409F0" w14:textId="77777777" w:rsidR="00293312" w:rsidRPr="000C5050" w:rsidRDefault="00293312" w:rsidP="00E54D8D">
            <w:pPr>
              <w:pStyle w:val="Tabletext"/>
              <w:spacing w:before="40" w:after="40"/>
              <w:jc w:val="center"/>
            </w:pPr>
            <w:r w:rsidRPr="000C5050">
              <w:t>110</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07EDF6C9" w14:textId="77777777" w:rsidR="00293312" w:rsidRPr="000C5050" w:rsidRDefault="00293312" w:rsidP="00E54D8D">
            <w:pPr>
              <w:pStyle w:val="Tabletext"/>
              <w:spacing w:before="40" w:after="40"/>
              <w:jc w:val="center"/>
            </w:pPr>
            <w:r w:rsidRPr="000C5050">
              <w:t>NL</w:t>
            </w:r>
          </w:p>
        </w:tc>
        <w:tc>
          <w:tcPr>
            <w:tcW w:w="567" w:type="dxa"/>
            <w:tcBorders>
              <w:top w:val="single" w:sz="4" w:space="0" w:color="17556C"/>
              <w:left w:val="single" w:sz="4" w:space="0" w:color="17556C"/>
              <w:bottom w:val="single" w:sz="4" w:space="0" w:color="17556C"/>
              <w:right w:val="single" w:sz="4" w:space="0" w:color="17556C"/>
            </w:tcBorders>
            <w:tcMar>
              <w:left w:w="57" w:type="dxa"/>
              <w:right w:w="57" w:type="dxa"/>
            </w:tcMar>
          </w:tcPr>
          <w:p w14:paraId="4F213225" w14:textId="77777777" w:rsidR="00293312" w:rsidRPr="000C5050" w:rsidRDefault="00293312" w:rsidP="00E54D8D">
            <w:pPr>
              <w:pStyle w:val="Tabletext"/>
              <w:spacing w:before="40" w:after="40"/>
              <w:jc w:val="center"/>
            </w:pPr>
            <w:r w:rsidRPr="000C5050">
              <w:t>770</w:t>
            </w:r>
          </w:p>
        </w:tc>
        <w:tc>
          <w:tcPr>
            <w:tcW w:w="709" w:type="dxa"/>
            <w:tcBorders>
              <w:top w:val="single" w:sz="4" w:space="0" w:color="17556C"/>
              <w:left w:val="single" w:sz="4" w:space="0" w:color="17556C"/>
              <w:bottom w:val="single" w:sz="4" w:space="0" w:color="17556C"/>
              <w:right w:val="single" w:sz="4" w:space="0" w:color="17556C"/>
            </w:tcBorders>
            <w:tcMar>
              <w:left w:w="57" w:type="dxa"/>
              <w:right w:w="57" w:type="dxa"/>
            </w:tcMar>
          </w:tcPr>
          <w:p w14:paraId="478D86F7"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tcMar>
              <w:left w:w="57" w:type="dxa"/>
              <w:right w:w="57" w:type="dxa"/>
            </w:tcMar>
          </w:tcPr>
          <w:p w14:paraId="1B7F7D30" w14:textId="77777777" w:rsidR="00293312" w:rsidRPr="000C5050" w:rsidRDefault="00293312" w:rsidP="00E54D8D">
            <w:pPr>
              <w:pStyle w:val="Tabletext"/>
              <w:spacing w:before="40" w:after="40"/>
              <w:jc w:val="center"/>
            </w:pPr>
            <w:r w:rsidRPr="000C5050">
              <w:t>250</w:t>
            </w:r>
          </w:p>
        </w:tc>
        <w:tc>
          <w:tcPr>
            <w:tcW w:w="992" w:type="dxa"/>
            <w:tcBorders>
              <w:top w:val="single" w:sz="4" w:space="0" w:color="17556C"/>
              <w:left w:val="single" w:sz="4" w:space="0" w:color="17556C"/>
              <w:bottom w:val="single" w:sz="4" w:space="0" w:color="17556C"/>
              <w:right w:val="single" w:sz="4" w:space="0" w:color="17556C"/>
            </w:tcBorders>
            <w:tcMar>
              <w:left w:w="57" w:type="dxa"/>
              <w:right w:w="57" w:type="dxa"/>
            </w:tcMar>
          </w:tcPr>
          <w:p w14:paraId="04F24A8C" w14:textId="77777777" w:rsidR="00293312" w:rsidRPr="000C5050" w:rsidRDefault="00293312" w:rsidP="00E54D8D">
            <w:pPr>
              <w:pStyle w:val="Tabletext"/>
              <w:spacing w:before="40" w:after="40"/>
              <w:jc w:val="center"/>
            </w:pPr>
            <w:r w:rsidRPr="000C5050">
              <w:t>510</w:t>
            </w:r>
          </w:p>
        </w:tc>
        <w:tc>
          <w:tcPr>
            <w:tcW w:w="851" w:type="dxa"/>
            <w:tcBorders>
              <w:top w:val="single" w:sz="4" w:space="0" w:color="17556C"/>
              <w:left w:val="single" w:sz="4" w:space="0" w:color="17556C"/>
              <w:bottom w:val="single" w:sz="4" w:space="0" w:color="17556C"/>
              <w:right w:val="single" w:sz="4" w:space="0" w:color="17556C"/>
            </w:tcBorders>
          </w:tcPr>
          <w:p w14:paraId="5E22817F" w14:textId="77777777" w:rsidR="00293312" w:rsidRPr="000C5050" w:rsidRDefault="00293312" w:rsidP="00E54D8D">
            <w:pPr>
              <w:pStyle w:val="Tabletext"/>
              <w:spacing w:before="40" w:after="40"/>
              <w:jc w:val="center"/>
            </w:pPr>
            <w:r w:rsidRPr="000C5050">
              <w:t>12</w:t>
            </w:r>
          </w:p>
        </w:tc>
        <w:tc>
          <w:tcPr>
            <w:tcW w:w="709" w:type="dxa"/>
            <w:gridSpan w:val="2"/>
            <w:tcBorders>
              <w:top w:val="single" w:sz="4" w:space="0" w:color="17556C"/>
              <w:left w:val="single" w:sz="4" w:space="0" w:color="17556C"/>
              <w:bottom w:val="single" w:sz="4" w:space="0" w:color="17556C"/>
              <w:right w:val="single" w:sz="4" w:space="0" w:color="17556C"/>
            </w:tcBorders>
          </w:tcPr>
          <w:p w14:paraId="6CCEDE85" w14:textId="77777777" w:rsidR="00293312" w:rsidRPr="000C5050" w:rsidRDefault="00293312" w:rsidP="00E54D8D">
            <w:pPr>
              <w:pStyle w:val="Tabletext"/>
              <w:spacing w:before="40" w:after="40"/>
              <w:jc w:val="center"/>
            </w:pPr>
            <w:r w:rsidRPr="000C5050">
              <w:t>120</w:t>
            </w:r>
          </w:p>
        </w:tc>
        <w:tc>
          <w:tcPr>
            <w:tcW w:w="850" w:type="dxa"/>
            <w:tcBorders>
              <w:top w:val="single" w:sz="4" w:space="0" w:color="17556C"/>
              <w:left w:val="single" w:sz="4" w:space="0" w:color="17556C"/>
              <w:bottom w:val="single" w:sz="4" w:space="0" w:color="17556C"/>
              <w:right w:val="single" w:sz="4" w:space="0" w:color="17556C"/>
            </w:tcBorders>
          </w:tcPr>
          <w:p w14:paraId="573B780B" w14:textId="77777777" w:rsidR="00293312" w:rsidRPr="000C5050" w:rsidRDefault="00293312" w:rsidP="00E54D8D">
            <w:pPr>
              <w:pStyle w:val="Tabletext"/>
              <w:spacing w:before="40" w:after="40"/>
              <w:jc w:val="center"/>
            </w:pPr>
            <w:r w:rsidRPr="000C5050">
              <w:t>22</w:t>
            </w:r>
          </w:p>
        </w:tc>
        <w:tc>
          <w:tcPr>
            <w:tcW w:w="851" w:type="dxa"/>
            <w:tcBorders>
              <w:top w:val="single" w:sz="4" w:space="0" w:color="17556C"/>
              <w:left w:val="single" w:sz="4" w:space="0" w:color="17556C"/>
              <w:bottom w:val="single" w:sz="4" w:space="0" w:color="17556C"/>
              <w:right w:val="single" w:sz="4" w:space="0" w:color="17556C"/>
            </w:tcBorders>
          </w:tcPr>
          <w:p w14:paraId="1F793536" w14:textId="77777777" w:rsidR="00293312" w:rsidRPr="000C5050" w:rsidRDefault="00293312" w:rsidP="00E54D8D">
            <w:pPr>
              <w:pStyle w:val="Tabletext"/>
              <w:spacing w:before="40" w:after="40"/>
              <w:jc w:val="center"/>
            </w:pPr>
            <w:r w:rsidRPr="000C5050">
              <w:t>55</w:t>
            </w:r>
          </w:p>
        </w:tc>
        <w:tc>
          <w:tcPr>
            <w:tcW w:w="850" w:type="dxa"/>
            <w:tcBorders>
              <w:top w:val="single" w:sz="4" w:space="0" w:color="17556C"/>
              <w:left w:val="single" w:sz="4" w:space="0" w:color="17556C"/>
              <w:bottom w:val="single" w:sz="4" w:space="0" w:color="17556C"/>
              <w:right w:val="single" w:sz="4" w:space="0" w:color="17556C"/>
            </w:tcBorders>
          </w:tcPr>
          <w:p w14:paraId="07FB0BB9" w14:textId="77777777" w:rsidR="00293312" w:rsidRPr="000C5050" w:rsidRDefault="00293312" w:rsidP="00E54D8D">
            <w:pPr>
              <w:pStyle w:val="Tabletext"/>
              <w:spacing w:before="40" w:after="40"/>
              <w:jc w:val="center"/>
            </w:pPr>
            <w:r w:rsidRPr="000C5050">
              <w:t>0.18</w:t>
            </w:r>
          </w:p>
        </w:tc>
        <w:tc>
          <w:tcPr>
            <w:tcW w:w="992" w:type="dxa"/>
            <w:tcBorders>
              <w:top w:val="single" w:sz="4" w:space="0" w:color="17556C"/>
              <w:left w:val="single" w:sz="4" w:space="0" w:color="17556C"/>
              <w:bottom w:val="single" w:sz="4" w:space="0" w:color="17556C"/>
            </w:tcBorders>
          </w:tcPr>
          <w:p w14:paraId="44FD670A" w14:textId="77777777" w:rsidR="00293312" w:rsidRPr="000C5050" w:rsidRDefault="00293312" w:rsidP="00E54D8D">
            <w:pPr>
              <w:pStyle w:val="Tabletext"/>
              <w:spacing w:before="40" w:after="40"/>
              <w:jc w:val="center"/>
            </w:pPr>
            <w:r w:rsidRPr="000C5050">
              <w:t>0.16</w:t>
            </w:r>
          </w:p>
        </w:tc>
      </w:tr>
      <w:tr w:rsidR="00293312" w:rsidRPr="000C5050" w14:paraId="25295A38" w14:textId="77777777" w:rsidTr="00AF3699">
        <w:trPr>
          <w:cantSplit/>
        </w:trPr>
        <w:tc>
          <w:tcPr>
            <w:tcW w:w="2410" w:type="dxa"/>
            <w:tcBorders>
              <w:top w:val="single" w:sz="4" w:space="0" w:color="17556C"/>
              <w:bottom w:val="single" w:sz="4" w:space="0" w:color="17556C"/>
              <w:right w:val="single" w:sz="4" w:space="0" w:color="17556C"/>
            </w:tcBorders>
            <w:shd w:val="clear" w:color="auto" w:fill="F2F2F2" w:themeFill="background1" w:themeFillShade="F2"/>
          </w:tcPr>
          <w:p w14:paraId="26D1A70F" w14:textId="77777777" w:rsidR="00293312" w:rsidRPr="000C5050" w:rsidRDefault="00293312" w:rsidP="00E54D8D">
            <w:pPr>
              <w:pStyle w:val="Tabletext"/>
              <w:spacing w:before="40" w:after="40"/>
              <w:rPr>
                <w:color w:val="0070C0"/>
              </w:rPr>
            </w:pPr>
            <w:r w:rsidRPr="000C5050">
              <w:rPr>
                <w:color w:val="0070C0"/>
              </w:rPr>
              <w:t>Residential w/ TOSMP (no produce + reduced soil ingestion)</w:t>
            </w:r>
          </w:p>
        </w:tc>
        <w:tc>
          <w:tcPr>
            <w:tcW w:w="709"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5402A172" w14:textId="77777777" w:rsidR="00293312" w:rsidRPr="000C5050" w:rsidRDefault="00293312" w:rsidP="00E54D8D">
            <w:pPr>
              <w:pStyle w:val="Tabletext"/>
              <w:spacing w:before="40" w:after="40"/>
              <w:jc w:val="center"/>
              <w:rPr>
                <w:color w:val="0070C0"/>
              </w:rPr>
            </w:pPr>
            <w:r w:rsidRPr="000C5050">
              <w:rPr>
                <w:color w:val="0070C0"/>
              </w:rPr>
              <w:t>47</w:t>
            </w:r>
          </w:p>
        </w:tc>
        <w:tc>
          <w:tcPr>
            <w:tcW w:w="709"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03F878B2" w14:textId="77777777" w:rsidR="00293312" w:rsidRPr="000C5050" w:rsidRDefault="00293312" w:rsidP="00E54D8D">
            <w:pPr>
              <w:pStyle w:val="Tabletext"/>
              <w:spacing w:before="40" w:after="40"/>
              <w:jc w:val="center"/>
              <w:rPr>
                <w:color w:val="0070C0"/>
              </w:rPr>
            </w:pPr>
            <w:r w:rsidRPr="000C5050">
              <w:rPr>
                <w:color w:val="0070C0"/>
              </w:rPr>
              <w:t>NL</w:t>
            </w:r>
          </w:p>
        </w:tc>
        <w:tc>
          <w:tcPr>
            <w:tcW w:w="850"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6E3AF5D1" w14:textId="77777777" w:rsidR="00293312" w:rsidRPr="000C5050" w:rsidRDefault="00293312" w:rsidP="00E54D8D">
            <w:pPr>
              <w:pStyle w:val="Tabletext"/>
              <w:spacing w:before="40" w:after="40"/>
              <w:jc w:val="center"/>
              <w:rPr>
                <w:color w:val="0070C0"/>
              </w:rPr>
            </w:pPr>
            <w:r w:rsidRPr="000C5050">
              <w:rPr>
                <w:color w:val="0070C0"/>
              </w:rPr>
              <w:t>230</w:t>
            </w:r>
          </w:p>
        </w:tc>
        <w:tc>
          <w:tcPr>
            <w:tcW w:w="709"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66F532C2" w14:textId="77777777" w:rsidR="00293312" w:rsidRPr="000C5050" w:rsidRDefault="00293312" w:rsidP="00E54D8D">
            <w:pPr>
              <w:pStyle w:val="Tabletext"/>
              <w:spacing w:before="40" w:after="40"/>
              <w:jc w:val="center"/>
              <w:rPr>
                <w:color w:val="0070C0"/>
              </w:rPr>
            </w:pPr>
            <w:r w:rsidRPr="000C5050">
              <w:rPr>
                <w:color w:val="0070C0"/>
              </w:rPr>
              <w:t>NL</w:t>
            </w:r>
          </w:p>
        </w:tc>
        <w:tc>
          <w:tcPr>
            <w:tcW w:w="567"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67A9229A" w14:textId="77777777" w:rsidR="00293312" w:rsidRPr="000C5050" w:rsidRDefault="00293312" w:rsidP="00E54D8D">
            <w:pPr>
              <w:pStyle w:val="Tabletext"/>
              <w:spacing w:before="40" w:after="40"/>
              <w:jc w:val="center"/>
              <w:rPr>
                <w:color w:val="0070C0"/>
              </w:rPr>
            </w:pPr>
            <w:r w:rsidRPr="000C5050">
              <w:rPr>
                <w:color w:val="0070C0"/>
              </w:rPr>
              <w:t>1500</w:t>
            </w:r>
          </w:p>
        </w:tc>
        <w:tc>
          <w:tcPr>
            <w:tcW w:w="709"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5EA15DE3" w14:textId="77777777" w:rsidR="00293312" w:rsidRPr="000C5050" w:rsidRDefault="00293312" w:rsidP="00E54D8D">
            <w:pPr>
              <w:pStyle w:val="Tabletext"/>
              <w:spacing w:before="40" w:after="40"/>
              <w:jc w:val="center"/>
              <w:rPr>
                <w:color w:val="0070C0"/>
              </w:rPr>
            </w:pPr>
            <w:r w:rsidRPr="000C5050">
              <w:rPr>
                <w:color w:val="0070C0"/>
              </w:rPr>
              <w:t>NL</w:t>
            </w:r>
          </w:p>
        </w:tc>
        <w:tc>
          <w:tcPr>
            <w:tcW w:w="850"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6F9BB58A" w14:textId="77777777" w:rsidR="00293312" w:rsidRPr="000C5050" w:rsidRDefault="00293312" w:rsidP="00E54D8D">
            <w:pPr>
              <w:pStyle w:val="Tabletext"/>
              <w:spacing w:before="40" w:after="40"/>
              <w:jc w:val="center"/>
              <w:rPr>
                <w:color w:val="0070C0"/>
              </w:rPr>
            </w:pPr>
            <w:r w:rsidRPr="000C5050">
              <w:rPr>
                <w:color w:val="0070C0"/>
              </w:rPr>
              <w:t>500</w:t>
            </w:r>
          </w:p>
        </w:tc>
        <w:tc>
          <w:tcPr>
            <w:tcW w:w="992"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Mar>
              <w:left w:w="57" w:type="dxa"/>
              <w:right w:w="57" w:type="dxa"/>
            </w:tcMar>
          </w:tcPr>
          <w:p w14:paraId="43905470" w14:textId="77777777" w:rsidR="00293312" w:rsidRPr="000C5050" w:rsidRDefault="00293312" w:rsidP="00E54D8D">
            <w:pPr>
              <w:pStyle w:val="Tabletext"/>
              <w:spacing w:before="40" w:after="40"/>
              <w:jc w:val="center"/>
              <w:rPr>
                <w:color w:val="0070C0"/>
              </w:rPr>
            </w:pPr>
            <w:r w:rsidRPr="000C5050">
              <w:rPr>
                <w:color w:val="0070C0"/>
              </w:rPr>
              <w:t>1000</w:t>
            </w:r>
          </w:p>
        </w:tc>
        <w:tc>
          <w:tcPr>
            <w:tcW w:w="851"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Pr>
          <w:p w14:paraId="13041658" w14:textId="77777777" w:rsidR="00293312" w:rsidRPr="000C5050" w:rsidRDefault="00293312" w:rsidP="00E54D8D">
            <w:pPr>
              <w:pStyle w:val="Tabletext"/>
              <w:spacing w:before="40" w:after="40"/>
              <w:jc w:val="center"/>
              <w:rPr>
                <w:color w:val="0070C0"/>
              </w:rPr>
            </w:pPr>
            <w:r w:rsidRPr="000C5050">
              <w:rPr>
                <w:color w:val="0070C0"/>
              </w:rPr>
              <w:t>22</w:t>
            </w:r>
          </w:p>
        </w:tc>
        <w:tc>
          <w:tcPr>
            <w:tcW w:w="709" w:type="dxa"/>
            <w:gridSpan w:val="2"/>
            <w:tcBorders>
              <w:top w:val="single" w:sz="4" w:space="0" w:color="17556C"/>
              <w:left w:val="single" w:sz="4" w:space="0" w:color="17556C"/>
              <w:bottom w:val="single" w:sz="4" w:space="0" w:color="17556C"/>
              <w:right w:val="single" w:sz="4" w:space="0" w:color="17556C"/>
            </w:tcBorders>
            <w:shd w:val="clear" w:color="auto" w:fill="F2F2F2" w:themeFill="background1" w:themeFillShade="F2"/>
          </w:tcPr>
          <w:p w14:paraId="1ED9F6A7" w14:textId="77777777" w:rsidR="00293312" w:rsidRPr="000C5050" w:rsidRDefault="00293312" w:rsidP="00E54D8D">
            <w:pPr>
              <w:pStyle w:val="Tabletext"/>
              <w:spacing w:before="40" w:after="40"/>
              <w:jc w:val="center"/>
              <w:rPr>
                <w:color w:val="0070C0"/>
              </w:rPr>
            </w:pPr>
            <w:r w:rsidRPr="000C5050">
              <w:rPr>
                <w:color w:val="0070C0"/>
              </w:rPr>
              <w:t>230</w:t>
            </w:r>
          </w:p>
        </w:tc>
        <w:tc>
          <w:tcPr>
            <w:tcW w:w="850"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Pr>
          <w:p w14:paraId="2AD81F7D" w14:textId="77777777" w:rsidR="00293312" w:rsidRPr="000C5050" w:rsidRDefault="00293312" w:rsidP="00E54D8D">
            <w:pPr>
              <w:pStyle w:val="Tabletext"/>
              <w:spacing w:before="40" w:after="40"/>
              <w:jc w:val="center"/>
              <w:rPr>
                <w:color w:val="0070C0"/>
              </w:rPr>
            </w:pPr>
            <w:r w:rsidRPr="000C5050">
              <w:rPr>
                <w:color w:val="0070C0"/>
              </w:rPr>
              <w:t>40</w:t>
            </w:r>
          </w:p>
        </w:tc>
        <w:tc>
          <w:tcPr>
            <w:tcW w:w="851"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Pr>
          <w:p w14:paraId="403CC871" w14:textId="77777777" w:rsidR="00293312" w:rsidRPr="000C5050" w:rsidRDefault="00293312" w:rsidP="00E54D8D">
            <w:pPr>
              <w:pStyle w:val="Tabletext"/>
              <w:spacing w:before="40" w:after="40"/>
              <w:jc w:val="center"/>
              <w:rPr>
                <w:color w:val="0070C0"/>
              </w:rPr>
            </w:pPr>
            <w:r w:rsidRPr="000C5050">
              <w:rPr>
                <w:color w:val="0070C0"/>
              </w:rPr>
              <w:t>88</w:t>
            </w:r>
          </w:p>
        </w:tc>
        <w:tc>
          <w:tcPr>
            <w:tcW w:w="850" w:type="dxa"/>
            <w:tcBorders>
              <w:top w:val="single" w:sz="4" w:space="0" w:color="17556C"/>
              <w:left w:val="single" w:sz="4" w:space="0" w:color="17556C"/>
              <w:bottom w:val="single" w:sz="4" w:space="0" w:color="17556C"/>
              <w:right w:val="single" w:sz="4" w:space="0" w:color="17556C"/>
            </w:tcBorders>
            <w:shd w:val="clear" w:color="auto" w:fill="F2F2F2" w:themeFill="background1" w:themeFillShade="F2"/>
          </w:tcPr>
          <w:p w14:paraId="76E25C35" w14:textId="77777777" w:rsidR="00293312" w:rsidRPr="000C5050" w:rsidRDefault="00293312" w:rsidP="00E54D8D">
            <w:pPr>
              <w:pStyle w:val="Tabletext"/>
              <w:spacing w:before="40" w:after="40"/>
              <w:jc w:val="center"/>
              <w:rPr>
                <w:color w:val="0070C0"/>
              </w:rPr>
            </w:pPr>
            <w:r w:rsidRPr="000C5050">
              <w:rPr>
                <w:color w:val="0070C0"/>
              </w:rPr>
              <w:t>0.34</w:t>
            </w:r>
          </w:p>
        </w:tc>
        <w:tc>
          <w:tcPr>
            <w:tcW w:w="992" w:type="dxa"/>
            <w:tcBorders>
              <w:top w:val="single" w:sz="4" w:space="0" w:color="17556C"/>
              <w:left w:val="single" w:sz="4" w:space="0" w:color="17556C"/>
              <w:bottom w:val="single" w:sz="4" w:space="0" w:color="17556C"/>
            </w:tcBorders>
            <w:shd w:val="clear" w:color="auto" w:fill="F2F2F2" w:themeFill="background1" w:themeFillShade="F2"/>
          </w:tcPr>
          <w:p w14:paraId="64F85031" w14:textId="77777777" w:rsidR="00293312" w:rsidRPr="000C5050" w:rsidRDefault="00293312" w:rsidP="00E54D8D">
            <w:pPr>
              <w:pStyle w:val="Tabletext"/>
              <w:spacing w:before="40" w:after="40"/>
              <w:jc w:val="center"/>
              <w:rPr>
                <w:color w:val="0070C0"/>
              </w:rPr>
            </w:pPr>
            <w:r w:rsidRPr="000C5050">
              <w:rPr>
                <w:color w:val="0070C0"/>
              </w:rPr>
              <w:t>0.30</w:t>
            </w:r>
          </w:p>
        </w:tc>
      </w:tr>
      <w:tr w:rsidR="00293312" w:rsidRPr="000C5050" w14:paraId="1CD32502" w14:textId="77777777" w:rsidTr="00AF3699">
        <w:trPr>
          <w:cantSplit/>
        </w:trPr>
        <w:tc>
          <w:tcPr>
            <w:tcW w:w="2410" w:type="dxa"/>
            <w:tcBorders>
              <w:top w:val="single" w:sz="4" w:space="0" w:color="17556C"/>
              <w:bottom w:val="single" w:sz="4" w:space="0" w:color="17556C"/>
              <w:right w:val="single" w:sz="4" w:space="0" w:color="17556C"/>
            </w:tcBorders>
            <w:shd w:val="clear" w:color="auto" w:fill="A4BBC4"/>
          </w:tcPr>
          <w:p w14:paraId="3E76D7D5" w14:textId="77777777" w:rsidR="00293312" w:rsidRPr="000C5050" w:rsidRDefault="00293312" w:rsidP="00E54D8D">
            <w:pPr>
              <w:pStyle w:val="Tabletext"/>
              <w:spacing w:before="40" w:after="40"/>
            </w:pPr>
            <w:r w:rsidRPr="000C5050">
              <w:t>High-density residential</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7042D6C6" w14:textId="77777777" w:rsidR="00293312" w:rsidRPr="000C5050" w:rsidRDefault="00293312" w:rsidP="00E54D8D">
            <w:pPr>
              <w:pStyle w:val="Tabletext"/>
              <w:spacing w:before="40" w:after="40"/>
              <w:jc w:val="center"/>
            </w:pPr>
            <w:r w:rsidRPr="000C5050">
              <w:t>45</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4F36664F"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74FFD29E" w14:textId="77777777" w:rsidR="00293312" w:rsidRPr="000C5050" w:rsidRDefault="00293312" w:rsidP="00E54D8D">
            <w:pPr>
              <w:pStyle w:val="Tabletext"/>
              <w:spacing w:before="40" w:after="40"/>
              <w:jc w:val="center"/>
            </w:pPr>
            <w:r w:rsidRPr="000C5050">
              <w:t>230</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153FE326" w14:textId="77777777" w:rsidR="00293312" w:rsidRPr="000C5050" w:rsidRDefault="00293312" w:rsidP="00E54D8D">
            <w:pPr>
              <w:pStyle w:val="Tabletext"/>
              <w:spacing w:before="40" w:after="40"/>
              <w:jc w:val="center"/>
            </w:pPr>
            <w:r w:rsidRPr="000C5050">
              <w:t>NL</w:t>
            </w:r>
          </w:p>
        </w:tc>
        <w:tc>
          <w:tcPr>
            <w:tcW w:w="567"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4EF9E413" w14:textId="77777777" w:rsidR="00293312" w:rsidRPr="000C5050" w:rsidRDefault="00293312" w:rsidP="00E54D8D">
            <w:pPr>
              <w:pStyle w:val="Tabletext"/>
              <w:spacing w:before="40" w:after="40"/>
              <w:jc w:val="center"/>
            </w:pPr>
            <w:r w:rsidRPr="000C5050">
              <w:t>1,500</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63AF7A60"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5DF6AE08" w14:textId="77777777" w:rsidR="00293312" w:rsidRPr="000C5050" w:rsidRDefault="00293312" w:rsidP="00E54D8D">
            <w:pPr>
              <w:pStyle w:val="Tabletext"/>
              <w:spacing w:before="40" w:after="40"/>
              <w:jc w:val="center"/>
            </w:pPr>
            <w:r w:rsidRPr="000C5050">
              <w:t>500</w:t>
            </w:r>
          </w:p>
        </w:tc>
        <w:tc>
          <w:tcPr>
            <w:tcW w:w="992"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5B7F5E18" w14:textId="77777777" w:rsidR="00293312" w:rsidRPr="000C5050" w:rsidRDefault="00293312" w:rsidP="00E54D8D">
            <w:pPr>
              <w:pStyle w:val="Tabletext"/>
              <w:spacing w:before="40" w:after="40"/>
              <w:jc w:val="center"/>
            </w:pPr>
            <w:r w:rsidRPr="000C5050">
              <w:t>1,000</w:t>
            </w:r>
          </w:p>
        </w:tc>
        <w:tc>
          <w:tcPr>
            <w:tcW w:w="851" w:type="dxa"/>
            <w:tcBorders>
              <w:top w:val="single" w:sz="4" w:space="0" w:color="17556C"/>
              <w:left w:val="single" w:sz="4" w:space="0" w:color="17556C"/>
              <w:bottom w:val="single" w:sz="4" w:space="0" w:color="17556C"/>
              <w:right w:val="single" w:sz="4" w:space="0" w:color="17556C"/>
            </w:tcBorders>
            <w:shd w:val="clear" w:color="auto" w:fill="A4BBC4"/>
          </w:tcPr>
          <w:p w14:paraId="40499BDB" w14:textId="77777777" w:rsidR="00293312" w:rsidRPr="000C5050" w:rsidRDefault="00293312" w:rsidP="00E54D8D">
            <w:pPr>
              <w:pStyle w:val="Tabletext"/>
              <w:spacing w:before="40" w:after="40"/>
              <w:jc w:val="center"/>
            </w:pPr>
            <w:r w:rsidRPr="000C5050">
              <w:t>24</w:t>
            </w:r>
          </w:p>
        </w:tc>
        <w:tc>
          <w:tcPr>
            <w:tcW w:w="709" w:type="dxa"/>
            <w:gridSpan w:val="2"/>
            <w:tcBorders>
              <w:top w:val="single" w:sz="4" w:space="0" w:color="17556C"/>
              <w:left w:val="single" w:sz="4" w:space="0" w:color="17556C"/>
              <w:bottom w:val="single" w:sz="4" w:space="0" w:color="17556C"/>
              <w:right w:val="single" w:sz="4" w:space="0" w:color="17556C"/>
            </w:tcBorders>
            <w:shd w:val="clear" w:color="auto" w:fill="A4BBC4"/>
          </w:tcPr>
          <w:p w14:paraId="62ECF1EE" w14:textId="77777777" w:rsidR="00293312" w:rsidRPr="000C5050" w:rsidRDefault="00293312" w:rsidP="00E54D8D">
            <w:pPr>
              <w:pStyle w:val="Tabletext"/>
              <w:spacing w:before="40" w:after="40"/>
              <w:jc w:val="center"/>
            </w:pPr>
            <w:r w:rsidRPr="000C5050">
              <w:t>240</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Pr>
          <w:p w14:paraId="370A1B57" w14:textId="77777777" w:rsidR="00293312" w:rsidRPr="000C5050" w:rsidRDefault="00293312" w:rsidP="00E54D8D">
            <w:pPr>
              <w:pStyle w:val="Tabletext"/>
              <w:spacing w:before="40" w:after="40"/>
              <w:jc w:val="center"/>
            </w:pPr>
            <w:r w:rsidRPr="000C5050">
              <w:t>45</w:t>
            </w:r>
          </w:p>
        </w:tc>
        <w:tc>
          <w:tcPr>
            <w:tcW w:w="851" w:type="dxa"/>
            <w:tcBorders>
              <w:top w:val="single" w:sz="4" w:space="0" w:color="17556C"/>
              <w:left w:val="single" w:sz="4" w:space="0" w:color="17556C"/>
              <w:bottom w:val="single" w:sz="4" w:space="0" w:color="17556C"/>
              <w:right w:val="single" w:sz="4" w:space="0" w:color="17556C"/>
            </w:tcBorders>
            <w:shd w:val="clear" w:color="auto" w:fill="A4BBC4"/>
          </w:tcPr>
          <w:p w14:paraId="19C7B751" w14:textId="77777777" w:rsidR="00293312" w:rsidRPr="000C5050" w:rsidRDefault="00293312" w:rsidP="00E54D8D">
            <w:pPr>
              <w:pStyle w:val="Tabletext"/>
              <w:spacing w:before="40" w:after="40"/>
              <w:jc w:val="center"/>
            </w:pPr>
            <w:r w:rsidRPr="000C5050">
              <w:t>110</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Pr>
          <w:p w14:paraId="1DD068AF" w14:textId="77777777" w:rsidR="00293312" w:rsidRPr="000C5050" w:rsidRDefault="00293312" w:rsidP="00E54D8D">
            <w:pPr>
              <w:pStyle w:val="Tabletext"/>
              <w:spacing w:before="40" w:after="40"/>
              <w:jc w:val="center"/>
            </w:pPr>
            <w:r w:rsidRPr="000C5050">
              <w:t>0.35</w:t>
            </w:r>
          </w:p>
        </w:tc>
        <w:tc>
          <w:tcPr>
            <w:tcW w:w="992" w:type="dxa"/>
            <w:tcBorders>
              <w:top w:val="single" w:sz="4" w:space="0" w:color="17556C"/>
              <w:left w:val="single" w:sz="4" w:space="0" w:color="17556C"/>
              <w:bottom w:val="single" w:sz="4" w:space="0" w:color="17556C"/>
            </w:tcBorders>
            <w:shd w:val="clear" w:color="auto" w:fill="A4BBC4"/>
          </w:tcPr>
          <w:p w14:paraId="5F4CB546" w14:textId="77777777" w:rsidR="00293312" w:rsidRPr="000C5050" w:rsidRDefault="00293312" w:rsidP="00E54D8D">
            <w:pPr>
              <w:pStyle w:val="Tabletext"/>
              <w:spacing w:before="40" w:after="40"/>
              <w:jc w:val="center"/>
            </w:pPr>
            <w:r w:rsidRPr="000C5050">
              <w:t>0.33</w:t>
            </w:r>
          </w:p>
        </w:tc>
      </w:tr>
      <w:tr w:rsidR="00293312" w:rsidRPr="000C5050" w14:paraId="6A58AFD5" w14:textId="77777777" w:rsidTr="00AF3699">
        <w:trPr>
          <w:cantSplit/>
        </w:trPr>
        <w:tc>
          <w:tcPr>
            <w:tcW w:w="2410" w:type="dxa"/>
            <w:tcBorders>
              <w:top w:val="single" w:sz="4" w:space="0" w:color="17556C"/>
              <w:bottom w:val="single" w:sz="4" w:space="0" w:color="17556C"/>
              <w:right w:val="single" w:sz="4" w:space="0" w:color="17556C"/>
            </w:tcBorders>
            <w:shd w:val="clear" w:color="auto" w:fill="A4BBC4"/>
          </w:tcPr>
          <w:p w14:paraId="6B3F8AC0" w14:textId="77777777" w:rsidR="00293312" w:rsidRPr="000C5050" w:rsidRDefault="00293312" w:rsidP="00E54D8D">
            <w:pPr>
              <w:pStyle w:val="Tabletext"/>
              <w:spacing w:before="40" w:after="40"/>
            </w:pPr>
            <w:r w:rsidRPr="000C5050">
              <w:t>Recreational</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7FBADD75" w14:textId="77777777" w:rsidR="00293312" w:rsidRPr="000C5050" w:rsidRDefault="00293312" w:rsidP="00E54D8D">
            <w:pPr>
              <w:pStyle w:val="Tabletext"/>
              <w:spacing w:before="40" w:after="40"/>
              <w:jc w:val="center"/>
            </w:pPr>
            <w:r w:rsidRPr="000C5050">
              <w:t>80</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3ECEDF7E"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2160C6B5" w14:textId="77777777" w:rsidR="00293312" w:rsidRPr="000C5050" w:rsidRDefault="00293312" w:rsidP="00E54D8D">
            <w:pPr>
              <w:pStyle w:val="Tabletext"/>
              <w:spacing w:before="40" w:after="40"/>
              <w:jc w:val="center"/>
            </w:pPr>
            <w:r w:rsidRPr="000C5050">
              <w:t>400</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18B3D0BE" w14:textId="77777777" w:rsidR="00293312" w:rsidRPr="000C5050" w:rsidRDefault="00293312" w:rsidP="00E54D8D">
            <w:pPr>
              <w:pStyle w:val="Tabletext"/>
              <w:spacing w:before="40" w:after="40"/>
              <w:jc w:val="center"/>
            </w:pPr>
            <w:r w:rsidRPr="000C5050">
              <w:t>NL</w:t>
            </w:r>
          </w:p>
        </w:tc>
        <w:tc>
          <w:tcPr>
            <w:tcW w:w="567"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455BCB56" w14:textId="77777777" w:rsidR="00293312" w:rsidRPr="000C5050" w:rsidRDefault="00293312" w:rsidP="00E54D8D">
            <w:pPr>
              <w:pStyle w:val="Tabletext"/>
              <w:spacing w:before="40" w:after="40"/>
              <w:jc w:val="center"/>
            </w:pPr>
            <w:r w:rsidRPr="000C5050">
              <w:t>2,700</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6D947290"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72FBF3B9" w14:textId="77777777" w:rsidR="00293312" w:rsidRPr="000C5050" w:rsidRDefault="00293312" w:rsidP="00E54D8D">
            <w:pPr>
              <w:pStyle w:val="Tabletext"/>
              <w:spacing w:before="40" w:after="40"/>
              <w:jc w:val="center"/>
            </w:pPr>
            <w:r w:rsidRPr="000C5050">
              <w:t>880</w:t>
            </w:r>
          </w:p>
        </w:tc>
        <w:tc>
          <w:tcPr>
            <w:tcW w:w="992"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46C1F253" w14:textId="77777777" w:rsidR="00293312" w:rsidRPr="000C5050" w:rsidRDefault="00293312" w:rsidP="00E54D8D">
            <w:pPr>
              <w:pStyle w:val="Tabletext"/>
              <w:spacing w:before="40" w:after="40"/>
              <w:jc w:val="center"/>
            </w:pPr>
            <w:r w:rsidRPr="000C5050">
              <w:t>1,800</w:t>
            </w:r>
          </w:p>
        </w:tc>
        <w:tc>
          <w:tcPr>
            <w:tcW w:w="851" w:type="dxa"/>
            <w:tcBorders>
              <w:top w:val="single" w:sz="4" w:space="0" w:color="17556C"/>
              <w:left w:val="single" w:sz="4" w:space="0" w:color="17556C"/>
              <w:bottom w:val="single" w:sz="4" w:space="0" w:color="17556C"/>
              <w:right w:val="single" w:sz="4" w:space="0" w:color="17556C"/>
            </w:tcBorders>
            <w:shd w:val="clear" w:color="auto" w:fill="A4BBC4"/>
          </w:tcPr>
          <w:p w14:paraId="197A2635" w14:textId="77777777" w:rsidR="00293312" w:rsidRPr="000C5050" w:rsidRDefault="00293312" w:rsidP="00E54D8D">
            <w:pPr>
              <w:pStyle w:val="Tabletext"/>
              <w:spacing w:before="40" w:after="40"/>
              <w:jc w:val="center"/>
            </w:pPr>
            <w:r w:rsidRPr="000C5050">
              <w:t>40</w:t>
            </w:r>
          </w:p>
        </w:tc>
        <w:tc>
          <w:tcPr>
            <w:tcW w:w="709" w:type="dxa"/>
            <w:gridSpan w:val="2"/>
            <w:tcBorders>
              <w:top w:val="single" w:sz="4" w:space="0" w:color="17556C"/>
              <w:left w:val="single" w:sz="4" w:space="0" w:color="17556C"/>
              <w:bottom w:val="single" w:sz="4" w:space="0" w:color="17556C"/>
              <w:right w:val="single" w:sz="4" w:space="0" w:color="17556C"/>
            </w:tcBorders>
            <w:shd w:val="clear" w:color="auto" w:fill="A4BBC4"/>
          </w:tcPr>
          <w:p w14:paraId="7E1880BD" w14:textId="77777777" w:rsidR="00293312" w:rsidRPr="000C5050" w:rsidRDefault="00293312" w:rsidP="00E54D8D">
            <w:pPr>
              <w:pStyle w:val="Tabletext"/>
              <w:spacing w:before="40" w:after="40"/>
              <w:jc w:val="center"/>
            </w:pPr>
            <w:r w:rsidRPr="000C5050">
              <w:t>400</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Pr>
          <w:p w14:paraId="0D0FC96D" w14:textId="77777777" w:rsidR="00293312" w:rsidRPr="000C5050" w:rsidRDefault="00293312" w:rsidP="00E54D8D">
            <w:pPr>
              <w:pStyle w:val="Tabletext"/>
              <w:spacing w:before="40" w:after="40"/>
              <w:jc w:val="center"/>
            </w:pPr>
            <w:r w:rsidRPr="000C5050">
              <w:t>70</w:t>
            </w:r>
          </w:p>
        </w:tc>
        <w:tc>
          <w:tcPr>
            <w:tcW w:w="851" w:type="dxa"/>
            <w:tcBorders>
              <w:top w:val="single" w:sz="4" w:space="0" w:color="17556C"/>
              <w:left w:val="single" w:sz="4" w:space="0" w:color="17556C"/>
              <w:bottom w:val="single" w:sz="4" w:space="0" w:color="17556C"/>
              <w:right w:val="single" w:sz="4" w:space="0" w:color="17556C"/>
            </w:tcBorders>
            <w:shd w:val="clear" w:color="auto" w:fill="A4BBC4"/>
          </w:tcPr>
          <w:p w14:paraId="31AF0A54" w14:textId="77777777" w:rsidR="00293312" w:rsidRPr="000C5050" w:rsidRDefault="00293312" w:rsidP="00E54D8D">
            <w:pPr>
              <w:pStyle w:val="Tabletext"/>
              <w:spacing w:before="40" w:after="40"/>
              <w:jc w:val="center"/>
            </w:pPr>
            <w:r w:rsidRPr="000C5050">
              <w:t>150</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Pr>
          <w:p w14:paraId="232C070B" w14:textId="77777777" w:rsidR="00293312" w:rsidRPr="000C5050" w:rsidRDefault="00293312" w:rsidP="00E54D8D">
            <w:pPr>
              <w:pStyle w:val="Tabletext"/>
              <w:spacing w:before="40" w:after="40"/>
              <w:jc w:val="center"/>
            </w:pPr>
            <w:r w:rsidRPr="000C5050">
              <w:t>0.60</w:t>
            </w:r>
          </w:p>
        </w:tc>
        <w:tc>
          <w:tcPr>
            <w:tcW w:w="992" w:type="dxa"/>
            <w:tcBorders>
              <w:top w:val="single" w:sz="4" w:space="0" w:color="17556C"/>
              <w:left w:val="single" w:sz="4" w:space="0" w:color="17556C"/>
              <w:bottom w:val="single" w:sz="4" w:space="0" w:color="17556C"/>
            </w:tcBorders>
            <w:shd w:val="clear" w:color="auto" w:fill="A4BBC4"/>
          </w:tcPr>
          <w:p w14:paraId="6B16F242" w14:textId="77777777" w:rsidR="00293312" w:rsidRPr="000C5050" w:rsidRDefault="00293312" w:rsidP="00E54D8D">
            <w:pPr>
              <w:pStyle w:val="Tabletext"/>
              <w:spacing w:before="40" w:after="40"/>
              <w:jc w:val="center"/>
            </w:pPr>
            <w:r w:rsidRPr="000C5050">
              <w:t>0.52</w:t>
            </w:r>
          </w:p>
        </w:tc>
      </w:tr>
      <w:tr w:rsidR="00293312" w:rsidRPr="000C5050" w14:paraId="07E07C2B" w14:textId="77777777" w:rsidTr="00AF3699">
        <w:trPr>
          <w:cantSplit/>
        </w:trPr>
        <w:tc>
          <w:tcPr>
            <w:tcW w:w="2410" w:type="dxa"/>
            <w:tcBorders>
              <w:top w:val="single" w:sz="4" w:space="0" w:color="17556C"/>
              <w:bottom w:val="single" w:sz="4" w:space="0" w:color="17556C"/>
              <w:right w:val="single" w:sz="4" w:space="0" w:color="17556C"/>
            </w:tcBorders>
            <w:shd w:val="clear" w:color="auto" w:fill="A4BBC4"/>
          </w:tcPr>
          <w:p w14:paraId="675E60E8" w14:textId="77777777" w:rsidR="00293312" w:rsidRPr="000C5050" w:rsidRDefault="00293312" w:rsidP="00E54D8D">
            <w:pPr>
              <w:pStyle w:val="Tabletext"/>
              <w:spacing w:before="40" w:after="40"/>
            </w:pPr>
            <w:r w:rsidRPr="000C5050">
              <w:t>Commercial/industrial outdoor worker/maintenance</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2AB89F04" w14:textId="77777777" w:rsidR="00293312" w:rsidRPr="000C5050" w:rsidRDefault="00293312" w:rsidP="00E54D8D">
            <w:pPr>
              <w:pStyle w:val="Tabletext"/>
              <w:spacing w:before="40" w:after="40"/>
              <w:jc w:val="center"/>
            </w:pPr>
            <w:r w:rsidRPr="000C5050">
              <w:t>70</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07B9242A"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64AD0C36" w14:textId="77777777" w:rsidR="00293312" w:rsidRPr="000C5050" w:rsidRDefault="00293312" w:rsidP="00E54D8D">
            <w:pPr>
              <w:pStyle w:val="Tabletext"/>
              <w:spacing w:before="40" w:after="40"/>
              <w:jc w:val="center"/>
            </w:pPr>
            <w:r w:rsidRPr="000C5050">
              <w:t>1,300</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5DBA7338" w14:textId="77777777" w:rsidR="00293312" w:rsidRPr="000C5050" w:rsidRDefault="00293312" w:rsidP="00E54D8D">
            <w:pPr>
              <w:pStyle w:val="Tabletext"/>
              <w:spacing w:before="40" w:after="40"/>
              <w:jc w:val="center"/>
            </w:pPr>
            <w:r w:rsidRPr="000C5050">
              <w:t>NL</w:t>
            </w:r>
          </w:p>
        </w:tc>
        <w:tc>
          <w:tcPr>
            <w:tcW w:w="567"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54E311FF" w14:textId="77777777" w:rsidR="00293312" w:rsidRPr="000C5050" w:rsidRDefault="00293312" w:rsidP="00E54D8D">
            <w:pPr>
              <w:pStyle w:val="Tabletext"/>
              <w:spacing w:before="40" w:after="40"/>
              <w:jc w:val="center"/>
            </w:pPr>
            <w:r w:rsidRPr="000C5050">
              <w:t>6,300</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263637A2" w14:textId="77777777" w:rsidR="00293312" w:rsidRPr="000C5050" w:rsidRDefault="00293312" w:rsidP="00E54D8D">
            <w:pPr>
              <w:pStyle w:val="Tabletext"/>
              <w:spacing w:before="40" w:after="40"/>
              <w:jc w:val="center"/>
            </w:pPr>
            <w:r w:rsidRPr="000C5050">
              <w:t>NL</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09010D15" w14:textId="77777777" w:rsidR="00293312" w:rsidRPr="000C5050" w:rsidRDefault="00293312" w:rsidP="00E54D8D">
            <w:pPr>
              <w:pStyle w:val="Tabletext"/>
              <w:spacing w:before="40" w:after="40"/>
              <w:jc w:val="center"/>
            </w:pPr>
            <w:r w:rsidRPr="000C5050">
              <w:t>3,300</w:t>
            </w:r>
          </w:p>
        </w:tc>
        <w:tc>
          <w:tcPr>
            <w:tcW w:w="992"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085FA032" w14:textId="77777777" w:rsidR="00293312" w:rsidRPr="000C5050" w:rsidRDefault="00293312" w:rsidP="00E54D8D">
            <w:pPr>
              <w:pStyle w:val="Tabletext"/>
              <w:spacing w:before="40" w:after="40"/>
              <w:jc w:val="center"/>
            </w:pPr>
            <w:r w:rsidRPr="000C5050">
              <w:t>4,200</w:t>
            </w:r>
          </w:p>
        </w:tc>
        <w:tc>
          <w:tcPr>
            <w:tcW w:w="851" w:type="dxa"/>
            <w:tcBorders>
              <w:top w:val="single" w:sz="4" w:space="0" w:color="17556C"/>
              <w:left w:val="single" w:sz="4" w:space="0" w:color="17556C"/>
              <w:bottom w:val="single" w:sz="4" w:space="0" w:color="17556C"/>
              <w:right w:val="single" w:sz="4" w:space="0" w:color="17556C"/>
            </w:tcBorders>
            <w:shd w:val="clear" w:color="auto" w:fill="A4BBC4"/>
          </w:tcPr>
          <w:p w14:paraId="57914F2B" w14:textId="77777777" w:rsidR="00293312" w:rsidRPr="000C5050" w:rsidRDefault="00293312" w:rsidP="00E54D8D">
            <w:pPr>
              <w:pStyle w:val="Tabletext"/>
              <w:spacing w:before="40" w:after="40"/>
              <w:jc w:val="center"/>
            </w:pPr>
            <w:r w:rsidRPr="000C5050">
              <w:t>35</w:t>
            </w:r>
          </w:p>
        </w:tc>
        <w:tc>
          <w:tcPr>
            <w:tcW w:w="709" w:type="dxa"/>
            <w:gridSpan w:val="2"/>
            <w:tcBorders>
              <w:top w:val="single" w:sz="4" w:space="0" w:color="17556C"/>
              <w:left w:val="single" w:sz="4" w:space="0" w:color="17556C"/>
              <w:bottom w:val="single" w:sz="4" w:space="0" w:color="17556C"/>
              <w:right w:val="single" w:sz="4" w:space="0" w:color="17556C"/>
            </w:tcBorders>
            <w:shd w:val="clear" w:color="auto" w:fill="A4BBC4"/>
          </w:tcPr>
          <w:p w14:paraId="7C96F684" w14:textId="77777777" w:rsidR="00293312" w:rsidRPr="000C5050" w:rsidRDefault="00293312" w:rsidP="00E54D8D">
            <w:pPr>
              <w:pStyle w:val="Tabletext"/>
              <w:spacing w:before="40" w:after="40"/>
              <w:jc w:val="center"/>
            </w:pPr>
            <w:r w:rsidRPr="000C5050">
              <w:t>1,000</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Pr>
          <w:p w14:paraId="467C143F" w14:textId="77777777" w:rsidR="00293312" w:rsidRPr="000C5050" w:rsidRDefault="00293312" w:rsidP="00E54D8D">
            <w:pPr>
              <w:pStyle w:val="Tabletext"/>
              <w:spacing w:before="40" w:after="40"/>
              <w:jc w:val="center"/>
            </w:pPr>
            <w:r w:rsidRPr="000C5050">
              <w:t>160</w:t>
            </w:r>
          </w:p>
        </w:tc>
        <w:tc>
          <w:tcPr>
            <w:tcW w:w="851" w:type="dxa"/>
            <w:tcBorders>
              <w:top w:val="single" w:sz="4" w:space="0" w:color="17556C"/>
              <w:left w:val="single" w:sz="4" w:space="0" w:color="17556C"/>
              <w:bottom w:val="single" w:sz="4" w:space="0" w:color="17556C"/>
              <w:right w:val="single" w:sz="4" w:space="0" w:color="17556C"/>
            </w:tcBorders>
            <w:shd w:val="clear" w:color="auto" w:fill="A4BBC4"/>
          </w:tcPr>
          <w:p w14:paraId="21219D1D" w14:textId="77777777" w:rsidR="00293312" w:rsidRPr="000C5050" w:rsidRDefault="00293312" w:rsidP="00E54D8D">
            <w:pPr>
              <w:pStyle w:val="Tabletext"/>
              <w:spacing w:before="40" w:after="40"/>
              <w:jc w:val="center"/>
            </w:pPr>
            <w:r w:rsidRPr="000C5050">
              <w:t>360</w:t>
            </w:r>
          </w:p>
        </w:tc>
        <w:tc>
          <w:tcPr>
            <w:tcW w:w="850" w:type="dxa"/>
            <w:tcBorders>
              <w:top w:val="single" w:sz="4" w:space="0" w:color="17556C"/>
              <w:left w:val="single" w:sz="4" w:space="0" w:color="17556C"/>
              <w:bottom w:val="single" w:sz="4" w:space="0" w:color="17556C"/>
              <w:right w:val="single" w:sz="4" w:space="0" w:color="17556C"/>
            </w:tcBorders>
            <w:shd w:val="clear" w:color="auto" w:fill="A4BBC4"/>
          </w:tcPr>
          <w:p w14:paraId="21952E6A" w14:textId="77777777" w:rsidR="00293312" w:rsidRPr="000C5050" w:rsidRDefault="00293312" w:rsidP="00E54D8D">
            <w:pPr>
              <w:pStyle w:val="Tabletext"/>
              <w:spacing w:before="40" w:after="40"/>
              <w:jc w:val="center"/>
            </w:pPr>
            <w:r w:rsidRPr="000C5050">
              <w:t>1.4</w:t>
            </w:r>
          </w:p>
        </w:tc>
        <w:tc>
          <w:tcPr>
            <w:tcW w:w="992" w:type="dxa"/>
            <w:tcBorders>
              <w:top w:val="single" w:sz="4" w:space="0" w:color="17556C"/>
              <w:left w:val="single" w:sz="4" w:space="0" w:color="17556C"/>
              <w:bottom w:val="single" w:sz="4" w:space="0" w:color="17556C"/>
            </w:tcBorders>
            <w:shd w:val="clear" w:color="auto" w:fill="A4BBC4"/>
          </w:tcPr>
          <w:p w14:paraId="732259EB" w14:textId="77777777" w:rsidR="00293312" w:rsidRPr="000C5050" w:rsidRDefault="00293312" w:rsidP="00E54D8D">
            <w:pPr>
              <w:pStyle w:val="Tabletext"/>
              <w:spacing w:before="40" w:after="40"/>
              <w:jc w:val="center"/>
            </w:pPr>
            <w:r w:rsidRPr="000C5050">
              <w:t>1.2</w:t>
            </w:r>
          </w:p>
        </w:tc>
      </w:tr>
      <w:tr w:rsidR="00293312" w:rsidRPr="000C5050" w14:paraId="375BDD3D" w14:textId="77777777" w:rsidTr="00155896">
        <w:trPr>
          <w:cantSplit/>
        </w:trPr>
        <w:tc>
          <w:tcPr>
            <w:tcW w:w="13608" w:type="dxa"/>
            <w:gridSpan w:val="16"/>
            <w:tcBorders>
              <w:top w:val="single" w:sz="4" w:space="0" w:color="17556C"/>
              <w:bottom w:val="single" w:sz="4" w:space="0" w:color="17556C"/>
            </w:tcBorders>
            <w:shd w:val="clear" w:color="auto" w:fill="auto"/>
          </w:tcPr>
          <w:p w14:paraId="4A083165" w14:textId="77777777" w:rsidR="00293312" w:rsidRPr="000C5050" w:rsidRDefault="00293312" w:rsidP="00E54D8D">
            <w:pPr>
              <w:pStyle w:val="Tabletext"/>
              <w:spacing w:before="40" w:after="40"/>
            </w:pPr>
            <w:r w:rsidRPr="000C5050">
              <w:t>Key to shading:</w:t>
            </w:r>
          </w:p>
        </w:tc>
      </w:tr>
      <w:tr w:rsidR="00293312" w:rsidRPr="000C5050" w14:paraId="5D008A02" w14:textId="77777777" w:rsidTr="00AF3699">
        <w:trPr>
          <w:cantSplit/>
        </w:trPr>
        <w:tc>
          <w:tcPr>
            <w:tcW w:w="2410" w:type="dxa"/>
            <w:tcBorders>
              <w:top w:val="single" w:sz="4" w:space="0" w:color="17556C"/>
              <w:bottom w:val="single" w:sz="4" w:space="0" w:color="17556C"/>
              <w:right w:val="single" w:sz="4" w:space="0" w:color="17556C"/>
            </w:tcBorders>
            <w:shd w:val="clear" w:color="auto" w:fill="A4BBC4"/>
          </w:tcPr>
          <w:p w14:paraId="5A433610" w14:textId="77777777" w:rsidR="00293312" w:rsidRPr="000C5050" w:rsidRDefault="00293312" w:rsidP="00E54D8D">
            <w:pPr>
              <w:pStyle w:val="Tabletext"/>
              <w:spacing w:before="40" w:after="40"/>
            </w:pPr>
            <w:r w:rsidRPr="000C5050">
              <w:t>SCS</w:t>
            </w: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5F7DF9E6" w14:textId="77777777" w:rsidR="00293312" w:rsidRPr="000C5050" w:rsidRDefault="00293312" w:rsidP="00E54D8D">
            <w:pPr>
              <w:pStyle w:val="Tabletext"/>
              <w:spacing w:before="40" w:after="40"/>
            </w:pP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7EE8D095" w14:textId="77777777" w:rsidR="00293312" w:rsidRPr="000C5050" w:rsidRDefault="00293312" w:rsidP="00E54D8D">
            <w:pPr>
              <w:pStyle w:val="Tabletext"/>
              <w:spacing w:before="40" w:after="40"/>
            </w:pPr>
          </w:p>
        </w:tc>
        <w:tc>
          <w:tcPr>
            <w:tcW w:w="850"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4496D0C6" w14:textId="77777777" w:rsidR="00293312" w:rsidRPr="000C5050" w:rsidRDefault="00293312" w:rsidP="00E54D8D">
            <w:pPr>
              <w:pStyle w:val="Tabletext"/>
              <w:spacing w:before="40" w:after="40"/>
            </w:pP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68D42474" w14:textId="77777777" w:rsidR="00293312" w:rsidRPr="000C5050" w:rsidRDefault="00293312" w:rsidP="00E54D8D">
            <w:pPr>
              <w:pStyle w:val="Tabletext"/>
              <w:spacing w:before="40" w:after="40"/>
            </w:pPr>
          </w:p>
        </w:tc>
        <w:tc>
          <w:tcPr>
            <w:tcW w:w="567"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2D875EE4" w14:textId="77777777" w:rsidR="00293312" w:rsidRPr="000C5050" w:rsidRDefault="00293312" w:rsidP="00E54D8D">
            <w:pPr>
              <w:pStyle w:val="Tabletext"/>
              <w:spacing w:before="40" w:after="40"/>
            </w:pPr>
          </w:p>
        </w:tc>
        <w:tc>
          <w:tcPr>
            <w:tcW w:w="709"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3D50281F" w14:textId="77777777" w:rsidR="00293312" w:rsidRPr="000C5050" w:rsidRDefault="00293312" w:rsidP="00E54D8D">
            <w:pPr>
              <w:pStyle w:val="Tabletext"/>
              <w:spacing w:before="40" w:after="40"/>
            </w:pPr>
          </w:p>
        </w:tc>
        <w:tc>
          <w:tcPr>
            <w:tcW w:w="850"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471FF831" w14:textId="77777777" w:rsidR="00293312" w:rsidRPr="000C5050" w:rsidRDefault="00293312" w:rsidP="00E54D8D">
            <w:pPr>
              <w:pStyle w:val="Tabletext"/>
              <w:spacing w:before="40" w:after="40"/>
            </w:pPr>
          </w:p>
        </w:tc>
        <w:tc>
          <w:tcPr>
            <w:tcW w:w="992" w:type="dxa"/>
            <w:tcBorders>
              <w:top w:val="single" w:sz="4" w:space="0" w:color="17556C"/>
              <w:left w:val="single" w:sz="4" w:space="0" w:color="17556C"/>
              <w:bottom w:val="single" w:sz="4" w:space="0" w:color="17556C"/>
              <w:right w:val="single" w:sz="4" w:space="0" w:color="17556C"/>
            </w:tcBorders>
            <w:shd w:val="clear" w:color="auto" w:fill="A4BBC4"/>
            <w:tcMar>
              <w:left w:w="57" w:type="dxa"/>
              <w:right w:w="57" w:type="dxa"/>
            </w:tcMar>
          </w:tcPr>
          <w:p w14:paraId="30813BDB" w14:textId="77777777" w:rsidR="00293312" w:rsidRPr="000C5050" w:rsidRDefault="00293312" w:rsidP="00E54D8D">
            <w:pPr>
              <w:pStyle w:val="Tabletext"/>
              <w:spacing w:before="40" w:after="40"/>
            </w:pPr>
          </w:p>
        </w:tc>
        <w:tc>
          <w:tcPr>
            <w:tcW w:w="851" w:type="dxa"/>
            <w:tcBorders>
              <w:top w:val="single" w:sz="4" w:space="0" w:color="17556C"/>
              <w:left w:val="single" w:sz="4" w:space="0" w:color="17556C"/>
              <w:bottom w:val="single" w:sz="4" w:space="0" w:color="17556C"/>
              <w:right w:val="single" w:sz="4" w:space="0" w:color="17556C"/>
            </w:tcBorders>
            <w:shd w:val="clear" w:color="auto" w:fill="A4BBC4"/>
          </w:tcPr>
          <w:p w14:paraId="68E2020B" w14:textId="77777777" w:rsidR="00293312" w:rsidRPr="000C5050" w:rsidRDefault="00293312" w:rsidP="00E54D8D">
            <w:pPr>
              <w:pStyle w:val="Tabletext"/>
              <w:spacing w:before="40" w:after="40"/>
            </w:pPr>
          </w:p>
        </w:tc>
        <w:tc>
          <w:tcPr>
            <w:tcW w:w="650" w:type="dxa"/>
            <w:tcBorders>
              <w:top w:val="single" w:sz="4" w:space="0" w:color="17556C"/>
              <w:left w:val="single" w:sz="4" w:space="0" w:color="17556C"/>
              <w:bottom w:val="single" w:sz="4" w:space="0" w:color="17556C"/>
              <w:right w:val="single" w:sz="4" w:space="0" w:color="17556C"/>
            </w:tcBorders>
            <w:shd w:val="clear" w:color="auto" w:fill="A4BBC4"/>
          </w:tcPr>
          <w:p w14:paraId="417556C2" w14:textId="77777777" w:rsidR="00293312" w:rsidRPr="000C5050" w:rsidRDefault="00293312" w:rsidP="00E54D8D">
            <w:pPr>
              <w:pStyle w:val="Tabletext"/>
              <w:spacing w:before="40" w:after="40"/>
            </w:pPr>
          </w:p>
        </w:tc>
        <w:tc>
          <w:tcPr>
            <w:tcW w:w="909" w:type="dxa"/>
            <w:gridSpan w:val="2"/>
            <w:tcBorders>
              <w:top w:val="single" w:sz="4" w:space="0" w:color="17556C"/>
              <w:left w:val="single" w:sz="4" w:space="0" w:color="17556C"/>
              <w:bottom w:val="single" w:sz="4" w:space="0" w:color="17556C"/>
              <w:right w:val="single" w:sz="4" w:space="0" w:color="17556C"/>
            </w:tcBorders>
            <w:shd w:val="clear" w:color="auto" w:fill="A4BBC4"/>
          </w:tcPr>
          <w:p w14:paraId="4D8E267E" w14:textId="77777777" w:rsidR="00293312" w:rsidRPr="000C5050" w:rsidRDefault="00293312" w:rsidP="00E54D8D">
            <w:pPr>
              <w:pStyle w:val="Tabletext"/>
              <w:spacing w:before="40" w:after="40"/>
            </w:pPr>
          </w:p>
        </w:tc>
        <w:tc>
          <w:tcPr>
            <w:tcW w:w="851" w:type="dxa"/>
            <w:tcBorders>
              <w:top w:val="single" w:sz="4" w:space="0" w:color="17556C"/>
              <w:left w:val="single" w:sz="4" w:space="0" w:color="17556C"/>
              <w:bottom w:val="single" w:sz="4" w:space="0" w:color="17556C"/>
              <w:right w:val="single" w:sz="4" w:space="0" w:color="17556C"/>
            </w:tcBorders>
            <w:shd w:val="clear" w:color="auto" w:fill="A4BBC4"/>
          </w:tcPr>
          <w:p w14:paraId="61679DB1" w14:textId="77777777" w:rsidR="00293312" w:rsidRPr="000C5050" w:rsidRDefault="00293312" w:rsidP="00E54D8D">
            <w:pPr>
              <w:pStyle w:val="Tabletext"/>
              <w:spacing w:before="40" w:after="40"/>
            </w:pPr>
          </w:p>
        </w:tc>
        <w:tc>
          <w:tcPr>
            <w:tcW w:w="850" w:type="dxa"/>
            <w:tcBorders>
              <w:top w:val="single" w:sz="4" w:space="0" w:color="17556C"/>
              <w:left w:val="single" w:sz="4" w:space="0" w:color="17556C"/>
              <w:bottom w:val="single" w:sz="4" w:space="0" w:color="17556C"/>
              <w:right w:val="single" w:sz="4" w:space="0" w:color="17556C"/>
            </w:tcBorders>
            <w:shd w:val="clear" w:color="auto" w:fill="A4BBC4"/>
          </w:tcPr>
          <w:p w14:paraId="5F197B0C" w14:textId="77777777" w:rsidR="00293312" w:rsidRPr="000C5050" w:rsidRDefault="00293312" w:rsidP="00E54D8D">
            <w:pPr>
              <w:pStyle w:val="Tabletext"/>
              <w:spacing w:before="40" w:after="40"/>
            </w:pPr>
          </w:p>
        </w:tc>
        <w:tc>
          <w:tcPr>
            <w:tcW w:w="992" w:type="dxa"/>
            <w:tcBorders>
              <w:top w:val="single" w:sz="4" w:space="0" w:color="17556C"/>
              <w:left w:val="single" w:sz="4" w:space="0" w:color="17556C"/>
              <w:bottom w:val="single" w:sz="4" w:space="0" w:color="17556C"/>
            </w:tcBorders>
            <w:shd w:val="clear" w:color="auto" w:fill="A4BBC4"/>
          </w:tcPr>
          <w:p w14:paraId="6F925CD7" w14:textId="77777777" w:rsidR="00293312" w:rsidRPr="000C5050" w:rsidRDefault="00293312" w:rsidP="00E54D8D">
            <w:pPr>
              <w:pStyle w:val="Tabletext"/>
              <w:spacing w:before="40" w:after="40"/>
            </w:pPr>
          </w:p>
        </w:tc>
      </w:tr>
      <w:tr w:rsidR="00293312" w:rsidRPr="000C5050" w14:paraId="066CC390" w14:textId="77777777" w:rsidTr="00165D18">
        <w:trPr>
          <w:cantSplit/>
        </w:trPr>
        <w:tc>
          <w:tcPr>
            <w:tcW w:w="2410" w:type="dxa"/>
            <w:tcBorders>
              <w:top w:val="single" w:sz="4" w:space="0" w:color="17556C"/>
              <w:bottom w:val="single" w:sz="4" w:space="0" w:color="17556C"/>
              <w:right w:val="single" w:sz="4" w:space="0" w:color="17556C"/>
            </w:tcBorders>
            <w:shd w:val="clear" w:color="auto" w:fill="auto"/>
          </w:tcPr>
          <w:p w14:paraId="78BB49C3" w14:textId="77777777" w:rsidR="00293312" w:rsidRPr="000C5050" w:rsidRDefault="00293312" w:rsidP="00E54D8D">
            <w:pPr>
              <w:pStyle w:val="Tabletext"/>
              <w:spacing w:before="40" w:after="40"/>
            </w:pPr>
            <w:r w:rsidRPr="000C5050">
              <w:t xml:space="preserve">SGV </w:t>
            </w:r>
          </w:p>
        </w:tc>
        <w:tc>
          <w:tcPr>
            <w:tcW w:w="709" w:type="dxa"/>
            <w:tcBorders>
              <w:top w:val="single" w:sz="4" w:space="0" w:color="17556C"/>
              <w:left w:val="single" w:sz="4" w:space="0" w:color="17556C"/>
              <w:bottom w:val="single" w:sz="4" w:space="0" w:color="17556C"/>
              <w:right w:val="single" w:sz="4" w:space="0" w:color="17556C"/>
            </w:tcBorders>
            <w:shd w:val="clear" w:color="auto" w:fill="auto"/>
            <w:tcMar>
              <w:left w:w="57" w:type="dxa"/>
              <w:right w:w="57" w:type="dxa"/>
            </w:tcMar>
          </w:tcPr>
          <w:p w14:paraId="4409B247" w14:textId="77777777" w:rsidR="00293312" w:rsidRPr="000C5050" w:rsidRDefault="00293312" w:rsidP="00E54D8D">
            <w:pPr>
              <w:pStyle w:val="Tabletext"/>
              <w:spacing w:before="40" w:after="40"/>
            </w:pPr>
          </w:p>
        </w:tc>
        <w:tc>
          <w:tcPr>
            <w:tcW w:w="709" w:type="dxa"/>
            <w:tcBorders>
              <w:top w:val="single" w:sz="4" w:space="0" w:color="17556C"/>
              <w:left w:val="single" w:sz="4" w:space="0" w:color="17556C"/>
              <w:bottom w:val="single" w:sz="4" w:space="0" w:color="17556C"/>
              <w:right w:val="single" w:sz="4" w:space="0" w:color="17556C"/>
            </w:tcBorders>
            <w:shd w:val="clear" w:color="auto" w:fill="auto"/>
            <w:tcMar>
              <w:left w:w="57" w:type="dxa"/>
              <w:right w:w="57" w:type="dxa"/>
            </w:tcMar>
          </w:tcPr>
          <w:p w14:paraId="4309321F" w14:textId="77777777" w:rsidR="00293312" w:rsidRPr="000C5050" w:rsidRDefault="00293312" w:rsidP="00E54D8D">
            <w:pPr>
              <w:pStyle w:val="Tabletext"/>
              <w:spacing w:before="40" w:after="40"/>
            </w:pPr>
          </w:p>
        </w:tc>
        <w:tc>
          <w:tcPr>
            <w:tcW w:w="850" w:type="dxa"/>
            <w:tcBorders>
              <w:top w:val="single" w:sz="4" w:space="0" w:color="17556C"/>
              <w:left w:val="single" w:sz="4" w:space="0" w:color="17556C"/>
              <w:bottom w:val="single" w:sz="4" w:space="0" w:color="17556C"/>
              <w:right w:val="single" w:sz="4" w:space="0" w:color="17556C"/>
            </w:tcBorders>
            <w:shd w:val="clear" w:color="auto" w:fill="auto"/>
            <w:tcMar>
              <w:left w:w="57" w:type="dxa"/>
              <w:right w:w="57" w:type="dxa"/>
            </w:tcMar>
          </w:tcPr>
          <w:p w14:paraId="52D4B16B" w14:textId="77777777" w:rsidR="00293312" w:rsidRPr="000C5050" w:rsidRDefault="00293312" w:rsidP="00E54D8D">
            <w:pPr>
              <w:pStyle w:val="Tabletext"/>
              <w:spacing w:before="40" w:after="40"/>
            </w:pPr>
          </w:p>
        </w:tc>
        <w:tc>
          <w:tcPr>
            <w:tcW w:w="709" w:type="dxa"/>
            <w:tcBorders>
              <w:top w:val="single" w:sz="4" w:space="0" w:color="17556C"/>
              <w:left w:val="single" w:sz="4" w:space="0" w:color="17556C"/>
              <w:bottom w:val="single" w:sz="4" w:space="0" w:color="17556C"/>
              <w:right w:val="single" w:sz="4" w:space="0" w:color="17556C"/>
            </w:tcBorders>
            <w:shd w:val="clear" w:color="auto" w:fill="auto"/>
            <w:tcMar>
              <w:left w:w="57" w:type="dxa"/>
              <w:right w:w="57" w:type="dxa"/>
            </w:tcMar>
          </w:tcPr>
          <w:p w14:paraId="44A72DC3" w14:textId="77777777" w:rsidR="00293312" w:rsidRPr="000C5050" w:rsidRDefault="00293312" w:rsidP="00E54D8D">
            <w:pPr>
              <w:pStyle w:val="Tabletext"/>
              <w:spacing w:before="40" w:after="40"/>
            </w:pPr>
          </w:p>
        </w:tc>
        <w:tc>
          <w:tcPr>
            <w:tcW w:w="567" w:type="dxa"/>
            <w:tcBorders>
              <w:top w:val="single" w:sz="4" w:space="0" w:color="17556C"/>
              <w:left w:val="single" w:sz="4" w:space="0" w:color="17556C"/>
              <w:bottom w:val="single" w:sz="4" w:space="0" w:color="17556C"/>
              <w:right w:val="single" w:sz="4" w:space="0" w:color="17556C"/>
            </w:tcBorders>
            <w:shd w:val="clear" w:color="auto" w:fill="auto"/>
            <w:tcMar>
              <w:left w:w="57" w:type="dxa"/>
              <w:right w:w="57" w:type="dxa"/>
            </w:tcMar>
          </w:tcPr>
          <w:p w14:paraId="5C936E26" w14:textId="77777777" w:rsidR="00293312" w:rsidRPr="000C5050" w:rsidRDefault="00293312" w:rsidP="00E54D8D">
            <w:pPr>
              <w:pStyle w:val="Tabletext"/>
              <w:spacing w:before="40" w:after="40"/>
            </w:pPr>
          </w:p>
        </w:tc>
        <w:tc>
          <w:tcPr>
            <w:tcW w:w="709" w:type="dxa"/>
            <w:tcBorders>
              <w:top w:val="single" w:sz="4" w:space="0" w:color="17556C"/>
              <w:left w:val="single" w:sz="4" w:space="0" w:color="17556C"/>
              <w:bottom w:val="single" w:sz="4" w:space="0" w:color="17556C"/>
              <w:right w:val="single" w:sz="4" w:space="0" w:color="17556C"/>
            </w:tcBorders>
            <w:shd w:val="clear" w:color="auto" w:fill="auto"/>
            <w:tcMar>
              <w:left w:w="57" w:type="dxa"/>
              <w:right w:w="57" w:type="dxa"/>
            </w:tcMar>
          </w:tcPr>
          <w:p w14:paraId="1EF59F9E" w14:textId="77777777" w:rsidR="00293312" w:rsidRPr="000C5050" w:rsidRDefault="00293312" w:rsidP="00E54D8D">
            <w:pPr>
              <w:pStyle w:val="Tabletext"/>
              <w:spacing w:before="40" w:after="40"/>
            </w:pPr>
          </w:p>
        </w:tc>
        <w:tc>
          <w:tcPr>
            <w:tcW w:w="850" w:type="dxa"/>
            <w:tcBorders>
              <w:top w:val="single" w:sz="4" w:space="0" w:color="17556C"/>
              <w:left w:val="single" w:sz="4" w:space="0" w:color="17556C"/>
              <w:bottom w:val="single" w:sz="4" w:space="0" w:color="17556C"/>
              <w:right w:val="single" w:sz="4" w:space="0" w:color="17556C"/>
            </w:tcBorders>
            <w:shd w:val="clear" w:color="auto" w:fill="auto"/>
            <w:tcMar>
              <w:left w:w="57" w:type="dxa"/>
              <w:right w:w="57" w:type="dxa"/>
            </w:tcMar>
          </w:tcPr>
          <w:p w14:paraId="4FF934E2" w14:textId="77777777" w:rsidR="00293312" w:rsidRPr="000C5050" w:rsidRDefault="00293312" w:rsidP="00E54D8D">
            <w:pPr>
              <w:pStyle w:val="Tabletext"/>
              <w:spacing w:before="40" w:after="40"/>
            </w:pPr>
          </w:p>
        </w:tc>
        <w:tc>
          <w:tcPr>
            <w:tcW w:w="992" w:type="dxa"/>
            <w:tcBorders>
              <w:top w:val="single" w:sz="4" w:space="0" w:color="17556C"/>
              <w:left w:val="single" w:sz="4" w:space="0" w:color="17556C"/>
              <w:bottom w:val="single" w:sz="4" w:space="0" w:color="17556C"/>
              <w:right w:val="single" w:sz="4" w:space="0" w:color="17556C"/>
            </w:tcBorders>
            <w:shd w:val="clear" w:color="auto" w:fill="auto"/>
            <w:tcMar>
              <w:left w:w="57" w:type="dxa"/>
              <w:right w:w="57" w:type="dxa"/>
            </w:tcMar>
          </w:tcPr>
          <w:p w14:paraId="266E9CB1" w14:textId="77777777" w:rsidR="00293312" w:rsidRPr="000C5050" w:rsidRDefault="00293312" w:rsidP="00E54D8D">
            <w:pPr>
              <w:pStyle w:val="Tabletext"/>
              <w:spacing w:before="40" w:after="40"/>
            </w:pPr>
          </w:p>
        </w:tc>
        <w:tc>
          <w:tcPr>
            <w:tcW w:w="851" w:type="dxa"/>
            <w:tcBorders>
              <w:top w:val="single" w:sz="4" w:space="0" w:color="17556C"/>
              <w:left w:val="single" w:sz="4" w:space="0" w:color="17556C"/>
              <w:bottom w:val="single" w:sz="4" w:space="0" w:color="17556C"/>
              <w:right w:val="single" w:sz="4" w:space="0" w:color="17556C"/>
            </w:tcBorders>
            <w:shd w:val="clear" w:color="auto" w:fill="auto"/>
          </w:tcPr>
          <w:p w14:paraId="7C7DFCED" w14:textId="77777777" w:rsidR="00293312" w:rsidRPr="000C5050" w:rsidRDefault="00293312" w:rsidP="00E54D8D">
            <w:pPr>
              <w:pStyle w:val="Tabletext"/>
              <w:spacing w:before="40" w:after="40"/>
            </w:pPr>
          </w:p>
        </w:tc>
        <w:tc>
          <w:tcPr>
            <w:tcW w:w="650" w:type="dxa"/>
            <w:tcBorders>
              <w:top w:val="single" w:sz="4" w:space="0" w:color="17556C"/>
              <w:left w:val="single" w:sz="4" w:space="0" w:color="17556C"/>
              <w:bottom w:val="single" w:sz="4" w:space="0" w:color="17556C"/>
              <w:right w:val="single" w:sz="4" w:space="0" w:color="17556C"/>
            </w:tcBorders>
            <w:shd w:val="clear" w:color="auto" w:fill="auto"/>
          </w:tcPr>
          <w:p w14:paraId="085D0D02" w14:textId="77777777" w:rsidR="00293312" w:rsidRPr="000C5050" w:rsidRDefault="00293312" w:rsidP="00E54D8D">
            <w:pPr>
              <w:pStyle w:val="Tabletext"/>
              <w:spacing w:before="40" w:after="40"/>
            </w:pPr>
          </w:p>
        </w:tc>
        <w:tc>
          <w:tcPr>
            <w:tcW w:w="909" w:type="dxa"/>
            <w:gridSpan w:val="2"/>
            <w:tcBorders>
              <w:top w:val="single" w:sz="4" w:space="0" w:color="17556C"/>
              <w:left w:val="single" w:sz="4" w:space="0" w:color="17556C"/>
              <w:bottom w:val="single" w:sz="4" w:space="0" w:color="17556C"/>
              <w:right w:val="single" w:sz="4" w:space="0" w:color="17556C"/>
            </w:tcBorders>
            <w:shd w:val="clear" w:color="auto" w:fill="auto"/>
          </w:tcPr>
          <w:p w14:paraId="74C8B168" w14:textId="77777777" w:rsidR="00293312" w:rsidRPr="000C5050" w:rsidRDefault="00293312" w:rsidP="00E54D8D">
            <w:pPr>
              <w:pStyle w:val="Tabletext"/>
              <w:spacing w:before="40" w:after="40"/>
            </w:pPr>
          </w:p>
        </w:tc>
        <w:tc>
          <w:tcPr>
            <w:tcW w:w="851" w:type="dxa"/>
            <w:tcBorders>
              <w:top w:val="single" w:sz="4" w:space="0" w:color="17556C"/>
              <w:left w:val="single" w:sz="4" w:space="0" w:color="17556C"/>
              <w:bottom w:val="single" w:sz="4" w:space="0" w:color="17556C"/>
              <w:right w:val="single" w:sz="4" w:space="0" w:color="17556C"/>
            </w:tcBorders>
            <w:shd w:val="clear" w:color="auto" w:fill="auto"/>
          </w:tcPr>
          <w:p w14:paraId="524ADF03" w14:textId="77777777" w:rsidR="00293312" w:rsidRPr="000C5050" w:rsidRDefault="00293312" w:rsidP="00E54D8D">
            <w:pPr>
              <w:pStyle w:val="Tabletext"/>
              <w:spacing w:before="40" w:after="40"/>
            </w:pPr>
          </w:p>
        </w:tc>
        <w:tc>
          <w:tcPr>
            <w:tcW w:w="850" w:type="dxa"/>
            <w:tcBorders>
              <w:top w:val="single" w:sz="4" w:space="0" w:color="17556C"/>
              <w:left w:val="single" w:sz="4" w:space="0" w:color="17556C"/>
              <w:bottom w:val="single" w:sz="4" w:space="0" w:color="17556C"/>
              <w:right w:val="single" w:sz="4" w:space="0" w:color="17556C"/>
            </w:tcBorders>
            <w:shd w:val="clear" w:color="auto" w:fill="auto"/>
          </w:tcPr>
          <w:p w14:paraId="1D5A563A" w14:textId="77777777" w:rsidR="00293312" w:rsidRPr="000C5050" w:rsidRDefault="00293312" w:rsidP="00E54D8D">
            <w:pPr>
              <w:pStyle w:val="Tabletext"/>
              <w:spacing w:before="40" w:after="40"/>
            </w:pPr>
          </w:p>
        </w:tc>
        <w:tc>
          <w:tcPr>
            <w:tcW w:w="992" w:type="dxa"/>
            <w:tcBorders>
              <w:top w:val="single" w:sz="4" w:space="0" w:color="17556C"/>
              <w:left w:val="single" w:sz="4" w:space="0" w:color="17556C"/>
              <w:bottom w:val="single" w:sz="4" w:space="0" w:color="17556C"/>
            </w:tcBorders>
            <w:shd w:val="clear" w:color="auto" w:fill="auto"/>
          </w:tcPr>
          <w:p w14:paraId="2DAAA445" w14:textId="77777777" w:rsidR="00293312" w:rsidRPr="000C5050" w:rsidRDefault="00293312" w:rsidP="00E54D8D">
            <w:pPr>
              <w:pStyle w:val="Tabletext"/>
              <w:spacing w:before="40" w:after="40"/>
            </w:pPr>
          </w:p>
        </w:tc>
      </w:tr>
    </w:tbl>
    <w:p w14:paraId="15970C49" w14:textId="77777777" w:rsidR="000113BC" w:rsidRPr="000C5050" w:rsidRDefault="000113BC" w:rsidP="00E54D8D">
      <w:pPr>
        <w:pStyle w:val="BodyText"/>
        <w:spacing w:before="0" w:after="0" w:line="240" w:lineRule="auto"/>
      </w:pPr>
    </w:p>
    <w:p w14:paraId="5EBEFCFF" w14:textId="77777777" w:rsidR="000113BC" w:rsidRPr="000C5050" w:rsidRDefault="000113BC" w:rsidP="000113BC">
      <w:pPr>
        <w:pStyle w:val="BodyText"/>
        <w:sectPr w:rsidR="000113BC" w:rsidRPr="000C5050" w:rsidSect="00741FD0">
          <w:footerReference w:type="even" r:id="rId30"/>
          <w:footerReference w:type="default" r:id="rId31"/>
          <w:endnotePr>
            <w:numFmt w:val="decimal"/>
          </w:endnotePr>
          <w:pgSz w:w="16840" w:h="11907" w:orient="landscape" w:code="9"/>
          <w:pgMar w:top="1418" w:right="1134" w:bottom="1361" w:left="1134" w:header="567" w:footer="567" w:gutter="567"/>
          <w:cols w:space="720"/>
          <w:docGrid w:linePitch="299"/>
        </w:sectPr>
      </w:pPr>
    </w:p>
    <w:p w14:paraId="5FFCB07B" w14:textId="77777777" w:rsidR="00CF4C5F" w:rsidRPr="000C5050" w:rsidRDefault="00CF4C5F" w:rsidP="00CF4C5F">
      <w:pPr>
        <w:pStyle w:val="Heading1"/>
      </w:pPr>
      <w:bookmarkStart w:id="67" w:name="_Toc460081259"/>
      <w:r w:rsidRPr="000C5050">
        <w:lastRenderedPageBreak/>
        <w:t>Abbreviations</w:t>
      </w:r>
      <w:bookmarkEnd w:id="67"/>
    </w:p>
    <w:p w14:paraId="7C0B4375" w14:textId="77777777" w:rsidR="00CF4C5F" w:rsidRPr="000C5050" w:rsidRDefault="00CF4C5F" w:rsidP="001810C5">
      <w:pPr>
        <w:pStyle w:val="BodyText"/>
        <w:spacing w:before="0"/>
        <w:ind w:left="1134" w:hanging="1134"/>
      </w:pPr>
      <w:r w:rsidRPr="000C5050">
        <w:t>CLMG</w:t>
      </w:r>
      <w:r w:rsidRPr="000C5050">
        <w:tab/>
        <w:t>contaminated land management guideline</w:t>
      </w:r>
    </w:p>
    <w:p w14:paraId="5727EB78" w14:textId="77777777" w:rsidR="00CF4C5F" w:rsidRPr="000C5050" w:rsidRDefault="00CF4C5F" w:rsidP="00CF4C5F">
      <w:pPr>
        <w:pStyle w:val="BodyText"/>
        <w:ind w:left="1134" w:hanging="1134"/>
      </w:pPr>
      <w:r w:rsidRPr="000C5050">
        <w:t xml:space="preserve">DSI </w:t>
      </w:r>
      <w:r w:rsidRPr="000C5050">
        <w:tab/>
        <w:t>detailed site investigation</w:t>
      </w:r>
    </w:p>
    <w:p w14:paraId="3181401F" w14:textId="77777777" w:rsidR="00CF4C5F" w:rsidRPr="000C5050" w:rsidRDefault="00CF4C5F" w:rsidP="00CF4C5F">
      <w:pPr>
        <w:pStyle w:val="BodyText"/>
        <w:ind w:left="1134" w:hanging="1134"/>
      </w:pPr>
      <w:r w:rsidRPr="000C5050">
        <w:t xml:space="preserve">HAIL </w:t>
      </w:r>
      <w:r w:rsidRPr="000C5050">
        <w:tab/>
        <w:t>hazardous activities and industries list</w:t>
      </w:r>
    </w:p>
    <w:p w14:paraId="4685C3D2" w14:textId="77777777" w:rsidR="00CF4C5F" w:rsidRPr="000C5050" w:rsidRDefault="00CF4C5F" w:rsidP="00CF4C5F">
      <w:pPr>
        <w:pStyle w:val="BodyText"/>
        <w:ind w:left="1134" w:hanging="1134"/>
      </w:pPr>
      <w:r w:rsidRPr="000C5050">
        <w:t>NESCS</w:t>
      </w:r>
      <w:r w:rsidRPr="000C5050">
        <w:tab/>
        <w:t>National Environmental Standard for Assessing and Managing Contaminants in Soil to Protect Human Health</w:t>
      </w:r>
    </w:p>
    <w:p w14:paraId="14B631F9" w14:textId="77777777" w:rsidR="00CF4C5F" w:rsidRPr="000C5050" w:rsidRDefault="00CF4C5F" w:rsidP="00CF4C5F">
      <w:pPr>
        <w:pStyle w:val="BodyText"/>
        <w:ind w:left="1134" w:hanging="1134"/>
      </w:pPr>
      <w:r w:rsidRPr="000C5050">
        <w:t>PSI</w:t>
      </w:r>
      <w:r w:rsidRPr="000C5050">
        <w:tab/>
        <w:t>preliminary site investigation</w:t>
      </w:r>
    </w:p>
    <w:p w14:paraId="2CA7D967" w14:textId="77777777" w:rsidR="00CF4C5F" w:rsidRPr="000C5050" w:rsidRDefault="00CF4C5F" w:rsidP="00CF4C5F">
      <w:pPr>
        <w:pStyle w:val="BodyText"/>
        <w:ind w:left="1134" w:hanging="1134"/>
      </w:pPr>
      <w:r w:rsidRPr="000C5050">
        <w:t>RMA</w:t>
      </w:r>
      <w:r w:rsidRPr="000C5050">
        <w:tab/>
        <w:t>Resource Management Act 1991</w:t>
      </w:r>
    </w:p>
    <w:p w14:paraId="3E4C03E2" w14:textId="77777777" w:rsidR="00CF4C5F" w:rsidRPr="000C5050" w:rsidRDefault="00CF4C5F" w:rsidP="00CF4C5F">
      <w:pPr>
        <w:pStyle w:val="BodyText"/>
        <w:ind w:left="1134" w:hanging="1134"/>
      </w:pPr>
      <w:r w:rsidRPr="000C5050">
        <w:t xml:space="preserve">SCS </w:t>
      </w:r>
      <w:r w:rsidRPr="000C5050">
        <w:tab/>
        <w:t>soil contaminant standard</w:t>
      </w:r>
    </w:p>
    <w:p w14:paraId="053DC92D" w14:textId="77777777" w:rsidR="00CF4C5F" w:rsidRPr="000C5050" w:rsidRDefault="00CF4C5F" w:rsidP="00CF4C5F">
      <w:pPr>
        <w:pStyle w:val="BodyText"/>
        <w:ind w:left="1134" w:hanging="1134"/>
      </w:pPr>
      <w:r w:rsidRPr="000C5050">
        <w:t xml:space="preserve">SQEP </w:t>
      </w:r>
      <w:r w:rsidRPr="000C5050">
        <w:tab/>
        <w:t>suitably qualified and experienced practitioner</w:t>
      </w:r>
    </w:p>
    <w:p w14:paraId="2E5B6F2F" w14:textId="77777777" w:rsidR="000113BC" w:rsidRPr="000C5050" w:rsidRDefault="00CF4C5F" w:rsidP="00CF4C5F">
      <w:pPr>
        <w:pStyle w:val="BodyText"/>
        <w:ind w:left="1134" w:hanging="1134"/>
      </w:pPr>
      <w:r w:rsidRPr="000C5050">
        <w:t xml:space="preserve">TA </w:t>
      </w:r>
      <w:r w:rsidRPr="000C5050">
        <w:tab/>
        <w:t>territorial authority</w:t>
      </w:r>
    </w:p>
    <w:p w14:paraId="04C51B85" w14:textId="2ADB0E5F" w:rsidR="00CF4C5F" w:rsidRPr="000C5050" w:rsidRDefault="009D33D8" w:rsidP="00CF4C5F">
      <w:pPr>
        <w:pStyle w:val="BodyText"/>
        <w:ind w:left="1134" w:hanging="1134"/>
      </w:pPr>
      <w:r w:rsidRPr="000C5050">
        <w:t>TOSMP</w:t>
      </w:r>
      <w:r w:rsidRPr="000C5050">
        <w:rPr>
          <w:b/>
        </w:rPr>
        <w:tab/>
      </w:r>
      <w:r w:rsidRPr="000C5050">
        <w:t>template ongoing site management plan</w:t>
      </w:r>
    </w:p>
    <w:p w14:paraId="18BD6EB2" w14:textId="77777777" w:rsidR="00034BBE" w:rsidRPr="000C5050" w:rsidRDefault="00034BBE">
      <w:pPr>
        <w:spacing w:before="0" w:after="200" w:line="276" w:lineRule="auto"/>
        <w:jc w:val="left"/>
      </w:pPr>
      <w:r w:rsidRPr="000C5050">
        <w:br w:type="page"/>
      </w:r>
    </w:p>
    <w:p w14:paraId="364C710A" w14:textId="77777777" w:rsidR="00034BBE" w:rsidRPr="000C5050" w:rsidRDefault="00034BBE" w:rsidP="00034BBE">
      <w:pPr>
        <w:pStyle w:val="Heading1"/>
        <w:spacing w:after="360"/>
      </w:pPr>
      <w:bookmarkStart w:id="68" w:name="_Toc460081260"/>
      <w:r w:rsidRPr="000C5050">
        <w:lastRenderedPageBreak/>
        <w:t>References</w:t>
      </w:r>
      <w:bookmarkEnd w:id="68"/>
    </w:p>
    <w:p w14:paraId="254A6BA9" w14:textId="2C40B750" w:rsidR="00CB5C65" w:rsidRPr="00864015" w:rsidRDefault="00CB5C65" w:rsidP="00CB5C65">
      <w:pPr>
        <w:pStyle w:val="References"/>
        <w:spacing w:before="100" w:after="100"/>
        <w:rPr>
          <w:rFonts w:eastAsia="Calibri"/>
        </w:rPr>
      </w:pPr>
      <w:proofErr w:type="gramStart"/>
      <w:r>
        <w:rPr>
          <w:rFonts w:eastAsia="Calibri"/>
        </w:rPr>
        <w:t>Golders Associates.</w:t>
      </w:r>
      <w:proofErr w:type="gramEnd"/>
      <w:r>
        <w:rPr>
          <w:rFonts w:eastAsia="Calibri"/>
        </w:rPr>
        <w:t xml:space="preserve"> 2016a. </w:t>
      </w:r>
      <w:r>
        <w:rPr>
          <w:rFonts w:eastAsia="Calibri"/>
          <w:i/>
        </w:rPr>
        <w:t>Accounting for Bioavailability in Contaminated Land Site-Specific Health Risk Assessment.</w:t>
      </w:r>
      <w:r>
        <w:rPr>
          <w:rFonts w:eastAsia="Calibri"/>
        </w:rPr>
        <w:t xml:space="preserve"> </w:t>
      </w:r>
      <w:proofErr w:type="gramStart"/>
      <w:r>
        <w:rPr>
          <w:rFonts w:eastAsia="Calibri"/>
        </w:rPr>
        <w:t>Prepared for the Ministry for the Environment by Golders Associates.</w:t>
      </w:r>
      <w:proofErr w:type="gramEnd"/>
      <w:r>
        <w:rPr>
          <w:rFonts w:eastAsia="Calibri"/>
        </w:rPr>
        <w:t xml:space="preserve"> Wellington: Ministry for the Environment. Retrieved from </w:t>
      </w:r>
      <w:hyperlink r:id="rId32" w:history="1">
        <w:r w:rsidRPr="00925A5B">
          <w:rPr>
            <w:rStyle w:val="Hyperlink"/>
            <w:rFonts w:eastAsia="Calibri"/>
          </w:rPr>
          <w:t>http://www.mfe.govt.nz/publications/land/accounting-bioavailability-contaminated-land-site-specific-health-risk-assessment</w:t>
        </w:r>
      </w:hyperlink>
      <w:r>
        <w:rPr>
          <w:rFonts w:eastAsia="Calibri"/>
        </w:rPr>
        <w:t xml:space="preserve"> </w:t>
      </w:r>
    </w:p>
    <w:p w14:paraId="67B4FE9D" w14:textId="2E772409" w:rsidR="00576EA9" w:rsidRDefault="00576EA9" w:rsidP="0083473B">
      <w:pPr>
        <w:pStyle w:val="References"/>
        <w:spacing w:before="100" w:after="100"/>
        <w:rPr>
          <w:rFonts w:eastAsia="Calibri"/>
        </w:rPr>
      </w:pPr>
      <w:proofErr w:type="gramStart"/>
      <w:r>
        <w:rPr>
          <w:rFonts w:eastAsia="Calibri"/>
        </w:rPr>
        <w:t>Golder</w:t>
      </w:r>
      <w:r w:rsidR="00E80BEE">
        <w:rPr>
          <w:rFonts w:eastAsia="Calibri"/>
        </w:rPr>
        <w:t>s</w:t>
      </w:r>
      <w:r>
        <w:rPr>
          <w:rFonts w:eastAsia="Calibri"/>
        </w:rPr>
        <w:t xml:space="preserve"> Associates.</w:t>
      </w:r>
      <w:proofErr w:type="gramEnd"/>
      <w:r>
        <w:rPr>
          <w:rFonts w:eastAsia="Calibri"/>
        </w:rPr>
        <w:t xml:space="preserve"> </w:t>
      </w:r>
      <w:proofErr w:type="gramStart"/>
      <w:r>
        <w:rPr>
          <w:rFonts w:eastAsia="Calibri"/>
        </w:rPr>
        <w:t>2016</w:t>
      </w:r>
      <w:r w:rsidR="00CB5C65">
        <w:rPr>
          <w:rFonts w:eastAsia="Calibri"/>
        </w:rPr>
        <w:t>b</w:t>
      </w:r>
      <w:r>
        <w:rPr>
          <w:rFonts w:eastAsia="Calibri"/>
        </w:rPr>
        <w:t xml:space="preserve">. </w:t>
      </w:r>
      <w:r>
        <w:rPr>
          <w:rFonts w:eastAsia="Calibri"/>
          <w:i/>
        </w:rPr>
        <w:t>Diffuse Source Contamination.</w:t>
      </w:r>
      <w:proofErr w:type="gramEnd"/>
      <w:r>
        <w:rPr>
          <w:rFonts w:eastAsia="Calibri"/>
          <w:i/>
        </w:rPr>
        <w:t xml:space="preserve"> </w:t>
      </w:r>
      <w:proofErr w:type="gramStart"/>
      <w:r>
        <w:rPr>
          <w:rFonts w:eastAsia="Calibri"/>
          <w:i/>
        </w:rPr>
        <w:t>Site Management Options for Residential and Rural Residential Sites.</w:t>
      </w:r>
      <w:proofErr w:type="gramEnd"/>
      <w:r>
        <w:rPr>
          <w:rFonts w:eastAsia="Calibri"/>
        </w:rPr>
        <w:t xml:space="preserve"> </w:t>
      </w:r>
      <w:proofErr w:type="gramStart"/>
      <w:r>
        <w:rPr>
          <w:rFonts w:eastAsia="Calibri"/>
        </w:rPr>
        <w:t>Prepared for the Ministry for the Environment by Golders Associates.</w:t>
      </w:r>
      <w:proofErr w:type="gramEnd"/>
      <w:r>
        <w:rPr>
          <w:rFonts w:eastAsia="Calibri"/>
        </w:rPr>
        <w:t xml:space="preserve"> Wellington: Ministry for the Environment. Retrieved from </w:t>
      </w:r>
      <w:hyperlink r:id="rId33" w:history="1">
        <w:r w:rsidRPr="00925A5B">
          <w:rPr>
            <w:rStyle w:val="Hyperlink"/>
            <w:rFonts w:eastAsia="Calibri"/>
          </w:rPr>
          <w:t>www.mfe.govt.nz/publications/land/diffuse-source-contamination-site-management-options-residential-and-rural</w:t>
        </w:r>
      </w:hyperlink>
      <w:r>
        <w:rPr>
          <w:rFonts w:eastAsia="Calibri"/>
        </w:rPr>
        <w:t xml:space="preserve"> </w:t>
      </w:r>
    </w:p>
    <w:p w14:paraId="70F741E3" w14:textId="490DF10B" w:rsidR="00034BBE" w:rsidRPr="000C5050" w:rsidRDefault="00034BBE" w:rsidP="0083473B">
      <w:pPr>
        <w:pStyle w:val="References"/>
        <w:spacing w:before="100" w:after="100"/>
        <w:rPr>
          <w:rFonts w:eastAsia="Calibri"/>
        </w:rPr>
      </w:pPr>
      <w:proofErr w:type="gramStart"/>
      <w:r w:rsidRPr="000C5050">
        <w:rPr>
          <w:rFonts w:eastAsia="Calibri"/>
        </w:rPr>
        <w:t>Ministry for the Environment.</w:t>
      </w:r>
      <w:proofErr w:type="gramEnd"/>
      <w:r w:rsidRPr="000C5050">
        <w:rPr>
          <w:rFonts w:eastAsia="Calibri"/>
        </w:rPr>
        <w:t xml:space="preserve"> 2010. </w:t>
      </w:r>
      <w:r w:rsidRPr="000C5050">
        <w:rPr>
          <w:rFonts w:eastAsiaTheme="minorHAnsi"/>
          <w:i/>
        </w:rPr>
        <w:t>Proposed national environmental standard for assessing and managing contaminants in soil: discussion document</w:t>
      </w:r>
      <w:r w:rsidRPr="000C5050">
        <w:t xml:space="preserve">. Wellington: Ministry for the Environment. </w:t>
      </w:r>
      <w:proofErr w:type="gramStart"/>
      <w:r w:rsidRPr="000C5050">
        <w:t xml:space="preserve">Retrieved from </w:t>
      </w:r>
      <w:hyperlink r:id="rId34" w:history="1">
        <w:r w:rsidRPr="000C5050">
          <w:rPr>
            <w:rStyle w:val="Hyperlink"/>
            <w:rFonts w:eastAsiaTheme="majorEastAsia"/>
          </w:rPr>
          <w:t>www.mfe.govt.nz/publications/rma-land-hazards/proposed-national-environmental-standard-assessing-and-managing-0</w:t>
        </w:r>
      </w:hyperlink>
      <w:r w:rsidR="001810C5" w:rsidRPr="000C5050">
        <w:rPr>
          <w:rStyle w:val="Hyperlink"/>
          <w:rFonts w:eastAsiaTheme="majorEastAsia"/>
          <w:color w:val="auto"/>
        </w:rPr>
        <w:t>.</w:t>
      </w:r>
      <w:proofErr w:type="gramEnd"/>
      <w:r w:rsidRPr="000C5050">
        <w:t xml:space="preserve"> </w:t>
      </w:r>
    </w:p>
    <w:p w14:paraId="58A78318" w14:textId="4BB081CA" w:rsidR="00034BBE" w:rsidRPr="000C5050" w:rsidRDefault="00034BBE" w:rsidP="0083473B">
      <w:pPr>
        <w:pStyle w:val="References"/>
        <w:spacing w:before="100" w:after="100"/>
      </w:pPr>
      <w:proofErr w:type="gramStart"/>
      <w:r w:rsidRPr="000C5050">
        <w:rPr>
          <w:rFonts w:eastAsia="Calibri"/>
        </w:rPr>
        <w:t>Ministry for the Environment.</w:t>
      </w:r>
      <w:proofErr w:type="gramEnd"/>
      <w:r w:rsidRPr="000C5050">
        <w:rPr>
          <w:rFonts w:eastAsia="Calibri"/>
        </w:rPr>
        <w:t xml:space="preserve"> 2011a. </w:t>
      </w:r>
      <w:r w:rsidRPr="000C5050">
        <w:rPr>
          <w:i/>
        </w:rPr>
        <w:t>Contaminated land management guidelines No. 1: Reporting on contaminated sites in New Zealand</w:t>
      </w:r>
      <w:r w:rsidRPr="000C5050">
        <w:t xml:space="preserve">. Wellington: Ministry for the Environment. </w:t>
      </w:r>
      <w:proofErr w:type="gramStart"/>
      <w:r w:rsidRPr="000C5050">
        <w:t xml:space="preserve">Retrieved from </w:t>
      </w:r>
      <w:hyperlink r:id="rId35" w:history="1">
        <w:r w:rsidRPr="000C5050">
          <w:rPr>
            <w:rStyle w:val="Hyperlink"/>
            <w:rFonts w:eastAsiaTheme="majorEastAsia"/>
          </w:rPr>
          <w:t>www.mfe.govt.nz/publications/land-hazards/contaminated-land-management-guidelines-no-1-reporting-contaminated-sites</w:t>
        </w:r>
      </w:hyperlink>
      <w:r w:rsidR="001810C5" w:rsidRPr="000C5050">
        <w:rPr>
          <w:rStyle w:val="Hyperlink"/>
          <w:rFonts w:eastAsiaTheme="majorEastAsia"/>
          <w:color w:val="auto"/>
        </w:rPr>
        <w:t>.</w:t>
      </w:r>
      <w:proofErr w:type="gramEnd"/>
      <w:r w:rsidRPr="000C5050">
        <w:t xml:space="preserve"> </w:t>
      </w:r>
    </w:p>
    <w:p w14:paraId="2D5D23A2" w14:textId="4D7008F6" w:rsidR="00034BBE" w:rsidRPr="000C5050" w:rsidRDefault="00034BBE" w:rsidP="0083473B">
      <w:pPr>
        <w:pStyle w:val="References"/>
        <w:spacing w:before="100" w:after="100"/>
        <w:rPr>
          <w:rFonts w:eastAsia="Calibri"/>
        </w:rPr>
      </w:pPr>
      <w:proofErr w:type="gramStart"/>
      <w:r w:rsidRPr="000C5050">
        <w:rPr>
          <w:rFonts w:eastAsia="Calibri"/>
        </w:rPr>
        <w:t>Ministry for the Environment.</w:t>
      </w:r>
      <w:proofErr w:type="gramEnd"/>
      <w:r w:rsidRPr="000C5050">
        <w:rPr>
          <w:rFonts w:eastAsia="Calibri"/>
        </w:rPr>
        <w:t xml:space="preserve"> 2011b. </w:t>
      </w:r>
      <w:r w:rsidRPr="000C5050">
        <w:rPr>
          <w:rFonts w:eastAsia="Calibri"/>
          <w:i/>
        </w:rPr>
        <w:t>Contaminated land management guidelines No. 2: Hierarchy and application in New Zealand of environmental guideline values</w:t>
      </w:r>
      <w:r w:rsidRPr="000C5050">
        <w:t xml:space="preserve">. Wellington: Ministry for the Environment. </w:t>
      </w:r>
      <w:proofErr w:type="gramStart"/>
      <w:r w:rsidRPr="000C5050">
        <w:t xml:space="preserve">Retrieved from </w:t>
      </w:r>
      <w:hyperlink r:id="rId36" w:history="1">
        <w:r w:rsidRPr="000C5050">
          <w:rPr>
            <w:rStyle w:val="Hyperlink"/>
            <w:rFonts w:eastAsiaTheme="majorEastAsia"/>
          </w:rPr>
          <w:t>www.mfe.govt.nz/publications/land-hazards/contaminated-land-management-guidelines-no-2-hierarchy-and-application-new</w:t>
        </w:r>
      </w:hyperlink>
      <w:r w:rsidR="001810C5" w:rsidRPr="000C5050">
        <w:rPr>
          <w:rStyle w:val="Hyperlink"/>
          <w:rFonts w:eastAsiaTheme="majorEastAsia"/>
          <w:color w:val="auto"/>
        </w:rPr>
        <w:t>.</w:t>
      </w:r>
      <w:proofErr w:type="gramEnd"/>
      <w:r w:rsidRPr="000C5050">
        <w:t xml:space="preserve"> </w:t>
      </w:r>
    </w:p>
    <w:p w14:paraId="692CD79D" w14:textId="5E149264" w:rsidR="00034BBE" w:rsidRPr="000C5050" w:rsidRDefault="00034BBE" w:rsidP="0083473B">
      <w:pPr>
        <w:pStyle w:val="References"/>
        <w:spacing w:before="100" w:after="100"/>
      </w:pPr>
      <w:proofErr w:type="gramStart"/>
      <w:r w:rsidRPr="000C5050">
        <w:rPr>
          <w:rFonts w:eastAsia="Calibri"/>
        </w:rPr>
        <w:t>Ministry for the Environment.</w:t>
      </w:r>
      <w:proofErr w:type="gramEnd"/>
      <w:r w:rsidRPr="000C5050">
        <w:rPr>
          <w:rFonts w:eastAsia="Calibri"/>
        </w:rPr>
        <w:t xml:space="preserve"> 2011c. </w:t>
      </w:r>
      <w:r w:rsidRPr="000C5050">
        <w:rPr>
          <w:i/>
        </w:rPr>
        <w:t>Contaminated land management guidelines No. 5: Site investigation and analysis of soils</w:t>
      </w:r>
      <w:r w:rsidRPr="000C5050">
        <w:t xml:space="preserve">. Wellington: Ministry for the Environment. </w:t>
      </w:r>
      <w:proofErr w:type="gramStart"/>
      <w:r w:rsidRPr="000C5050">
        <w:t xml:space="preserve">Retrieved from </w:t>
      </w:r>
      <w:hyperlink r:id="rId37" w:history="1">
        <w:r w:rsidRPr="000C5050">
          <w:rPr>
            <w:rStyle w:val="Hyperlink"/>
            <w:rFonts w:eastAsiaTheme="majorEastAsia"/>
          </w:rPr>
          <w:t>www.mfe.govt.nz/publications/land-hazards/contaminated-land-management-guidelines-no-5-site-investigation-and</w:t>
        </w:r>
      </w:hyperlink>
      <w:r w:rsidR="001810C5" w:rsidRPr="000C5050">
        <w:rPr>
          <w:rStyle w:val="Hyperlink"/>
          <w:rFonts w:eastAsiaTheme="majorEastAsia"/>
          <w:color w:val="auto"/>
        </w:rPr>
        <w:t>.</w:t>
      </w:r>
      <w:proofErr w:type="gramEnd"/>
      <w:r w:rsidRPr="000C5050">
        <w:t xml:space="preserve"> </w:t>
      </w:r>
    </w:p>
    <w:p w14:paraId="78589319" w14:textId="578CF874" w:rsidR="00034BBE" w:rsidRPr="000C5050" w:rsidRDefault="00034BBE" w:rsidP="0083473B">
      <w:pPr>
        <w:pStyle w:val="References"/>
        <w:spacing w:before="100" w:after="100"/>
        <w:rPr>
          <w:rFonts w:eastAsia="Calibri"/>
        </w:rPr>
      </w:pPr>
      <w:proofErr w:type="gramStart"/>
      <w:r w:rsidRPr="000C5050">
        <w:rPr>
          <w:rFonts w:eastAsia="Calibri"/>
        </w:rPr>
        <w:t>Ministry for the Environment.</w:t>
      </w:r>
      <w:proofErr w:type="gramEnd"/>
      <w:r w:rsidRPr="000C5050">
        <w:rPr>
          <w:rFonts w:eastAsia="Calibri"/>
        </w:rPr>
        <w:t xml:space="preserve"> </w:t>
      </w:r>
      <w:proofErr w:type="gramStart"/>
      <w:r w:rsidR="00452EB1">
        <w:rPr>
          <w:rFonts w:eastAsia="Calibri"/>
        </w:rPr>
        <w:t xml:space="preserve">Revised </w:t>
      </w:r>
      <w:r w:rsidRPr="000C5050">
        <w:rPr>
          <w:rFonts w:eastAsia="Calibri"/>
        </w:rPr>
        <w:t>2011d.</w:t>
      </w:r>
      <w:proofErr w:type="gramEnd"/>
      <w:r w:rsidRPr="000C5050">
        <w:rPr>
          <w:rFonts w:eastAsia="Calibri"/>
        </w:rPr>
        <w:t xml:space="preserve"> </w:t>
      </w:r>
      <w:r w:rsidRPr="000C5050">
        <w:rPr>
          <w:rFonts w:eastAsia="Calibri"/>
          <w:i/>
        </w:rPr>
        <w:t>Guidelines for Assessing and Managing Petroleum Hydrocarbon Contaminated Sites in New Zealand</w:t>
      </w:r>
      <w:r w:rsidRPr="000C5050">
        <w:rPr>
          <w:rFonts w:eastAsia="Calibri"/>
        </w:rPr>
        <w:t xml:space="preserve">. Wellington: Ministry for the Environment. </w:t>
      </w:r>
      <w:proofErr w:type="gramStart"/>
      <w:r w:rsidRPr="000C5050">
        <w:rPr>
          <w:rFonts w:eastAsia="Calibri"/>
        </w:rPr>
        <w:t xml:space="preserve">Retrieved from </w:t>
      </w:r>
      <w:hyperlink r:id="rId38" w:history="1">
        <w:r w:rsidRPr="000C5050">
          <w:rPr>
            <w:rStyle w:val="Hyperlink"/>
            <w:rFonts w:eastAsia="Calibri"/>
          </w:rPr>
          <w:t>www.mfe.govt.nz/publications/hazards/guidelines-assessing-and-managing-petroleum-hydrocarbon-contaminated-sites-new</w:t>
        </w:r>
      </w:hyperlink>
      <w:r w:rsidR="001810C5" w:rsidRPr="000C5050">
        <w:rPr>
          <w:rStyle w:val="Hyperlink"/>
          <w:rFonts w:eastAsia="Calibri"/>
          <w:color w:val="auto"/>
        </w:rPr>
        <w:t>.</w:t>
      </w:r>
      <w:proofErr w:type="gramEnd"/>
      <w:r w:rsidRPr="000C5050">
        <w:rPr>
          <w:rFonts w:eastAsia="Calibri"/>
        </w:rPr>
        <w:t xml:space="preserve"> </w:t>
      </w:r>
    </w:p>
    <w:p w14:paraId="791029F4" w14:textId="1611F330" w:rsidR="00034BBE" w:rsidRPr="000C5050" w:rsidRDefault="00034BBE" w:rsidP="0083473B">
      <w:pPr>
        <w:pStyle w:val="References"/>
        <w:spacing w:before="100" w:after="100"/>
        <w:rPr>
          <w:rFonts w:eastAsia="Calibri"/>
        </w:rPr>
      </w:pPr>
      <w:proofErr w:type="gramStart"/>
      <w:r w:rsidRPr="000C5050">
        <w:rPr>
          <w:rFonts w:eastAsia="Calibri"/>
        </w:rPr>
        <w:t>Ministry for the Environment.</w:t>
      </w:r>
      <w:proofErr w:type="gramEnd"/>
      <w:r w:rsidRPr="000C5050">
        <w:rPr>
          <w:rFonts w:eastAsia="Calibri"/>
        </w:rPr>
        <w:t xml:space="preserve"> </w:t>
      </w:r>
      <w:proofErr w:type="gramStart"/>
      <w:r w:rsidRPr="000C5050">
        <w:rPr>
          <w:rFonts w:eastAsia="Calibri"/>
        </w:rPr>
        <w:t xml:space="preserve">2011e. </w:t>
      </w:r>
      <w:r w:rsidRPr="000C5050">
        <w:rPr>
          <w:rFonts w:eastAsia="Calibri"/>
          <w:i/>
        </w:rPr>
        <w:t>Methodology for deriving standards for contaminants in soil to protect human health</w:t>
      </w:r>
      <w:r w:rsidRPr="000C5050">
        <w:rPr>
          <w:rFonts w:eastAsia="Calibri"/>
        </w:rPr>
        <w:t>.</w:t>
      </w:r>
      <w:proofErr w:type="gramEnd"/>
      <w:r w:rsidRPr="000C5050">
        <w:rPr>
          <w:rFonts w:eastAsia="Calibri"/>
        </w:rPr>
        <w:t xml:space="preserve"> </w:t>
      </w:r>
      <w:r w:rsidRPr="000C5050">
        <w:t xml:space="preserve">Wellington: Ministry for the Environment. </w:t>
      </w:r>
      <w:proofErr w:type="gramStart"/>
      <w:r w:rsidRPr="000C5050">
        <w:t xml:space="preserve">Retrieved from </w:t>
      </w:r>
      <w:hyperlink r:id="rId39" w:history="1">
        <w:r w:rsidRPr="000C5050">
          <w:rPr>
            <w:rStyle w:val="Hyperlink"/>
            <w:rFonts w:eastAsiaTheme="majorEastAsia"/>
          </w:rPr>
          <w:t>www.mfe.govt.nz/publications/hazards/methodology-deriving-standards-contaminants-soil-protect-human-health</w:t>
        </w:r>
      </w:hyperlink>
      <w:r w:rsidR="001810C5" w:rsidRPr="000C5050">
        <w:rPr>
          <w:rStyle w:val="Hyperlink"/>
          <w:rFonts w:eastAsiaTheme="majorEastAsia"/>
          <w:color w:val="auto"/>
        </w:rPr>
        <w:t>.</w:t>
      </w:r>
      <w:proofErr w:type="gramEnd"/>
      <w:r w:rsidRPr="000C5050">
        <w:t xml:space="preserve"> </w:t>
      </w:r>
    </w:p>
    <w:p w14:paraId="7C2669DA" w14:textId="49AB2CF6" w:rsidR="00034BBE" w:rsidRPr="000C5050" w:rsidRDefault="00034BBE" w:rsidP="0083473B">
      <w:pPr>
        <w:pStyle w:val="References"/>
        <w:spacing w:before="100" w:after="100"/>
      </w:pPr>
      <w:proofErr w:type="gramStart"/>
      <w:r w:rsidRPr="000C5050">
        <w:rPr>
          <w:rFonts w:eastAsia="Calibri"/>
        </w:rPr>
        <w:t>Ministry for the Environment.</w:t>
      </w:r>
      <w:proofErr w:type="gramEnd"/>
      <w:r w:rsidRPr="000C5050">
        <w:rPr>
          <w:rFonts w:eastAsia="Calibri"/>
        </w:rPr>
        <w:t xml:space="preserve"> 2012. </w:t>
      </w:r>
      <w:r w:rsidRPr="000C5050">
        <w:rPr>
          <w:rFonts w:eastAsia="Calibri"/>
          <w:i/>
        </w:rPr>
        <w:t>Users</w:t>
      </w:r>
      <w:r w:rsidR="0081630C" w:rsidRPr="000C5050">
        <w:rPr>
          <w:rFonts w:eastAsia="Calibri"/>
          <w:i/>
        </w:rPr>
        <w:t>’</w:t>
      </w:r>
      <w:r w:rsidRPr="000C5050">
        <w:rPr>
          <w:rFonts w:eastAsia="Calibri"/>
          <w:i/>
        </w:rPr>
        <w:t xml:space="preserve"> Guide: National Environmental Standard for Assessing and Managing Contaminants in Soil to Protect Human Health</w:t>
      </w:r>
      <w:r w:rsidRPr="000C5050">
        <w:rPr>
          <w:rFonts w:eastAsia="Calibri"/>
        </w:rPr>
        <w:t xml:space="preserve">. Wellington: Ministry for the Environment. </w:t>
      </w:r>
      <w:proofErr w:type="gramStart"/>
      <w:r w:rsidRPr="000C5050">
        <w:rPr>
          <w:rFonts w:eastAsia="Calibri"/>
        </w:rPr>
        <w:t xml:space="preserve">Retrieved from </w:t>
      </w:r>
      <w:hyperlink r:id="rId40" w:history="1">
        <w:r w:rsidRPr="000C5050">
          <w:rPr>
            <w:rStyle w:val="Hyperlink"/>
            <w:rFonts w:eastAsia="Calibri"/>
          </w:rPr>
          <w:t>www.mfe.govt.nz/publications/rma-land-hazards/users-guide-national-environmental-standard-assessing-and-managing</w:t>
        </w:r>
      </w:hyperlink>
      <w:r w:rsidR="001810C5" w:rsidRPr="000C5050">
        <w:rPr>
          <w:rStyle w:val="Hyperlink"/>
          <w:rFonts w:eastAsia="Calibri"/>
          <w:color w:val="auto"/>
        </w:rPr>
        <w:t>.</w:t>
      </w:r>
      <w:proofErr w:type="gramEnd"/>
      <w:r w:rsidRPr="000C5050">
        <w:rPr>
          <w:rFonts w:eastAsia="Calibri"/>
        </w:rPr>
        <w:t xml:space="preserve"> </w:t>
      </w:r>
    </w:p>
    <w:p w14:paraId="68B7C5E8" w14:textId="46E8BFDE" w:rsidR="00034BBE" w:rsidRPr="000C5050" w:rsidRDefault="00034BBE" w:rsidP="00936501">
      <w:pPr>
        <w:pStyle w:val="References"/>
        <w:spacing w:before="100" w:after="100"/>
      </w:pPr>
      <w:proofErr w:type="gramStart"/>
      <w:r w:rsidRPr="000C5050">
        <w:rPr>
          <w:rFonts w:eastAsia="Calibri"/>
        </w:rPr>
        <w:t>Ministry for the Environment.</w:t>
      </w:r>
      <w:proofErr w:type="gramEnd"/>
      <w:r w:rsidRPr="000C5050">
        <w:rPr>
          <w:rFonts w:eastAsia="Calibri"/>
        </w:rPr>
        <w:t xml:space="preserve"> 2014. </w:t>
      </w:r>
      <w:r w:rsidRPr="000C5050">
        <w:rPr>
          <w:i/>
        </w:rPr>
        <w:t>Resource Management Act: Survey of Local Authorities 2012/13</w:t>
      </w:r>
      <w:r w:rsidRPr="000C5050">
        <w:t xml:space="preserve">. Wellington: Ministry for the Environment. </w:t>
      </w:r>
      <w:proofErr w:type="gramStart"/>
      <w:r w:rsidRPr="000C5050">
        <w:t xml:space="preserve">Retrieved from </w:t>
      </w:r>
      <w:hyperlink r:id="rId41" w:history="1">
        <w:r w:rsidRPr="000C5050">
          <w:rPr>
            <w:rStyle w:val="Hyperlink"/>
            <w:rFonts w:eastAsiaTheme="majorEastAsia"/>
          </w:rPr>
          <w:t>www.mfe.govt.nz/publications/rma/resource-management-act-two-yearly-survey-local-authorities-20122013</w:t>
        </w:r>
      </w:hyperlink>
      <w:r w:rsidR="001810C5" w:rsidRPr="000C5050">
        <w:rPr>
          <w:rStyle w:val="Hyperlink"/>
          <w:rFonts w:eastAsiaTheme="majorEastAsia"/>
          <w:color w:val="auto"/>
        </w:rPr>
        <w:t>.</w:t>
      </w:r>
      <w:proofErr w:type="gramEnd"/>
      <w:r w:rsidRPr="000C5050">
        <w:t xml:space="preserve"> </w:t>
      </w:r>
    </w:p>
    <w:p w14:paraId="333EE102" w14:textId="6A159411" w:rsidR="00266187" w:rsidRPr="00F63CAB" w:rsidRDefault="00266187" w:rsidP="00936501">
      <w:pPr>
        <w:pStyle w:val="References"/>
        <w:spacing w:before="100" w:after="100"/>
        <w:rPr>
          <w:rStyle w:val="Hyperlink"/>
          <w:rFonts w:eastAsiaTheme="majorEastAsia"/>
        </w:rPr>
      </w:pPr>
      <w:proofErr w:type="gramStart"/>
      <w:r w:rsidRPr="000C5050">
        <w:rPr>
          <w:rFonts w:eastAsia="Calibri"/>
        </w:rPr>
        <w:t>Ministry for the Environment.</w:t>
      </w:r>
      <w:proofErr w:type="gramEnd"/>
      <w:r w:rsidRPr="000C5050">
        <w:rPr>
          <w:rFonts w:eastAsia="Calibri"/>
        </w:rPr>
        <w:t xml:space="preserve"> 2015. </w:t>
      </w:r>
      <w:r w:rsidRPr="000C5050">
        <w:rPr>
          <w:i/>
        </w:rPr>
        <w:t>A way forward for national direction</w:t>
      </w:r>
      <w:r w:rsidRPr="000C5050">
        <w:t xml:space="preserve">. Wellington: Ministry for the Environment. </w:t>
      </w:r>
      <w:proofErr w:type="gramStart"/>
      <w:r w:rsidRPr="000C5050">
        <w:t xml:space="preserve">Retrieved from </w:t>
      </w:r>
      <w:r w:rsidRPr="000C5050">
        <w:rPr>
          <w:rStyle w:val="Hyperlink"/>
          <w:rFonts w:eastAsiaTheme="majorEastAsia"/>
        </w:rPr>
        <w:t>www.mfe.govt.nz/publications/rma/way-forward-national-direction</w:t>
      </w:r>
      <w:r w:rsidR="001810C5" w:rsidRPr="00F63CAB">
        <w:rPr>
          <w:rStyle w:val="Hyperlink"/>
          <w:rFonts w:eastAsiaTheme="majorEastAsia"/>
        </w:rPr>
        <w:t>.</w:t>
      </w:r>
      <w:proofErr w:type="gramEnd"/>
      <w:r w:rsidRPr="000C5050">
        <w:rPr>
          <w:rStyle w:val="Hyperlink"/>
          <w:rFonts w:eastAsiaTheme="majorEastAsia"/>
        </w:rPr>
        <w:t xml:space="preserve"> </w:t>
      </w:r>
    </w:p>
    <w:p w14:paraId="6D303CE8" w14:textId="2040D65B" w:rsidR="00034BBE" w:rsidRPr="000C5050" w:rsidRDefault="00034BBE" w:rsidP="00936501">
      <w:pPr>
        <w:pStyle w:val="References"/>
        <w:spacing w:before="100" w:after="100"/>
        <w:rPr>
          <w:rFonts w:eastAsia="Calibri"/>
        </w:rPr>
      </w:pPr>
      <w:proofErr w:type="gramStart"/>
      <w:r w:rsidRPr="000C5050">
        <w:rPr>
          <w:rFonts w:eastAsia="Calibri"/>
        </w:rPr>
        <w:lastRenderedPageBreak/>
        <w:t>Ministry for the Environment.</w:t>
      </w:r>
      <w:proofErr w:type="gramEnd"/>
      <w:r w:rsidRPr="000C5050">
        <w:rPr>
          <w:rFonts w:eastAsia="Calibri"/>
        </w:rPr>
        <w:t xml:space="preserve"> 2016a. </w:t>
      </w:r>
      <w:r w:rsidRPr="000C5050">
        <w:rPr>
          <w:rFonts w:eastAsia="Calibri"/>
          <w:i/>
        </w:rPr>
        <w:t>Interim review of the National Environmental Standard for Assessing and Managing Contaminants in Soil to Protect Human Health: Summary Report</w:t>
      </w:r>
      <w:r w:rsidRPr="000C5050">
        <w:rPr>
          <w:rFonts w:eastAsia="Calibri"/>
        </w:rPr>
        <w:t>. Wellington: Ministry for the Environment. Retriev</w:t>
      </w:r>
      <w:r w:rsidR="00F63CAB">
        <w:rPr>
          <w:rFonts w:eastAsia="Calibri"/>
        </w:rPr>
        <w:t xml:space="preserve">ed from </w:t>
      </w:r>
      <w:r w:rsidR="00F63CAB" w:rsidRPr="00F63CAB">
        <w:rPr>
          <w:rStyle w:val="Hyperlink"/>
          <w:rFonts w:eastAsiaTheme="majorEastAsia"/>
        </w:rPr>
        <w:t>www.mfe.govt.nz/publications/land/interim-review-national-environmental-standard-assessing-and-managing-contaminants</w:t>
      </w:r>
    </w:p>
    <w:sectPr w:rsidR="00034BBE" w:rsidRPr="000C5050" w:rsidSect="00741FD0">
      <w:headerReference w:type="even" r:id="rId42"/>
      <w:footerReference w:type="even" r:id="rId43"/>
      <w:footerReference w:type="default" r:id="rId44"/>
      <w:endnotePr>
        <w:numFmt w:val="decimal"/>
      </w:endnotePr>
      <w:pgSz w:w="11907" w:h="16840" w:code="9"/>
      <w:pgMar w:top="1134" w:right="1418" w:bottom="1134" w:left="1418" w:header="567" w:footer="567" w:gutter="567"/>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CBCC94" w15:done="0"/>
  <w15:commentEx w15:paraId="049B1DD7" w15:done="0"/>
  <w15:commentEx w15:paraId="6BDB32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71C67" w14:textId="77777777" w:rsidR="00E80BEE" w:rsidRDefault="00E80BEE" w:rsidP="009B0142">
      <w:pPr>
        <w:spacing w:after="0" w:line="240" w:lineRule="auto"/>
      </w:pPr>
      <w:r>
        <w:separator/>
      </w:r>
    </w:p>
  </w:endnote>
  <w:endnote w:type="continuationSeparator" w:id="0">
    <w:p w14:paraId="71E8243B" w14:textId="77777777" w:rsidR="00E80BEE" w:rsidRPr="00775A35" w:rsidRDefault="00E80BEE" w:rsidP="009B0142">
      <w:pPr>
        <w:spacing w:after="0" w:line="240" w:lineRule="auto"/>
        <w:rPr>
          <w:color w:val="FFFFFF" w:themeColor="background1"/>
        </w:rPr>
      </w:pPr>
      <w:r w:rsidRPr="00775A3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C637C" w14:textId="77777777" w:rsidR="00E80BEE" w:rsidRDefault="00E80BEE" w:rsidP="00A9473E">
    <w:pPr>
      <w:pStyle w:val="Footereven"/>
    </w:pPr>
    <w:r>
      <w:fldChar w:fldCharType="begin"/>
    </w:r>
    <w:r>
      <w:instrText xml:space="preserve"> PAGE   \* MERGEFORMAT </w:instrText>
    </w:r>
    <w:r>
      <w:fldChar w:fldCharType="separate"/>
    </w:r>
    <w:r>
      <w:rPr>
        <w:noProof/>
      </w:rPr>
      <w:t>2</w:t>
    </w:r>
    <w:r>
      <w:rPr>
        <w:noProof/>
      </w:rPr>
      <w:fldChar w:fldCharType="end"/>
    </w:r>
    <w:r>
      <w:rPr>
        <w:noProof/>
      </w:rPr>
      <w:tab/>
    </w:r>
    <w:r w:rsidRPr="00A9473E">
      <w:t>Improving our resource management system: A discussion document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8F319" w14:textId="77777777" w:rsidR="00E80BEE" w:rsidRPr="00CB44C4" w:rsidRDefault="00E80BEE" w:rsidP="00D1765C">
    <w:pPr>
      <w:pStyle w:val="Footerodd"/>
      <w:tabs>
        <w:tab w:val="clear" w:pos="7938"/>
        <w:tab w:val="clear" w:pos="8505"/>
        <w:tab w:val="right" w:pos="13892"/>
        <w:tab w:val="right" w:pos="14572"/>
      </w:tabs>
    </w:pPr>
    <w:r w:rsidRPr="00CB44C4">
      <w:tab/>
    </w:r>
    <w:r w:rsidRPr="00FC7F5C">
      <w:rPr>
        <w:szCs w:val="18"/>
      </w:rPr>
      <w:t>Proposed Amendments to the National Environmental Standard for Assessing and Managing Contaminants in Soil to Protect Human Health: Consultation Document</w:t>
    </w:r>
    <w:r w:rsidRPr="00CB44C4">
      <w:tab/>
    </w: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sidR="00965D37">
      <w:rPr>
        <w:rStyle w:val="PageNumber"/>
        <w:rFonts w:ascii="Calibri" w:hAnsi="Calibri"/>
        <w:b w:val="0"/>
        <w:bCs w:val="0"/>
        <w:noProof/>
        <w:sz w:val="18"/>
        <w:szCs w:val="16"/>
      </w:rPr>
      <w:t>63</w:t>
    </w:r>
    <w:r w:rsidRPr="00CB44C4">
      <w:rPr>
        <w:rStyle w:val="PageNumber"/>
        <w:rFonts w:ascii="Calibri" w:hAnsi="Calibri"/>
        <w:b w:val="0"/>
        <w:bCs w:val="0"/>
        <w:sz w:val="18"/>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E9FC3" w14:textId="77777777" w:rsidR="00E80BEE" w:rsidRPr="00F866C3" w:rsidRDefault="00E80BEE" w:rsidP="00D1765C">
    <w:pPr>
      <w:pStyle w:val="Footereven"/>
      <w:tabs>
        <w:tab w:val="clear" w:pos="567"/>
        <w:tab w:val="left" w:pos="851"/>
        <w:tab w:val="right" w:pos="8504"/>
      </w:tabs>
      <w:rPr>
        <w:szCs w:val="18"/>
      </w:rPr>
    </w:pPr>
    <w:r>
      <w:rPr>
        <w:szCs w:val="18"/>
      </w:rPr>
      <w:tab/>
    </w:r>
    <w:r>
      <w:rPr>
        <w:szCs w:val="18"/>
      </w:rPr>
      <w:tab/>
    </w:r>
    <w:r w:rsidRPr="00FC7F5C">
      <w:rPr>
        <w:szCs w:val="18"/>
      </w:rPr>
      <w:t>Proposed Amendments to the National Environmental Standard for Assessing and Managing</w:t>
    </w:r>
    <w:r>
      <w:rPr>
        <w:szCs w:val="18"/>
      </w:rPr>
      <w:br/>
    </w:r>
    <w:r w:rsidRPr="00291424">
      <w:rPr>
        <w:rStyle w:val="PageNumber"/>
        <w:rFonts w:ascii="Calibri" w:hAnsi="Calibri"/>
        <w:b w:val="0"/>
        <w:sz w:val="18"/>
        <w:szCs w:val="18"/>
      </w:rPr>
      <w:fldChar w:fldCharType="begin"/>
    </w:r>
    <w:r w:rsidRPr="00291424">
      <w:rPr>
        <w:rStyle w:val="PageNumber"/>
        <w:rFonts w:ascii="Calibri" w:hAnsi="Calibri"/>
        <w:b w:val="0"/>
        <w:sz w:val="18"/>
        <w:szCs w:val="18"/>
      </w:rPr>
      <w:instrText xml:space="preserve"> PAGE </w:instrText>
    </w:r>
    <w:r w:rsidRPr="00291424">
      <w:rPr>
        <w:rStyle w:val="PageNumber"/>
        <w:rFonts w:ascii="Calibri" w:hAnsi="Calibri"/>
        <w:b w:val="0"/>
        <w:sz w:val="18"/>
        <w:szCs w:val="18"/>
      </w:rPr>
      <w:fldChar w:fldCharType="separate"/>
    </w:r>
    <w:r w:rsidR="00965D37">
      <w:rPr>
        <w:rStyle w:val="PageNumber"/>
        <w:rFonts w:ascii="Calibri" w:hAnsi="Calibri"/>
        <w:b w:val="0"/>
        <w:noProof/>
        <w:sz w:val="18"/>
        <w:szCs w:val="18"/>
      </w:rPr>
      <w:t>66</w:t>
    </w:r>
    <w:r w:rsidRPr="00291424">
      <w:rPr>
        <w:rStyle w:val="PageNumber"/>
        <w:rFonts w:ascii="Calibri" w:hAnsi="Calibri"/>
        <w:b w:val="0"/>
        <w:sz w:val="18"/>
        <w:szCs w:val="18"/>
      </w:rPr>
      <w:fldChar w:fldCharType="end"/>
    </w:r>
    <w:r>
      <w:rPr>
        <w:szCs w:val="18"/>
      </w:rPr>
      <w:tab/>
    </w:r>
    <w:r>
      <w:rPr>
        <w:szCs w:val="18"/>
      </w:rPr>
      <w:tab/>
    </w:r>
    <w:r w:rsidRPr="00FC7F5C">
      <w:rPr>
        <w:szCs w:val="18"/>
      </w:rPr>
      <w:t xml:space="preserve"> Contaminants in Soil to Protect Human Health: Consultation Document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18E7A" w14:textId="77777777" w:rsidR="00E80BEE" w:rsidRPr="00CB44C4" w:rsidRDefault="00E80BEE" w:rsidP="00EE799C">
    <w:pPr>
      <w:pStyle w:val="Footerodd"/>
      <w:tabs>
        <w:tab w:val="clear" w:pos="7938"/>
      </w:tabs>
    </w:pPr>
    <w:r w:rsidRPr="00FC7F5C">
      <w:t xml:space="preserve">Proposed Amendments to the National Environmental Standard for Assessing and Managing </w:t>
    </w:r>
    <w:r>
      <w:br/>
    </w:r>
    <w:r w:rsidRPr="00FC7F5C">
      <w:t>Contaminants in Soil to Protect Human Health: Consultation Document</w:t>
    </w:r>
    <w:r w:rsidRPr="00CB44C4">
      <w:tab/>
    </w: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sidR="00965D37">
      <w:rPr>
        <w:rStyle w:val="PageNumber"/>
        <w:rFonts w:ascii="Calibri" w:hAnsi="Calibri"/>
        <w:b w:val="0"/>
        <w:bCs w:val="0"/>
        <w:noProof/>
        <w:sz w:val="18"/>
        <w:szCs w:val="16"/>
      </w:rPr>
      <w:t>65</w:t>
    </w:r>
    <w:r w:rsidRPr="00CB44C4">
      <w:rPr>
        <w:rStyle w:val="PageNumber"/>
        <w:rFonts w:ascii="Calibri" w:hAnsi="Calibri"/>
        <w:b w:val="0"/>
        <w:bCs w:val="0"/>
        <w:sz w:val="18"/>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59081" w14:textId="77777777" w:rsidR="00E80BEE" w:rsidRDefault="00E80BEE" w:rsidP="00A9473E">
    <w:pPr>
      <w:pStyle w:val="Footerodd"/>
    </w:pPr>
    <w:r>
      <w:tab/>
    </w:r>
    <w:r w:rsidRPr="00A9473E">
      <w:t>Improving our resource management system: A discussion document</w:t>
    </w:r>
    <w:r>
      <w:tab/>
    </w: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BC440" w14:textId="615AD8A6" w:rsidR="00E80BEE" w:rsidRPr="003211A3" w:rsidRDefault="00E80BEE" w:rsidP="003211A3">
    <w:pPr>
      <w:pStyle w:val="Footer"/>
      <w:tabs>
        <w:tab w:val="clear" w:pos="4513"/>
        <w:tab w:val="clear" w:pos="9026"/>
      </w:tabs>
      <w:ind w:left="-57"/>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B14D8" w14:textId="77777777" w:rsidR="00E80BEE" w:rsidRPr="0040640A" w:rsidRDefault="00E80BEE" w:rsidP="004064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7D476" w14:textId="77777777" w:rsidR="00E80BEE" w:rsidRPr="00F866C3" w:rsidRDefault="00E80BEE" w:rsidP="00FC7F5C">
    <w:pPr>
      <w:pStyle w:val="Footereven"/>
      <w:tabs>
        <w:tab w:val="clear" w:pos="567"/>
        <w:tab w:val="right" w:pos="8504"/>
      </w:tabs>
      <w:rPr>
        <w:szCs w:val="18"/>
      </w:rPr>
    </w:pPr>
    <w:r>
      <w:rPr>
        <w:szCs w:val="18"/>
      </w:rPr>
      <w:tab/>
    </w:r>
    <w:r w:rsidRPr="00FC7F5C">
      <w:rPr>
        <w:szCs w:val="18"/>
      </w:rPr>
      <w:t xml:space="preserve">Proposed Amendments to the National Environmental Standard for Assessing and Managing </w:t>
    </w:r>
    <w:r>
      <w:rPr>
        <w:szCs w:val="18"/>
      </w:rPr>
      <w:br/>
    </w:r>
    <w:r w:rsidRPr="00291424">
      <w:rPr>
        <w:rStyle w:val="PageNumber"/>
        <w:rFonts w:ascii="Calibri" w:hAnsi="Calibri"/>
        <w:b w:val="0"/>
        <w:sz w:val="18"/>
        <w:szCs w:val="18"/>
      </w:rPr>
      <w:fldChar w:fldCharType="begin"/>
    </w:r>
    <w:r w:rsidRPr="00291424">
      <w:rPr>
        <w:rStyle w:val="PageNumber"/>
        <w:rFonts w:ascii="Calibri" w:hAnsi="Calibri"/>
        <w:b w:val="0"/>
        <w:sz w:val="18"/>
        <w:szCs w:val="18"/>
      </w:rPr>
      <w:instrText xml:space="preserve"> PAGE </w:instrText>
    </w:r>
    <w:r w:rsidRPr="00291424">
      <w:rPr>
        <w:rStyle w:val="PageNumber"/>
        <w:rFonts w:ascii="Calibri" w:hAnsi="Calibri"/>
        <w:b w:val="0"/>
        <w:sz w:val="18"/>
        <w:szCs w:val="18"/>
      </w:rPr>
      <w:fldChar w:fldCharType="separate"/>
    </w:r>
    <w:r w:rsidR="00965D37">
      <w:rPr>
        <w:rStyle w:val="PageNumber"/>
        <w:rFonts w:ascii="Calibri" w:hAnsi="Calibri"/>
        <w:b w:val="0"/>
        <w:noProof/>
        <w:sz w:val="18"/>
        <w:szCs w:val="18"/>
      </w:rPr>
      <w:t>4</w:t>
    </w:r>
    <w:r w:rsidRPr="00291424">
      <w:rPr>
        <w:rStyle w:val="PageNumber"/>
        <w:rFonts w:ascii="Calibri" w:hAnsi="Calibri"/>
        <w:b w:val="0"/>
        <w:sz w:val="18"/>
        <w:szCs w:val="18"/>
      </w:rPr>
      <w:fldChar w:fldCharType="end"/>
    </w:r>
    <w:r>
      <w:rPr>
        <w:szCs w:val="18"/>
      </w:rPr>
      <w:tab/>
    </w:r>
    <w:r w:rsidRPr="00FC7F5C">
      <w:rPr>
        <w:szCs w:val="18"/>
      </w:rPr>
      <w:t>Contaminants in Soil to Protect Human Health: Consultation Document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583C" w14:textId="77777777" w:rsidR="00E80BEE" w:rsidRPr="00F866C3" w:rsidRDefault="00E80BEE" w:rsidP="00FC7F5C">
    <w:pPr>
      <w:pStyle w:val="Footerodd"/>
      <w:rPr>
        <w:szCs w:val="18"/>
      </w:rPr>
    </w:pPr>
    <w:r w:rsidRPr="00FC7F5C">
      <w:rPr>
        <w:szCs w:val="18"/>
      </w:rPr>
      <w:t xml:space="preserve">Proposed Amendments to the National Environmental Standard for Assessing and Managing </w:t>
    </w:r>
    <w:r>
      <w:rPr>
        <w:szCs w:val="18"/>
      </w:rPr>
      <w:br/>
    </w:r>
    <w:r w:rsidRPr="00FC7F5C">
      <w:rPr>
        <w:szCs w:val="18"/>
      </w:rPr>
      <w:t>Contaminants in Soil to Protect Human Health: Consultation Document</w:t>
    </w:r>
    <w:r>
      <w:rPr>
        <w:szCs w:val="18"/>
      </w:rPr>
      <w:tab/>
    </w:r>
    <w:r w:rsidRPr="00F866C3">
      <w:rPr>
        <w:szCs w:val="18"/>
      </w:rPr>
      <w:tab/>
    </w:r>
    <w:r w:rsidRPr="00291424">
      <w:rPr>
        <w:rStyle w:val="PageNumber"/>
        <w:rFonts w:ascii="Calibri" w:hAnsi="Calibri"/>
        <w:b w:val="0"/>
        <w:sz w:val="18"/>
        <w:szCs w:val="18"/>
      </w:rPr>
      <w:fldChar w:fldCharType="begin"/>
    </w:r>
    <w:r w:rsidRPr="00291424">
      <w:rPr>
        <w:rStyle w:val="PageNumber"/>
        <w:rFonts w:ascii="Calibri" w:hAnsi="Calibri"/>
        <w:b w:val="0"/>
        <w:sz w:val="18"/>
        <w:szCs w:val="18"/>
      </w:rPr>
      <w:instrText xml:space="preserve"> PAGE </w:instrText>
    </w:r>
    <w:r w:rsidRPr="00291424">
      <w:rPr>
        <w:rStyle w:val="PageNumber"/>
        <w:rFonts w:ascii="Calibri" w:hAnsi="Calibri"/>
        <w:b w:val="0"/>
        <w:sz w:val="18"/>
        <w:szCs w:val="18"/>
      </w:rPr>
      <w:fldChar w:fldCharType="separate"/>
    </w:r>
    <w:r w:rsidR="00965D37">
      <w:rPr>
        <w:rStyle w:val="PageNumber"/>
        <w:rFonts w:ascii="Calibri" w:hAnsi="Calibri"/>
        <w:b w:val="0"/>
        <w:noProof/>
        <w:sz w:val="18"/>
        <w:szCs w:val="18"/>
      </w:rPr>
      <w:t>3</w:t>
    </w:r>
    <w:r w:rsidRPr="00291424">
      <w:rPr>
        <w:rStyle w:val="PageNumber"/>
        <w:rFonts w:ascii="Calibri" w:hAnsi="Calibri"/>
        <w:b w:val="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5AA81" w14:textId="77777777" w:rsidR="00E80BEE" w:rsidRPr="00F866C3" w:rsidRDefault="00E80BEE" w:rsidP="00FC7F5C">
    <w:pPr>
      <w:pStyle w:val="Footereven"/>
      <w:tabs>
        <w:tab w:val="clear" w:pos="567"/>
        <w:tab w:val="right" w:pos="8504"/>
      </w:tabs>
      <w:rPr>
        <w:szCs w:val="18"/>
      </w:rPr>
    </w:pPr>
    <w:r>
      <w:rPr>
        <w:szCs w:val="18"/>
      </w:rPr>
      <w:tab/>
    </w:r>
    <w:r w:rsidRPr="00FC7F5C">
      <w:rPr>
        <w:szCs w:val="18"/>
      </w:rPr>
      <w:t xml:space="preserve">Proposed Amendments to the National Environmental Standard for Assessing and Managing </w:t>
    </w:r>
    <w:r>
      <w:rPr>
        <w:szCs w:val="18"/>
      </w:rPr>
      <w:br/>
    </w:r>
    <w:r w:rsidRPr="00291424">
      <w:rPr>
        <w:rStyle w:val="PageNumber"/>
        <w:rFonts w:ascii="Calibri" w:hAnsi="Calibri"/>
        <w:b w:val="0"/>
        <w:sz w:val="18"/>
        <w:szCs w:val="18"/>
      </w:rPr>
      <w:fldChar w:fldCharType="begin"/>
    </w:r>
    <w:r w:rsidRPr="00291424">
      <w:rPr>
        <w:rStyle w:val="PageNumber"/>
        <w:rFonts w:ascii="Calibri" w:hAnsi="Calibri"/>
        <w:b w:val="0"/>
        <w:sz w:val="18"/>
        <w:szCs w:val="18"/>
      </w:rPr>
      <w:instrText xml:space="preserve"> PAGE </w:instrText>
    </w:r>
    <w:r w:rsidRPr="00291424">
      <w:rPr>
        <w:rStyle w:val="PageNumber"/>
        <w:rFonts w:ascii="Calibri" w:hAnsi="Calibri"/>
        <w:b w:val="0"/>
        <w:sz w:val="18"/>
        <w:szCs w:val="18"/>
      </w:rPr>
      <w:fldChar w:fldCharType="separate"/>
    </w:r>
    <w:r w:rsidR="00965D37">
      <w:rPr>
        <w:rStyle w:val="PageNumber"/>
        <w:rFonts w:ascii="Calibri" w:hAnsi="Calibri"/>
        <w:b w:val="0"/>
        <w:noProof/>
        <w:sz w:val="18"/>
        <w:szCs w:val="18"/>
      </w:rPr>
      <w:t>58</w:t>
    </w:r>
    <w:r w:rsidRPr="00291424">
      <w:rPr>
        <w:rStyle w:val="PageNumber"/>
        <w:rFonts w:ascii="Calibri" w:hAnsi="Calibri"/>
        <w:b w:val="0"/>
        <w:sz w:val="18"/>
        <w:szCs w:val="18"/>
      </w:rPr>
      <w:fldChar w:fldCharType="end"/>
    </w:r>
    <w:r>
      <w:rPr>
        <w:szCs w:val="18"/>
      </w:rPr>
      <w:tab/>
    </w:r>
    <w:r w:rsidRPr="00FC7F5C">
      <w:rPr>
        <w:szCs w:val="18"/>
      </w:rPr>
      <w:t>Contaminants in Soil to Protect Human Health: Consultation Document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AA3FC" w14:textId="77777777" w:rsidR="00E80BEE" w:rsidRPr="00F866C3" w:rsidRDefault="00E80BEE" w:rsidP="00FC7F5C">
    <w:pPr>
      <w:pStyle w:val="Footerodd"/>
      <w:rPr>
        <w:szCs w:val="18"/>
      </w:rPr>
    </w:pPr>
    <w:r w:rsidRPr="00FC7F5C">
      <w:rPr>
        <w:szCs w:val="18"/>
      </w:rPr>
      <w:t xml:space="preserve">Proposed Amendments to the National Environmental Standard for Assessing and Managing </w:t>
    </w:r>
    <w:r>
      <w:rPr>
        <w:szCs w:val="18"/>
      </w:rPr>
      <w:br/>
    </w:r>
    <w:r w:rsidRPr="00FC7F5C">
      <w:rPr>
        <w:szCs w:val="18"/>
      </w:rPr>
      <w:t>Contaminants in Soil to Protect Human Health: Consultation Document</w:t>
    </w:r>
    <w:r>
      <w:rPr>
        <w:szCs w:val="18"/>
      </w:rPr>
      <w:tab/>
    </w:r>
    <w:r w:rsidRPr="00F866C3">
      <w:rPr>
        <w:szCs w:val="18"/>
      </w:rPr>
      <w:tab/>
    </w:r>
    <w:r w:rsidRPr="00291424">
      <w:rPr>
        <w:rStyle w:val="PageNumber"/>
        <w:rFonts w:ascii="Calibri" w:hAnsi="Calibri"/>
        <w:b w:val="0"/>
        <w:sz w:val="18"/>
        <w:szCs w:val="18"/>
      </w:rPr>
      <w:fldChar w:fldCharType="begin"/>
    </w:r>
    <w:r w:rsidRPr="00291424">
      <w:rPr>
        <w:rStyle w:val="PageNumber"/>
        <w:rFonts w:ascii="Calibri" w:hAnsi="Calibri"/>
        <w:b w:val="0"/>
        <w:sz w:val="18"/>
        <w:szCs w:val="18"/>
      </w:rPr>
      <w:instrText xml:space="preserve"> PAGE </w:instrText>
    </w:r>
    <w:r w:rsidRPr="00291424">
      <w:rPr>
        <w:rStyle w:val="PageNumber"/>
        <w:rFonts w:ascii="Calibri" w:hAnsi="Calibri"/>
        <w:b w:val="0"/>
        <w:sz w:val="18"/>
        <w:szCs w:val="18"/>
      </w:rPr>
      <w:fldChar w:fldCharType="separate"/>
    </w:r>
    <w:r w:rsidR="00965D37">
      <w:rPr>
        <w:rStyle w:val="PageNumber"/>
        <w:rFonts w:ascii="Calibri" w:hAnsi="Calibri"/>
        <w:b w:val="0"/>
        <w:noProof/>
        <w:sz w:val="18"/>
        <w:szCs w:val="18"/>
      </w:rPr>
      <w:t>57</w:t>
    </w:r>
    <w:r w:rsidRPr="00291424">
      <w:rPr>
        <w:rStyle w:val="PageNumber"/>
        <w:rFonts w:ascii="Calibri" w:hAnsi="Calibri"/>
        <w:b w:val="0"/>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AF120" w14:textId="77777777" w:rsidR="00E80BEE" w:rsidRPr="00F866C3" w:rsidRDefault="00E80BEE" w:rsidP="00D1765C">
    <w:pPr>
      <w:pStyle w:val="Footereven"/>
      <w:tabs>
        <w:tab w:val="clear" w:pos="567"/>
        <w:tab w:val="left" w:pos="851"/>
        <w:tab w:val="right" w:pos="8504"/>
      </w:tabs>
      <w:rPr>
        <w:szCs w:val="18"/>
      </w:rPr>
    </w:pPr>
    <w:r w:rsidRPr="00291424">
      <w:rPr>
        <w:rStyle w:val="PageNumber"/>
        <w:rFonts w:ascii="Calibri" w:hAnsi="Calibri"/>
        <w:b w:val="0"/>
        <w:sz w:val="18"/>
        <w:szCs w:val="18"/>
      </w:rPr>
      <w:fldChar w:fldCharType="begin"/>
    </w:r>
    <w:r w:rsidRPr="00291424">
      <w:rPr>
        <w:rStyle w:val="PageNumber"/>
        <w:rFonts w:ascii="Calibri" w:hAnsi="Calibri"/>
        <w:b w:val="0"/>
        <w:sz w:val="18"/>
        <w:szCs w:val="18"/>
      </w:rPr>
      <w:instrText xml:space="preserve"> PAGE </w:instrText>
    </w:r>
    <w:r w:rsidRPr="00291424">
      <w:rPr>
        <w:rStyle w:val="PageNumber"/>
        <w:rFonts w:ascii="Calibri" w:hAnsi="Calibri"/>
        <w:b w:val="0"/>
        <w:sz w:val="18"/>
        <w:szCs w:val="18"/>
      </w:rPr>
      <w:fldChar w:fldCharType="separate"/>
    </w:r>
    <w:r w:rsidR="00965D37">
      <w:rPr>
        <w:rStyle w:val="PageNumber"/>
        <w:rFonts w:ascii="Calibri" w:hAnsi="Calibri"/>
        <w:b w:val="0"/>
        <w:noProof/>
        <w:sz w:val="18"/>
        <w:szCs w:val="18"/>
      </w:rPr>
      <w:t>62</w:t>
    </w:r>
    <w:r w:rsidRPr="00291424">
      <w:rPr>
        <w:rStyle w:val="PageNumber"/>
        <w:rFonts w:ascii="Calibri" w:hAnsi="Calibri"/>
        <w:b w:val="0"/>
        <w:sz w:val="18"/>
        <w:szCs w:val="18"/>
      </w:rPr>
      <w:fldChar w:fldCharType="end"/>
    </w:r>
    <w:r>
      <w:rPr>
        <w:szCs w:val="18"/>
      </w:rPr>
      <w:tab/>
    </w:r>
    <w:r w:rsidRPr="00FC7F5C">
      <w:rPr>
        <w:szCs w:val="18"/>
      </w:rPr>
      <w:t>Proposed Amendments to the National Environmental Standard for Assessing and Managing Contaminants in Soil to Protect Human Health: Consultation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2CD07" w14:textId="77777777" w:rsidR="00E80BEE" w:rsidRDefault="00E80BEE" w:rsidP="005A785D">
      <w:pPr>
        <w:spacing w:after="0" w:line="240" w:lineRule="auto"/>
      </w:pPr>
      <w:r>
        <w:separator/>
      </w:r>
    </w:p>
  </w:footnote>
  <w:footnote w:type="continuationSeparator" w:id="0">
    <w:p w14:paraId="70FC1F1D" w14:textId="77777777" w:rsidR="00E80BEE" w:rsidRDefault="00E80BEE" w:rsidP="009B0142">
      <w:pPr>
        <w:spacing w:after="0" w:line="240" w:lineRule="auto"/>
      </w:pPr>
      <w:r>
        <w:continuationSeparator/>
      </w:r>
    </w:p>
  </w:footnote>
  <w:footnote w:id="1">
    <w:p w14:paraId="7ADB7042" w14:textId="77777777" w:rsidR="00E80BEE" w:rsidRPr="00732034" w:rsidRDefault="00E80BEE" w:rsidP="00732034">
      <w:pPr>
        <w:pStyle w:val="FootnoteText"/>
        <w:rPr>
          <w:szCs w:val="18"/>
        </w:rPr>
      </w:pPr>
      <w:r w:rsidRPr="00732034">
        <w:rPr>
          <w:rStyle w:val="FootnoteReference"/>
          <w:sz w:val="18"/>
          <w:szCs w:val="18"/>
        </w:rPr>
        <w:footnoteRef/>
      </w:r>
      <w:r w:rsidRPr="00732034">
        <w:rPr>
          <w:rStyle w:val="FootnoteReference"/>
          <w:sz w:val="18"/>
          <w:szCs w:val="18"/>
        </w:rPr>
        <w:t xml:space="preserve"> </w:t>
      </w:r>
      <w:r w:rsidRPr="00732034">
        <w:rPr>
          <w:rStyle w:val="FootnoteReference"/>
          <w:sz w:val="18"/>
          <w:szCs w:val="18"/>
        </w:rPr>
        <w:tab/>
      </w:r>
      <w:r w:rsidRPr="00732034">
        <w:rPr>
          <w:szCs w:val="18"/>
          <w:lang w:val="en-NZ"/>
        </w:rPr>
        <w:t>[EGI(11)68]</w:t>
      </w:r>
    </w:p>
  </w:footnote>
  <w:footnote w:id="2">
    <w:p w14:paraId="5F180764" w14:textId="77777777" w:rsidR="00E80BEE" w:rsidRPr="000933C6" w:rsidRDefault="00E80BEE" w:rsidP="00A27B07">
      <w:pPr>
        <w:pStyle w:val="FootnoteText"/>
        <w:rPr>
          <w:i/>
          <w:lang w:val="en-NZ"/>
        </w:rPr>
      </w:pPr>
      <w:r w:rsidRPr="007A7125">
        <w:rPr>
          <w:rStyle w:val="FootnoteReference"/>
          <w:sz w:val="18"/>
          <w:szCs w:val="18"/>
        </w:rPr>
        <w:footnoteRef/>
      </w:r>
      <w:r w:rsidRPr="007A7125">
        <w:rPr>
          <w:rStyle w:val="FootnoteReference"/>
          <w:sz w:val="18"/>
          <w:szCs w:val="18"/>
        </w:rPr>
        <w:t xml:space="preserve"> </w:t>
      </w:r>
      <w:r w:rsidRPr="007A7125">
        <w:rPr>
          <w:rStyle w:val="FootnoteReference"/>
          <w:sz w:val="18"/>
          <w:szCs w:val="18"/>
        </w:rPr>
        <w:tab/>
      </w:r>
      <w:r w:rsidRPr="007A7125">
        <w:rPr>
          <w:szCs w:val="18"/>
          <w:lang w:val="en-NZ"/>
        </w:rPr>
        <w:t>More information on material incorporated by reference into the NESCS can be found in the NESCS Users’ Guide</w:t>
      </w:r>
      <w:r>
        <w:rPr>
          <w:lang w:val="en-NZ"/>
        </w:rPr>
        <w:t xml:space="preserve"> (Ministry for the Environment, 2012)</w:t>
      </w:r>
      <w:r w:rsidRPr="000933C6">
        <w:rPr>
          <w:i/>
          <w:lang w:val="en-NZ"/>
        </w:rPr>
        <w:t>.</w:t>
      </w:r>
    </w:p>
  </w:footnote>
  <w:footnote w:id="3">
    <w:p w14:paraId="7E9BDB3F" w14:textId="79525E00" w:rsidR="00E80BEE" w:rsidRPr="009147AE" w:rsidRDefault="00E80BEE" w:rsidP="00AE702A">
      <w:pPr>
        <w:pStyle w:val="FootnoteText"/>
      </w:pPr>
      <w:r w:rsidRPr="00CF4A1C">
        <w:rPr>
          <w:rStyle w:val="FootnoteReference"/>
          <w:sz w:val="18"/>
          <w:szCs w:val="18"/>
        </w:rPr>
        <w:footnoteRef/>
      </w:r>
      <w:r w:rsidRPr="00CF4A1C">
        <w:rPr>
          <w:szCs w:val="18"/>
        </w:rPr>
        <w:t xml:space="preserve"> </w:t>
      </w:r>
      <w:r w:rsidRPr="00CF4A1C">
        <w:rPr>
          <w:szCs w:val="18"/>
        </w:rPr>
        <w:tab/>
      </w:r>
      <w:r w:rsidRPr="00CF4A1C">
        <w:rPr>
          <w:szCs w:val="18"/>
          <w:lang w:val="en-NZ"/>
        </w:rPr>
        <w:t>The use of the terms ‘likely’ and</w:t>
      </w:r>
      <w:r>
        <w:rPr>
          <w:szCs w:val="18"/>
          <w:lang w:val="en-NZ"/>
        </w:rPr>
        <w:t xml:space="preserve"> </w:t>
      </w:r>
      <w:r w:rsidRPr="00CF4A1C">
        <w:rPr>
          <w:szCs w:val="18"/>
          <w:lang w:val="en-NZ"/>
        </w:rPr>
        <w:t>‘not likely’ in this section are to facilitate discussion only. We are seeking</w:t>
      </w:r>
      <w:r>
        <w:rPr>
          <w:lang w:val="en-NZ"/>
        </w:rPr>
        <w:t xml:space="preserve"> feedback on what likelihood standard should be adopted – please </w:t>
      </w:r>
      <w:r w:rsidRPr="00EC4D6F">
        <w:rPr>
          <w:lang w:val="en-NZ"/>
        </w:rPr>
        <w:t>see page 18 for</w:t>
      </w:r>
      <w:r>
        <w:rPr>
          <w:lang w:val="en-NZ"/>
        </w:rPr>
        <w:t xml:space="preserve"> further detail.</w:t>
      </w:r>
    </w:p>
  </w:footnote>
  <w:footnote w:id="4">
    <w:p w14:paraId="357B261D" w14:textId="32F7D914" w:rsidR="00E80BEE" w:rsidRPr="009E0F2B" w:rsidRDefault="00E80BEE" w:rsidP="00F92D1C">
      <w:pPr>
        <w:pStyle w:val="FootnoteText"/>
        <w:rPr>
          <w:szCs w:val="18"/>
        </w:rPr>
      </w:pPr>
      <w:r w:rsidRPr="009E0F2B">
        <w:rPr>
          <w:rStyle w:val="FootnoteReference"/>
          <w:sz w:val="18"/>
          <w:szCs w:val="18"/>
        </w:rPr>
        <w:footnoteRef/>
      </w:r>
      <w:r w:rsidRPr="009E0F2B">
        <w:rPr>
          <w:szCs w:val="18"/>
        </w:rPr>
        <w:t xml:space="preserve"> </w:t>
      </w:r>
      <w:r w:rsidRPr="009E0F2B">
        <w:rPr>
          <w:szCs w:val="18"/>
        </w:rPr>
        <w:tab/>
        <w:t>More information on the Guideline consultation can be found on the Ministry’s website (http://www.mfe.govt.nz/consultation/consultation-contaminated-land-management-guidelines).</w:t>
      </w:r>
    </w:p>
  </w:footnote>
  <w:footnote w:id="5">
    <w:p w14:paraId="58460EA7" w14:textId="6D189B77" w:rsidR="00E80BEE" w:rsidRPr="00816755" w:rsidRDefault="00E80BEE">
      <w:pPr>
        <w:pStyle w:val="FootnoteText"/>
        <w:rPr>
          <w:lang w:val="en-NZ"/>
        </w:rPr>
      </w:pPr>
      <w:r w:rsidRPr="009E0F2B">
        <w:rPr>
          <w:rStyle w:val="FootnoteReference"/>
          <w:sz w:val="18"/>
          <w:szCs w:val="18"/>
        </w:rPr>
        <w:footnoteRef/>
      </w:r>
      <w:r w:rsidRPr="009E0F2B">
        <w:rPr>
          <w:szCs w:val="18"/>
        </w:rPr>
        <w:t xml:space="preserve"> </w:t>
      </w:r>
      <w:r w:rsidRPr="009E0F2B">
        <w:rPr>
          <w:szCs w:val="18"/>
          <w:lang w:val="en-NZ"/>
        </w:rPr>
        <w:tab/>
        <w:t>These are not considered to include ‘route specific soil acceptance criteria’, ‘soil acceptance criteria for protection of groundwater quality’ or ‘soil screening criteria for heavy fraction TPH’ which are also listed in the</w:t>
      </w:r>
      <w:r w:rsidRPr="00991E89">
        <w:rPr>
          <w:lang w:val="en-NZ"/>
        </w:rPr>
        <w:t xml:space="preserve"> Petroleum Guidelines</w:t>
      </w:r>
      <w:r>
        <w:rPr>
          <w:lang w:val="en-NZ"/>
        </w:rPr>
        <w:t>.</w:t>
      </w:r>
    </w:p>
  </w:footnote>
  <w:footnote w:id="6">
    <w:p w14:paraId="5071F98E" w14:textId="77777777" w:rsidR="00E80BEE" w:rsidRPr="00B829DE" w:rsidRDefault="00E80BEE">
      <w:pPr>
        <w:pStyle w:val="FootnoteText"/>
        <w:rPr>
          <w:szCs w:val="18"/>
          <w:lang w:val="en-NZ"/>
        </w:rPr>
      </w:pPr>
      <w:r w:rsidRPr="00B829DE">
        <w:rPr>
          <w:rStyle w:val="FootnoteReference"/>
          <w:sz w:val="18"/>
          <w:szCs w:val="18"/>
        </w:rPr>
        <w:footnoteRef/>
      </w:r>
      <w:r w:rsidRPr="00B829DE">
        <w:rPr>
          <w:szCs w:val="18"/>
        </w:rPr>
        <w:t xml:space="preserve"> </w:t>
      </w:r>
      <w:r w:rsidRPr="00B829DE">
        <w:rPr>
          <w:szCs w:val="18"/>
          <w:lang w:val="en-NZ"/>
        </w:rPr>
        <w:tab/>
      </w:r>
      <w:r w:rsidRPr="00B829DE">
        <w:rPr>
          <w:szCs w:val="18"/>
          <w:lang w:val="en-GB"/>
        </w:rPr>
        <w:t xml:space="preserve">For more information, see </w:t>
      </w:r>
      <w:hyperlink r:id="rId1" w:history="1">
        <w:r w:rsidRPr="00B829DE">
          <w:rPr>
            <w:rStyle w:val="Hyperlink"/>
            <w:rFonts w:eastAsiaTheme="majorEastAsia"/>
            <w:szCs w:val="18"/>
            <w:lang w:val="en-GB"/>
          </w:rPr>
          <w:t>www.cenvp.org/</w:t>
        </w:r>
      </w:hyperlink>
      <w:r w:rsidRPr="00B829DE">
        <w:rPr>
          <w:szCs w:val="18"/>
          <w:lang w:val="en-GB"/>
        </w:rPr>
        <w:t xml:space="preserve"> and </w:t>
      </w:r>
      <w:hyperlink r:id="rId2" w:history="1">
        <w:r w:rsidRPr="00B829DE">
          <w:rPr>
            <w:rStyle w:val="Hyperlink"/>
            <w:rFonts w:eastAsiaTheme="majorEastAsia"/>
            <w:szCs w:val="18"/>
            <w:lang w:val="en-GB"/>
          </w:rPr>
          <w:t>www.crccare.com/products-and-services/certification-scheme</w:t>
        </w:r>
      </w:hyperlink>
    </w:p>
  </w:footnote>
  <w:footnote w:id="7">
    <w:p w14:paraId="3D07F143" w14:textId="0FF94967" w:rsidR="00E80BEE" w:rsidRPr="00B829DE" w:rsidRDefault="00E80BEE">
      <w:pPr>
        <w:pStyle w:val="FootnoteText"/>
        <w:rPr>
          <w:szCs w:val="18"/>
          <w:lang w:val="en-NZ"/>
        </w:rPr>
      </w:pPr>
      <w:r w:rsidRPr="00B829DE">
        <w:rPr>
          <w:rStyle w:val="FootnoteReference"/>
          <w:sz w:val="18"/>
          <w:szCs w:val="18"/>
        </w:rPr>
        <w:footnoteRef/>
      </w:r>
      <w:r>
        <w:rPr>
          <w:szCs w:val="18"/>
        </w:rPr>
        <w:t xml:space="preserve"> </w:t>
      </w:r>
      <w:r w:rsidRPr="00B829DE">
        <w:rPr>
          <w:szCs w:val="18"/>
          <w:lang w:val="en-NZ"/>
        </w:rPr>
        <w:tab/>
        <w:t>Definition to be confirmed as part of this consultation, refer proposal 5.2 below.</w:t>
      </w:r>
    </w:p>
  </w:footnote>
  <w:footnote w:id="8">
    <w:p w14:paraId="3F7FA051" w14:textId="77777777" w:rsidR="00E80BEE" w:rsidRPr="000933C6" w:rsidRDefault="00E80BEE" w:rsidP="00417B1D">
      <w:pPr>
        <w:pStyle w:val="FootnoteText"/>
        <w:rPr>
          <w:rFonts w:ascii="Arial" w:hAnsi="Arial" w:cs="Arial"/>
          <w:sz w:val="16"/>
          <w:szCs w:val="16"/>
          <w:lang w:val="en-NZ"/>
        </w:rPr>
      </w:pPr>
      <w:r w:rsidRPr="004F5790">
        <w:rPr>
          <w:rStyle w:val="FootnoteReference"/>
          <w:sz w:val="18"/>
          <w:szCs w:val="18"/>
        </w:rPr>
        <w:footnoteRef/>
      </w:r>
      <w:r w:rsidRPr="004F5790">
        <w:rPr>
          <w:rStyle w:val="FootnoteReference"/>
          <w:sz w:val="18"/>
          <w:szCs w:val="18"/>
        </w:rPr>
        <w:t xml:space="preserve"> </w:t>
      </w:r>
      <w:r w:rsidRPr="004F5790">
        <w:rPr>
          <w:rStyle w:val="FootnoteReference"/>
          <w:sz w:val="18"/>
          <w:szCs w:val="18"/>
        </w:rPr>
        <w:tab/>
      </w:r>
      <w:r w:rsidRPr="004F5790">
        <w:rPr>
          <w:szCs w:val="18"/>
        </w:rPr>
        <w:t>More information on the impacts of varied interpretation of these terms in provided in the Interim review of</w:t>
      </w:r>
      <w:r w:rsidRPr="00923453">
        <w:t xml:space="preserve"> the </w:t>
      </w:r>
      <w:r w:rsidRPr="00646705">
        <w:rPr>
          <w:i/>
        </w:rPr>
        <w:t>National Environmental Standard for Assessing and Managing Contaminants in Soil to Protect Human Health: Summary Report</w:t>
      </w:r>
      <w:r w:rsidRPr="00923453">
        <w:t xml:space="preserve"> </w:t>
      </w:r>
      <w:r w:rsidRPr="000933C6">
        <w:t>(M</w:t>
      </w:r>
      <w:r>
        <w:t xml:space="preserve">inistry </w:t>
      </w:r>
      <w:r w:rsidRPr="000933C6">
        <w:t>f</w:t>
      </w:r>
      <w:r>
        <w:t xml:space="preserve">or the </w:t>
      </w:r>
      <w:r w:rsidRPr="000933C6">
        <w:t>E</w:t>
      </w:r>
      <w:r>
        <w:t>nvironment</w:t>
      </w:r>
      <w:r w:rsidRPr="000933C6">
        <w:t>, 2016</w:t>
      </w:r>
      <w:r>
        <w:t>a</w:t>
      </w:r>
      <w:r w:rsidRPr="000933C6">
        <w:t>).</w:t>
      </w:r>
    </w:p>
  </w:footnote>
  <w:footnote w:id="9">
    <w:p w14:paraId="1E361433" w14:textId="77777777" w:rsidR="00E80BEE" w:rsidRPr="00B3136D" w:rsidRDefault="00E80BEE" w:rsidP="00B3136D">
      <w:pPr>
        <w:pStyle w:val="FootnoteText"/>
      </w:pPr>
      <w:r w:rsidRPr="00B3136D">
        <w:rPr>
          <w:rStyle w:val="FootnoteReference"/>
        </w:rPr>
        <w:footnoteRef/>
      </w:r>
      <w:r w:rsidRPr="00B3136D">
        <w:rPr>
          <w:rStyle w:val="FootnoteReference"/>
        </w:rPr>
        <w:t xml:space="preserve"> </w:t>
      </w:r>
      <w:r w:rsidRPr="00B3136D">
        <w:tab/>
        <w:t>In general terms, remediation means a reduction of the mass of contaminants on site to achieve concentrations of soil contaminants below guideline values (</w:t>
      </w:r>
      <w:proofErr w:type="spellStart"/>
      <w:r w:rsidRPr="00B3136D">
        <w:t>ie</w:t>
      </w:r>
      <w:proofErr w:type="spellEnd"/>
      <w:r w:rsidRPr="00B3136D">
        <w:t>, removing contamination). On-site management means no change in the mass of contaminants (</w:t>
      </w:r>
      <w:proofErr w:type="spellStart"/>
      <w:r w:rsidRPr="00B3136D">
        <w:t>ie</w:t>
      </w:r>
      <w:proofErr w:type="spellEnd"/>
      <w:r w:rsidRPr="00B3136D">
        <w:t>, preventing exposure to contaminants).</w:t>
      </w:r>
      <w:r>
        <w:t xml:space="preserve"> </w:t>
      </w:r>
      <w:r w:rsidRPr="00B3136D">
        <w:t>In practice, a combination of remediation and on-site management is often used to reduce risk.</w:t>
      </w:r>
      <w:r>
        <w:t xml:space="preserve"> </w:t>
      </w:r>
    </w:p>
  </w:footnote>
  <w:footnote w:id="10">
    <w:p w14:paraId="1BB1BB07" w14:textId="77777777" w:rsidR="00E80BEE" w:rsidRPr="00F40E8E" w:rsidRDefault="00E80BEE" w:rsidP="00986308">
      <w:pPr>
        <w:pStyle w:val="FootnoteText"/>
        <w:rPr>
          <w:szCs w:val="18"/>
          <w:lang w:val="en-NZ"/>
        </w:rPr>
      </w:pPr>
      <w:r w:rsidRPr="00F40E8E">
        <w:rPr>
          <w:rStyle w:val="FootnoteReference"/>
          <w:sz w:val="18"/>
          <w:szCs w:val="18"/>
        </w:rPr>
        <w:footnoteRef/>
      </w:r>
      <w:r w:rsidRPr="00F40E8E">
        <w:rPr>
          <w:szCs w:val="18"/>
        </w:rPr>
        <w:t xml:space="preserve"> </w:t>
      </w:r>
      <w:r w:rsidRPr="00F40E8E">
        <w:rPr>
          <w:szCs w:val="18"/>
        </w:rPr>
        <w:tab/>
      </w:r>
      <w:r w:rsidRPr="00F40E8E">
        <w:rPr>
          <w:szCs w:val="18"/>
          <w:lang w:val="en-NZ"/>
        </w:rPr>
        <w:t>This report states that diffuse contamination has arisen from activities that have spread contamination fairly evenly over wide areas of land, at the hectare scale or even larger (</w:t>
      </w:r>
      <w:proofErr w:type="spellStart"/>
      <w:r w:rsidRPr="00F40E8E">
        <w:rPr>
          <w:szCs w:val="18"/>
          <w:lang w:val="en-NZ"/>
        </w:rPr>
        <w:t>ie</w:t>
      </w:r>
      <w:proofErr w:type="spellEnd"/>
      <w:r w:rsidRPr="00F40E8E">
        <w:rPr>
          <w:szCs w:val="18"/>
          <w:lang w:val="en-NZ"/>
        </w:rPr>
        <w:t>, it explicitly excludes hotspots of contamination).</w:t>
      </w:r>
    </w:p>
  </w:footnote>
  <w:footnote w:id="11">
    <w:p w14:paraId="0C60AE7F" w14:textId="77777777" w:rsidR="00E80BEE" w:rsidRPr="0028205C" w:rsidRDefault="00E80BEE" w:rsidP="00986308">
      <w:pPr>
        <w:pStyle w:val="FootnoteText"/>
        <w:rPr>
          <w:lang w:val="en-NZ"/>
        </w:rPr>
      </w:pPr>
      <w:r w:rsidRPr="00F40E8E">
        <w:rPr>
          <w:rStyle w:val="FootnoteReference"/>
          <w:sz w:val="18"/>
          <w:szCs w:val="18"/>
        </w:rPr>
        <w:footnoteRef/>
      </w:r>
      <w:r w:rsidRPr="00F40E8E">
        <w:rPr>
          <w:rStyle w:val="FootnoteReference"/>
          <w:sz w:val="18"/>
          <w:szCs w:val="18"/>
        </w:rPr>
        <w:t xml:space="preserve"> </w:t>
      </w:r>
      <w:r w:rsidRPr="00F40E8E">
        <w:rPr>
          <w:szCs w:val="18"/>
        </w:rPr>
        <w:tab/>
      </w:r>
      <w:r w:rsidRPr="00F40E8E">
        <w:rPr>
          <w:szCs w:val="18"/>
          <w:lang w:val="en-NZ"/>
        </w:rPr>
        <w:t>Discussion in the report is limited to four of the priority contaminants (arsenic, lead, DDT and cadmium), however, the report focused on these as they are the four primary contaminants of concern for residential and</w:t>
      </w:r>
      <w:r w:rsidRPr="0028205C">
        <w:rPr>
          <w:lang w:val="en-NZ"/>
        </w:rPr>
        <w:t xml:space="preserve"> rural residential sites.</w:t>
      </w:r>
    </w:p>
  </w:footnote>
  <w:footnote w:id="12">
    <w:p w14:paraId="74130564" w14:textId="77777777" w:rsidR="00E80BEE" w:rsidRPr="0028205C" w:rsidRDefault="00E80BEE" w:rsidP="00723517">
      <w:pPr>
        <w:pStyle w:val="FootnoteText"/>
        <w:rPr>
          <w:lang w:val="en-NZ"/>
        </w:rPr>
      </w:pPr>
      <w:r w:rsidRPr="00461557">
        <w:rPr>
          <w:rStyle w:val="FootnoteReference"/>
          <w:sz w:val="18"/>
          <w:szCs w:val="18"/>
        </w:rPr>
        <w:footnoteRef/>
      </w:r>
      <w:r w:rsidRPr="00461557">
        <w:rPr>
          <w:szCs w:val="18"/>
        </w:rPr>
        <w:t xml:space="preserve"> </w:t>
      </w:r>
      <w:r w:rsidRPr="00461557">
        <w:rPr>
          <w:szCs w:val="18"/>
        </w:rPr>
        <w:tab/>
      </w:r>
      <w:r w:rsidRPr="00461557">
        <w:rPr>
          <w:szCs w:val="18"/>
          <w:lang w:val="en-NZ"/>
        </w:rPr>
        <w:t xml:space="preserve">That is, the soil guideline value that takes into account the elimination of the </w:t>
      </w:r>
      <w:r w:rsidRPr="00461557">
        <w:rPr>
          <w:rFonts w:eastAsia="Calibri"/>
          <w:szCs w:val="18"/>
          <w:u w:color="000000"/>
          <w:bdr w:val="nil"/>
          <w:lang w:val="en-US"/>
        </w:rPr>
        <w:t>produce consumption pathway</w:t>
      </w:r>
      <w:r w:rsidRPr="0028205C">
        <w:rPr>
          <w:rFonts w:eastAsia="Calibri"/>
          <w:u w:color="000000"/>
          <w:bdr w:val="nil"/>
          <w:lang w:val="en-US"/>
        </w:rPr>
        <w:t xml:space="preserve"> and the effect on other exposure pathways (mainly ingestion) where site management controls have been implemented.</w:t>
      </w:r>
    </w:p>
  </w:footnote>
  <w:footnote w:id="13">
    <w:p w14:paraId="18C2C391" w14:textId="77777777" w:rsidR="00E80BEE" w:rsidRPr="00EE5E49" w:rsidRDefault="00E80BEE" w:rsidP="00723517">
      <w:pPr>
        <w:pStyle w:val="FootnoteText"/>
        <w:rPr>
          <w:szCs w:val="18"/>
          <w:lang w:val="en-GB"/>
        </w:rPr>
      </w:pPr>
      <w:r w:rsidRPr="00EE5E49">
        <w:rPr>
          <w:rStyle w:val="FootnoteReference"/>
          <w:sz w:val="18"/>
          <w:szCs w:val="18"/>
        </w:rPr>
        <w:footnoteRef/>
      </w:r>
      <w:r w:rsidRPr="00EE5E49">
        <w:rPr>
          <w:rStyle w:val="FootnoteReference"/>
          <w:sz w:val="18"/>
          <w:szCs w:val="18"/>
        </w:rPr>
        <w:t xml:space="preserve"> </w:t>
      </w:r>
      <w:r w:rsidRPr="00EE5E49">
        <w:rPr>
          <w:rStyle w:val="FootnoteReference"/>
          <w:sz w:val="18"/>
          <w:szCs w:val="18"/>
        </w:rPr>
        <w:tab/>
      </w:r>
      <w:proofErr w:type="gramStart"/>
      <w:r w:rsidRPr="00EE5E49">
        <w:rPr>
          <w:szCs w:val="18"/>
          <w:lang w:val="en-NZ"/>
        </w:rPr>
        <w:t>B</w:t>
      </w:r>
      <w:proofErr w:type="spellStart"/>
      <w:r w:rsidRPr="00EE5E49">
        <w:rPr>
          <w:szCs w:val="18"/>
        </w:rPr>
        <w:t>ased</w:t>
      </w:r>
      <w:proofErr w:type="spellEnd"/>
      <w:r w:rsidRPr="00EE5E49">
        <w:rPr>
          <w:szCs w:val="18"/>
        </w:rPr>
        <w:t xml:space="preserve"> on the estimated proportion of sites </w:t>
      </w:r>
      <w:r w:rsidRPr="00EE5E49">
        <w:rPr>
          <w:szCs w:val="18"/>
          <w:lang w:val="en-GB"/>
        </w:rPr>
        <w:t>that</w:t>
      </w:r>
      <w:r w:rsidRPr="00EE5E49">
        <w:rPr>
          <w:szCs w:val="18"/>
        </w:rPr>
        <w:t xml:space="preserve"> are found to have low levels of contamination</w:t>
      </w:r>
      <w:r w:rsidRPr="00EE5E49">
        <w:rPr>
          <w:szCs w:val="18"/>
          <w:lang w:val="en-GB"/>
        </w:rPr>
        <w:t>.</w:t>
      </w:r>
      <w:proofErr w:type="gramEnd"/>
    </w:p>
  </w:footnote>
  <w:footnote w:id="14">
    <w:p w14:paraId="02D55D6F" w14:textId="77777777" w:rsidR="00E80BEE" w:rsidRPr="003256BE" w:rsidRDefault="00E80BEE" w:rsidP="00F41057">
      <w:pPr>
        <w:pStyle w:val="FootnoteText"/>
        <w:spacing w:after="40"/>
        <w:rPr>
          <w:szCs w:val="18"/>
          <w:lang w:val="en-GB"/>
        </w:rPr>
      </w:pPr>
      <w:r w:rsidRPr="003256BE">
        <w:rPr>
          <w:rStyle w:val="FootnoteReference"/>
          <w:sz w:val="18"/>
          <w:szCs w:val="18"/>
        </w:rPr>
        <w:footnoteRef/>
      </w:r>
      <w:r w:rsidRPr="003256BE">
        <w:rPr>
          <w:szCs w:val="18"/>
        </w:rPr>
        <w:t xml:space="preserve"> </w:t>
      </w:r>
      <w:r w:rsidRPr="003256BE">
        <w:rPr>
          <w:szCs w:val="18"/>
        </w:rPr>
        <w:tab/>
      </w:r>
      <w:r w:rsidRPr="003256BE">
        <w:rPr>
          <w:rFonts w:eastAsiaTheme="minorEastAsia"/>
          <w:szCs w:val="18"/>
          <w:lang w:val="en-NZ" w:eastAsia="en-NZ"/>
        </w:rPr>
        <w:t>Section 31(1</w:t>
      </w:r>
      <w:proofErr w:type="gramStart"/>
      <w:r w:rsidRPr="003256BE">
        <w:rPr>
          <w:rFonts w:eastAsiaTheme="minorEastAsia"/>
          <w:szCs w:val="18"/>
          <w:lang w:val="en-NZ" w:eastAsia="en-NZ"/>
        </w:rPr>
        <w:t>)(</w:t>
      </w:r>
      <w:proofErr w:type="gramEnd"/>
      <w:r w:rsidRPr="003256BE">
        <w:rPr>
          <w:rFonts w:eastAsiaTheme="minorEastAsia"/>
          <w:szCs w:val="18"/>
          <w:lang w:val="en-NZ" w:eastAsia="en-NZ"/>
        </w:rPr>
        <w:t>b)(</w:t>
      </w:r>
      <w:proofErr w:type="spellStart"/>
      <w:r w:rsidRPr="003256BE">
        <w:rPr>
          <w:rFonts w:eastAsiaTheme="minorEastAsia"/>
          <w:szCs w:val="18"/>
          <w:lang w:val="en-NZ" w:eastAsia="en-NZ"/>
        </w:rPr>
        <w:t>iia</w:t>
      </w:r>
      <w:proofErr w:type="spellEnd"/>
      <w:r w:rsidRPr="003256BE">
        <w:rPr>
          <w:rFonts w:eastAsiaTheme="minorEastAsia"/>
          <w:szCs w:val="18"/>
          <w:lang w:val="en-NZ" w:eastAsia="en-NZ"/>
        </w:rPr>
        <w:t>).</w:t>
      </w:r>
    </w:p>
  </w:footnote>
  <w:footnote w:id="15">
    <w:p w14:paraId="4E6E10F0" w14:textId="77777777" w:rsidR="00E80BEE" w:rsidRPr="000933C6" w:rsidRDefault="00E80BEE" w:rsidP="00F41057">
      <w:pPr>
        <w:pStyle w:val="FootnoteText"/>
        <w:spacing w:after="0" w:line="240" w:lineRule="auto"/>
        <w:rPr>
          <w:lang w:val="en-NZ"/>
        </w:rPr>
      </w:pPr>
      <w:r w:rsidRPr="003256BE">
        <w:rPr>
          <w:rStyle w:val="FootnoteReference"/>
          <w:sz w:val="18"/>
          <w:szCs w:val="18"/>
        </w:rPr>
        <w:footnoteRef/>
      </w:r>
      <w:r w:rsidRPr="003256BE">
        <w:rPr>
          <w:szCs w:val="18"/>
        </w:rPr>
        <w:tab/>
      </w:r>
      <w:r w:rsidRPr="003256BE">
        <w:rPr>
          <w:szCs w:val="18"/>
          <w:lang w:val="en-NZ"/>
        </w:rPr>
        <w:t>The NESCS only relates to human health. Territorial authorities may develop rules to control other effects of the</w:t>
      </w:r>
      <w:r w:rsidRPr="000933C6">
        <w:rPr>
          <w:lang w:val="en-NZ"/>
        </w:rPr>
        <w:t xml:space="preserve"> development, subdivision or use of contaminated land.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16484" w14:textId="64F68BB7" w:rsidR="00E80BEE" w:rsidRDefault="00E80BEE" w:rsidP="0011066F">
    <w:pPr>
      <w:ind w:left="-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E5B2C" w14:textId="77777777" w:rsidR="00E80BEE" w:rsidRDefault="00E80B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5DC9D" w14:textId="77777777" w:rsidR="00E80BEE" w:rsidRDefault="00E80BEE" w:rsidP="0040640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98FE3" w14:textId="77777777" w:rsidR="00E80BEE" w:rsidRDefault="00E80B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2F2D0" w14:textId="77777777" w:rsidR="00E80BEE" w:rsidRDefault="00E80BEE" w:rsidP="0040640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3DC7A" w14:textId="77777777" w:rsidR="00E80BEE" w:rsidRDefault="00E80B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965"/>
    <w:multiLevelType w:val="hybridMultilevel"/>
    <w:tmpl w:val="E29C286E"/>
    <w:lvl w:ilvl="0" w:tplc="1409000F">
      <w:start w:val="1"/>
      <w:numFmt w:val="decimal"/>
      <w:lvlText w:val="%1."/>
      <w:lvlJc w:val="left"/>
      <w:pPr>
        <w:ind w:left="1080" w:hanging="360"/>
      </w:pPr>
    </w:lvl>
    <w:lvl w:ilvl="1" w:tplc="14090019" w:tentative="1">
      <w:start w:val="1"/>
      <w:numFmt w:val="lowerLetter"/>
      <w:lvlText w:val="%2."/>
      <w:lvlJc w:val="left"/>
      <w:pPr>
        <w:ind w:left="1800" w:hanging="360"/>
      </w:pPr>
      <w:rPr>
        <w:rFonts w:cs="Times New Roman"/>
      </w:rPr>
    </w:lvl>
    <w:lvl w:ilvl="2" w:tplc="1409001B" w:tentative="1">
      <w:start w:val="1"/>
      <w:numFmt w:val="lowerRoman"/>
      <w:lvlText w:val="%3."/>
      <w:lvlJc w:val="right"/>
      <w:pPr>
        <w:ind w:left="2520" w:hanging="180"/>
      </w:pPr>
      <w:rPr>
        <w:rFonts w:cs="Times New Roman"/>
      </w:rPr>
    </w:lvl>
    <w:lvl w:ilvl="3" w:tplc="1409000F" w:tentative="1">
      <w:start w:val="1"/>
      <w:numFmt w:val="decimal"/>
      <w:lvlText w:val="%4."/>
      <w:lvlJc w:val="left"/>
      <w:pPr>
        <w:ind w:left="3240" w:hanging="360"/>
      </w:pPr>
      <w:rPr>
        <w:rFonts w:cs="Times New Roman"/>
      </w:rPr>
    </w:lvl>
    <w:lvl w:ilvl="4" w:tplc="14090019" w:tentative="1">
      <w:start w:val="1"/>
      <w:numFmt w:val="lowerLetter"/>
      <w:lvlText w:val="%5."/>
      <w:lvlJc w:val="left"/>
      <w:pPr>
        <w:ind w:left="3960" w:hanging="360"/>
      </w:pPr>
      <w:rPr>
        <w:rFonts w:cs="Times New Roman"/>
      </w:rPr>
    </w:lvl>
    <w:lvl w:ilvl="5" w:tplc="1409001B" w:tentative="1">
      <w:start w:val="1"/>
      <w:numFmt w:val="lowerRoman"/>
      <w:lvlText w:val="%6."/>
      <w:lvlJc w:val="right"/>
      <w:pPr>
        <w:ind w:left="4680" w:hanging="180"/>
      </w:pPr>
      <w:rPr>
        <w:rFonts w:cs="Times New Roman"/>
      </w:rPr>
    </w:lvl>
    <w:lvl w:ilvl="6" w:tplc="1409000F" w:tentative="1">
      <w:start w:val="1"/>
      <w:numFmt w:val="decimal"/>
      <w:lvlText w:val="%7."/>
      <w:lvlJc w:val="left"/>
      <w:pPr>
        <w:ind w:left="5400" w:hanging="360"/>
      </w:pPr>
      <w:rPr>
        <w:rFonts w:cs="Times New Roman"/>
      </w:rPr>
    </w:lvl>
    <w:lvl w:ilvl="7" w:tplc="14090019" w:tentative="1">
      <w:start w:val="1"/>
      <w:numFmt w:val="lowerLetter"/>
      <w:lvlText w:val="%8."/>
      <w:lvlJc w:val="left"/>
      <w:pPr>
        <w:ind w:left="6120" w:hanging="360"/>
      </w:pPr>
      <w:rPr>
        <w:rFonts w:cs="Times New Roman"/>
      </w:rPr>
    </w:lvl>
    <w:lvl w:ilvl="8" w:tplc="1409001B" w:tentative="1">
      <w:start w:val="1"/>
      <w:numFmt w:val="lowerRoman"/>
      <w:lvlText w:val="%9."/>
      <w:lvlJc w:val="right"/>
      <w:pPr>
        <w:ind w:left="6840" w:hanging="180"/>
      </w:pPr>
      <w:rPr>
        <w:rFonts w:cs="Times New Roman"/>
      </w:rPr>
    </w:lvl>
  </w:abstractNum>
  <w:abstractNum w:abstractNumId="1">
    <w:nsid w:val="04864158"/>
    <w:multiLevelType w:val="hybridMultilevel"/>
    <w:tmpl w:val="FAE6D6D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nsid w:val="04B67626"/>
    <w:multiLevelType w:val="hybridMultilevel"/>
    <w:tmpl w:val="8D184994"/>
    <w:lvl w:ilvl="0" w:tplc="DB9C7798">
      <w:start w:val="1"/>
      <w:numFmt w:val="decimal"/>
      <w:pStyle w:val="Numberedparagraph"/>
      <w:lvlText w:val="%1."/>
      <w:lvlJc w:val="left"/>
      <w:pPr>
        <w:tabs>
          <w:tab w:val="num" w:pos="397"/>
        </w:tabs>
        <w:ind w:left="397"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
    <w:nsid w:val="0B0F5F0E"/>
    <w:multiLevelType w:val="hybridMultilevel"/>
    <w:tmpl w:val="C0F062EA"/>
    <w:lvl w:ilvl="0" w:tplc="89C6F4C4">
      <w:start w:val="1"/>
      <w:numFmt w:val="bullet"/>
      <w:pStyle w:val="Blueboxbullet"/>
      <w:lvlText w:val=""/>
      <w:lvlJc w:val="left"/>
      <w:pPr>
        <w:ind w:left="644" w:hanging="360"/>
      </w:pPr>
      <w:rPr>
        <w:rFonts w:ascii="Symbol" w:hAnsi="Symbol" w:hint="default"/>
        <w:color w:val="1C556C"/>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
    <w:nsid w:val="0CE56E33"/>
    <w:multiLevelType w:val="hybridMultilevel"/>
    <w:tmpl w:val="B450FE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EB0199C"/>
    <w:multiLevelType w:val="hybridMultilevel"/>
    <w:tmpl w:val="622A5AD6"/>
    <w:lvl w:ilvl="0" w:tplc="F822B5CE">
      <w:start w:val="1"/>
      <w:numFmt w:val="lowerLetter"/>
      <w:pStyle w:val="Bodytexta"/>
      <w:lvlText w:val="%1)"/>
      <w:lvlJc w:val="left"/>
      <w:pPr>
        <w:ind w:left="1440" w:hanging="360"/>
      </w:pPr>
      <w:rPr>
        <w:rFonts w:ascii="Calibri" w:hAnsi="Calibri" w:hint="default"/>
        <w:b w:val="0"/>
        <w:i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2BC7237"/>
    <w:multiLevelType w:val="multilevel"/>
    <w:tmpl w:val="19B46F9E"/>
    <w:lvl w:ilvl="0">
      <w:start w:val="1"/>
      <w:numFmt w:val="decimal"/>
      <w:lvlText w:val="%1"/>
      <w:lvlJc w:val="left"/>
      <w:pPr>
        <w:ind w:left="397" w:hanging="397"/>
      </w:pPr>
      <w:rPr>
        <w:rFonts w:ascii="Calibri" w:hAnsi="Calibri"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76A7438"/>
    <w:multiLevelType w:val="hybridMultilevel"/>
    <w:tmpl w:val="3E326376"/>
    <w:lvl w:ilvl="0" w:tplc="14090001">
      <w:start w:val="1"/>
      <w:numFmt w:val="bullet"/>
      <w:lvlText w:val=""/>
      <w:lvlJc w:val="left"/>
      <w:pPr>
        <w:ind w:left="720" w:hanging="360"/>
      </w:pPr>
      <w:rPr>
        <w:rFonts w:ascii="Symbol" w:hAnsi="Symbol" w:hint="default"/>
      </w:rPr>
    </w:lvl>
    <w:lvl w:ilvl="1" w:tplc="29A28AB8">
      <w:start w:val="1"/>
      <w:numFmt w:val="bullet"/>
      <w:lvlText w:val=""/>
      <w:lvlJc w:val="left"/>
      <w:pPr>
        <w:ind w:left="1440" w:hanging="360"/>
      </w:pPr>
      <w:rPr>
        <w:rFonts w:ascii="Symbol" w:hAnsi="Symbol" w:hint="default"/>
        <w:sz w:val="18"/>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9D54340"/>
    <w:multiLevelType w:val="hybridMultilevel"/>
    <w:tmpl w:val="1BE22CB6"/>
    <w:lvl w:ilvl="0" w:tplc="1409000F">
      <w:start w:val="1"/>
      <w:numFmt w:val="decimal"/>
      <w:lvlText w:val="%1."/>
      <w:lvlJc w:val="left"/>
      <w:pPr>
        <w:ind w:left="1080" w:hanging="360"/>
      </w:pPr>
    </w:lvl>
    <w:lvl w:ilvl="1" w:tplc="14090019" w:tentative="1">
      <w:start w:val="1"/>
      <w:numFmt w:val="lowerLetter"/>
      <w:lvlText w:val="%2."/>
      <w:lvlJc w:val="left"/>
      <w:pPr>
        <w:ind w:left="1800" w:hanging="360"/>
      </w:pPr>
      <w:rPr>
        <w:rFonts w:cs="Times New Roman"/>
      </w:rPr>
    </w:lvl>
    <w:lvl w:ilvl="2" w:tplc="1409001B" w:tentative="1">
      <w:start w:val="1"/>
      <w:numFmt w:val="lowerRoman"/>
      <w:lvlText w:val="%3."/>
      <w:lvlJc w:val="right"/>
      <w:pPr>
        <w:ind w:left="2520" w:hanging="180"/>
      </w:pPr>
      <w:rPr>
        <w:rFonts w:cs="Times New Roman"/>
      </w:rPr>
    </w:lvl>
    <w:lvl w:ilvl="3" w:tplc="1409000F" w:tentative="1">
      <w:start w:val="1"/>
      <w:numFmt w:val="decimal"/>
      <w:lvlText w:val="%4."/>
      <w:lvlJc w:val="left"/>
      <w:pPr>
        <w:ind w:left="3240" w:hanging="360"/>
      </w:pPr>
      <w:rPr>
        <w:rFonts w:cs="Times New Roman"/>
      </w:rPr>
    </w:lvl>
    <w:lvl w:ilvl="4" w:tplc="14090019" w:tentative="1">
      <w:start w:val="1"/>
      <w:numFmt w:val="lowerLetter"/>
      <w:lvlText w:val="%5."/>
      <w:lvlJc w:val="left"/>
      <w:pPr>
        <w:ind w:left="3960" w:hanging="360"/>
      </w:pPr>
      <w:rPr>
        <w:rFonts w:cs="Times New Roman"/>
      </w:rPr>
    </w:lvl>
    <w:lvl w:ilvl="5" w:tplc="1409001B" w:tentative="1">
      <w:start w:val="1"/>
      <w:numFmt w:val="lowerRoman"/>
      <w:lvlText w:val="%6."/>
      <w:lvlJc w:val="right"/>
      <w:pPr>
        <w:ind w:left="4680" w:hanging="180"/>
      </w:pPr>
      <w:rPr>
        <w:rFonts w:cs="Times New Roman"/>
      </w:rPr>
    </w:lvl>
    <w:lvl w:ilvl="6" w:tplc="1409000F" w:tentative="1">
      <w:start w:val="1"/>
      <w:numFmt w:val="decimal"/>
      <w:lvlText w:val="%7."/>
      <w:lvlJc w:val="left"/>
      <w:pPr>
        <w:ind w:left="5400" w:hanging="360"/>
      </w:pPr>
      <w:rPr>
        <w:rFonts w:cs="Times New Roman"/>
      </w:rPr>
    </w:lvl>
    <w:lvl w:ilvl="7" w:tplc="14090019" w:tentative="1">
      <w:start w:val="1"/>
      <w:numFmt w:val="lowerLetter"/>
      <w:lvlText w:val="%8."/>
      <w:lvlJc w:val="left"/>
      <w:pPr>
        <w:ind w:left="6120" w:hanging="360"/>
      </w:pPr>
      <w:rPr>
        <w:rFonts w:cs="Times New Roman"/>
      </w:rPr>
    </w:lvl>
    <w:lvl w:ilvl="8" w:tplc="1409001B" w:tentative="1">
      <w:start w:val="1"/>
      <w:numFmt w:val="lowerRoman"/>
      <w:lvlText w:val="%9."/>
      <w:lvlJc w:val="right"/>
      <w:pPr>
        <w:ind w:left="6840" w:hanging="180"/>
      </w:pPr>
      <w:rPr>
        <w:rFonts w:cs="Times New Roman"/>
      </w:rPr>
    </w:lvl>
  </w:abstractNum>
  <w:abstractNum w:abstractNumId="9">
    <w:nsid w:val="1E7824AD"/>
    <w:multiLevelType w:val="hybridMultilevel"/>
    <w:tmpl w:val="70FE5E90"/>
    <w:lvl w:ilvl="0" w:tplc="38BE6490">
      <w:start w:val="1"/>
      <w:numFmt w:val="bullet"/>
      <w:pStyle w:val="Tablebullet"/>
      <w:lvlText w:val=""/>
      <w:lvlJc w:val="left"/>
      <w:pPr>
        <w:tabs>
          <w:tab w:val="num" w:pos="338"/>
        </w:tabs>
        <w:ind w:left="338" w:hanging="338"/>
      </w:pPr>
      <w:rPr>
        <w:rFonts w:ascii="Symbol" w:hAnsi="Symbol" w:hint="default"/>
        <w:sz w:val="16"/>
      </w:rPr>
    </w:lvl>
    <w:lvl w:ilvl="1" w:tplc="08090003">
      <w:start w:val="1"/>
      <w:numFmt w:val="bullet"/>
      <w:pStyle w:val="TableDash"/>
      <w:lvlText w:val=""/>
      <w:lvlJc w:val="left"/>
      <w:pPr>
        <w:tabs>
          <w:tab w:val="num" w:pos="567"/>
        </w:tabs>
        <w:ind w:left="567" w:hanging="227"/>
      </w:pPr>
      <w:rPr>
        <w:rFonts w:ascii="Symbol" w:hAnsi="Symbol" w:hint="default"/>
        <w:sz w:val="22"/>
      </w:rPr>
    </w:lvl>
    <w:lvl w:ilvl="2" w:tplc="08090005">
      <w:start w:val="13"/>
      <w:numFmt w:val="bullet"/>
      <w:lvlText w:val="–"/>
      <w:lvlJc w:val="left"/>
      <w:pPr>
        <w:tabs>
          <w:tab w:val="num" w:pos="2160"/>
        </w:tabs>
        <w:ind w:left="2160" w:hanging="360"/>
      </w:pPr>
      <w:rPr>
        <w:rFonts w:ascii="Arial" w:eastAsia="Times New Roman" w:hAnsi="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34E0DAD"/>
    <w:multiLevelType w:val="hybridMultilevel"/>
    <w:tmpl w:val="8E6682FC"/>
    <w:lvl w:ilvl="0" w:tplc="B0E4CA6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234F39FA"/>
    <w:multiLevelType w:val="hybridMultilevel"/>
    <w:tmpl w:val="10EA3DC0"/>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8FB6F44"/>
    <w:multiLevelType w:val="hybridMultilevel"/>
    <w:tmpl w:val="619C3064"/>
    <w:lvl w:ilvl="0" w:tplc="FD28926C">
      <w:start w:val="1"/>
      <w:numFmt w:val="decimal"/>
      <w:lvlText w:val="%1."/>
      <w:lvlJc w:val="left"/>
      <w:pPr>
        <w:ind w:left="1080" w:hanging="360"/>
      </w:pPr>
      <w:rPr>
        <w:color w:val="auto"/>
      </w:rPr>
    </w:lvl>
    <w:lvl w:ilvl="1" w:tplc="14090019" w:tentative="1">
      <w:start w:val="1"/>
      <w:numFmt w:val="lowerLetter"/>
      <w:lvlText w:val="%2."/>
      <w:lvlJc w:val="left"/>
      <w:pPr>
        <w:ind w:left="1800" w:hanging="360"/>
      </w:pPr>
      <w:rPr>
        <w:rFonts w:cs="Times New Roman"/>
      </w:rPr>
    </w:lvl>
    <w:lvl w:ilvl="2" w:tplc="1409001B" w:tentative="1">
      <w:start w:val="1"/>
      <w:numFmt w:val="lowerRoman"/>
      <w:lvlText w:val="%3."/>
      <w:lvlJc w:val="right"/>
      <w:pPr>
        <w:ind w:left="2520" w:hanging="180"/>
      </w:pPr>
      <w:rPr>
        <w:rFonts w:cs="Times New Roman"/>
      </w:rPr>
    </w:lvl>
    <w:lvl w:ilvl="3" w:tplc="1409000F" w:tentative="1">
      <w:start w:val="1"/>
      <w:numFmt w:val="decimal"/>
      <w:lvlText w:val="%4."/>
      <w:lvlJc w:val="left"/>
      <w:pPr>
        <w:ind w:left="3240" w:hanging="360"/>
      </w:pPr>
      <w:rPr>
        <w:rFonts w:cs="Times New Roman"/>
      </w:rPr>
    </w:lvl>
    <w:lvl w:ilvl="4" w:tplc="14090019" w:tentative="1">
      <w:start w:val="1"/>
      <w:numFmt w:val="lowerLetter"/>
      <w:lvlText w:val="%5."/>
      <w:lvlJc w:val="left"/>
      <w:pPr>
        <w:ind w:left="3960" w:hanging="360"/>
      </w:pPr>
      <w:rPr>
        <w:rFonts w:cs="Times New Roman"/>
      </w:rPr>
    </w:lvl>
    <w:lvl w:ilvl="5" w:tplc="1409001B" w:tentative="1">
      <w:start w:val="1"/>
      <w:numFmt w:val="lowerRoman"/>
      <w:lvlText w:val="%6."/>
      <w:lvlJc w:val="right"/>
      <w:pPr>
        <w:ind w:left="4680" w:hanging="180"/>
      </w:pPr>
      <w:rPr>
        <w:rFonts w:cs="Times New Roman"/>
      </w:rPr>
    </w:lvl>
    <w:lvl w:ilvl="6" w:tplc="1409000F" w:tentative="1">
      <w:start w:val="1"/>
      <w:numFmt w:val="decimal"/>
      <w:lvlText w:val="%7."/>
      <w:lvlJc w:val="left"/>
      <w:pPr>
        <w:ind w:left="5400" w:hanging="360"/>
      </w:pPr>
      <w:rPr>
        <w:rFonts w:cs="Times New Roman"/>
      </w:rPr>
    </w:lvl>
    <w:lvl w:ilvl="7" w:tplc="14090019" w:tentative="1">
      <w:start w:val="1"/>
      <w:numFmt w:val="lowerLetter"/>
      <w:lvlText w:val="%8."/>
      <w:lvlJc w:val="left"/>
      <w:pPr>
        <w:ind w:left="6120" w:hanging="360"/>
      </w:pPr>
      <w:rPr>
        <w:rFonts w:cs="Times New Roman"/>
      </w:rPr>
    </w:lvl>
    <w:lvl w:ilvl="8" w:tplc="1409001B" w:tentative="1">
      <w:start w:val="1"/>
      <w:numFmt w:val="lowerRoman"/>
      <w:lvlText w:val="%9."/>
      <w:lvlJc w:val="right"/>
      <w:pPr>
        <w:ind w:left="6840" w:hanging="180"/>
      </w:pPr>
      <w:rPr>
        <w:rFonts w:cs="Times New Roman"/>
      </w:rPr>
    </w:lvl>
  </w:abstractNum>
  <w:abstractNum w:abstractNumId="13">
    <w:nsid w:val="3237334E"/>
    <w:multiLevelType w:val="hybridMultilevel"/>
    <w:tmpl w:val="02B8B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29543EE"/>
    <w:multiLevelType w:val="hybridMultilevel"/>
    <w:tmpl w:val="2AFC53AE"/>
    <w:lvl w:ilvl="0" w:tplc="1409000F">
      <w:start w:val="1"/>
      <w:numFmt w:val="decimal"/>
      <w:lvlText w:val="%1."/>
      <w:lvlJc w:val="left"/>
      <w:pPr>
        <w:ind w:left="720" w:hanging="360"/>
      </w:p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5">
    <w:nsid w:val="341E2EA4"/>
    <w:multiLevelType w:val="multilevel"/>
    <w:tmpl w:val="0F163D9E"/>
    <w:lvl w:ilvl="0">
      <w:start w:val="8"/>
      <w:numFmt w:val="decimal"/>
      <w:pStyle w:val="Bodytextnumbered"/>
      <w:lvlText w:val="%1"/>
      <w:lvlJc w:val="left"/>
      <w:pPr>
        <w:ind w:left="397" w:hanging="397"/>
      </w:pPr>
      <w:rPr>
        <w:rFonts w:ascii="Calibri" w:hAnsi="Calibri"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85F6286"/>
    <w:multiLevelType w:val="hybridMultilevel"/>
    <w:tmpl w:val="155820DA"/>
    <w:lvl w:ilvl="0" w:tplc="1409000F">
      <w:start w:val="1"/>
      <w:numFmt w:val="decimal"/>
      <w:lvlText w:val="%1."/>
      <w:lvlJc w:val="left"/>
      <w:pPr>
        <w:ind w:left="1080" w:hanging="360"/>
      </w:pPr>
    </w:lvl>
    <w:lvl w:ilvl="1" w:tplc="14090019" w:tentative="1">
      <w:start w:val="1"/>
      <w:numFmt w:val="lowerLetter"/>
      <w:lvlText w:val="%2."/>
      <w:lvlJc w:val="left"/>
      <w:pPr>
        <w:ind w:left="1800" w:hanging="360"/>
      </w:pPr>
      <w:rPr>
        <w:rFonts w:cs="Times New Roman"/>
      </w:rPr>
    </w:lvl>
    <w:lvl w:ilvl="2" w:tplc="1409001B" w:tentative="1">
      <w:start w:val="1"/>
      <w:numFmt w:val="lowerRoman"/>
      <w:lvlText w:val="%3."/>
      <w:lvlJc w:val="right"/>
      <w:pPr>
        <w:ind w:left="2520" w:hanging="180"/>
      </w:pPr>
      <w:rPr>
        <w:rFonts w:cs="Times New Roman"/>
      </w:rPr>
    </w:lvl>
    <w:lvl w:ilvl="3" w:tplc="1409000F" w:tentative="1">
      <w:start w:val="1"/>
      <w:numFmt w:val="decimal"/>
      <w:lvlText w:val="%4."/>
      <w:lvlJc w:val="left"/>
      <w:pPr>
        <w:ind w:left="3240" w:hanging="360"/>
      </w:pPr>
      <w:rPr>
        <w:rFonts w:cs="Times New Roman"/>
      </w:rPr>
    </w:lvl>
    <w:lvl w:ilvl="4" w:tplc="14090019" w:tentative="1">
      <w:start w:val="1"/>
      <w:numFmt w:val="lowerLetter"/>
      <w:lvlText w:val="%5."/>
      <w:lvlJc w:val="left"/>
      <w:pPr>
        <w:ind w:left="3960" w:hanging="360"/>
      </w:pPr>
      <w:rPr>
        <w:rFonts w:cs="Times New Roman"/>
      </w:rPr>
    </w:lvl>
    <w:lvl w:ilvl="5" w:tplc="1409001B" w:tentative="1">
      <w:start w:val="1"/>
      <w:numFmt w:val="lowerRoman"/>
      <w:lvlText w:val="%6."/>
      <w:lvlJc w:val="right"/>
      <w:pPr>
        <w:ind w:left="4680" w:hanging="180"/>
      </w:pPr>
      <w:rPr>
        <w:rFonts w:cs="Times New Roman"/>
      </w:rPr>
    </w:lvl>
    <w:lvl w:ilvl="6" w:tplc="1409000F" w:tentative="1">
      <w:start w:val="1"/>
      <w:numFmt w:val="decimal"/>
      <w:lvlText w:val="%7."/>
      <w:lvlJc w:val="left"/>
      <w:pPr>
        <w:ind w:left="5400" w:hanging="360"/>
      </w:pPr>
      <w:rPr>
        <w:rFonts w:cs="Times New Roman"/>
      </w:rPr>
    </w:lvl>
    <w:lvl w:ilvl="7" w:tplc="14090019" w:tentative="1">
      <w:start w:val="1"/>
      <w:numFmt w:val="lowerLetter"/>
      <w:lvlText w:val="%8."/>
      <w:lvlJc w:val="left"/>
      <w:pPr>
        <w:ind w:left="6120" w:hanging="360"/>
      </w:pPr>
      <w:rPr>
        <w:rFonts w:cs="Times New Roman"/>
      </w:rPr>
    </w:lvl>
    <w:lvl w:ilvl="8" w:tplc="1409001B" w:tentative="1">
      <w:start w:val="1"/>
      <w:numFmt w:val="lowerRoman"/>
      <w:lvlText w:val="%9."/>
      <w:lvlJc w:val="right"/>
      <w:pPr>
        <w:ind w:left="6840" w:hanging="180"/>
      </w:pPr>
      <w:rPr>
        <w:rFonts w:cs="Times New Roman"/>
      </w:rPr>
    </w:lvl>
  </w:abstractNum>
  <w:abstractNum w:abstractNumId="17">
    <w:nsid w:val="39676B15"/>
    <w:multiLevelType w:val="multilevel"/>
    <w:tmpl w:val="19B46F9E"/>
    <w:numStyleLink w:val="Style1"/>
  </w:abstractNum>
  <w:abstractNum w:abstractNumId="18">
    <w:nsid w:val="40CB69CA"/>
    <w:multiLevelType w:val="hybridMultilevel"/>
    <w:tmpl w:val="882455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427701FB"/>
    <w:multiLevelType w:val="hybridMultilevel"/>
    <w:tmpl w:val="87A07910"/>
    <w:lvl w:ilvl="0" w:tplc="C04A679E">
      <w:start w:val="1"/>
      <w:numFmt w:val="bullet"/>
      <w:pStyle w:val="Sub-list"/>
      <w:lvlText w:val=""/>
      <w:lvlJc w:val="left"/>
      <w:pPr>
        <w:tabs>
          <w:tab w:val="num" w:pos="397"/>
        </w:tabs>
        <w:ind w:left="397" w:firstLine="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nsid w:val="463D6104"/>
    <w:multiLevelType w:val="hybridMultilevel"/>
    <w:tmpl w:val="4ABA2070"/>
    <w:lvl w:ilvl="0" w:tplc="5308CA02">
      <w:start w:val="1"/>
      <w:numFmt w:val="lowerRoman"/>
      <w:pStyle w:val="Sub-listi"/>
      <w:lvlText w:val="%1."/>
      <w:lvlJc w:val="left"/>
      <w:pPr>
        <w:tabs>
          <w:tab w:val="num" w:pos="1191"/>
        </w:tabs>
        <w:ind w:left="1191"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1">
    <w:nsid w:val="4C093034"/>
    <w:multiLevelType w:val="hybridMultilevel"/>
    <w:tmpl w:val="D8EA176A"/>
    <w:lvl w:ilvl="0" w:tplc="84147204">
      <w:start w:val="1"/>
      <w:numFmt w:val="bullet"/>
      <w:pStyle w:val="Questionbullet"/>
      <w:lvlText w:val=""/>
      <w:lvlJc w:val="left"/>
      <w:pPr>
        <w:ind w:left="1004" w:hanging="360"/>
      </w:pPr>
      <w:rPr>
        <w:rFonts w:ascii="Symbol" w:hAnsi="Symbol" w:hint="default"/>
        <w:color w:val="C66005"/>
        <w:sz w:val="20"/>
        <w:szCs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2">
    <w:nsid w:val="53412812"/>
    <w:multiLevelType w:val="multilevel"/>
    <w:tmpl w:val="19B46F9E"/>
    <w:styleLink w:val="Style1"/>
    <w:lvl w:ilvl="0">
      <w:start w:val="1"/>
      <w:numFmt w:val="decimal"/>
      <w:lvlText w:val="%1"/>
      <w:lvlJc w:val="left"/>
      <w:pPr>
        <w:ind w:left="397" w:hanging="397"/>
      </w:pPr>
      <w:rPr>
        <w:rFonts w:ascii="Calibri" w:hAnsi="Calibri"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3535234"/>
    <w:multiLevelType w:val="singleLevel"/>
    <w:tmpl w:val="80EAF96C"/>
    <w:lvl w:ilvl="0">
      <w:start w:val="1"/>
      <w:numFmt w:val="bullet"/>
      <w:pStyle w:val="Boxbullet"/>
      <w:lvlText w:val=""/>
      <w:lvlJc w:val="left"/>
      <w:pPr>
        <w:ind w:left="644" w:hanging="360"/>
      </w:pPr>
      <w:rPr>
        <w:rFonts w:ascii="Symbol" w:hAnsi="Symbol" w:hint="default"/>
        <w:color w:val="593731"/>
        <w:sz w:val="16"/>
      </w:rPr>
    </w:lvl>
  </w:abstractNum>
  <w:abstractNum w:abstractNumId="24">
    <w:nsid w:val="58D07EF6"/>
    <w:multiLevelType w:val="hybridMultilevel"/>
    <w:tmpl w:val="E410E0AA"/>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25">
    <w:nsid w:val="5D6A7A0E"/>
    <w:multiLevelType w:val="hybridMultilevel"/>
    <w:tmpl w:val="D166BD7C"/>
    <w:lvl w:ilvl="0" w:tplc="1409000F">
      <w:start w:val="1"/>
      <w:numFmt w:val="decimal"/>
      <w:lvlText w:val="%1."/>
      <w:lvlJc w:val="left"/>
      <w:pPr>
        <w:ind w:left="1080" w:hanging="360"/>
      </w:pPr>
    </w:lvl>
    <w:lvl w:ilvl="1" w:tplc="14090019" w:tentative="1">
      <w:start w:val="1"/>
      <w:numFmt w:val="lowerLetter"/>
      <w:lvlText w:val="%2."/>
      <w:lvlJc w:val="left"/>
      <w:pPr>
        <w:ind w:left="1800" w:hanging="360"/>
      </w:pPr>
      <w:rPr>
        <w:rFonts w:cs="Times New Roman"/>
      </w:rPr>
    </w:lvl>
    <w:lvl w:ilvl="2" w:tplc="1409001B" w:tentative="1">
      <w:start w:val="1"/>
      <w:numFmt w:val="lowerRoman"/>
      <w:lvlText w:val="%3."/>
      <w:lvlJc w:val="right"/>
      <w:pPr>
        <w:ind w:left="2520" w:hanging="180"/>
      </w:pPr>
      <w:rPr>
        <w:rFonts w:cs="Times New Roman"/>
      </w:rPr>
    </w:lvl>
    <w:lvl w:ilvl="3" w:tplc="1409000F" w:tentative="1">
      <w:start w:val="1"/>
      <w:numFmt w:val="decimal"/>
      <w:lvlText w:val="%4."/>
      <w:lvlJc w:val="left"/>
      <w:pPr>
        <w:ind w:left="3240" w:hanging="360"/>
      </w:pPr>
      <w:rPr>
        <w:rFonts w:cs="Times New Roman"/>
      </w:rPr>
    </w:lvl>
    <w:lvl w:ilvl="4" w:tplc="14090019" w:tentative="1">
      <w:start w:val="1"/>
      <w:numFmt w:val="lowerLetter"/>
      <w:lvlText w:val="%5."/>
      <w:lvlJc w:val="left"/>
      <w:pPr>
        <w:ind w:left="3960" w:hanging="360"/>
      </w:pPr>
      <w:rPr>
        <w:rFonts w:cs="Times New Roman"/>
      </w:rPr>
    </w:lvl>
    <w:lvl w:ilvl="5" w:tplc="1409001B" w:tentative="1">
      <w:start w:val="1"/>
      <w:numFmt w:val="lowerRoman"/>
      <w:lvlText w:val="%6."/>
      <w:lvlJc w:val="right"/>
      <w:pPr>
        <w:ind w:left="4680" w:hanging="180"/>
      </w:pPr>
      <w:rPr>
        <w:rFonts w:cs="Times New Roman"/>
      </w:rPr>
    </w:lvl>
    <w:lvl w:ilvl="6" w:tplc="1409000F" w:tentative="1">
      <w:start w:val="1"/>
      <w:numFmt w:val="decimal"/>
      <w:lvlText w:val="%7."/>
      <w:lvlJc w:val="left"/>
      <w:pPr>
        <w:ind w:left="5400" w:hanging="360"/>
      </w:pPr>
      <w:rPr>
        <w:rFonts w:cs="Times New Roman"/>
      </w:rPr>
    </w:lvl>
    <w:lvl w:ilvl="7" w:tplc="14090019" w:tentative="1">
      <w:start w:val="1"/>
      <w:numFmt w:val="lowerLetter"/>
      <w:lvlText w:val="%8."/>
      <w:lvlJc w:val="left"/>
      <w:pPr>
        <w:ind w:left="6120" w:hanging="360"/>
      </w:pPr>
      <w:rPr>
        <w:rFonts w:cs="Times New Roman"/>
      </w:rPr>
    </w:lvl>
    <w:lvl w:ilvl="8" w:tplc="1409001B" w:tentative="1">
      <w:start w:val="1"/>
      <w:numFmt w:val="lowerRoman"/>
      <w:lvlText w:val="%9."/>
      <w:lvlJc w:val="right"/>
      <w:pPr>
        <w:ind w:left="6840" w:hanging="180"/>
      </w:pPr>
      <w:rPr>
        <w:rFonts w:cs="Times New Roman"/>
      </w:rPr>
    </w:lvl>
  </w:abstractNum>
  <w:abstractNum w:abstractNumId="26">
    <w:nsid w:val="62FB0C9C"/>
    <w:multiLevelType w:val="hybridMultilevel"/>
    <w:tmpl w:val="E48C6FEC"/>
    <w:lvl w:ilvl="0" w:tplc="2D28E2DC">
      <w:start w:val="1"/>
      <w:numFmt w:val="decimal"/>
      <w:pStyle w:val="Boxnumbered"/>
      <w:lvlText w:val="%1"/>
      <w:lvlJc w:val="left"/>
      <w:pPr>
        <w:ind w:left="1004" w:hanging="360"/>
      </w:pPr>
      <w:rPr>
        <w:rFonts w:ascii="Calibri" w:hAnsi="Calibri" w:hint="default"/>
        <w:b w:val="0"/>
        <w:bCs w:val="0"/>
        <w:i w:val="0"/>
        <w:sz w:val="22"/>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7">
    <w:nsid w:val="653A1DB2"/>
    <w:multiLevelType w:val="multilevel"/>
    <w:tmpl w:val="7C9A8406"/>
    <w:lvl w:ilvl="0">
      <w:start w:val="1"/>
      <w:numFmt w:val="bullet"/>
      <w:lvlText w:val=""/>
      <w:lvlJc w:val="left"/>
      <w:pPr>
        <w:tabs>
          <w:tab w:val="num" w:pos="720"/>
        </w:tabs>
        <w:ind w:left="720" w:hanging="360"/>
      </w:pPr>
      <w:rPr>
        <w:rFonts w:ascii="Symbol" w:hAnsi="Symbol" w:hint="default"/>
        <w:sz w:val="20"/>
      </w:rPr>
    </w:lvl>
    <w:lvl w:ilvl="1">
      <w:start w:val="1"/>
      <w:numFmt w:val="bullet"/>
      <w:pStyle w:val="Sub-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633BEB"/>
    <w:multiLevelType w:val="hybridMultilevel"/>
    <w:tmpl w:val="849CF252"/>
    <w:lvl w:ilvl="0" w:tplc="E5E29082">
      <w:start w:val="1"/>
      <w:numFmt w:val="decimal"/>
      <w:pStyle w:val="Browntextnumbered"/>
      <w:lvlText w:val="%1"/>
      <w:lvlJc w:val="left"/>
      <w:pPr>
        <w:ind w:left="720" w:hanging="360"/>
      </w:pPr>
      <w:rPr>
        <w:rFonts w:ascii="Calibri" w:hAnsi="Calibri" w:hint="default"/>
        <w:b w:val="0"/>
        <w:color w:val="B4701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6C6649C4"/>
    <w:multiLevelType w:val="hybridMultilevel"/>
    <w:tmpl w:val="8C20505A"/>
    <w:lvl w:ilvl="0" w:tplc="1409000F">
      <w:start w:val="1"/>
      <w:numFmt w:val="decimal"/>
      <w:lvlText w:val="%1."/>
      <w:lvlJc w:val="left"/>
      <w:pPr>
        <w:ind w:left="1080" w:hanging="360"/>
      </w:pPr>
    </w:lvl>
    <w:lvl w:ilvl="1" w:tplc="14090019" w:tentative="1">
      <w:start w:val="1"/>
      <w:numFmt w:val="lowerLetter"/>
      <w:lvlText w:val="%2."/>
      <w:lvlJc w:val="left"/>
      <w:pPr>
        <w:ind w:left="1800" w:hanging="360"/>
      </w:pPr>
      <w:rPr>
        <w:rFonts w:cs="Times New Roman"/>
      </w:rPr>
    </w:lvl>
    <w:lvl w:ilvl="2" w:tplc="1409001B" w:tentative="1">
      <w:start w:val="1"/>
      <w:numFmt w:val="lowerRoman"/>
      <w:lvlText w:val="%3."/>
      <w:lvlJc w:val="right"/>
      <w:pPr>
        <w:ind w:left="2520" w:hanging="180"/>
      </w:pPr>
      <w:rPr>
        <w:rFonts w:cs="Times New Roman"/>
      </w:rPr>
    </w:lvl>
    <w:lvl w:ilvl="3" w:tplc="1409000F" w:tentative="1">
      <w:start w:val="1"/>
      <w:numFmt w:val="decimal"/>
      <w:lvlText w:val="%4."/>
      <w:lvlJc w:val="left"/>
      <w:pPr>
        <w:ind w:left="3240" w:hanging="360"/>
      </w:pPr>
      <w:rPr>
        <w:rFonts w:cs="Times New Roman"/>
      </w:rPr>
    </w:lvl>
    <w:lvl w:ilvl="4" w:tplc="14090019" w:tentative="1">
      <w:start w:val="1"/>
      <w:numFmt w:val="lowerLetter"/>
      <w:lvlText w:val="%5."/>
      <w:lvlJc w:val="left"/>
      <w:pPr>
        <w:ind w:left="3960" w:hanging="360"/>
      </w:pPr>
      <w:rPr>
        <w:rFonts w:cs="Times New Roman"/>
      </w:rPr>
    </w:lvl>
    <w:lvl w:ilvl="5" w:tplc="1409001B" w:tentative="1">
      <w:start w:val="1"/>
      <w:numFmt w:val="lowerRoman"/>
      <w:lvlText w:val="%6."/>
      <w:lvlJc w:val="right"/>
      <w:pPr>
        <w:ind w:left="4680" w:hanging="180"/>
      </w:pPr>
      <w:rPr>
        <w:rFonts w:cs="Times New Roman"/>
      </w:rPr>
    </w:lvl>
    <w:lvl w:ilvl="6" w:tplc="1409000F" w:tentative="1">
      <w:start w:val="1"/>
      <w:numFmt w:val="decimal"/>
      <w:lvlText w:val="%7."/>
      <w:lvlJc w:val="left"/>
      <w:pPr>
        <w:ind w:left="5400" w:hanging="360"/>
      </w:pPr>
      <w:rPr>
        <w:rFonts w:cs="Times New Roman"/>
      </w:rPr>
    </w:lvl>
    <w:lvl w:ilvl="7" w:tplc="14090019" w:tentative="1">
      <w:start w:val="1"/>
      <w:numFmt w:val="lowerLetter"/>
      <w:lvlText w:val="%8."/>
      <w:lvlJc w:val="left"/>
      <w:pPr>
        <w:ind w:left="6120" w:hanging="360"/>
      </w:pPr>
      <w:rPr>
        <w:rFonts w:cs="Times New Roman"/>
      </w:rPr>
    </w:lvl>
    <w:lvl w:ilvl="8" w:tplc="1409001B" w:tentative="1">
      <w:start w:val="1"/>
      <w:numFmt w:val="lowerRoman"/>
      <w:lvlText w:val="%9."/>
      <w:lvlJc w:val="right"/>
      <w:pPr>
        <w:ind w:left="6840" w:hanging="180"/>
      </w:pPr>
      <w:rPr>
        <w:rFonts w:cs="Times New Roman"/>
      </w:rPr>
    </w:lvl>
  </w:abstractNum>
  <w:abstractNum w:abstractNumId="30">
    <w:nsid w:val="786F0898"/>
    <w:multiLevelType w:val="hybridMultilevel"/>
    <w:tmpl w:val="E2905FB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1">
    <w:nsid w:val="7D823AA1"/>
    <w:multiLevelType w:val="multilevel"/>
    <w:tmpl w:val="C5549E66"/>
    <w:lvl w:ilvl="0">
      <w:start w:val="12"/>
      <w:numFmt w:val="decimal"/>
      <w:lvlText w:val="%1"/>
      <w:lvlJc w:val="left"/>
      <w:pPr>
        <w:ind w:left="397" w:hanging="397"/>
      </w:pPr>
      <w:rPr>
        <w:rFonts w:ascii="Calibri" w:hAnsi="Calibri" w:hint="default"/>
        <w:color w:val="auto"/>
      </w:rPr>
    </w:lvl>
    <w:lvl w:ilvl="1">
      <w:start w:val="1"/>
      <w:numFmt w:val="bullet"/>
      <w:lvlText w:val=""/>
      <w:lvlJc w:val="left"/>
      <w:pPr>
        <w:ind w:left="786"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E4D254A"/>
    <w:multiLevelType w:val="singleLevel"/>
    <w:tmpl w:val="DF2C48E8"/>
    <w:lvl w:ilvl="0">
      <w:start w:val="1"/>
      <w:numFmt w:val="bullet"/>
      <w:pStyle w:val="Bullet"/>
      <w:lvlText w:val=""/>
      <w:lvlJc w:val="left"/>
      <w:pPr>
        <w:tabs>
          <w:tab w:val="num" w:pos="567"/>
        </w:tabs>
        <w:ind w:left="567" w:hanging="567"/>
      </w:pPr>
      <w:rPr>
        <w:rFonts w:ascii="Symbol" w:hAnsi="Symbol" w:hint="default"/>
        <w:color w:val="auto"/>
        <w:sz w:val="18"/>
        <w:szCs w:val="20"/>
      </w:rPr>
    </w:lvl>
  </w:abstractNum>
  <w:num w:numId="1">
    <w:abstractNumId w:val="32"/>
  </w:num>
  <w:num w:numId="2">
    <w:abstractNumId w:val="9"/>
  </w:num>
  <w:num w:numId="3">
    <w:abstractNumId w:val="27"/>
  </w:num>
  <w:num w:numId="4">
    <w:abstractNumId w:val="26"/>
  </w:num>
  <w:num w:numId="5">
    <w:abstractNumId w:val="3"/>
  </w:num>
  <w:num w:numId="6">
    <w:abstractNumId w:val="28"/>
  </w:num>
  <w:num w:numId="7">
    <w:abstractNumId w:val="5"/>
  </w:num>
  <w:num w:numId="8">
    <w:abstractNumId w:val="21"/>
  </w:num>
  <w:num w:numId="9">
    <w:abstractNumId w:val="2"/>
  </w:num>
  <w:num w:numId="10">
    <w:abstractNumId w:val="19"/>
  </w:num>
  <w:num w:numId="11">
    <w:abstractNumId w:val="20"/>
  </w:num>
  <w:num w:numId="12">
    <w:abstractNumId w:val="23"/>
  </w:num>
  <w:num w:numId="13">
    <w:abstractNumId w:val="15"/>
    <w:lvlOverride w:ilvl="0">
      <w:startOverride w:val="1"/>
    </w:lvlOverride>
  </w:num>
  <w:num w:numId="14">
    <w:abstractNumId w:val="15"/>
    <w:lvlOverride w:ilvl="0">
      <w:startOverride w:val="1"/>
    </w:lvlOverride>
  </w:num>
  <w:num w:numId="15">
    <w:abstractNumId w:val="15"/>
  </w:num>
  <w:num w:numId="16">
    <w:abstractNumId w:val="15"/>
    <w:lvlOverride w:ilvl="0">
      <w:startOverride w:val="10"/>
    </w:lvlOverride>
  </w:num>
  <w:num w:numId="17">
    <w:abstractNumId w:val="15"/>
    <w:lvlOverride w:ilvl="0">
      <w:startOverride w:val="1"/>
    </w:lvlOverride>
  </w:num>
  <w:num w:numId="18">
    <w:abstractNumId w:val="15"/>
    <w:lvlOverride w:ilvl="0">
      <w:startOverride w:val="1"/>
    </w:lvlOverride>
  </w:num>
  <w:num w:numId="19">
    <w:abstractNumId w:val="8"/>
  </w:num>
  <w:num w:numId="20">
    <w:abstractNumId w:val="29"/>
  </w:num>
  <w:num w:numId="21">
    <w:abstractNumId w:val="0"/>
  </w:num>
  <w:num w:numId="22">
    <w:abstractNumId w:val="14"/>
  </w:num>
  <w:num w:numId="23">
    <w:abstractNumId w:val="12"/>
  </w:num>
  <w:num w:numId="24">
    <w:abstractNumId w:val="25"/>
  </w:num>
  <w:num w:numId="25">
    <w:abstractNumId w:val="16"/>
  </w:num>
  <w:num w:numId="26">
    <w:abstractNumId w:val="7"/>
  </w:num>
  <w:num w:numId="27">
    <w:abstractNumId w:val="22"/>
  </w:num>
  <w:num w:numId="28">
    <w:abstractNumId w:val="17"/>
  </w:num>
  <w:num w:numId="29">
    <w:abstractNumId w:val="31"/>
  </w:num>
  <w:num w:numId="30">
    <w:abstractNumId w:val="6"/>
  </w:num>
  <w:num w:numId="31">
    <w:abstractNumId w:val="11"/>
  </w:num>
  <w:num w:numId="32">
    <w:abstractNumId w:val="15"/>
  </w:num>
  <w:num w:numId="33">
    <w:abstractNumId w:val="13"/>
  </w:num>
  <w:num w:numId="34">
    <w:abstractNumId w:val="4"/>
  </w:num>
  <w:num w:numId="35">
    <w:abstractNumId w:val="24"/>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
  </w:num>
  <w:num w:numId="39">
    <w:abstractNumId w:val="18"/>
  </w:num>
  <w:num w:numId="40">
    <w:abstractNumId w:val="10"/>
  </w:num>
  <w:num w:numId="41">
    <w:abstractNumId w:val="5"/>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397"/>
  <w:evenAndOddHeaders/>
  <w:characterSpacingControl w:val="doNotCompress"/>
  <w:hdrShapeDefaults>
    <o:shapedefaults v:ext="edit" spidmax="22529" style="mso-height-percent:200;mso-width-relative:margin;mso-height-relative:margin" fillcolor="none [3212]" strokecolor="none [3212]">
      <v:fill color="none [3212]"/>
      <v:stroke color="none [3212]"/>
      <v:textbox style="mso-fit-shape-to-text:t"/>
      <o:colormru v:ext="edit" colors="#002663,#e36f1e"/>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92F"/>
    <w:rsid w:val="000007A8"/>
    <w:rsid w:val="00000C79"/>
    <w:rsid w:val="00000EDA"/>
    <w:rsid w:val="00000F26"/>
    <w:rsid w:val="000012D2"/>
    <w:rsid w:val="00001F78"/>
    <w:rsid w:val="000023D0"/>
    <w:rsid w:val="000026C2"/>
    <w:rsid w:val="00002B93"/>
    <w:rsid w:val="000030DA"/>
    <w:rsid w:val="00003761"/>
    <w:rsid w:val="000037F4"/>
    <w:rsid w:val="00003B1B"/>
    <w:rsid w:val="00004369"/>
    <w:rsid w:val="0000481D"/>
    <w:rsid w:val="0000489D"/>
    <w:rsid w:val="000048DE"/>
    <w:rsid w:val="00004906"/>
    <w:rsid w:val="00004C46"/>
    <w:rsid w:val="00004D33"/>
    <w:rsid w:val="000056EA"/>
    <w:rsid w:val="00005741"/>
    <w:rsid w:val="00005E53"/>
    <w:rsid w:val="000068A3"/>
    <w:rsid w:val="00007DF9"/>
    <w:rsid w:val="000106F8"/>
    <w:rsid w:val="00010711"/>
    <w:rsid w:val="000108B0"/>
    <w:rsid w:val="00010E41"/>
    <w:rsid w:val="00010E93"/>
    <w:rsid w:val="0001138E"/>
    <w:rsid w:val="000113BC"/>
    <w:rsid w:val="00011A10"/>
    <w:rsid w:val="0001209E"/>
    <w:rsid w:val="0001257F"/>
    <w:rsid w:val="00012D8F"/>
    <w:rsid w:val="000131F3"/>
    <w:rsid w:val="000133E6"/>
    <w:rsid w:val="000135A0"/>
    <w:rsid w:val="00013856"/>
    <w:rsid w:val="000149B9"/>
    <w:rsid w:val="00015037"/>
    <w:rsid w:val="000151E4"/>
    <w:rsid w:val="000158BE"/>
    <w:rsid w:val="00015AD9"/>
    <w:rsid w:val="00015C38"/>
    <w:rsid w:val="00015D15"/>
    <w:rsid w:val="000165A8"/>
    <w:rsid w:val="00016629"/>
    <w:rsid w:val="00016A59"/>
    <w:rsid w:val="00016A68"/>
    <w:rsid w:val="00016F0B"/>
    <w:rsid w:val="000170EE"/>
    <w:rsid w:val="00017A25"/>
    <w:rsid w:val="000201FC"/>
    <w:rsid w:val="00020988"/>
    <w:rsid w:val="00020B12"/>
    <w:rsid w:val="00020B30"/>
    <w:rsid w:val="00021190"/>
    <w:rsid w:val="0002140C"/>
    <w:rsid w:val="00021863"/>
    <w:rsid w:val="00021ADA"/>
    <w:rsid w:val="0002208D"/>
    <w:rsid w:val="00022363"/>
    <w:rsid w:val="000228D7"/>
    <w:rsid w:val="00022AE8"/>
    <w:rsid w:val="00022B2E"/>
    <w:rsid w:val="00022E4A"/>
    <w:rsid w:val="00022E94"/>
    <w:rsid w:val="0002392B"/>
    <w:rsid w:val="00023E33"/>
    <w:rsid w:val="00023FF3"/>
    <w:rsid w:val="000244FB"/>
    <w:rsid w:val="00024549"/>
    <w:rsid w:val="00024D09"/>
    <w:rsid w:val="00024D78"/>
    <w:rsid w:val="00024FB3"/>
    <w:rsid w:val="000251D1"/>
    <w:rsid w:val="00025A9D"/>
    <w:rsid w:val="000260A1"/>
    <w:rsid w:val="00026454"/>
    <w:rsid w:val="00026792"/>
    <w:rsid w:val="00026A9B"/>
    <w:rsid w:val="00027616"/>
    <w:rsid w:val="0002785D"/>
    <w:rsid w:val="00027EF6"/>
    <w:rsid w:val="000305BF"/>
    <w:rsid w:val="0003090B"/>
    <w:rsid w:val="00030A14"/>
    <w:rsid w:val="000311D8"/>
    <w:rsid w:val="00031762"/>
    <w:rsid w:val="00031789"/>
    <w:rsid w:val="00031870"/>
    <w:rsid w:val="00031898"/>
    <w:rsid w:val="00031F48"/>
    <w:rsid w:val="00032087"/>
    <w:rsid w:val="0003264B"/>
    <w:rsid w:val="00032C7B"/>
    <w:rsid w:val="0003306A"/>
    <w:rsid w:val="0003306F"/>
    <w:rsid w:val="000330A5"/>
    <w:rsid w:val="00033F7F"/>
    <w:rsid w:val="000340E5"/>
    <w:rsid w:val="00034789"/>
    <w:rsid w:val="00034B7E"/>
    <w:rsid w:val="00034BBE"/>
    <w:rsid w:val="0003567D"/>
    <w:rsid w:val="00035B0E"/>
    <w:rsid w:val="00035C08"/>
    <w:rsid w:val="000368BA"/>
    <w:rsid w:val="000368E7"/>
    <w:rsid w:val="00037A03"/>
    <w:rsid w:val="000404CA"/>
    <w:rsid w:val="000406C7"/>
    <w:rsid w:val="00040AF2"/>
    <w:rsid w:val="00040F16"/>
    <w:rsid w:val="00041197"/>
    <w:rsid w:val="00041450"/>
    <w:rsid w:val="00041647"/>
    <w:rsid w:val="000416B0"/>
    <w:rsid w:val="000417F9"/>
    <w:rsid w:val="0004233F"/>
    <w:rsid w:val="00043037"/>
    <w:rsid w:val="000439A3"/>
    <w:rsid w:val="0004450B"/>
    <w:rsid w:val="00044758"/>
    <w:rsid w:val="000451FB"/>
    <w:rsid w:val="000454FC"/>
    <w:rsid w:val="00045C46"/>
    <w:rsid w:val="00045F92"/>
    <w:rsid w:val="000461F2"/>
    <w:rsid w:val="00046392"/>
    <w:rsid w:val="000469D7"/>
    <w:rsid w:val="00046D42"/>
    <w:rsid w:val="000470C0"/>
    <w:rsid w:val="0004720B"/>
    <w:rsid w:val="000474CC"/>
    <w:rsid w:val="00047BF4"/>
    <w:rsid w:val="00047C9C"/>
    <w:rsid w:val="00050253"/>
    <w:rsid w:val="0005058A"/>
    <w:rsid w:val="0005096C"/>
    <w:rsid w:val="00050B86"/>
    <w:rsid w:val="00050D30"/>
    <w:rsid w:val="000510BC"/>
    <w:rsid w:val="0005116B"/>
    <w:rsid w:val="0005117C"/>
    <w:rsid w:val="00052794"/>
    <w:rsid w:val="00053482"/>
    <w:rsid w:val="0005366C"/>
    <w:rsid w:val="000539C9"/>
    <w:rsid w:val="000540E1"/>
    <w:rsid w:val="000543A5"/>
    <w:rsid w:val="000547B5"/>
    <w:rsid w:val="000547E3"/>
    <w:rsid w:val="0005492F"/>
    <w:rsid w:val="000550B4"/>
    <w:rsid w:val="0005523D"/>
    <w:rsid w:val="000558A4"/>
    <w:rsid w:val="000564B9"/>
    <w:rsid w:val="00057765"/>
    <w:rsid w:val="000579B8"/>
    <w:rsid w:val="00057B6F"/>
    <w:rsid w:val="00057C38"/>
    <w:rsid w:val="00060366"/>
    <w:rsid w:val="00060B0A"/>
    <w:rsid w:val="00060DF7"/>
    <w:rsid w:val="0006140D"/>
    <w:rsid w:val="0006180D"/>
    <w:rsid w:val="00061FF5"/>
    <w:rsid w:val="00062755"/>
    <w:rsid w:val="00062E11"/>
    <w:rsid w:val="000630F5"/>
    <w:rsid w:val="00063505"/>
    <w:rsid w:val="00063944"/>
    <w:rsid w:val="00063B9C"/>
    <w:rsid w:val="00064358"/>
    <w:rsid w:val="00064AD9"/>
    <w:rsid w:val="00064D7A"/>
    <w:rsid w:val="0006547C"/>
    <w:rsid w:val="00065584"/>
    <w:rsid w:val="00065812"/>
    <w:rsid w:val="00065939"/>
    <w:rsid w:val="00065D31"/>
    <w:rsid w:val="00066381"/>
    <w:rsid w:val="000668C2"/>
    <w:rsid w:val="00066BE8"/>
    <w:rsid w:val="000672AD"/>
    <w:rsid w:val="000675B8"/>
    <w:rsid w:val="0006769A"/>
    <w:rsid w:val="0006778A"/>
    <w:rsid w:val="00070AE0"/>
    <w:rsid w:val="00070C17"/>
    <w:rsid w:val="00070E4D"/>
    <w:rsid w:val="000711D6"/>
    <w:rsid w:val="00071BF0"/>
    <w:rsid w:val="00071EA3"/>
    <w:rsid w:val="00071EC2"/>
    <w:rsid w:val="00072934"/>
    <w:rsid w:val="000729E6"/>
    <w:rsid w:val="000733B3"/>
    <w:rsid w:val="0007387E"/>
    <w:rsid w:val="0007591B"/>
    <w:rsid w:val="000762DA"/>
    <w:rsid w:val="00076592"/>
    <w:rsid w:val="00077198"/>
    <w:rsid w:val="00077C2A"/>
    <w:rsid w:val="00080072"/>
    <w:rsid w:val="00080233"/>
    <w:rsid w:val="00080242"/>
    <w:rsid w:val="00080FA6"/>
    <w:rsid w:val="00081000"/>
    <w:rsid w:val="0008105F"/>
    <w:rsid w:val="0008151E"/>
    <w:rsid w:val="000820F7"/>
    <w:rsid w:val="00082322"/>
    <w:rsid w:val="000823C7"/>
    <w:rsid w:val="000825C4"/>
    <w:rsid w:val="000828AD"/>
    <w:rsid w:val="00083109"/>
    <w:rsid w:val="000848B4"/>
    <w:rsid w:val="0008547E"/>
    <w:rsid w:val="00085BB5"/>
    <w:rsid w:val="00085FC6"/>
    <w:rsid w:val="0008679A"/>
    <w:rsid w:val="000871C1"/>
    <w:rsid w:val="000902E4"/>
    <w:rsid w:val="00090560"/>
    <w:rsid w:val="00090597"/>
    <w:rsid w:val="00090635"/>
    <w:rsid w:val="00090687"/>
    <w:rsid w:val="00090CDD"/>
    <w:rsid w:val="000910B6"/>
    <w:rsid w:val="000912DF"/>
    <w:rsid w:val="000914EE"/>
    <w:rsid w:val="000919B1"/>
    <w:rsid w:val="00091B94"/>
    <w:rsid w:val="00091D8C"/>
    <w:rsid w:val="00091E7B"/>
    <w:rsid w:val="0009220D"/>
    <w:rsid w:val="00092530"/>
    <w:rsid w:val="00093E35"/>
    <w:rsid w:val="00093E6D"/>
    <w:rsid w:val="00093FA5"/>
    <w:rsid w:val="00094604"/>
    <w:rsid w:val="00094B7B"/>
    <w:rsid w:val="00095847"/>
    <w:rsid w:val="00095854"/>
    <w:rsid w:val="00095A34"/>
    <w:rsid w:val="00095A7C"/>
    <w:rsid w:val="0009611A"/>
    <w:rsid w:val="00096ABE"/>
    <w:rsid w:val="00096DD7"/>
    <w:rsid w:val="000970AC"/>
    <w:rsid w:val="00097595"/>
    <w:rsid w:val="00097A49"/>
    <w:rsid w:val="00097AB3"/>
    <w:rsid w:val="000A08BC"/>
    <w:rsid w:val="000A08D2"/>
    <w:rsid w:val="000A0F7E"/>
    <w:rsid w:val="000A107F"/>
    <w:rsid w:val="000A16B7"/>
    <w:rsid w:val="000A1AF9"/>
    <w:rsid w:val="000A368D"/>
    <w:rsid w:val="000A4C6A"/>
    <w:rsid w:val="000A4F81"/>
    <w:rsid w:val="000A53D1"/>
    <w:rsid w:val="000A55DA"/>
    <w:rsid w:val="000A56A2"/>
    <w:rsid w:val="000A5C56"/>
    <w:rsid w:val="000A62B6"/>
    <w:rsid w:val="000A6ACA"/>
    <w:rsid w:val="000A6D13"/>
    <w:rsid w:val="000A6E17"/>
    <w:rsid w:val="000A75E0"/>
    <w:rsid w:val="000A7EA2"/>
    <w:rsid w:val="000B06DB"/>
    <w:rsid w:val="000B089F"/>
    <w:rsid w:val="000B0BD8"/>
    <w:rsid w:val="000B1438"/>
    <w:rsid w:val="000B1481"/>
    <w:rsid w:val="000B1487"/>
    <w:rsid w:val="000B166D"/>
    <w:rsid w:val="000B18CA"/>
    <w:rsid w:val="000B1BDC"/>
    <w:rsid w:val="000B1F4D"/>
    <w:rsid w:val="000B2876"/>
    <w:rsid w:val="000B2AFD"/>
    <w:rsid w:val="000B2FFD"/>
    <w:rsid w:val="000B32CB"/>
    <w:rsid w:val="000B39F7"/>
    <w:rsid w:val="000B3D28"/>
    <w:rsid w:val="000B3E60"/>
    <w:rsid w:val="000B41D1"/>
    <w:rsid w:val="000B440C"/>
    <w:rsid w:val="000B47D0"/>
    <w:rsid w:val="000B4E23"/>
    <w:rsid w:val="000B5852"/>
    <w:rsid w:val="000B5CEF"/>
    <w:rsid w:val="000B5DEF"/>
    <w:rsid w:val="000B6480"/>
    <w:rsid w:val="000B64E2"/>
    <w:rsid w:val="000B6654"/>
    <w:rsid w:val="000B66E8"/>
    <w:rsid w:val="000B6B4F"/>
    <w:rsid w:val="000B6BB3"/>
    <w:rsid w:val="000B6BF8"/>
    <w:rsid w:val="000B77F4"/>
    <w:rsid w:val="000B7DD5"/>
    <w:rsid w:val="000B7F87"/>
    <w:rsid w:val="000C083D"/>
    <w:rsid w:val="000C0881"/>
    <w:rsid w:val="000C22D9"/>
    <w:rsid w:val="000C2493"/>
    <w:rsid w:val="000C2BAF"/>
    <w:rsid w:val="000C3963"/>
    <w:rsid w:val="000C40DC"/>
    <w:rsid w:val="000C4116"/>
    <w:rsid w:val="000C4F16"/>
    <w:rsid w:val="000C4FD0"/>
    <w:rsid w:val="000C5050"/>
    <w:rsid w:val="000C5677"/>
    <w:rsid w:val="000C650E"/>
    <w:rsid w:val="000C69DE"/>
    <w:rsid w:val="000C6A03"/>
    <w:rsid w:val="000C7122"/>
    <w:rsid w:val="000C7A44"/>
    <w:rsid w:val="000C7C6B"/>
    <w:rsid w:val="000C7E9C"/>
    <w:rsid w:val="000D016D"/>
    <w:rsid w:val="000D15E1"/>
    <w:rsid w:val="000D1A0F"/>
    <w:rsid w:val="000D1A57"/>
    <w:rsid w:val="000D24F3"/>
    <w:rsid w:val="000D2A9E"/>
    <w:rsid w:val="000D305D"/>
    <w:rsid w:val="000D3D29"/>
    <w:rsid w:val="000D438D"/>
    <w:rsid w:val="000D4BD0"/>
    <w:rsid w:val="000D5E13"/>
    <w:rsid w:val="000D62BA"/>
    <w:rsid w:val="000D6390"/>
    <w:rsid w:val="000D642C"/>
    <w:rsid w:val="000D64D3"/>
    <w:rsid w:val="000D64DD"/>
    <w:rsid w:val="000D6B47"/>
    <w:rsid w:val="000D6C40"/>
    <w:rsid w:val="000D747D"/>
    <w:rsid w:val="000D748F"/>
    <w:rsid w:val="000D7587"/>
    <w:rsid w:val="000D78F1"/>
    <w:rsid w:val="000E01BE"/>
    <w:rsid w:val="000E0596"/>
    <w:rsid w:val="000E10C8"/>
    <w:rsid w:val="000E1457"/>
    <w:rsid w:val="000E18FD"/>
    <w:rsid w:val="000E2093"/>
    <w:rsid w:val="000E219E"/>
    <w:rsid w:val="000E2234"/>
    <w:rsid w:val="000E243D"/>
    <w:rsid w:val="000E2BA7"/>
    <w:rsid w:val="000E3376"/>
    <w:rsid w:val="000E3FDE"/>
    <w:rsid w:val="000E45A9"/>
    <w:rsid w:val="000E4750"/>
    <w:rsid w:val="000E4C0D"/>
    <w:rsid w:val="000E4D79"/>
    <w:rsid w:val="000E5B32"/>
    <w:rsid w:val="000E5DCF"/>
    <w:rsid w:val="000E68D9"/>
    <w:rsid w:val="000E695A"/>
    <w:rsid w:val="000E7244"/>
    <w:rsid w:val="000E77B0"/>
    <w:rsid w:val="000E7C22"/>
    <w:rsid w:val="000F0292"/>
    <w:rsid w:val="000F03B4"/>
    <w:rsid w:val="000F0474"/>
    <w:rsid w:val="000F1382"/>
    <w:rsid w:val="000F14AB"/>
    <w:rsid w:val="000F16AD"/>
    <w:rsid w:val="000F1C36"/>
    <w:rsid w:val="000F1DC9"/>
    <w:rsid w:val="000F2875"/>
    <w:rsid w:val="000F3AD8"/>
    <w:rsid w:val="000F4372"/>
    <w:rsid w:val="000F4560"/>
    <w:rsid w:val="000F4D5E"/>
    <w:rsid w:val="000F552D"/>
    <w:rsid w:val="000F5648"/>
    <w:rsid w:val="000F5A6D"/>
    <w:rsid w:val="000F5C62"/>
    <w:rsid w:val="000F5C92"/>
    <w:rsid w:val="000F6673"/>
    <w:rsid w:val="000F69F1"/>
    <w:rsid w:val="000F6A12"/>
    <w:rsid w:val="000F76C5"/>
    <w:rsid w:val="000F7721"/>
    <w:rsid w:val="000F7AD6"/>
    <w:rsid w:val="00100561"/>
    <w:rsid w:val="00100AAA"/>
    <w:rsid w:val="00101D40"/>
    <w:rsid w:val="00101DBC"/>
    <w:rsid w:val="001020A5"/>
    <w:rsid w:val="001024F2"/>
    <w:rsid w:val="001027D6"/>
    <w:rsid w:val="00102A28"/>
    <w:rsid w:val="00102CE5"/>
    <w:rsid w:val="00103223"/>
    <w:rsid w:val="00103D50"/>
    <w:rsid w:val="00103D85"/>
    <w:rsid w:val="00104099"/>
    <w:rsid w:val="00104123"/>
    <w:rsid w:val="001048C2"/>
    <w:rsid w:val="00104EDD"/>
    <w:rsid w:val="001055B3"/>
    <w:rsid w:val="001059BB"/>
    <w:rsid w:val="00105FEC"/>
    <w:rsid w:val="001063D8"/>
    <w:rsid w:val="001063F9"/>
    <w:rsid w:val="001068B7"/>
    <w:rsid w:val="00106B16"/>
    <w:rsid w:val="00106B2C"/>
    <w:rsid w:val="00107098"/>
    <w:rsid w:val="00107B36"/>
    <w:rsid w:val="00107D9E"/>
    <w:rsid w:val="001104C5"/>
    <w:rsid w:val="0011066F"/>
    <w:rsid w:val="00111E2C"/>
    <w:rsid w:val="00111F2E"/>
    <w:rsid w:val="00111F3A"/>
    <w:rsid w:val="001121EB"/>
    <w:rsid w:val="001127EF"/>
    <w:rsid w:val="001129AC"/>
    <w:rsid w:val="00112D0A"/>
    <w:rsid w:val="00112DC1"/>
    <w:rsid w:val="00112EF2"/>
    <w:rsid w:val="00112F43"/>
    <w:rsid w:val="00112F74"/>
    <w:rsid w:val="001141AE"/>
    <w:rsid w:val="0011434D"/>
    <w:rsid w:val="00114AAE"/>
    <w:rsid w:val="00114C6C"/>
    <w:rsid w:val="00114CF6"/>
    <w:rsid w:val="00115392"/>
    <w:rsid w:val="0011545E"/>
    <w:rsid w:val="00115797"/>
    <w:rsid w:val="00115B86"/>
    <w:rsid w:val="00115BA4"/>
    <w:rsid w:val="00115D1D"/>
    <w:rsid w:val="0011668D"/>
    <w:rsid w:val="001168D9"/>
    <w:rsid w:val="00116A50"/>
    <w:rsid w:val="00116E53"/>
    <w:rsid w:val="00117198"/>
    <w:rsid w:val="001177B3"/>
    <w:rsid w:val="00117A9E"/>
    <w:rsid w:val="00117CAD"/>
    <w:rsid w:val="001200B8"/>
    <w:rsid w:val="00120BF0"/>
    <w:rsid w:val="001211EB"/>
    <w:rsid w:val="001211EF"/>
    <w:rsid w:val="0012121A"/>
    <w:rsid w:val="0012190B"/>
    <w:rsid w:val="001222E5"/>
    <w:rsid w:val="001225DF"/>
    <w:rsid w:val="00122A54"/>
    <w:rsid w:val="00122BF7"/>
    <w:rsid w:val="0012320F"/>
    <w:rsid w:val="001243B6"/>
    <w:rsid w:val="00124550"/>
    <w:rsid w:val="00124C41"/>
    <w:rsid w:val="00124E2B"/>
    <w:rsid w:val="00125AAA"/>
    <w:rsid w:val="00126375"/>
    <w:rsid w:val="0012671C"/>
    <w:rsid w:val="00130057"/>
    <w:rsid w:val="00130538"/>
    <w:rsid w:val="00130859"/>
    <w:rsid w:val="00130DF2"/>
    <w:rsid w:val="001310BF"/>
    <w:rsid w:val="00131294"/>
    <w:rsid w:val="001316C0"/>
    <w:rsid w:val="00131A15"/>
    <w:rsid w:val="00131B77"/>
    <w:rsid w:val="00131D7E"/>
    <w:rsid w:val="001323F2"/>
    <w:rsid w:val="00132430"/>
    <w:rsid w:val="001327B7"/>
    <w:rsid w:val="0013280A"/>
    <w:rsid w:val="00132B6B"/>
    <w:rsid w:val="00132C78"/>
    <w:rsid w:val="00132D64"/>
    <w:rsid w:val="00132EEC"/>
    <w:rsid w:val="00132FFA"/>
    <w:rsid w:val="00133807"/>
    <w:rsid w:val="001341AC"/>
    <w:rsid w:val="0013422E"/>
    <w:rsid w:val="00134357"/>
    <w:rsid w:val="001349C3"/>
    <w:rsid w:val="00135331"/>
    <w:rsid w:val="001357BC"/>
    <w:rsid w:val="00135F80"/>
    <w:rsid w:val="001362EE"/>
    <w:rsid w:val="00136D63"/>
    <w:rsid w:val="00136F46"/>
    <w:rsid w:val="0013758D"/>
    <w:rsid w:val="00140082"/>
    <w:rsid w:val="001401AE"/>
    <w:rsid w:val="0014024E"/>
    <w:rsid w:val="00140675"/>
    <w:rsid w:val="001406C8"/>
    <w:rsid w:val="001409C1"/>
    <w:rsid w:val="00141215"/>
    <w:rsid w:val="001415DE"/>
    <w:rsid w:val="00141DEC"/>
    <w:rsid w:val="0014213B"/>
    <w:rsid w:val="001423B1"/>
    <w:rsid w:val="00142582"/>
    <w:rsid w:val="0014280E"/>
    <w:rsid w:val="00142FEB"/>
    <w:rsid w:val="001431DA"/>
    <w:rsid w:val="0014381B"/>
    <w:rsid w:val="00143CBA"/>
    <w:rsid w:val="00144363"/>
    <w:rsid w:val="00144430"/>
    <w:rsid w:val="001448C0"/>
    <w:rsid w:val="001450D9"/>
    <w:rsid w:val="001451A1"/>
    <w:rsid w:val="00145A24"/>
    <w:rsid w:val="00145A2A"/>
    <w:rsid w:val="00145FB4"/>
    <w:rsid w:val="00146023"/>
    <w:rsid w:val="00146440"/>
    <w:rsid w:val="00146670"/>
    <w:rsid w:val="00146832"/>
    <w:rsid w:val="00147021"/>
    <w:rsid w:val="00147171"/>
    <w:rsid w:val="0014735C"/>
    <w:rsid w:val="0014736F"/>
    <w:rsid w:val="001473C3"/>
    <w:rsid w:val="00147618"/>
    <w:rsid w:val="00147CA6"/>
    <w:rsid w:val="00147D5E"/>
    <w:rsid w:val="00150837"/>
    <w:rsid w:val="001512BB"/>
    <w:rsid w:val="001514A5"/>
    <w:rsid w:val="00151833"/>
    <w:rsid w:val="00151F01"/>
    <w:rsid w:val="00152FF8"/>
    <w:rsid w:val="001539BD"/>
    <w:rsid w:val="00153A2B"/>
    <w:rsid w:val="00153D29"/>
    <w:rsid w:val="00154922"/>
    <w:rsid w:val="00155896"/>
    <w:rsid w:val="001564B0"/>
    <w:rsid w:val="0015671A"/>
    <w:rsid w:val="00156788"/>
    <w:rsid w:val="00157D67"/>
    <w:rsid w:val="00157E70"/>
    <w:rsid w:val="001603FF"/>
    <w:rsid w:val="001609AC"/>
    <w:rsid w:val="00160AB4"/>
    <w:rsid w:val="00160FA2"/>
    <w:rsid w:val="00161FF2"/>
    <w:rsid w:val="00162658"/>
    <w:rsid w:val="0016328E"/>
    <w:rsid w:val="00163552"/>
    <w:rsid w:val="0016356F"/>
    <w:rsid w:val="00163D14"/>
    <w:rsid w:val="0016409D"/>
    <w:rsid w:val="00164FA7"/>
    <w:rsid w:val="001655A7"/>
    <w:rsid w:val="00165621"/>
    <w:rsid w:val="0016569F"/>
    <w:rsid w:val="0016585E"/>
    <w:rsid w:val="00165D18"/>
    <w:rsid w:val="00165D4D"/>
    <w:rsid w:val="001660E9"/>
    <w:rsid w:val="0016612C"/>
    <w:rsid w:val="001662F0"/>
    <w:rsid w:val="001664E2"/>
    <w:rsid w:val="001666CC"/>
    <w:rsid w:val="00166968"/>
    <w:rsid w:val="00167B15"/>
    <w:rsid w:val="001700C1"/>
    <w:rsid w:val="00170759"/>
    <w:rsid w:val="00170944"/>
    <w:rsid w:val="00170CE6"/>
    <w:rsid w:val="00170F58"/>
    <w:rsid w:val="00170F8B"/>
    <w:rsid w:val="0017106A"/>
    <w:rsid w:val="001711E6"/>
    <w:rsid w:val="001719C0"/>
    <w:rsid w:val="00171FF2"/>
    <w:rsid w:val="00172129"/>
    <w:rsid w:val="00172B4A"/>
    <w:rsid w:val="00172F1D"/>
    <w:rsid w:val="0017372C"/>
    <w:rsid w:val="00173B79"/>
    <w:rsid w:val="00173FA1"/>
    <w:rsid w:val="00174569"/>
    <w:rsid w:val="001749B4"/>
    <w:rsid w:val="00175379"/>
    <w:rsid w:val="001755C2"/>
    <w:rsid w:val="00176245"/>
    <w:rsid w:val="0017680C"/>
    <w:rsid w:val="00176B9C"/>
    <w:rsid w:val="0017743E"/>
    <w:rsid w:val="0017745E"/>
    <w:rsid w:val="001775B5"/>
    <w:rsid w:val="0017794A"/>
    <w:rsid w:val="00177AB2"/>
    <w:rsid w:val="00177EFA"/>
    <w:rsid w:val="00177F50"/>
    <w:rsid w:val="00180260"/>
    <w:rsid w:val="001802E5"/>
    <w:rsid w:val="001810C5"/>
    <w:rsid w:val="00181586"/>
    <w:rsid w:val="00181D58"/>
    <w:rsid w:val="00182C66"/>
    <w:rsid w:val="00182E15"/>
    <w:rsid w:val="001830C0"/>
    <w:rsid w:val="001832DC"/>
    <w:rsid w:val="00183578"/>
    <w:rsid w:val="00184411"/>
    <w:rsid w:val="0018453A"/>
    <w:rsid w:val="00184707"/>
    <w:rsid w:val="00184C43"/>
    <w:rsid w:val="00184F21"/>
    <w:rsid w:val="0018504B"/>
    <w:rsid w:val="00185802"/>
    <w:rsid w:val="00185AB0"/>
    <w:rsid w:val="00185B66"/>
    <w:rsid w:val="00185C4E"/>
    <w:rsid w:val="001863A6"/>
    <w:rsid w:val="001863C2"/>
    <w:rsid w:val="001872B6"/>
    <w:rsid w:val="0018779A"/>
    <w:rsid w:val="0018796A"/>
    <w:rsid w:val="001879DB"/>
    <w:rsid w:val="00190274"/>
    <w:rsid w:val="001902E5"/>
    <w:rsid w:val="00190789"/>
    <w:rsid w:val="001908EA"/>
    <w:rsid w:val="00190A1C"/>
    <w:rsid w:val="001911A3"/>
    <w:rsid w:val="00191508"/>
    <w:rsid w:val="0019154A"/>
    <w:rsid w:val="001918F5"/>
    <w:rsid w:val="00193940"/>
    <w:rsid w:val="00193CEF"/>
    <w:rsid w:val="00193E90"/>
    <w:rsid w:val="001948D0"/>
    <w:rsid w:val="00194B7C"/>
    <w:rsid w:val="00194C15"/>
    <w:rsid w:val="001953D9"/>
    <w:rsid w:val="00195458"/>
    <w:rsid w:val="00195B98"/>
    <w:rsid w:val="0019605E"/>
    <w:rsid w:val="00196F2C"/>
    <w:rsid w:val="0019705D"/>
    <w:rsid w:val="0019734C"/>
    <w:rsid w:val="001973A2"/>
    <w:rsid w:val="00197B5D"/>
    <w:rsid w:val="00197DA8"/>
    <w:rsid w:val="00197F35"/>
    <w:rsid w:val="00197F4B"/>
    <w:rsid w:val="00197FCE"/>
    <w:rsid w:val="001A0728"/>
    <w:rsid w:val="001A0932"/>
    <w:rsid w:val="001A09A7"/>
    <w:rsid w:val="001A0A61"/>
    <w:rsid w:val="001A0BF0"/>
    <w:rsid w:val="001A0C9E"/>
    <w:rsid w:val="001A104C"/>
    <w:rsid w:val="001A1106"/>
    <w:rsid w:val="001A14A9"/>
    <w:rsid w:val="001A1796"/>
    <w:rsid w:val="001A235D"/>
    <w:rsid w:val="001A2377"/>
    <w:rsid w:val="001A2772"/>
    <w:rsid w:val="001A2DA6"/>
    <w:rsid w:val="001A2E5E"/>
    <w:rsid w:val="001A3033"/>
    <w:rsid w:val="001A3147"/>
    <w:rsid w:val="001A32D9"/>
    <w:rsid w:val="001A34CC"/>
    <w:rsid w:val="001A390C"/>
    <w:rsid w:val="001A399A"/>
    <w:rsid w:val="001A4751"/>
    <w:rsid w:val="001A4DAD"/>
    <w:rsid w:val="001A5239"/>
    <w:rsid w:val="001A567F"/>
    <w:rsid w:val="001A56A9"/>
    <w:rsid w:val="001A5AAD"/>
    <w:rsid w:val="001A5C45"/>
    <w:rsid w:val="001A5E9B"/>
    <w:rsid w:val="001A63DB"/>
    <w:rsid w:val="001A6402"/>
    <w:rsid w:val="001A7377"/>
    <w:rsid w:val="001A7A8F"/>
    <w:rsid w:val="001A7FA2"/>
    <w:rsid w:val="001B0AA7"/>
    <w:rsid w:val="001B15C4"/>
    <w:rsid w:val="001B16FD"/>
    <w:rsid w:val="001B1815"/>
    <w:rsid w:val="001B23BD"/>
    <w:rsid w:val="001B31DB"/>
    <w:rsid w:val="001B33FC"/>
    <w:rsid w:val="001B36AD"/>
    <w:rsid w:val="001B36FC"/>
    <w:rsid w:val="001B39C9"/>
    <w:rsid w:val="001B4539"/>
    <w:rsid w:val="001B4609"/>
    <w:rsid w:val="001B4A2C"/>
    <w:rsid w:val="001B4D86"/>
    <w:rsid w:val="001B5AFC"/>
    <w:rsid w:val="001B5E7B"/>
    <w:rsid w:val="001B6280"/>
    <w:rsid w:val="001B6515"/>
    <w:rsid w:val="001B7628"/>
    <w:rsid w:val="001B76D2"/>
    <w:rsid w:val="001B7C27"/>
    <w:rsid w:val="001B7D1F"/>
    <w:rsid w:val="001C002E"/>
    <w:rsid w:val="001C0865"/>
    <w:rsid w:val="001C1D69"/>
    <w:rsid w:val="001C2931"/>
    <w:rsid w:val="001C31F2"/>
    <w:rsid w:val="001C3421"/>
    <w:rsid w:val="001C35CA"/>
    <w:rsid w:val="001C3E6E"/>
    <w:rsid w:val="001C4A10"/>
    <w:rsid w:val="001C50CE"/>
    <w:rsid w:val="001C5EB7"/>
    <w:rsid w:val="001C6161"/>
    <w:rsid w:val="001C7838"/>
    <w:rsid w:val="001D015E"/>
    <w:rsid w:val="001D0634"/>
    <w:rsid w:val="001D0702"/>
    <w:rsid w:val="001D0BDA"/>
    <w:rsid w:val="001D13F0"/>
    <w:rsid w:val="001D175D"/>
    <w:rsid w:val="001D1B56"/>
    <w:rsid w:val="001D268A"/>
    <w:rsid w:val="001D2C28"/>
    <w:rsid w:val="001D36FF"/>
    <w:rsid w:val="001D4423"/>
    <w:rsid w:val="001D4984"/>
    <w:rsid w:val="001D4B9E"/>
    <w:rsid w:val="001D50A3"/>
    <w:rsid w:val="001D51E9"/>
    <w:rsid w:val="001D59C8"/>
    <w:rsid w:val="001D5A98"/>
    <w:rsid w:val="001D5EF4"/>
    <w:rsid w:val="001D6711"/>
    <w:rsid w:val="001D6738"/>
    <w:rsid w:val="001D6A74"/>
    <w:rsid w:val="001D6C4C"/>
    <w:rsid w:val="001D6C8D"/>
    <w:rsid w:val="001D7062"/>
    <w:rsid w:val="001D78CF"/>
    <w:rsid w:val="001D7F92"/>
    <w:rsid w:val="001E0033"/>
    <w:rsid w:val="001E01D2"/>
    <w:rsid w:val="001E038B"/>
    <w:rsid w:val="001E03F0"/>
    <w:rsid w:val="001E079B"/>
    <w:rsid w:val="001E0883"/>
    <w:rsid w:val="001E0EBE"/>
    <w:rsid w:val="001E11C7"/>
    <w:rsid w:val="001E2148"/>
    <w:rsid w:val="001E2878"/>
    <w:rsid w:val="001E297A"/>
    <w:rsid w:val="001E2A06"/>
    <w:rsid w:val="001E2D94"/>
    <w:rsid w:val="001E33A0"/>
    <w:rsid w:val="001E3417"/>
    <w:rsid w:val="001E38CB"/>
    <w:rsid w:val="001E394D"/>
    <w:rsid w:val="001E45F9"/>
    <w:rsid w:val="001E48F8"/>
    <w:rsid w:val="001E4901"/>
    <w:rsid w:val="001E5185"/>
    <w:rsid w:val="001E5BF1"/>
    <w:rsid w:val="001E5FA7"/>
    <w:rsid w:val="001E60E1"/>
    <w:rsid w:val="001E63B8"/>
    <w:rsid w:val="001E6632"/>
    <w:rsid w:val="001E6BFA"/>
    <w:rsid w:val="001E7012"/>
    <w:rsid w:val="001E701C"/>
    <w:rsid w:val="001E7247"/>
    <w:rsid w:val="001E763E"/>
    <w:rsid w:val="001E7DD5"/>
    <w:rsid w:val="001F0547"/>
    <w:rsid w:val="001F07D8"/>
    <w:rsid w:val="001F0BBF"/>
    <w:rsid w:val="001F0BDA"/>
    <w:rsid w:val="001F0C37"/>
    <w:rsid w:val="001F226A"/>
    <w:rsid w:val="001F2EE9"/>
    <w:rsid w:val="001F3A1D"/>
    <w:rsid w:val="001F3DB0"/>
    <w:rsid w:val="001F4A67"/>
    <w:rsid w:val="001F4B3D"/>
    <w:rsid w:val="001F4DC7"/>
    <w:rsid w:val="001F5540"/>
    <w:rsid w:val="001F5668"/>
    <w:rsid w:val="001F5AA6"/>
    <w:rsid w:val="001F5F19"/>
    <w:rsid w:val="001F67D7"/>
    <w:rsid w:val="001F6BC1"/>
    <w:rsid w:val="001F725B"/>
    <w:rsid w:val="001F749A"/>
    <w:rsid w:val="001F7B8C"/>
    <w:rsid w:val="002002C4"/>
    <w:rsid w:val="00200641"/>
    <w:rsid w:val="00200C7C"/>
    <w:rsid w:val="00201730"/>
    <w:rsid w:val="0020244A"/>
    <w:rsid w:val="002024CF"/>
    <w:rsid w:val="00202B54"/>
    <w:rsid w:val="00202F60"/>
    <w:rsid w:val="00203E55"/>
    <w:rsid w:val="00203E8D"/>
    <w:rsid w:val="00204C02"/>
    <w:rsid w:val="00204DF6"/>
    <w:rsid w:val="00205908"/>
    <w:rsid w:val="00205DC3"/>
    <w:rsid w:val="00205F72"/>
    <w:rsid w:val="00205FA1"/>
    <w:rsid w:val="002060E3"/>
    <w:rsid w:val="00206351"/>
    <w:rsid w:val="002066B0"/>
    <w:rsid w:val="00206AD7"/>
    <w:rsid w:val="00206E91"/>
    <w:rsid w:val="0020717B"/>
    <w:rsid w:val="00207C33"/>
    <w:rsid w:val="00210683"/>
    <w:rsid w:val="00210838"/>
    <w:rsid w:val="002109C3"/>
    <w:rsid w:val="002109F3"/>
    <w:rsid w:val="0021107F"/>
    <w:rsid w:val="002111EB"/>
    <w:rsid w:val="0021147A"/>
    <w:rsid w:val="002116E2"/>
    <w:rsid w:val="00211EE2"/>
    <w:rsid w:val="0021250B"/>
    <w:rsid w:val="002127B3"/>
    <w:rsid w:val="00213436"/>
    <w:rsid w:val="00213553"/>
    <w:rsid w:val="0021392D"/>
    <w:rsid w:val="00213AAE"/>
    <w:rsid w:val="00213C7E"/>
    <w:rsid w:val="00214487"/>
    <w:rsid w:val="002152F5"/>
    <w:rsid w:val="00217216"/>
    <w:rsid w:val="00217876"/>
    <w:rsid w:val="00217F95"/>
    <w:rsid w:val="0022074F"/>
    <w:rsid w:val="0022147D"/>
    <w:rsid w:val="0022198B"/>
    <w:rsid w:val="00221B3C"/>
    <w:rsid w:val="002228ED"/>
    <w:rsid w:val="00222E2E"/>
    <w:rsid w:val="002230E2"/>
    <w:rsid w:val="00224AAB"/>
    <w:rsid w:val="00224B93"/>
    <w:rsid w:val="00225145"/>
    <w:rsid w:val="002253D7"/>
    <w:rsid w:val="002257D3"/>
    <w:rsid w:val="002259A3"/>
    <w:rsid w:val="00226610"/>
    <w:rsid w:val="00226705"/>
    <w:rsid w:val="00226EAC"/>
    <w:rsid w:val="0022709E"/>
    <w:rsid w:val="00227A9A"/>
    <w:rsid w:val="00227B40"/>
    <w:rsid w:val="00227ED3"/>
    <w:rsid w:val="002301A8"/>
    <w:rsid w:val="00230562"/>
    <w:rsid w:val="002306F3"/>
    <w:rsid w:val="00230F7B"/>
    <w:rsid w:val="00230FB8"/>
    <w:rsid w:val="0023135B"/>
    <w:rsid w:val="00231E7F"/>
    <w:rsid w:val="002324B6"/>
    <w:rsid w:val="00233638"/>
    <w:rsid w:val="00233710"/>
    <w:rsid w:val="00233CD1"/>
    <w:rsid w:val="00234A61"/>
    <w:rsid w:val="002350DF"/>
    <w:rsid w:val="00235265"/>
    <w:rsid w:val="00235A3B"/>
    <w:rsid w:val="00235B8A"/>
    <w:rsid w:val="002360DE"/>
    <w:rsid w:val="002364BA"/>
    <w:rsid w:val="00237035"/>
    <w:rsid w:val="002370CB"/>
    <w:rsid w:val="002372F9"/>
    <w:rsid w:val="00237503"/>
    <w:rsid w:val="002378CB"/>
    <w:rsid w:val="00237981"/>
    <w:rsid w:val="00240C78"/>
    <w:rsid w:val="00240E9B"/>
    <w:rsid w:val="002410B0"/>
    <w:rsid w:val="00241261"/>
    <w:rsid w:val="002418AA"/>
    <w:rsid w:val="00241976"/>
    <w:rsid w:val="00241F7A"/>
    <w:rsid w:val="002440BF"/>
    <w:rsid w:val="00244698"/>
    <w:rsid w:val="0024497D"/>
    <w:rsid w:val="00244C0B"/>
    <w:rsid w:val="002451B6"/>
    <w:rsid w:val="002458D8"/>
    <w:rsid w:val="00245A09"/>
    <w:rsid w:val="00245B04"/>
    <w:rsid w:val="00245CCA"/>
    <w:rsid w:val="00245E60"/>
    <w:rsid w:val="002464EC"/>
    <w:rsid w:val="002467EE"/>
    <w:rsid w:val="00246EB6"/>
    <w:rsid w:val="00246FA8"/>
    <w:rsid w:val="002475E7"/>
    <w:rsid w:val="002479E6"/>
    <w:rsid w:val="00247A68"/>
    <w:rsid w:val="002501C7"/>
    <w:rsid w:val="00250522"/>
    <w:rsid w:val="00250630"/>
    <w:rsid w:val="00250B9C"/>
    <w:rsid w:val="00250C52"/>
    <w:rsid w:val="00251088"/>
    <w:rsid w:val="002517D2"/>
    <w:rsid w:val="002518CC"/>
    <w:rsid w:val="00251A37"/>
    <w:rsid w:val="00252090"/>
    <w:rsid w:val="00252968"/>
    <w:rsid w:val="00252BE2"/>
    <w:rsid w:val="0025336B"/>
    <w:rsid w:val="002543D4"/>
    <w:rsid w:val="0025456B"/>
    <w:rsid w:val="00254BB9"/>
    <w:rsid w:val="00256329"/>
    <w:rsid w:val="002569B0"/>
    <w:rsid w:val="00256CEB"/>
    <w:rsid w:val="002572D5"/>
    <w:rsid w:val="002574EF"/>
    <w:rsid w:val="00257567"/>
    <w:rsid w:val="00257AB5"/>
    <w:rsid w:val="00260460"/>
    <w:rsid w:val="00260C04"/>
    <w:rsid w:val="00261368"/>
    <w:rsid w:val="0026146E"/>
    <w:rsid w:val="0026262D"/>
    <w:rsid w:val="002628AF"/>
    <w:rsid w:val="00262A34"/>
    <w:rsid w:val="00262ED1"/>
    <w:rsid w:val="00263BA9"/>
    <w:rsid w:val="00264076"/>
    <w:rsid w:val="0026423A"/>
    <w:rsid w:val="0026492C"/>
    <w:rsid w:val="002660FD"/>
    <w:rsid w:val="00266187"/>
    <w:rsid w:val="002662FB"/>
    <w:rsid w:val="00266756"/>
    <w:rsid w:val="00266F3D"/>
    <w:rsid w:val="00267438"/>
    <w:rsid w:val="0027012D"/>
    <w:rsid w:val="00270AD6"/>
    <w:rsid w:val="00270DC5"/>
    <w:rsid w:val="0027143B"/>
    <w:rsid w:val="00271A7B"/>
    <w:rsid w:val="00271B41"/>
    <w:rsid w:val="00271EE8"/>
    <w:rsid w:val="0027248A"/>
    <w:rsid w:val="00272910"/>
    <w:rsid w:val="00272A3E"/>
    <w:rsid w:val="00272A48"/>
    <w:rsid w:val="00272D9A"/>
    <w:rsid w:val="00273B7F"/>
    <w:rsid w:val="002740C0"/>
    <w:rsid w:val="0027431A"/>
    <w:rsid w:val="00274AD3"/>
    <w:rsid w:val="00274B1B"/>
    <w:rsid w:val="00275B73"/>
    <w:rsid w:val="00275BA7"/>
    <w:rsid w:val="00275CD2"/>
    <w:rsid w:val="002769D5"/>
    <w:rsid w:val="00276DC2"/>
    <w:rsid w:val="00277380"/>
    <w:rsid w:val="00277488"/>
    <w:rsid w:val="00277603"/>
    <w:rsid w:val="00277870"/>
    <w:rsid w:val="00277C2D"/>
    <w:rsid w:val="00277E02"/>
    <w:rsid w:val="00280F76"/>
    <w:rsid w:val="002810AF"/>
    <w:rsid w:val="00281209"/>
    <w:rsid w:val="00281449"/>
    <w:rsid w:val="00281FC5"/>
    <w:rsid w:val="002823C4"/>
    <w:rsid w:val="002824F0"/>
    <w:rsid w:val="0028271A"/>
    <w:rsid w:val="002829C1"/>
    <w:rsid w:val="00282C74"/>
    <w:rsid w:val="00282CF6"/>
    <w:rsid w:val="0028328B"/>
    <w:rsid w:val="00283740"/>
    <w:rsid w:val="0028441F"/>
    <w:rsid w:val="002851A6"/>
    <w:rsid w:val="00285962"/>
    <w:rsid w:val="00285BBC"/>
    <w:rsid w:val="00285D66"/>
    <w:rsid w:val="0028608B"/>
    <w:rsid w:val="0028687C"/>
    <w:rsid w:val="00287382"/>
    <w:rsid w:val="00287FD4"/>
    <w:rsid w:val="00290002"/>
    <w:rsid w:val="0029030A"/>
    <w:rsid w:val="002903ED"/>
    <w:rsid w:val="00290BB9"/>
    <w:rsid w:val="00290C44"/>
    <w:rsid w:val="00290E41"/>
    <w:rsid w:val="00290F20"/>
    <w:rsid w:val="00291242"/>
    <w:rsid w:val="00291424"/>
    <w:rsid w:val="00291745"/>
    <w:rsid w:val="00291E4E"/>
    <w:rsid w:val="0029209F"/>
    <w:rsid w:val="00292610"/>
    <w:rsid w:val="00292ADE"/>
    <w:rsid w:val="00292F3C"/>
    <w:rsid w:val="00292FB3"/>
    <w:rsid w:val="00293066"/>
    <w:rsid w:val="002932C1"/>
    <w:rsid w:val="00293312"/>
    <w:rsid w:val="00293B96"/>
    <w:rsid w:val="00293E82"/>
    <w:rsid w:val="0029404A"/>
    <w:rsid w:val="0029414B"/>
    <w:rsid w:val="002943BF"/>
    <w:rsid w:val="00294FDA"/>
    <w:rsid w:val="0029531C"/>
    <w:rsid w:val="002957A5"/>
    <w:rsid w:val="00296DBB"/>
    <w:rsid w:val="00297738"/>
    <w:rsid w:val="002A0497"/>
    <w:rsid w:val="002A0821"/>
    <w:rsid w:val="002A0B0D"/>
    <w:rsid w:val="002A0E76"/>
    <w:rsid w:val="002A1721"/>
    <w:rsid w:val="002A194C"/>
    <w:rsid w:val="002A2050"/>
    <w:rsid w:val="002A20F9"/>
    <w:rsid w:val="002A234F"/>
    <w:rsid w:val="002A2487"/>
    <w:rsid w:val="002A39DC"/>
    <w:rsid w:val="002A4500"/>
    <w:rsid w:val="002A48C2"/>
    <w:rsid w:val="002A4FAB"/>
    <w:rsid w:val="002A5032"/>
    <w:rsid w:val="002A5263"/>
    <w:rsid w:val="002A5292"/>
    <w:rsid w:val="002A5442"/>
    <w:rsid w:val="002A583C"/>
    <w:rsid w:val="002A645B"/>
    <w:rsid w:val="002A72C0"/>
    <w:rsid w:val="002A7436"/>
    <w:rsid w:val="002A7550"/>
    <w:rsid w:val="002A7732"/>
    <w:rsid w:val="002A7C48"/>
    <w:rsid w:val="002A7FB6"/>
    <w:rsid w:val="002B059F"/>
    <w:rsid w:val="002B0A9E"/>
    <w:rsid w:val="002B1691"/>
    <w:rsid w:val="002B1A1E"/>
    <w:rsid w:val="002B1A6E"/>
    <w:rsid w:val="002B1CB7"/>
    <w:rsid w:val="002B1FBF"/>
    <w:rsid w:val="002B2002"/>
    <w:rsid w:val="002B218B"/>
    <w:rsid w:val="002B2988"/>
    <w:rsid w:val="002B2EC6"/>
    <w:rsid w:val="002B30D6"/>
    <w:rsid w:val="002B3899"/>
    <w:rsid w:val="002B393C"/>
    <w:rsid w:val="002B39D0"/>
    <w:rsid w:val="002B3EC0"/>
    <w:rsid w:val="002B449B"/>
    <w:rsid w:val="002B4891"/>
    <w:rsid w:val="002B5206"/>
    <w:rsid w:val="002B58CC"/>
    <w:rsid w:val="002B6000"/>
    <w:rsid w:val="002B6AA8"/>
    <w:rsid w:val="002B6C97"/>
    <w:rsid w:val="002B6E12"/>
    <w:rsid w:val="002B6FE8"/>
    <w:rsid w:val="002B72F0"/>
    <w:rsid w:val="002B7681"/>
    <w:rsid w:val="002B76CE"/>
    <w:rsid w:val="002B7CD7"/>
    <w:rsid w:val="002C014A"/>
    <w:rsid w:val="002C077A"/>
    <w:rsid w:val="002C1D4A"/>
    <w:rsid w:val="002C2004"/>
    <w:rsid w:val="002C2705"/>
    <w:rsid w:val="002C2745"/>
    <w:rsid w:val="002C3256"/>
    <w:rsid w:val="002C369F"/>
    <w:rsid w:val="002C3B70"/>
    <w:rsid w:val="002C43DA"/>
    <w:rsid w:val="002C4446"/>
    <w:rsid w:val="002C4B5C"/>
    <w:rsid w:val="002C4D40"/>
    <w:rsid w:val="002C5233"/>
    <w:rsid w:val="002C5305"/>
    <w:rsid w:val="002C5506"/>
    <w:rsid w:val="002C5AAD"/>
    <w:rsid w:val="002C5F39"/>
    <w:rsid w:val="002C6790"/>
    <w:rsid w:val="002C696F"/>
    <w:rsid w:val="002C6F1C"/>
    <w:rsid w:val="002C71F4"/>
    <w:rsid w:val="002C758D"/>
    <w:rsid w:val="002C7D4D"/>
    <w:rsid w:val="002D0AD9"/>
    <w:rsid w:val="002D0FDB"/>
    <w:rsid w:val="002D15E6"/>
    <w:rsid w:val="002D1779"/>
    <w:rsid w:val="002D1BD4"/>
    <w:rsid w:val="002D1F75"/>
    <w:rsid w:val="002D20C2"/>
    <w:rsid w:val="002D2453"/>
    <w:rsid w:val="002D2A8C"/>
    <w:rsid w:val="002D2BE5"/>
    <w:rsid w:val="002D2BF0"/>
    <w:rsid w:val="002D2C21"/>
    <w:rsid w:val="002D2C73"/>
    <w:rsid w:val="002D30BB"/>
    <w:rsid w:val="002D3410"/>
    <w:rsid w:val="002D37CC"/>
    <w:rsid w:val="002D3AE7"/>
    <w:rsid w:val="002D3CAC"/>
    <w:rsid w:val="002D3F58"/>
    <w:rsid w:val="002D444A"/>
    <w:rsid w:val="002D4706"/>
    <w:rsid w:val="002D4C9A"/>
    <w:rsid w:val="002D53CE"/>
    <w:rsid w:val="002D59A3"/>
    <w:rsid w:val="002D59B0"/>
    <w:rsid w:val="002D61A8"/>
    <w:rsid w:val="002D6269"/>
    <w:rsid w:val="002D630D"/>
    <w:rsid w:val="002D6861"/>
    <w:rsid w:val="002D72E9"/>
    <w:rsid w:val="002D7380"/>
    <w:rsid w:val="002D78BB"/>
    <w:rsid w:val="002E010F"/>
    <w:rsid w:val="002E07B9"/>
    <w:rsid w:val="002E0D60"/>
    <w:rsid w:val="002E148C"/>
    <w:rsid w:val="002E15C7"/>
    <w:rsid w:val="002E1781"/>
    <w:rsid w:val="002E1E42"/>
    <w:rsid w:val="002E20B6"/>
    <w:rsid w:val="002E22ED"/>
    <w:rsid w:val="002E2435"/>
    <w:rsid w:val="002E2AA9"/>
    <w:rsid w:val="002E3333"/>
    <w:rsid w:val="002E37DC"/>
    <w:rsid w:val="002E472D"/>
    <w:rsid w:val="002E5188"/>
    <w:rsid w:val="002E52C7"/>
    <w:rsid w:val="002E5815"/>
    <w:rsid w:val="002E586A"/>
    <w:rsid w:val="002E58F0"/>
    <w:rsid w:val="002E5CA2"/>
    <w:rsid w:val="002E5EFC"/>
    <w:rsid w:val="002E5FE6"/>
    <w:rsid w:val="002E6BB7"/>
    <w:rsid w:val="002E6CEB"/>
    <w:rsid w:val="002E7284"/>
    <w:rsid w:val="002E7917"/>
    <w:rsid w:val="002E7A6B"/>
    <w:rsid w:val="002E7F8E"/>
    <w:rsid w:val="002F0CD0"/>
    <w:rsid w:val="002F0D3D"/>
    <w:rsid w:val="002F10E2"/>
    <w:rsid w:val="002F13B9"/>
    <w:rsid w:val="002F1A28"/>
    <w:rsid w:val="002F1A80"/>
    <w:rsid w:val="002F21AE"/>
    <w:rsid w:val="002F25AF"/>
    <w:rsid w:val="002F29AA"/>
    <w:rsid w:val="002F2BCC"/>
    <w:rsid w:val="002F2C99"/>
    <w:rsid w:val="002F36BB"/>
    <w:rsid w:val="002F3782"/>
    <w:rsid w:val="002F3814"/>
    <w:rsid w:val="002F3DFB"/>
    <w:rsid w:val="002F43FA"/>
    <w:rsid w:val="002F49F8"/>
    <w:rsid w:val="002F54E9"/>
    <w:rsid w:val="002F57D3"/>
    <w:rsid w:val="002F5E89"/>
    <w:rsid w:val="002F612A"/>
    <w:rsid w:val="002F6960"/>
    <w:rsid w:val="002F6CE0"/>
    <w:rsid w:val="002F73FA"/>
    <w:rsid w:val="002F7812"/>
    <w:rsid w:val="00300020"/>
    <w:rsid w:val="003005F6"/>
    <w:rsid w:val="003006AC"/>
    <w:rsid w:val="003006D8"/>
    <w:rsid w:val="00300F40"/>
    <w:rsid w:val="003011B9"/>
    <w:rsid w:val="0030153D"/>
    <w:rsid w:val="003016D1"/>
    <w:rsid w:val="00301BA4"/>
    <w:rsid w:val="00301D8D"/>
    <w:rsid w:val="00301FD0"/>
    <w:rsid w:val="00302208"/>
    <w:rsid w:val="00302656"/>
    <w:rsid w:val="003027DE"/>
    <w:rsid w:val="00302965"/>
    <w:rsid w:val="00302ED5"/>
    <w:rsid w:val="003030E7"/>
    <w:rsid w:val="0030310C"/>
    <w:rsid w:val="0030315C"/>
    <w:rsid w:val="003035A4"/>
    <w:rsid w:val="003036F7"/>
    <w:rsid w:val="00303745"/>
    <w:rsid w:val="00303F9F"/>
    <w:rsid w:val="003040E2"/>
    <w:rsid w:val="00304667"/>
    <w:rsid w:val="00304680"/>
    <w:rsid w:val="00304A8B"/>
    <w:rsid w:val="00304CE4"/>
    <w:rsid w:val="00304D51"/>
    <w:rsid w:val="0030516D"/>
    <w:rsid w:val="00305230"/>
    <w:rsid w:val="00305724"/>
    <w:rsid w:val="0030584B"/>
    <w:rsid w:val="0030674D"/>
    <w:rsid w:val="00306F54"/>
    <w:rsid w:val="00306FF1"/>
    <w:rsid w:val="003073E3"/>
    <w:rsid w:val="00307B24"/>
    <w:rsid w:val="00310263"/>
    <w:rsid w:val="00310645"/>
    <w:rsid w:val="00310798"/>
    <w:rsid w:val="0031097B"/>
    <w:rsid w:val="00311439"/>
    <w:rsid w:val="003119CB"/>
    <w:rsid w:val="00311F0B"/>
    <w:rsid w:val="00312167"/>
    <w:rsid w:val="00313F2B"/>
    <w:rsid w:val="0031428C"/>
    <w:rsid w:val="003146DA"/>
    <w:rsid w:val="00314BF1"/>
    <w:rsid w:val="00314FDD"/>
    <w:rsid w:val="00315E06"/>
    <w:rsid w:val="00315FD8"/>
    <w:rsid w:val="0031750F"/>
    <w:rsid w:val="00317BE0"/>
    <w:rsid w:val="003202B3"/>
    <w:rsid w:val="003210C9"/>
    <w:rsid w:val="003211A3"/>
    <w:rsid w:val="003212E1"/>
    <w:rsid w:val="00321510"/>
    <w:rsid w:val="00321D77"/>
    <w:rsid w:val="003224B2"/>
    <w:rsid w:val="00323414"/>
    <w:rsid w:val="00323B19"/>
    <w:rsid w:val="0032496E"/>
    <w:rsid w:val="00324979"/>
    <w:rsid w:val="00324A01"/>
    <w:rsid w:val="00324A71"/>
    <w:rsid w:val="00324EE5"/>
    <w:rsid w:val="003256BE"/>
    <w:rsid w:val="00325B45"/>
    <w:rsid w:val="003261FA"/>
    <w:rsid w:val="003262D2"/>
    <w:rsid w:val="0032670B"/>
    <w:rsid w:val="003268F9"/>
    <w:rsid w:val="00327634"/>
    <w:rsid w:val="003305CF"/>
    <w:rsid w:val="00330670"/>
    <w:rsid w:val="0033073F"/>
    <w:rsid w:val="003308F9"/>
    <w:rsid w:val="00330B9E"/>
    <w:rsid w:val="00330E23"/>
    <w:rsid w:val="00330FC6"/>
    <w:rsid w:val="003314C1"/>
    <w:rsid w:val="0033157C"/>
    <w:rsid w:val="00331596"/>
    <w:rsid w:val="0033271F"/>
    <w:rsid w:val="00332AFD"/>
    <w:rsid w:val="003331CC"/>
    <w:rsid w:val="00333591"/>
    <w:rsid w:val="00333650"/>
    <w:rsid w:val="0033367C"/>
    <w:rsid w:val="00333A4A"/>
    <w:rsid w:val="00334210"/>
    <w:rsid w:val="00334C09"/>
    <w:rsid w:val="00334FCF"/>
    <w:rsid w:val="0033504D"/>
    <w:rsid w:val="00335D7D"/>
    <w:rsid w:val="00336051"/>
    <w:rsid w:val="00336227"/>
    <w:rsid w:val="0033674B"/>
    <w:rsid w:val="00336B82"/>
    <w:rsid w:val="00336F00"/>
    <w:rsid w:val="00337855"/>
    <w:rsid w:val="0034037E"/>
    <w:rsid w:val="00340B6A"/>
    <w:rsid w:val="00340E85"/>
    <w:rsid w:val="0034107E"/>
    <w:rsid w:val="00341327"/>
    <w:rsid w:val="003419D2"/>
    <w:rsid w:val="0034204B"/>
    <w:rsid w:val="003421EA"/>
    <w:rsid w:val="00342828"/>
    <w:rsid w:val="00342D0B"/>
    <w:rsid w:val="003434B8"/>
    <w:rsid w:val="00343691"/>
    <w:rsid w:val="003439CC"/>
    <w:rsid w:val="00344629"/>
    <w:rsid w:val="00345A8A"/>
    <w:rsid w:val="00345C29"/>
    <w:rsid w:val="00345C75"/>
    <w:rsid w:val="00345D7C"/>
    <w:rsid w:val="003461E1"/>
    <w:rsid w:val="00346929"/>
    <w:rsid w:val="0034726E"/>
    <w:rsid w:val="0034772D"/>
    <w:rsid w:val="00347ADA"/>
    <w:rsid w:val="003500D4"/>
    <w:rsid w:val="00350300"/>
    <w:rsid w:val="00350483"/>
    <w:rsid w:val="003504FE"/>
    <w:rsid w:val="003514F7"/>
    <w:rsid w:val="0035150A"/>
    <w:rsid w:val="003521C1"/>
    <w:rsid w:val="00352634"/>
    <w:rsid w:val="003526C9"/>
    <w:rsid w:val="00352F1F"/>
    <w:rsid w:val="00353164"/>
    <w:rsid w:val="00353A8D"/>
    <w:rsid w:val="00353DDE"/>
    <w:rsid w:val="00354143"/>
    <w:rsid w:val="00354CF1"/>
    <w:rsid w:val="00354E64"/>
    <w:rsid w:val="0035520D"/>
    <w:rsid w:val="003552CF"/>
    <w:rsid w:val="00355452"/>
    <w:rsid w:val="003559A4"/>
    <w:rsid w:val="00355A5F"/>
    <w:rsid w:val="00355B2B"/>
    <w:rsid w:val="0035600F"/>
    <w:rsid w:val="003564F8"/>
    <w:rsid w:val="00356842"/>
    <w:rsid w:val="003569BE"/>
    <w:rsid w:val="00356EF2"/>
    <w:rsid w:val="00357A1C"/>
    <w:rsid w:val="00357A9F"/>
    <w:rsid w:val="00357DE0"/>
    <w:rsid w:val="003606EB"/>
    <w:rsid w:val="00360E0B"/>
    <w:rsid w:val="003614FB"/>
    <w:rsid w:val="00361511"/>
    <w:rsid w:val="00361751"/>
    <w:rsid w:val="003620F0"/>
    <w:rsid w:val="00362187"/>
    <w:rsid w:val="003629BB"/>
    <w:rsid w:val="00362B0F"/>
    <w:rsid w:val="00362CD3"/>
    <w:rsid w:val="0036301A"/>
    <w:rsid w:val="0036308D"/>
    <w:rsid w:val="00363C6F"/>
    <w:rsid w:val="00363CA9"/>
    <w:rsid w:val="0036422A"/>
    <w:rsid w:val="003643FA"/>
    <w:rsid w:val="003646B0"/>
    <w:rsid w:val="0036529A"/>
    <w:rsid w:val="003658F6"/>
    <w:rsid w:val="00365A93"/>
    <w:rsid w:val="0036658C"/>
    <w:rsid w:val="0036698A"/>
    <w:rsid w:val="00366EFF"/>
    <w:rsid w:val="00367418"/>
    <w:rsid w:val="00367517"/>
    <w:rsid w:val="00367B09"/>
    <w:rsid w:val="003701CC"/>
    <w:rsid w:val="00371A2E"/>
    <w:rsid w:val="00372800"/>
    <w:rsid w:val="00372E3A"/>
    <w:rsid w:val="00372F97"/>
    <w:rsid w:val="0037305C"/>
    <w:rsid w:val="00373319"/>
    <w:rsid w:val="003736DA"/>
    <w:rsid w:val="00373D46"/>
    <w:rsid w:val="00374E8D"/>
    <w:rsid w:val="00374F3B"/>
    <w:rsid w:val="00375714"/>
    <w:rsid w:val="00375B84"/>
    <w:rsid w:val="00375C5F"/>
    <w:rsid w:val="00375DDA"/>
    <w:rsid w:val="00375ED6"/>
    <w:rsid w:val="00376045"/>
    <w:rsid w:val="0037628C"/>
    <w:rsid w:val="0037666D"/>
    <w:rsid w:val="00376EAA"/>
    <w:rsid w:val="00377535"/>
    <w:rsid w:val="00377AF2"/>
    <w:rsid w:val="00377DBC"/>
    <w:rsid w:val="00377FDF"/>
    <w:rsid w:val="003802E3"/>
    <w:rsid w:val="003803B9"/>
    <w:rsid w:val="003804F6"/>
    <w:rsid w:val="00380611"/>
    <w:rsid w:val="0038070C"/>
    <w:rsid w:val="003810F8"/>
    <w:rsid w:val="003812BD"/>
    <w:rsid w:val="00381AEB"/>
    <w:rsid w:val="00381CBE"/>
    <w:rsid w:val="003827C3"/>
    <w:rsid w:val="00382903"/>
    <w:rsid w:val="0038322B"/>
    <w:rsid w:val="003832A6"/>
    <w:rsid w:val="00383797"/>
    <w:rsid w:val="003838AC"/>
    <w:rsid w:val="00385570"/>
    <w:rsid w:val="003858F7"/>
    <w:rsid w:val="0038593C"/>
    <w:rsid w:val="00386157"/>
    <w:rsid w:val="003869A4"/>
    <w:rsid w:val="00387139"/>
    <w:rsid w:val="0038719E"/>
    <w:rsid w:val="00387296"/>
    <w:rsid w:val="0038767D"/>
    <w:rsid w:val="003876F0"/>
    <w:rsid w:val="0038780D"/>
    <w:rsid w:val="00390812"/>
    <w:rsid w:val="00390F6F"/>
    <w:rsid w:val="003910A8"/>
    <w:rsid w:val="0039132D"/>
    <w:rsid w:val="00391C06"/>
    <w:rsid w:val="003924C9"/>
    <w:rsid w:val="0039267C"/>
    <w:rsid w:val="003926E8"/>
    <w:rsid w:val="003928AC"/>
    <w:rsid w:val="00392C85"/>
    <w:rsid w:val="00393391"/>
    <w:rsid w:val="00393938"/>
    <w:rsid w:val="003942F0"/>
    <w:rsid w:val="00394651"/>
    <w:rsid w:val="00395053"/>
    <w:rsid w:val="00395602"/>
    <w:rsid w:val="00395A79"/>
    <w:rsid w:val="00395E42"/>
    <w:rsid w:val="00396BEA"/>
    <w:rsid w:val="00396D64"/>
    <w:rsid w:val="00397314"/>
    <w:rsid w:val="00397945"/>
    <w:rsid w:val="00397E80"/>
    <w:rsid w:val="003A0011"/>
    <w:rsid w:val="003A00A2"/>
    <w:rsid w:val="003A0851"/>
    <w:rsid w:val="003A092F"/>
    <w:rsid w:val="003A0C0B"/>
    <w:rsid w:val="003A1F90"/>
    <w:rsid w:val="003A201D"/>
    <w:rsid w:val="003A230E"/>
    <w:rsid w:val="003A24FD"/>
    <w:rsid w:val="003A2751"/>
    <w:rsid w:val="003A2E6E"/>
    <w:rsid w:val="003A34A7"/>
    <w:rsid w:val="003A36B6"/>
    <w:rsid w:val="003A3F51"/>
    <w:rsid w:val="003A43B6"/>
    <w:rsid w:val="003A43DB"/>
    <w:rsid w:val="003A4D07"/>
    <w:rsid w:val="003A50FB"/>
    <w:rsid w:val="003A559F"/>
    <w:rsid w:val="003A5AD8"/>
    <w:rsid w:val="003A616D"/>
    <w:rsid w:val="003A633B"/>
    <w:rsid w:val="003A6A11"/>
    <w:rsid w:val="003A6EBF"/>
    <w:rsid w:val="003A70A6"/>
    <w:rsid w:val="003A7C2E"/>
    <w:rsid w:val="003B099C"/>
    <w:rsid w:val="003B0FCB"/>
    <w:rsid w:val="003B1982"/>
    <w:rsid w:val="003B1B77"/>
    <w:rsid w:val="003B1D1D"/>
    <w:rsid w:val="003B2583"/>
    <w:rsid w:val="003B2766"/>
    <w:rsid w:val="003B30C5"/>
    <w:rsid w:val="003B3A4E"/>
    <w:rsid w:val="003B3A6F"/>
    <w:rsid w:val="003B3D8A"/>
    <w:rsid w:val="003B3E20"/>
    <w:rsid w:val="003B4235"/>
    <w:rsid w:val="003B44A6"/>
    <w:rsid w:val="003B4796"/>
    <w:rsid w:val="003B4B47"/>
    <w:rsid w:val="003B588D"/>
    <w:rsid w:val="003B5B55"/>
    <w:rsid w:val="003B5B6C"/>
    <w:rsid w:val="003B5F45"/>
    <w:rsid w:val="003B63EA"/>
    <w:rsid w:val="003C0045"/>
    <w:rsid w:val="003C055E"/>
    <w:rsid w:val="003C0FD2"/>
    <w:rsid w:val="003C1400"/>
    <w:rsid w:val="003C22BE"/>
    <w:rsid w:val="003C2536"/>
    <w:rsid w:val="003C3889"/>
    <w:rsid w:val="003C41DA"/>
    <w:rsid w:val="003C48B2"/>
    <w:rsid w:val="003C548F"/>
    <w:rsid w:val="003C5EA0"/>
    <w:rsid w:val="003C6667"/>
    <w:rsid w:val="003C6D3B"/>
    <w:rsid w:val="003C75B6"/>
    <w:rsid w:val="003C771A"/>
    <w:rsid w:val="003C7C79"/>
    <w:rsid w:val="003C7F43"/>
    <w:rsid w:val="003D01A8"/>
    <w:rsid w:val="003D05DB"/>
    <w:rsid w:val="003D0782"/>
    <w:rsid w:val="003D0879"/>
    <w:rsid w:val="003D08D6"/>
    <w:rsid w:val="003D0993"/>
    <w:rsid w:val="003D11F6"/>
    <w:rsid w:val="003D1AFC"/>
    <w:rsid w:val="003D1BA8"/>
    <w:rsid w:val="003D1D15"/>
    <w:rsid w:val="003D289A"/>
    <w:rsid w:val="003D2A18"/>
    <w:rsid w:val="003D2E5D"/>
    <w:rsid w:val="003D2F2C"/>
    <w:rsid w:val="003D3756"/>
    <w:rsid w:val="003D3814"/>
    <w:rsid w:val="003D3B31"/>
    <w:rsid w:val="003D3C3F"/>
    <w:rsid w:val="003D4138"/>
    <w:rsid w:val="003D41DB"/>
    <w:rsid w:val="003D4825"/>
    <w:rsid w:val="003D4D3A"/>
    <w:rsid w:val="003D54E1"/>
    <w:rsid w:val="003D573A"/>
    <w:rsid w:val="003D57CB"/>
    <w:rsid w:val="003D6505"/>
    <w:rsid w:val="003D66C5"/>
    <w:rsid w:val="003D6CEA"/>
    <w:rsid w:val="003D7003"/>
    <w:rsid w:val="003D70D4"/>
    <w:rsid w:val="003D7670"/>
    <w:rsid w:val="003D7B5E"/>
    <w:rsid w:val="003E0832"/>
    <w:rsid w:val="003E0B3A"/>
    <w:rsid w:val="003E0EB3"/>
    <w:rsid w:val="003E1228"/>
    <w:rsid w:val="003E1836"/>
    <w:rsid w:val="003E1FAC"/>
    <w:rsid w:val="003E2554"/>
    <w:rsid w:val="003E29C7"/>
    <w:rsid w:val="003E2E42"/>
    <w:rsid w:val="003E308F"/>
    <w:rsid w:val="003E333F"/>
    <w:rsid w:val="003E38D1"/>
    <w:rsid w:val="003E3F69"/>
    <w:rsid w:val="003E4278"/>
    <w:rsid w:val="003E43BE"/>
    <w:rsid w:val="003E4557"/>
    <w:rsid w:val="003E4901"/>
    <w:rsid w:val="003E51FC"/>
    <w:rsid w:val="003E52A4"/>
    <w:rsid w:val="003E5A53"/>
    <w:rsid w:val="003E5AB5"/>
    <w:rsid w:val="003E5D10"/>
    <w:rsid w:val="003E71C9"/>
    <w:rsid w:val="003E74C5"/>
    <w:rsid w:val="003E7883"/>
    <w:rsid w:val="003E7F3F"/>
    <w:rsid w:val="003F00CF"/>
    <w:rsid w:val="003F0519"/>
    <w:rsid w:val="003F0818"/>
    <w:rsid w:val="003F0952"/>
    <w:rsid w:val="003F0A69"/>
    <w:rsid w:val="003F0C32"/>
    <w:rsid w:val="003F0F55"/>
    <w:rsid w:val="003F10FB"/>
    <w:rsid w:val="003F1307"/>
    <w:rsid w:val="003F134F"/>
    <w:rsid w:val="003F1651"/>
    <w:rsid w:val="003F21C1"/>
    <w:rsid w:val="003F27E4"/>
    <w:rsid w:val="003F29A0"/>
    <w:rsid w:val="003F29D2"/>
    <w:rsid w:val="003F3B40"/>
    <w:rsid w:val="003F3BB9"/>
    <w:rsid w:val="003F4826"/>
    <w:rsid w:val="003F4F7E"/>
    <w:rsid w:val="003F6197"/>
    <w:rsid w:val="003F61B6"/>
    <w:rsid w:val="003F6201"/>
    <w:rsid w:val="003F6222"/>
    <w:rsid w:val="003F64F0"/>
    <w:rsid w:val="003F6973"/>
    <w:rsid w:val="003F73E6"/>
    <w:rsid w:val="003F744B"/>
    <w:rsid w:val="003F74C0"/>
    <w:rsid w:val="003F7B46"/>
    <w:rsid w:val="003F7C01"/>
    <w:rsid w:val="004000B0"/>
    <w:rsid w:val="00401170"/>
    <w:rsid w:val="00401E07"/>
    <w:rsid w:val="00401F06"/>
    <w:rsid w:val="00401FF7"/>
    <w:rsid w:val="00402164"/>
    <w:rsid w:val="00402E2E"/>
    <w:rsid w:val="00403AA3"/>
    <w:rsid w:val="00403BBA"/>
    <w:rsid w:val="0040424C"/>
    <w:rsid w:val="00404568"/>
    <w:rsid w:val="00405074"/>
    <w:rsid w:val="00405D30"/>
    <w:rsid w:val="00406358"/>
    <w:rsid w:val="0040640A"/>
    <w:rsid w:val="00406807"/>
    <w:rsid w:val="00406A68"/>
    <w:rsid w:val="00406F3B"/>
    <w:rsid w:val="0040756B"/>
    <w:rsid w:val="00407803"/>
    <w:rsid w:val="00407882"/>
    <w:rsid w:val="00407E1B"/>
    <w:rsid w:val="00410818"/>
    <w:rsid w:val="00410875"/>
    <w:rsid w:val="00410A8F"/>
    <w:rsid w:val="00410C21"/>
    <w:rsid w:val="00410E26"/>
    <w:rsid w:val="00412761"/>
    <w:rsid w:val="00413483"/>
    <w:rsid w:val="0041351D"/>
    <w:rsid w:val="004135C7"/>
    <w:rsid w:val="00413DA5"/>
    <w:rsid w:val="00413FEE"/>
    <w:rsid w:val="004142E9"/>
    <w:rsid w:val="00414314"/>
    <w:rsid w:val="0041460A"/>
    <w:rsid w:val="00414BB1"/>
    <w:rsid w:val="00415060"/>
    <w:rsid w:val="00416790"/>
    <w:rsid w:val="004167FA"/>
    <w:rsid w:val="00416C45"/>
    <w:rsid w:val="0041773F"/>
    <w:rsid w:val="00417B1D"/>
    <w:rsid w:val="004200A2"/>
    <w:rsid w:val="004200DC"/>
    <w:rsid w:val="00420FF7"/>
    <w:rsid w:val="0042146F"/>
    <w:rsid w:val="00421C4E"/>
    <w:rsid w:val="00421C8F"/>
    <w:rsid w:val="00421DA8"/>
    <w:rsid w:val="00422CEA"/>
    <w:rsid w:val="00422D6D"/>
    <w:rsid w:val="004233D9"/>
    <w:rsid w:val="00423AA7"/>
    <w:rsid w:val="004247F6"/>
    <w:rsid w:val="00424BC4"/>
    <w:rsid w:val="00424CC2"/>
    <w:rsid w:val="00425053"/>
    <w:rsid w:val="00426299"/>
    <w:rsid w:val="004270E4"/>
    <w:rsid w:val="00427681"/>
    <w:rsid w:val="00427E36"/>
    <w:rsid w:val="00427EED"/>
    <w:rsid w:val="00430C26"/>
    <w:rsid w:val="004315E4"/>
    <w:rsid w:val="00431D38"/>
    <w:rsid w:val="00431DCE"/>
    <w:rsid w:val="004322EB"/>
    <w:rsid w:val="004324DC"/>
    <w:rsid w:val="00432881"/>
    <w:rsid w:val="00432B02"/>
    <w:rsid w:val="00432B65"/>
    <w:rsid w:val="00432FEF"/>
    <w:rsid w:val="00433A06"/>
    <w:rsid w:val="00433C5D"/>
    <w:rsid w:val="00434767"/>
    <w:rsid w:val="004348EF"/>
    <w:rsid w:val="00434AF6"/>
    <w:rsid w:val="00435296"/>
    <w:rsid w:val="00435753"/>
    <w:rsid w:val="0043577B"/>
    <w:rsid w:val="00435966"/>
    <w:rsid w:val="00436083"/>
    <w:rsid w:val="00436095"/>
    <w:rsid w:val="004363C2"/>
    <w:rsid w:val="00436B2C"/>
    <w:rsid w:val="004371EF"/>
    <w:rsid w:val="004372E7"/>
    <w:rsid w:val="00437449"/>
    <w:rsid w:val="004374A6"/>
    <w:rsid w:val="0043783A"/>
    <w:rsid w:val="00437AFA"/>
    <w:rsid w:val="0044069F"/>
    <w:rsid w:val="00441020"/>
    <w:rsid w:val="004412AF"/>
    <w:rsid w:val="0044135B"/>
    <w:rsid w:val="0044189B"/>
    <w:rsid w:val="00441F99"/>
    <w:rsid w:val="004420C4"/>
    <w:rsid w:val="004421BE"/>
    <w:rsid w:val="004437C6"/>
    <w:rsid w:val="00443B50"/>
    <w:rsid w:val="00443BF6"/>
    <w:rsid w:val="00443C7C"/>
    <w:rsid w:val="00443D0E"/>
    <w:rsid w:val="0044474C"/>
    <w:rsid w:val="00444ACE"/>
    <w:rsid w:val="00444ADD"/>
    <w:rsid w:val="00444D57"/>
    <w:rsid w:val="0044501A"/>
    <w:rsid w:val="0044508F"/>
    <w:rsid w:val="0044559C"/>
    <w:rsid w:val="004456B0"/>
    <w:rsid w:val="004457F6"/>
    <w:rsid w:val="00445C47"/>
    <w:rsid w:val="0044607C"/>
    <w:rsid w:val="0044649B"/>
    <w:rsid w:val="004467D9"/>
    <w:rsid w:val="00446A79"/>
    <w:rsid w:val="004504DB"/>
    <w:rsid w:val="00450539"/>
    <w:rsid w:val="00450632"/>
    <w:rsid w:val="0045071E"/>
    <w:rsid w:val="004509C6"/>
    <w:rsid w:val="0045134C"/>
    <w:rsid w:val="004515CE"/>
    <w:rsid w:val="004515F3"/>
    <w:rsid w:val="00451A1B"/>
    <w:rsid w:val="00451CC9"/>
    <w:rsid w:val="0045245C"/>
    <w:rsid w:val="004525B0"/>
    <w:rsid w:val="00452EB1"/>
    <w:rsid w:val="00453034"/>
    <w:rsid w:val="00453270"/>
    <w:rsid w:val="004532E2"/>
    <w:rsid w:val="004536B3"/>
    <w:rsid w:val="004537F0"/>
    <w:rsid w:val="00453818"/>
    <w:rsid w:val="004538C4"/>
    <w:rsid w:val="00453B67"/>
    <w:rsid w:val="00453D6B"/>
    <w:rsid w:val="004545A7"/>
    <w:rsid w:val="004547B7"/>
    <w:rsid w:val="00455361"/>
    <w:rsid w:val="00455424"/>
    <w:rsid w:val="00455951"/>
    <w:rsid w:val="00456DF9"/>
    <w:rsid w:val="004572A2"/>
    <w:rsid w:val="00457D29"/>
    <w:rsid w:val="00460646"/>
    <w:rsid w:val="00460DD9"/>
    <w:rsid w:val="004610C5"/>
    <w:rsid w:val="00461557"/>
    <w:rsid w:val="00461645"/>
    <w:rsid w:val="00461A61"/>
    <w:rsid w:val="00461F02"/>
    <w:rsid w:val="00462488"/>
    <w:rsid w:val="00462944"/>
    <w:rsid w:val="00462B55"/>
    <w:rsid w:val="0046307B"/>
    <w:rsid w:val="0046347D"/>
    <w:rsid w:val="0046384E"/>
    <w:rsid w:val="0046441E"/>
    <w:rsid w:val="004654B3"/>
    <w:rsid w:val="00465C7C"/>
    <w:rsid w:val="00465D0A"/>
    <w:rsid w:val="00466153"/>
    <w:rsid w:val="0046629F"/>
    <w:rsid w:val="004662DE"/>
    <w:rsid w:val="0046662B"/>
    <w:rsid w:val="0046716D"/>
    <w:rsid w:val="004672BF"/>
    <w:rsid w:val="0046779D"/>
    <w:rsid w:val="004703B2"/>
    <w:rsid w:val="0047096D"/>
    <w:rsid w:val="00470D00"/>
    <w:rsid w:val="00471D67"/>
    <w:rsid w:val="004725E0"/>
    <w:rsid w:val="004736C7"/>
    <w:rsid w:val="00473969"/>
    <w:rsid w:val="00473AE8"/>
    <w:rsid w:val="00473CC8"/>
    <w:rsid w:val="004746ED"/>
    <w:rsid w:val="00475253"/>
    <w:rsid w:val="0047531C"/>
    <w:rsid w:val="004757A8"/>
    <w:rsid w:val="00475873"/>
    <w:rsid w:val="004759A2"/>
    <w:rsid w:val="00475BB2"/>
    <w:rsid w:val="0047608B"/>
    <w:rsid w:val="004772C4"/>
    <w:rsid w:val="0047740E"/>
    <w:rsid w:val="00477684"/>
    <w:rsid w:val="00480247"/>
    <w:rsid w:val="0048051B"/>
    <w:rsid w:val="00480A6E"/>
    <w:rsid w:val="00480B6F"/>
    <w:rsid w:val="00480CDD"/>
    <w:rsid w:val="004810F2"/>
    <w:rsid w:val="0048114B"/>
    <w:rsid w:val="004817F2"/>
    <w:rsid w:val="00481BE1"/>
    <w:rsid w:val="00481C67"/>
    <w:rsid w:val="00482374"/>
    <w:rsid w:val="004826C0"/>
    <w:rsid w:val="00483518"/>
    <w:rsid w:val="0048371D"/>
    <w:rsid w:val="0048375D"/>
    <w:rsid w:val="00483807"/>
    <w:rsid w:val="00483959"/>
    <w:rsid w:val="00483BC4"/>
    <w:rsid w:val="00483CAF"/>
    <w:rsid w:val="00484125"/>
    <w:rsid w:val="00484A34"/>
    <w:rsid w:val="004858DC"/>
    <w:rsid w:val="00485A93"/>
    <w:rsid w:val="00486BE8"/>
    <w:rsid w:val="004871B2"/>
    <w:rsid w:val="00487372"/>
    <w:rsid w:val="004879A0"/>
    <w:rsid w:val="00487C42"/>
    <w:rsid w:val="00487EAE"/>
    <w:rsid w:val="004901A3"/>
    <w:rsid w:val="0049024B"/>
    <w:rsid w:val="0049057C"/>
    <w:rsid w:val="0049059C"/>
    <w:rsid w:val="004917F8"/>
    <w:rsid w:val="004921C2"/>
    <w:rsid w:val="00492AED"/>
    <w:rsid w:val="00492D81"/>
    <w:rsid w:val="00492FFA"/>
    <w:rsid w:val="004932A4"/>
    <w:rsid w:val="004934D4"/>
    <w:rsid w:val="004941B6"/>
    <w:rsid w:val="004941DB"/>
    <w:rsid w:val="00494AFC"/>
    <w:rsid w:val="00495E32"/>
    <w:rsid w:val="00495F89"/>
    <w:rsid w:val="004960AB"/>
    <w:rsid w:val="004963D9"/>
    <w:rsid w:val="004963F7"/>
    <w:rsid w:val="00496D65"/>
    <w:rsid w:val="004977D4"/>
    <w:rsid w:val="004978C8"/>
    <w:rsid w:val="00497F2F"/>
    <w:rsid w:val="004A0493"/>
    <w:rsid w:val="004A0497"/>
    <w:rsid w:val="004A0930"/>
    <w:rsid w:val="004A0EDF"/>
    <w:rsid w:val="004A1EFC"/>
    <w:rsid w:val="004A2A4B"/>
    <w:rsid w:val="004A300B"/>
    <w:rsid w:val="004A30A9"/>
    <w:rsid w:val="004A31B9"/>
    <w:rsid w:val="004A3B2A"/>
    <w:rsid w:val="004A427C"/>
    <w:rsid w:val="004A427F"/>
    <w:rsid w:val="004A4E22"/>
    <w:rsid w:val="004A4EEE"/>
    <w:rsid w:val="004A4FD7"/>
    <w:rsid w:val="004A5219"/>
    <w:rsid w:val="004A5BB8"/>
    <w:rsid w:val="004A5DFD"/>
    <w:rsid w:val="004A6176"/>
    <w:rsid w:val="004A650D"/>
    <w:rsid w:val="004A65F8"/>
    <w:rsid w:val="004A66E5"/>
    <w:rsid w:val="004A674D"/>
    <w:rsid w:val="004A6E66"/>
    <w:rsid w:val="004A7BA7"/>
    <w:rsid w:val="004A7BCA"/>
    <w:rsid w:val="004B06B2"/>
    <w:rsid w:val="004B0CB1"/>
    <w:rsid w:val="004B0FB4"/>
    <w:rsid w:val="004B1056"/>
    <w:rsid w:val="004B10E3"/>
    <w:rsid w:val="004B1193"/>
    <w:rsid w:val="004B17DA"/>
    <w:rsid w:val="004B1CAA"/>
    <w:rsid w:val="004B1FC6"/>
    <w:rsid w:val="004B258A"/>
    <w:rsid w:val="004B3935"/>
    <w:rsid w:val="004B3976"/>
    <w:rsid w:val="004B39C7"/>
    <w:rsid w:val="004B40E2"/>
    <w:rsid w:val="004B4506"/>
    <w:rsid w:val="004B45BA"/>
    <w:rsid w:val="004B45EA"/>
    <w:rsid w:val="004B48B9"/>
    <w:rsid w:val="004B4B82"/>
    <w:rsid w:val="004B4CF1"/>
    <w:rsid w:val="004B57A6"/>
    <w:rsid w:val="004B5D94"/>
    <w:rsid w:val="004B6122"/>
    <w:rsid w:val="004B62DA"/>
    <w:rsid w:val="004B63BE"/>
    <w:rsid w:val="004B697C"/>
    <w:rsid w:val="004B70B2"/>
    <w:rsid w:val="004B7605"/>
    <w:rsid w:val="004B7A39"/>
    <w:rsid w:val="004B7A46"/>
    <w:rsid w:val="004B7CD0"/>
    <w:rsid w:val="004C0855"/>
    <w:rsid w:val="004C0CE7"/>
    <w:rsid w:val="004C1B03"/>
    <w:rsid w:val="004C2570"/>
    <w:rsid w:val="004C2E97"/>
    <w:rsid w:val="004C30A2"/>
    <w:rsid w:val="004C30E2"/>
    <w:rsid w:val="004C3EBC"/>
    <w:rsid w:val="004C4409"/>
    <w:rsid w:val="004C48F0"/>
    <w:rsid w:val="004C4DAD"/>
    <w:rsid w:val="004C5307"/>
    <w:rsid w:val="004C536F"/>
    <w:rsid w:val="004C58DA"/>
    <w:rsid w:val="004C5E6F"/>
    <w:rsid w:val="004C652C"/>
    <w:rsid w:val="004C6556"/>
    <w:rsid w:val="004C66FC"/>
    <w:rsid w:val="004C6EC0"/>
    <w:rsid w:val="004C6F4C"/>
    <w:rsid w:val="004C71BD"/>
    <w:rsid w:val="004C7E06"/>
    <w:rsid w:val="004C7FC5"/>
    <w:rsid w:val="004D0454"/>
    <w:rsid w:val="004D0711"/>
    <w:rsid w:val="004D0712"/>
    <w:rsid w:val="004D0A7C"/>
    <w:rsid w:val="004D145B"/>
    <w:rsid w:val="004D14A9"/>
    <w:rsid w:val="004D1660"/>
    <w:rsid w:val="004D17C7"/>
    <w:rsid w:val="004D1E2C"/>
    <w:rsid w:val="004D20B0"/>
    <w:rsid w:val="004D23D2"/>
    <w:rsid w:val="004D2878"/>
    <w:rsid w:val="004D2EB7"/>
    <w:rsid w:val="004D3388"/>
    <w:rsid w:val="004D35E0"/>
    <w:rsid w:val="004D37E6"/>
    <w:rsid w:val="004D3D0B"/>
    <w:rsid w:val="004D416C"/>
    <w:rsid w:val="004D4633"/>
    <w:rsid w:val="004D46C6"/>
    <w:rsid w:val="004D49CD"/>
    <w:rsid w:val="004D4B2F"/>
    <w:rsid w:val="004D4B67"/>
    <w:rsid w:val="004D4F1A"/>
    <w:rsid w:val="004D5010"/>
    <w:rsid w:val="004D50F8"/>
    <w:rsid w:val="004D5940"/>
    <w:rsid w:val="004D6507"/>
    <w:rsid w:val="004D6A19"/>
    <w:rsid w:val="004E0673"/>
    <w:rsid w:val="004E0C5D"/>
    <w:rsid w:val="004E0D3B"/>
    <w:rsid w:val="004E0F9F"/>
    <w:rsid w:val="004E1EE5"/>
    <w:rsid w:val="004E2008"/>
    <w:rsid w:val="004E21E4"/>
    <w:rsid w:val="004E2459"/>
    <w:rsid w:val="004E245B"/>
    <w:rsid w:val="004E26DB"/>
    <w:rsid w:val="004E27B6"/>
    <w:rsid w:val="004E29D0"/>
    <w:rsid w:val="004E2AF3"/>
    <w:rsid w:val="004E2C91"/>
    <w:rsid w:val="004E3202"/>
    <w:rsid w:val="004E3286"/>
    <w:rsid w:val="004E32FD"/>
    <w:rsid w:val="004E33FC"/>
    <w:rsid w:val="004E3EA3"/>
    <w:rsid w:val="004E43FC"/>
    <w:rsid w:val="004E44DD"/>
    <w:rsid w:val="004E4595"/>
    <w:rsid w:val="004E4912"/>
    <w:rsid w:val="004E4E50"/>
    <w:rsid w:val="004E57F1"/>
    <w:rsid w:val="004E5F46"/>
    <w:rsid w:val="004E6104"/>
    <w:rsid w:val="004E69E7"/>
    <w:rsid w:val="004E6CE3"/>
    <w:rsid w:val="004E713F"/>
    <w:rsid w:val="004E71B6"/>
    <w:rsid w:val="004E766C"/>
    <w:rsid w:val="004E7887"/>
    <w:rsid w:val="004E7AC4"/>
    <w:rsid w:val="004E7B83"/>
    <w:rsid w:val="004E7C11"/>
    <w:rsid w:val="004E7DE1"/>
    <w:rsid w:val="004E7EDE"/>
    <w:rsid w:val="004F0737"/>
    <w:rsid w:val="004F2804"/>
    <w:rsid w:val="004F296F"/>
    <w:rsid w:val="004F2F1A"/>
    <w:rsid w:val="004F3127"/>
    <w:rsid w:val="004F35E7"/>
    <w:rsid w:val="004F3862"/>
    <w:rsid w:val="004F3A65"/>
    <w:rsid w:val="004F3E0D"/>
    <w:rsid w:val="004F42CF"/>
    <w:rsid w:val="004F44BB"/>
    <w:rsid w:val="004F5790"/>
    <w:rsid w:val="004F5849"/>
    <w:rsid w:val="004F6311"/>
    <w:rsid w:val="004F6FD4"/>
    <w:rsid w:val="004F6FF6"/>
    <w:rsid w:val="004F7099"/>
    <w:rsid w:val="004F72D9"/>
    <w:rsid w:val="004F72E1"/>
    <w:rsid w:val="004F79B4"/>
    <w:rsid w:val="00500144"/>
    <w:rsid w:val="00500479"/>
    <w:rsid w:val="0050082F"/>
    <w:rsid w:val="00500BB0"/>
    <w:rsid w:val="00500F83"/>
    <w:rsid w:val="00501260"/>
    <w:rsid w:val="00501758"/>
    <w:rsid w:val="0050243A"/>
    <w:rsid w:val="005027DE"/>
    <w:rsid w:val="00502D7A"/>
    <w:rsid w:val="005038B8"/>
    <w:rsid w:val="00503CB1"/>
    <w:rsid w:val="00503CDC"/>
    <w:rsid w:val="00503DB1"/>
    <w:rsid w:val="0050439B"/>
    <w:rsid w:val="005048C6"/>
    <w:rsid w:val="005049D9"/>
    <w:rsid w:val="00504A1D"/>
    <w:rsid w:val="00504BD6"/>
    <w:rsid w:val="005057E8"/>
    <w:rsid w:val="00505A06"/>
    <w:rsid w:val="005064D8"/>
    <w:rsid w:val="00506532"/>
    <w:rsid w:val="00506D27"/>
    <w:rsid w:val="005071D4"/>
    <w:rsid w:val="005072B5"/>
    <w:rsid w:val="00507388"/>
    <w:rsid w:val="005073E8"/>
    <w:rsid w:val="00507557"/>
    <w:rsid w:val="00507650"/>
    <w:rsid w:val="005078F6"/>
    <w:rsid w:val="00507EA9"/>
    <w:rsid w:val="0051073F"/>
    <w:rsid w:val="00510C69"/>
    <w:rsid w:val="00511129"/>
    <w:rsid w:val="00511744"/>
    <w:rsid w:val="00511E0C"/>
    <w:rsid w:val="005120B6"/>
    <w:rsid w:val="005121D3"/>
    <w:rsid w:val="005122A7"/>
    <w:rsid w:val="005129DB"/>
    <w:rsid w:val="00512CAC"/>
    <w:rsid w:val="00512D11"/>
    <w:rsid w:val="00512E16"/>
    <w:rsid w:val="00512EA8"/>
    <w:rsid w:val="00513177"/>
    <w:rsid w:val="00513950"/>
    <w:rsid w:val="0051460A"/>
    <w:rsid w:val="00514B42"/>
    <w:rsid w:val="00515069"/>
    <w:rsid w:val="00515C06"/>
    <w:rsid w:val="00516174"/>
    <w:rsid w:val="00516532"/>
    <w:rsid w:val="00516C2B"/>
    <w:rsid w:val="0051701E"/>
    <w:rsid w:val="00517497"/>
    <w:rsid w:val="005175F1"/>
    <w:rsid w:val="005177E5"/>
    <w:rsid w:val="00517AA0"/>
    <w:rsid w:val="00520025"/>
    <w:rsid w:val="005201A2"/>
    <w:rsid w:val="0052052E"/>
    <w:rsid w:val="0052054F"/>
    <w:rsid w:val="00520862"/>
    <w:rsid w:val="00520973"/>
    <w:rsid w:val="005217ED"/>
    <w:rsid w:val="00521922"/>
    <w:rsid w:val="00521BB3"/>
    <w:rsid w:val="00522631"/>
    <w:rsid w:val="00522793"/>
    <w:rsid w:val="0052301E"/>
    <w:rsid w:val="00523735"/>
    <w:rsid w:val="00523757"/>
    <w:rsid w:val="0052392B"/>
    <w:rsid w:val="0052489B"/>
    <w:rsid w:val="00524BFF"/>
    <w:rsid w:val="00524C82"/>
    <w:rsid w:val="00524D1F"/>
    <w:rsid w:val="00524E7B"/>
    <w:rsid w:val="005251ED"/>
    <w:rsid w:val="0052524E"/>
    <w:rsid w:val="0052587A"/>
    <w:rsid w:val="00526124"/>
    <w:rsid w:val="00526210"/>
    <w:rsid w:val="00526402"/>
    <w:rsid w:val="005266ED"/>
    <w:rsid w:val="0052670C"/>
    <w:rsid w:val="00526FF8"/>
    <w:rsid w:val="00527D06"/>
    <w:rsid w:val="00527FDF"/>
    <w:rsid w:val="00530239"/>
    <w:rsid w:val="005305F9"/>
    <w:rsid w:val="00530605"/>
    <w:rsid w:val="00530674"/>
    <w:rsid w:val="00530721"/>
    <w:rsid w:val="00530E94"/>
    <w:rsid w:val="005313F4"/>
    <w:rsid w:val="005314D5"/>
    <w:rsid w:val="005320CF"/>
    <w:rsid w:val="00532388"/>
    <w:rsid w:val="00532CB8"/>
    <w:rsid w:val="005330F6"/>
    <w:rsid w:val="00533590"/>
    <w:rsid w:val="00533965"/>
    <w:rsid w:val="00533CC6"/>
    <w:rsid w:val="005345C6"/>
    <w:rsid w:val="0053466D"/>
    <w:rsid w:val="0053492E"/>
    <w:rsid w:val="00534C3B"/>
    <w:rsid w:val="005350E0"/>
    <w:rsid w:val="005355C3"/>
    <w:rsid w:val="00535792"/>
    <w:rsid w:val="005357BA"/>
    <w:rsid w:val="005360CE"/>
    <w:rsid w:val="00536231"/>
    <w:rsid w:val="00536B73"/>
    <w:rsid w:val="00536DBB"/>
    <w:rsid w:val="00536EB9"/>
    <w:rsid w:val="00537A3E"/>
    <w:rsid w:val="00537F1E"/>
    <w:rsid w:val="00540E77"/>
    <w:rsid w:val="00540FF9"/>
    <w:rsid w:val="005410B7"/>
    <w:rsid w:val="005411B6"/>
    <w:rsid w:val="00541565"/>
    <w:rsid w:val="00541AF4"/>
    <w:rsid w:val="00541EF7"/>
    <w:rsid w:val="0054204F"/>
    <w:rsid w:val="005420CD"/>
    <w:rsid w:val="00542287"/>
    <w:rsid w:val="005423F1"/>
    <w:rsid w:val="005425D9"/>
    <w:rsid w:val="00542FB8"/>
    <w:rsid w:val="00543010"/>
    <w:rsid w:val="00543407"/>
    <w:rsid w:val="005435E5"/>
    <w:rsid w:val="0054444D"/>
    <w:rsid w:val="0054465D"/>
    <w:rsid w:val="00544692"/>
    <w:rsid w:val="00544ABC"/>
    <w:rsid w:val="00544D87"/>
    <w:rsid w:val="005458BB"/>
    <w:rsid w:val="00545D79"/>
    <w:rsid w:val="0054606E"/>
    <w:rsid w:val="005478C3"/>
    <w:rsid w:val="00547A65"/>
    <w:rsid w:val="0055030A"/>
    <w:rsid w:val="00550316"/>
    <w:rsid w:val="0055036C"/>
    <w:rsid w:val="005506E4"/>
    <w:rsid w:val="005508AD"/>
    <w:rsid w:val="00550BCF"/>
    <w:rsid w:val="0055121D"/>
    <w:rsid w:val="00551629"/>
    <w:rsid w:val="00551DA3"/>
    <w:rsid w:val="00552C23"/>
    <w:rsid w:val="00554034"/>
    <w:rsid w:val="0055403C"/>
    <w:rsid w:val="0055404A"/>
    <w:rsid w:val="00554607"/>
    <w:rsid w:val="00554DDD"/>
    <w:rsid w:val="005551C7"/>
    <w:rsid w:val="00555B98"/>
    <w:rsid w:val="0055688A"/>
    <w:rsid w:val="005574B5"/>
    <w:rsid w:val="005574DA"/>
    <w:rsid w:val="0055765C"/>
    <w:rsid w:val="00557F62"/>
    <w:rsid w:val="00560006"/>
    <w:rsid w:val="0056001E"/>
    <w:rsid w:val="005600D2"/>
    <w:rsid w:val="005601B2"/>
    <w:rsid w:val="00560399"/>
    <w:rsid w:val="005606F2"/>
    <w:rsid w:val="00560C70"/>
    <w:rsid w:val="0056106B"/>
    <w:rsid w:val="005611F7"/>
    <w:rsid w:val="00561ED2"/>
    <w:rsid w:val="005622C3"/>
    <w:rsid w:val="005625C5"/>
    <w:rsid w:val="0056274B"/>
    <w:rsid w:val="00562924"/>
    <w:rsid w:val="0056292C"/>
    <w:rsid w:val="00563928"/>
    <w:rsid w:val="005648DF"/>
    <w:rsid w:val="00564E8F"/>
    <w:rsid w:val="00565462"/>
    <w:rsid w:val="005658FA"/>
    <w:rsid w:val="00565C4C"/>
    <w:rsid w:val="00565C8F"/>
    <w:rsid w:val="00565EF0"/>
    <w:rsid w:val="005662AF"/>
    <w:rsid w:val="00566320"/>
    <w:rsid w:val="005668A6"/>
    <w:rsid w:val="00566908"/>
    <w:rsid w:val="00566E95"/>
    <w:rsid w:val="005701B9"/>
    <w:rsid w:val="00570452"/>
    <w:rsid w:val="00570682"/>
    <w:rsid w:val="005708CE"/>
    <w:rsid w:val="00570AE9"/>
    <w:rsid w:val="00570B35"/>
    <w:rsid w:val="00571188"/>
    <w:rsid w:val="00571258"/>
    <w:rsid w:val="005716E8"/>
    <w:rsid w:val="0057193B"/>
    <w:rsid w:val="00571AE9"/>
    <w:rsid w:val="00571F8C"/>
    <w:rsid w:val="0057337A"/>
    <w:rsid w:val="00573964"/>
    <w:rsid w:val="005743E6"/>
    <w:rsid w:val="00574C83"/>
    <w:rsid w:val="00574D0D"/>
    <w:rsid w:val="005756A8"/>
    <w:rsid w:val="005756B4"/>
    <w:rsid w:val="005757CC"/>
    <w:rsid w:val="00575C44"/>
    <w:rsid w:val="00575D77"/>
    <w:rsid w:val="00576434"/>
    <w:rsid w:val="00576EA9"/>
    <w:rsid w:val="00580014"/>
    <w:rsid w:val="00580176"/>
    <w:rsid w:val="0058027A"/>
    <w:rsid w:val="0058091C"/>
    <w:rsid w:val="00580A02"/>
    <w:rsid w:val="00581002"/>
    <w:rsid w:val="00581D50"/>
    <w:rsid w:val="00581DEF"/>
    <w:rsid w:val="00581E20"/>
    <w:rsid w:val="005828FD"/>
    <w:rsid w:val="00582F27"/>
    <w:rsid w:val="005833CD"/>
    <w:rsid w:val="00583521"/>
    <w:rsid w:val="0058362C"/>
    <w:rsid w:val="00583D10"/>
    <w:rsid w:val="00584138"/>
    <w:rsid w:val="00584599"/>
    <w:rsid w:val="00584A5C"/>
    <w:rsid w:val="00584B62"/>
    <w:rsid w:val="00584C54"/>
    <w:rsid w:val="00585164"/>
    <w:rsid w:val="005857CC"/>
    <w:rsid w:val="005857E8"/>
    <w:rsid w:val="005858BB"/>
    <w:rsid w:val="005859FF"/>
    <w:rsid w:val="00585BA8"/>
    <w:rsid w:val="0058609A"/>
    <w:rsid w:val="0058635C"/>
    <w:rsid w:val="00586750"/>
    <w:rsid w:val="00586AB2"/>
    <w:rsid w:val="00587AEF"/>
    <w:rsid w:val="00587E7A"/>
    <w:rsid w:val="0059010C"/>
    <w:rsid w:val="00590AB3"/>
    <w:rsid w:val="00590E83"/>
    <w:rsid w:val="00591BE5"/>
    <w:rsid w:val="00592474"/>
    <w:rsid w:val="005924F6"/>
    <w:rsid w:val="0059280A"/>
    <w:rsid w:val="00592B5F"/>
    <w:rsid w:val="00592D71"/>
    <w:rsid w:val="005930A4"/>
    <w:rsid w:val="0059360F"/>
    <w:rsid w:val="005937DA"/>
    <w:rsid w:val="00593C05"/>
    <w:rsid w:val="00594963"/>
    <w:rsid w:val="00594DC2"/>
    <w:rsid w:val="00594F08"/>
    <w:rsid w:val="0059528C"/>
    <w:rsid w:val="00595304"/>
    <w:rsid w:val="005954F8"/>
    <w:rsid w:val="00595BE8"/>
    <w:rsid w:val="00595E22"/>
    <w:rsid w:val="005962CD"/>
    <w:rsid w:val="00596534"/>
    <w:rsid w:val="005966D8"/>
    <w:rsid w:val="00596918"/>
    <w:rsid w:val="00596D42"/>
    <w:rsid w:val="00597306"/>
    <w:rsid w:val="005977A2"/>
    <w:rsid w:val="005A039C"/>
    <w:rsid w:val="005A03FE"/>
    <w:rsid w:val="005A08E4"/>
    <w:rsid w:val="005A0DCF"/>
    <w:rsid w:val="005A1165"/>
    <w:rsid w:val="005A1448"/>
    <w:rsid w:val="005A176D"/>
    <w:rsid w:val="005A1CB3"/>
    <w:rsid w:val="005A1FC4"/>
    <w:rsid w:val="005A2CA3"/>
    <w:rsid w:val="005A2F98"/>
    <w:rsid w:val="005A3076"/>
    <w:rsid w:val="005A3821"/>
    <w:rsid w:val="005A3E33"/>
    <w:rsid w:val="005A40B9"/>
    <w:rsid w:val="005A56C3"/>
    <w:rsid w:val="005A596F"/>
    <w:rsid w:val="005A5A2B"/>
    <w:rsid w:val="005A6267"/>
    <w:rsid w:val="005A67D6"/>
    <w:rsid w:val="005A785D"/>
    <w:rsid w:val="005A7AD6"/>
    <w:rsid w:val="005A7C7F"/>
    <w:rsid w:val="005B00C3"/>
    <w:rsid w:val="005B0B9D"/>
    <w:rsid w:val="005B12D3"/>
    <w:rsid w:val="005B1B7E"/>
    <w:rsid w:val="005B1FF5"/>
    <w:rsid w:val="005B2072"/>
    <w:rsid w:val="005B2073"/>
    <w:rsid w:val="005B2B26"/>
    <w:rsid w:val="005B309A"/>
    <w:rsid w:val="005B3514"/>
    <w:rsid w:val="005B3AC7"/>
    <w:rsid w:val="005B3B1A"/>
    <w:rsid w:val="005B4AC3"/>
    <w:rsid w:val="005B4E34"/>
    <w:rsid w:val="005B5674"/>
    <w:rsid w:val="005B56A0"/>
    <w:rsid w:val="005B57DF"/>
    <w:rsid w:val="005B6BB9"/>
    <w:rsid w:val="005B7F2E"/>
    <w:rsid w:val="005C05A2"/>
    <w:rsid w:val="005C066E"/>
    <w:rsid w:val="005C1063"/>
    <w:rsid w:val="005C1311"/>
    <w:rsid w:val="005C174C"/>
    <w:rsid w:val="005C1779"/>
    <w:rsid w:val="005C1B85"/>
    <w:rsid w:val="005C1EBB"/>
    <w:rsid w:val="005C1FA0"/>
    <w:rsid w:val="005C214F"/>
    <w:rsid w:val="005C2274"/>
    <w:rsid w:val="005C2770"/>
    <w:rsid w:val="005C2986"/>
    <w:rsid w:val="005C2ED0"/>
    <w:rsid w:val="005C3250"/>
    <w:rsid w:val="005C336A"/>
    <w:rsid w:val="005C3401"/>
    <w:rsid w:val="005C3645"/>
    <w:rsid w:val="005C38AB"/>
    <w:rsid w:val="005C3BA2"/>
    <w:rsid w:val="005C3F0B"/>
    <w:rsid w:val="005C4008"/>
    <w:rsid w:val="005C4C79"/>
    <w:rsid w:val="005C4ED7"/>
    <w:rsid w:val="005C4F1E"/>
    <w:rsid w:val="005C521F"/>
    <w:rsid w:val="005C52AC"/>
    <w:rsid w:val="005C52FA"/>
    <w:rsid w:val="005C5504"/>
    <w:rsid w:val="005C5D4E"/>
    <w:rsid w:val="005C642C"/>
    <w:rsid w:val="005C65F6"/>
    <w:rsid w:val="005C7230"/>
    <w:rsid w:val="005C7584"/>
    <w:rsid w:val="005C7D61"/>
    <w:rsid w:val="005D02C3"/>
    <w:rsid w:val="005D03EC"/>
    <w:rsid w:val="005D0682"/>
    <w:rsid w:val="005D06BC"/>
    <w:rsid w:val="005D10C7"/>
    <w:rsid w:val="005D10CD"/>
    <w:rsid w:val="005D132B"/>
    <w:rsid w:val="005D135C"/>
    <w:rsid w:val="005D1B97"/>
    <w:rsid w:val="005D1CED"/>
    <w:rsid w:val="005D230B"/>
    <w:rsid w:val="005D236E"/>
    <w:rsid w:val="005D2D80"/>
    <w:rsid w:val="005D2DE8"/>
    <w:rsid w:val="005D2E81"/>
    <w:rsid w:val="005D34E2"/>
    <w:rsid w:val="005D3DFD"/>
    <w:rsid w:val="005D3ECA"/>
    <w:rsid w:val="005D3F07"/>
    <w:rsid w:val="005D4036"/>
    <w:rsid w:val="005D43FA"/>
    <w:rsid w:val="005D44BC"/>
    <w:rsid w:val="005D457A"/>
    <w:rsid w:val="005D4B82"/>
    <w:rsid w:val="005D4D03"/>
    <w:rsid w:val="005D5272"/>
    <w:rsid w:val="005D52EC"/>
    <w:rsid w:val="005D531C"/>
    <w:rsid w:val="005D5954"/>
    <w:rsid w:val="005D5ABF"/>
    <w:rsid w:val="005D64A8"/>
    <w:rsid w:val="005D68DF"/>
    <w:rsid w:val="005D6B63"/>
    <w:rsid w:val="005D6C18"/>
    <w:rsid w:val="005D6D42"/>
    <w:rsid w:val="005D6DD9"/>
    <w:rsid w:val="005D72F7"/>
    <w:rsid w:val="005D7951"/>
    <w:rsid w:val="005D7971"/>
    <w:rsid w:val="005E05C4"/>
    <w:rsid w:val="005E0A6B"/>
    <w:rsid w:val="005E0CB8"/>
    <w:rsid w:val="005E0FCC"/>
    <w:rsid w:val="005E18D1"/>
    <w:rsid w:val="005E1941"/>
    <w:rsid w:val="005E1953"/>
    <w:rsid w:val="005E1973"/>
    <w:rsid w:val="005E1CBB"/>
    <w:rsid w:val="005E2629"/>
    <w:rsid w:val="005E2CC1"/>
    <w:rsid w:val="005E30E8"/>
    <w:rsid w:val="005E3178"/>
    <w:rsid w:val="005E32A1"/>
    <w:rsid w:val="005E32C9"/>
    <w:rsid w:val="005E3341"/>
    <w:rsid w:val="005E358F"/>
    <w:rsid w:val="005E37D5"/>
    <w:rsid w:val="005E4071"/>
    <w:rsid w:val="005E441C"/>
    <w:rsid w:val="005E4808"/>
    <w:rsid w:val="005E4BD3"/>
    <w:rsid w:val="005E50F9"/>
    <w:rsid w:val="005E559F"/>
    <w:rsid w:val="005E58D2"/>
    <w:rsid w:val="005E6149"/>
    <w:rsid w:val="005E61B2"/>
    <w:rsid w:val="005E6659"/>
    <w:rsid w:val="005E6F8D"/>
    <w:rsid w:val="005E7A50"/>
    <w:rsid w:val="005E7C98"/>
    <w:rsid w:val="005F034E"/>
    <w:rsid w:val="005F0A06"/>
    <w:rsid w:val="005F0C7D"/>
    <w:rsid w:val="005F111C"/>
    <w:rsid w:val="005F1171"/>
    <w:rsid w:val="005F158B"/>
    <w:rsid w:val="005F1659"/>
    <w:rsid w:val="005F1832"/>
    <w:rsid w:val="005F237A"/>
    <w:rsid w:val="005F2542"/>
    <w:rsid w:val="005F264F"/>
    <w:rsid w:val="005F267A"/>
    <w:rsid w:val="005F2B91"/>
    <w:rsid w:val="005F2E2C"/>
    <w:rsid w:val="005F31D5"/>
    <w:rsid w:val="005F3302"/>
    <w:rsid w:val="005F4262"/>
    <w:rsid w:val="005F4653"/>
    <w:rsid w:val="005F4C3F"/>
    <w:rsid w:val="005F5DE3"/>
    <w:rsid w:val="005F6FCC"/>
    <w:rsid w:val="005F7ADD"/>
    <w:rsid w:val="005F7DDC"/>
    <w:rsid w:val="005F7F2D"/>
    <w:rsid w:val="00600C6E"/>
    <w:rsid w:val="00600CE0"/>
    <w:rsid w:val="0060152C"/>
    <w:rsid w:val="0060156F"/>
    <w:rsid w:val="0060186A"/>
    <w:rsid w:val="00601A9D"/>
    <w:rsid w:val="00601C96"/>
    <w:rsid w:val="00601FDA"/>
    <w:rsid w:val="00602367"/>
    <w:rsid w:val="00602B9D"/>
    <w:rsid w:val="00602E0A"/>
    <w:rsid w:val="006032F1"/>
    <w:rsid w:val="00603310"/>
    <w:rsid w:val="00603DF8"/>
    <w:rsid w:val="00603E05"/>
    <w:rsid w:val="00604194"/>
    <w:rsid w:val="006044CE"/>
    <w:rsid w:val="00604511"/>
    <w:rsid w:val="00604773"/>
    <w:rsid w:val="00604AE3"/>
    <w:rsid w:val="00605169"/>
    <w:rsid w:val="0060561F"/>
    <w:rsid w:val="00605EB3"/>
    <w:rsid w:val="00605ECD"/>
    <w:rsid w:val="0060694C"/>
    <w:rsid w:val="00606BC6"/>
    <w:rsid w:val="00606DB3"/>
    <w:rsid w:val="00606DC1"/>
    <w:rsid w:val="0060778D"/>
    <w:rsid w:val="00607AC1"/>
    <w:rsid w:val="00607E92"/>
    <w:rsid w:val="006101B8"/>
    <w:rsid w:val="006106FC"/>
    <w:rsid w:val="00610BB7"/>
    <w:rsid w:val="00610FD5"/>
    <w:rsid w:val="00611344"/>
    <w:rsid w:val="00611C12"/>
    <w:rsid w:val="00611F7C"/>
    <w:rsid w:val="00612363"/>
    <w:rsid w:val="006130F4"/>
    <w:rsid w:val="006136AC"/>
    <w:rsid w:val="006140E6"/>
    <w:rsid w:val="0061412D"/>
    <w:rsid w:val="0061432B"/>
    <w:rsid w:val="006149C6"/>
    <w:rsid w:val="00614EC5"/>
    <w:rsid w:val="00614ED8"/>
    <w:rsid w:val="006154BA"/>
    <w:rsid w:val="00615C43"/>
    <w:rsid w:val="00615D32"/>
    <w:rsid w:val="00615E39"/>
    <w:rsid w:val="006164CD"/>
    <w:rsid w:val="006166C9"/>
    <w:rsid w:val="006167F0"/>
    <w:rsid w:val="00617032"/>
    <w:rsid w:val="00617169"/>
    <w:rsid w:val="0061716D"/>
    <w:rsid w:val="00617696"/>
    <w:rsid w:val="00617C76"/>
    <w:rsid w:val="0062000D"/>
    <w:rsid w:val="006206B7"/>
    <w:rsid w:val="00620941"/>
    <w:rsid w:val="00621758"/>
    <w:rsid w:val="00621BE5"/>
    <w:rsid w:val="00621C39"/>
    <w:rsid w:val="00621D85"/>
    <w:rsid w:val="00621DE8"/>
    <w:rsid w:val="00621EEA"/>
    <w:rsid w:val="00622638"/>
    <w:rsid w:val="00622EA5"/>
    <w:rsid w:val="00622F02"/>
    <w:rsid w:val="0062388D"/>
    <w:rsid w:val="00623ABB"/>
    <w:rsid w:val="00624092"/>
    <w:rsid w:val="00624237"/>
    <w:rsid w:val="00624D8E"/>
    <w:rsid w:val="00625069"/>
    <w:rsid w:val="006251A2"/>
    <w:rsid w:val="00625276"/>
    <w:rsid w:val="00625519"/>
    <w:rsid w:val="00625B31"/>
    <w:rsid w:val="00625C2F"/>
    <w:rsid w:val="00625E5E"/>
    <w:rsid w:val="00626F2A"/>
    <w:rsid w:val="006272C7"/>
    <w:rsid w:val="006272FE"/>
    <w:rsid w:val="00627451"/>
    <w:rsid w:val="00627864"/>
    <w:rsid w:val="00627AA5"/>
    <w:rsid w:val="00627B49"/>
    <w:rsid w:val="00630217"/>
    <w:rsid w:val="00630285"/>
    <w:rsid w:val="0063038D"/>
    <w:rsid w:val="0063064D"/>
    <w:rsid w:val="00630E97"/>
    <w:rsid w:val="006311C7"/>
    <w:rsid w:val="00631D90"/>
    <w:rsid w:val="00631FA5"/>
    <w:rsid w:val="006321E7"/>
    <w:rsid w:val="0063224C"/>
    <w:rsid w:val="00632707"/>
    <w:rsid w:val="00633047"/>
    <w:rsid w:val="006332C7"/>
    <w:rsid w:val="00633A48"/>
    <w:rsid w:val="00633E1B"/>
    <w:rsid w:val="00634502"/>
    <w:rsid w:val="00634ECD"/>
    <w:rsid w:val="00635609"/>
    <w:rsid w:val="00635714"/>
    <w:rsid w:val="006367E8"/>
    <w:rsid w:val="00637045"/>
    <w:rsid w:val="0063736F"/>
    <w:rsid w:val="006373C3"/>
    <w:rsid w:val="00637F23"/>
    <w:rsid w:val="00637F82"/>
    <w:rsid w:val="0064052B"/>
    <w:rsid w:val="006416A0"/>
    <w:rsid w:val="00641A5F"/>
    <w:rsid w:val="00641FEC"/>
    <w:rsid w:val="006424D6"/>
    <w:rsid w:val="00642527"/>
    <w:rsid w:val="00642BBB"/>
    <w:rsid w:val="00642E5C"/>
    <w:rsid w:val="006437A2"/>
    <w:rsid w:val="0064406E"/>
    <w:rsid w:val="006440A3"/>
    <w:rsid w:val="006442D9"/>
    <w:rsid w:val="0064441D"/>
    <w:rsid w:val="00644974"/>
    <w:rsid w:val="00644C60"/>
    <w:rsid w:val="00644E63"/>
    <w:rsid w:val="00645D94"/>
    <w:rsid w:val="00645F19"/>
    <w:rsid w:val="00646141"/>
    <w:rsid w:val="00646517"/>
    <w:rsid w:val="00646705"/>
    <w:rsid w:val="006468DC"/>
    <w:rsid w:val="00646E4A"/>
    <w:rsid w:val="006471CA"/>
    <w:rsid w:val="0064723E"/>
    <w:rsid w:val="00647578"/>
    <w:rsid w:val="006475B1"/>
    <w:rsid w:val="0064779D"/>
    <w:rsid w:val="00647D7B"/>
    <w:rsid w:val="006500CA"/>
    <w:rsid w:val="0065031E"/>
    <w:rsid w:val="0065044C"/>
    <w:rsid w:val="00650D07"/>
    <w:rsid w:val="00650D39"/>
    <w:rsid w:val="0065159F"/>
    <w:rsid w:val="006516C0"/>
    <w:rsid w:val="0065174B"/>
    <w:rsid w:val="00651B35"/>
    <w:rsid w:val="00651C84"/>
    <w:rsid w:val="0065218B"/>
    <w:rsid w:val="0065256D"/>
    <w:rsid w:val="006526DC"/>
    <w:rsid w:val="006533FA"/>
    <w:rsid w:val="00653B2B"/>
    <w:rsid w:val="006541CB"/>
    <w:rsid w:val="006541E8"/>
    <w:rsid w:val="00654266"/>
    <w:rsid w:val="006544D8"/>
    <w:rsid w:val="00654733"/>
    <w:rsid w:val="0065490C"/>
    <w:rsid w:val="006552FA"/>
    <w:rsid w:val="00656115"/>
    <w:rsid w:val="0065636F"/>
    <w:rsid w:val="006578B4"/>
    <w:rsid w:val="00657CC8"/>
    <w:rsid w:val="00657FCA"/>
    <w:rsid w:val="006600E7"/>
    <w:rsid w:val="00660359"/>
    <w:rsid w:val="00660396"/>
    <w:rsid w:val="00660638"/>
    <w:rsid w:val="006610BB"/>
    <w:rsid w:val="00661225"/>
    <w:rsid w:val="0066122F"/>
    <w:rsid w:val="00661555"/>
    <w:rsid w:val="00661920"/>
    <w:rsid w:val="00661BB4"/>
    <w:rsid w:val="00661C20"/>
    <w:rsid w:val="00661DDC"/>
    <w:rsid w:val="00662310"/>
    <w:rsid w:val="00662323"/>
    <w:rsid w:val="00662813"/>
    <w:rsid w:val="0066282A"/>
    <w:rsid w:val="00663282"/>
    <w:rsid w:val="00663B6D"/>
    <w:rsid w:val="00663ED2"/>
    <w:rsid w:val="00664097"/>
    <w:rsid w:val="00664D47"/>
    <w:rsid w:val="00665471"/>
    <w:rsid w:val="00665A04"/>
    <w:rsid w:val="00665CC5"/>
    <w:rsid w:val="00666288"/>
    <w:rsid w:val="0066644C"/>
    <w:rsid w:val="006676F4"/>
    <w:rsid w:val="006677FE"/>
    <w:rsid w:val="00667BB8"/>
    <w:rsid w:val="00667F7D"/>
    <w:rsid w:val="006703F9"/>
    <w:rsid w:val="00670820"/>
    <w:rsid w:val="00670BAF"/>
    <w:rsid w:val="00670EF9"/>
    <w:rsid w:val="00671309"/>
    <w:rsid w:val="006714EA"/>
    <w:rsid w:val="006719C1"/>
    <w:rsid w:val="006722E7"/>
    <w:rsid w:val="0067286D"/>
    <w:rsid w:val="00672A8A"/>
    <w:rsid w:val="00672FE4"/>
    <w:rsid w:val="00673109"/>
    <w:rsid w:val="00673364"/>
    <w:rsid w:val="006739EF"/>
    <w:rsid w:val="00673A56"/>
    <w:rsid w:val="00673F0D"/>
    <w:rsid w:val="006745A2"/>
    <w:rsid w:val="0067467F"/>
    <w:rsid w:val="00674D18"/>
    <w:rsid w:val="006759BB"/>
    <w:rsid w:val="006759F6"/>
    <w:rsid w:val="00675AD4"/>
    <w:rsid w:val="0067609C"/>
    <w:rsid w:val="006763D7"/>
    <w:rsid w:val="006766BD"/>
    <w:rsid w:val="006768B3"/>
    <w:rsid w:val="00676B39"/>
    <w:rsid w:val="0067707C"/>
    <w:rsid w:val="0067752B"/>
    <w:rsid w:val="00677642"/>
    <w:rsid w:val="006776F7"/>
    <w:rsid w:val="00677763"/>
    <w:rsid w:val="006779A6"/>
    <w:rsid w:val="00677A7A"/>
    <w:rsid w:val="00677B2F"/>
    <w:rsid w:val="00680520"/>
    <w:rsid w:val="006814ED"/>
    <w:rsid w:val="00682308"/>
    <w:rsid w:val="0068233A"/>
    <w:rsid w:val="0068248D"/>
    <w:rsid w:val="00682502"/>
    <w:rsid w:val="006827CD"/>
    <w:rsid w:val="00682EAF"/>
    <w:rsid w:val="00682F58"/>
    <w:rsid w:val="00683635"/>
    <w:rsid w:val="00684299"/>
    <w:rsid w:val="00684817"/>
    <w:rsid w:val="00684867"/>
    <w:rsid w:val="006849D5"/>
    <w:rsid w:val="00684EF6"/>
    <w:rsid w:val="00685154"/>
    <w:rsid w:val="006858B5"/>
    <w:rsid w:val="00685A0F"/>
    <w:rsid w:val="00685BED"/>
    <w:rsid w:val="00686201"/>
    <w:rsid w:val="00686AA6"/>
    <w:rsid w:val="00686C66"/>
    <w:rsid w:val="00686DB1"/>
    <w:rsid w:val="00686DD7"/>
    <w:rsid w:val="006874B5"/>
    <w:rsid w:val="006905EF"/>
    <w:rsid w:val="006907F8"/>
    <w:rsid w:val="00690C3A"/>
    <w:rsid w:val="0069135D"/>
    <w:rsid w:val="006914D4"/>
    <w:rsid w:val="00691576"/>
    <w:rsid w:val="0069215B"/>
    <w:rsid w:val="0069277B"/>
    <w:rsid w:val="006932C8"/>
    <w:rsid w:val="00693347"/>
    <w:rsid w:val="0069359C"/>
    <w:rsid w:val="00693848"/>
    <w:rsid w:val="0069447F"/>
    <w:rsid w:val="0069464C"/>
    <w:rsid w:val="006946AA"/>
    <w:rsid w:val="00694F60"/>
    <w:rsid w:val="0069517E"/>
    <w:rsid w:val="0069549D"/>
    <w:rsid w:val="0069550F"/>
    <w:rsid w:val="0069566F"/>
    <w:rsid w:val="0069568C"/>
    <w:rsid w:val="006958A0"/>
    <w:rsid w:val="00695B93"/>
    <w:rsid w:val="00696E58"/>
    <w:rsid w:val="0069706F"/>
    <w:rsid w:val="00697F2B"/>
    <w:rsid w:val="006A099F"/>
    <w:rsid w:val="006A0A91"/>
    <w:rsid w:val="006A1339"/>
    <w:rsid w:val="006A1467"/>
    <w:rsid w:val="006A15E3"/>
    <w:rsid w:val="006A1954"/>
    <w:rsid w:val="006A19A0"/>
    <w:rsid w:val="006A1C37"/>
    <w:rsid w:val="006A22ED"/>
    <w:rsid w:val="006A22FA"/>
    <w:rsid w:val="006A2372"/>
    <w:rsid w:val="006A2483"/>
    <w:rsid w:val="006A324D"/>
    <w:rsid w:val="006A3276"/>
    <w:rsid w:val="006A3506"/>
    <w:rsid w:val="006A382B"/>
    <w:rsid w:val="006A3D05"/>
    <w:rsid w:val="006A50CD"/>
    <w:rsid w:val="006A52F0"/>
    <w:rsid w:val="006A5479"/>
    <w:rsid w:val="006A5725"/>
    <w:rsid w:val="006A5903"/>
    <w:rsid w:val="006A592C"/>
    <w:rsid w:val="006A6A85"/>
    <w:rsid w:val="006A6D14"/>
    <w:rsid w:val="006A722D"/>
    <w:rsid w:val="006A7A36"/>
    <w:rsid w:val="006A7B21"/>
    <w:rsid w:val="006B0A92"/>
    <w:rsid w:val="006B0AA0"/>
    <w:rsid w:val="006B0D88"/>
    <w:rsid w:val="006B0FC2"/>
    <w:rsid w:val="006B1838"/>
    <w:rsid w:val="006B1F37"/>
    <w:rsid w:val="006B2444"/>
    <w:rsid w:val="006B297A"/>
    <w:rsid w:val="006B2D37"/>
    <w:rsid w:val="006B349E"/>
    <w:rsid w:val="006B392C"/>
    <w:rsid w:val="006B3AB7"/>
    <w:rsid w:val="006B4413"/>
    <w:rsid w:val="006B491E"/>
    <w:rsid w:val="006B49DE"/>
    <w:rsid w:val="006B4DD9"/>
    <w:rsid w:val="006B5067"/>
    <w:rsid w:val="006B524E"/>
    <w:rsid w:val="006B59F4"/>
    <w:rsid w:val="006B5CAA"/>
    <w:rsid w:val="006B5DC3"/>
    <w:rsid w:val="006B6A5B"/>
    <w:rsid w:val="006B6EAB"/>
    <w:rsid w:val="006B745C"/>
    <w:rsid w:val="006B76D1"/>
    <w:rsid w:val="006B7900"/>
    <w:rsid w:val="006B7D02"/>
    <w:rsid w:val="006C0F8B"/>
    <w:rsid w:val="006C0FCF"/>
    <w:rsid w:val="006C1816"/>
    <w:rsid w:val="006C1C3D"/>
    <w:rsid w:val="006C1CFF"/>
    <w:rsid w:val="006C2514"/>
    <w:rsid w:val="006C2F94"/>
    <w:rsid w:val="006C328E"/>
    <w:rsid w:val="006C385B"/>
    <w:rsid w:val="006C3B21"/>
    <w:rsid w:val="006C3EDB"/>
    <w:rsid w:val="006C42C0"/>
    <w:rsid w:val="006C477D"/>
    <w:rsid w:val="006C53A4"/>
    <w:rsid w:val="006C62EB"/>
    <w:rsid w:val="006C6B02"/>
    <w:rsid w:val="006C6C53"/>
    <w:rsid w:val="006C71AC"/>
    <w:rsid w:val="006C7642"/>
    <w:rsid w:val="006C76E3"/>
    <w:rsid w:val="006C7D3E"/>
    <w:rsid w:val="006D01B1"/>
    <w:rsid w:val="006D02D3"/>
    <w:rsid w:val="006D0BAA"/>
    <w:rsid w:val="006D11E8"/>
    <w:rsid w:val="006D1241"/>
    <w:rsid w:val="006D1F21"/>
    <w:rsid w:val="006D2380"/>
    <w:rsid w:val="006D2FEE"/>
    <w:rsid w:val="006D30E5"/>
    <w:rsid w:val="006D3138"/>
    <w:rsid w:val="006D313F"/>
    <w:rsid w:val="006D39C5"/>
    <w:rsid w:val="006D4625"/>
    <w:rsid w:val="006D4F80"/>
    <w:rsid w:val="006D5744"/>
    <w:rsid w:val="006D5DEF"/>
    <w:rsid w:val="006D5E41"/>
    <w:rsid w:val="006D60A3"/>
    <w:rsid w:val="006D6165"/>
    <w:rsid w:val="006D69AE"/>
    <w:rsid w:val="006D714E"/>
    <w:rsid w:val="006D747E"/>
    <w:rsid w:val="006D74B9"/>
    <w:rsid w:val="006D76D4"/>
    <w:rsid w:val="006D7B7D"/>
    <w:rsid w:val="006D7E41"/>
    <w:rsid w:val="006E1214"/>
    <w:rsid w:val="006E1226"/>
    <w:rsid w:val="006E16B5"/>
    <w:rsid w:val="006E1812"/>
    <w:rsid w:val="006E25CF"/>
    <w:rsid w:val="006E26C8"/>
    <w:rsid w:val="006E30A9"/>
    <w:rsid w:val="006E3239"/>
    <w:rsid w:val="006E3283"/>
    <w:rsid w:val="006E3AC2"/>
    <w:rsid w:val="006E40C1"/>
    <w:rsid w:val="006E46AF"/>
    <w:rsid w:val="006E47C2"/>
    <w:rsid w:val="006E4BAA"/>
    <w:rsid w:val="006E4BED"/>
    <w:rsid w:val="006E4E37"/>
    <w:rsid w:val="006E4ECC"/>
    <w:rsid w:val="006E523C"/>
    <w:rsid w:val="006E5790"/>
    <w:rsid w:val="006E69DE"/>
    <w:rsid w:val="006E6B77"/>
    <w:rsid w:val="006E7927"/>
    <w:rsid w:val="006E7D29"/>
    <w:rsid w:val="006E7D54"/>
    <w:rsid w:val="006E7F79"/>
    <w:rsid w:val="006F01C8"/>
    <w:rsid w:val="006F036C"/>
    <w:rsid w:val="006F0FB8"/>
    <w:rsid w:val="006F16D6"/>
    <w:rsid w:val="006F17DE"/>
    <w:rsid w:val="006F1C0A"/>
    <w:rsid w:val="006F1CA6"/>
    <w:rsid w:val="006F2003"/>
    <w:rsid w:val="006F2969"/>
    <w:rsid w:val="006F309B"/>
    <w:rsid w:val="006F3FFA"/>
    <w:rsid w:val="006F4048"/>
    <w:rsid w:val="006F4134"/>
    <w:rsid w:val="006F4150"/>
    <w:rsid w:val="006F41A7"/>
    <w:rsid w:val="006F4726"/>
    <w:rsid w:val="006F4C34"/>
    <w:rsid w:val="006F4E16"/>
    <w:rsid w:val="006F4F61"/>
    <w:rsid w:val="006F5003"/>
    <w:rsid w:val="006F5097"/>
    <w:rsid w:val="006F5372"/>
    <w:rsid w:val="006F53BF"/>
    <w:rsid w:val="006F58A9"/>
    <w:rsid w:val="006F5C72"/>
    <w:rsid w:val="006F61EF"/>
    <w:rsid w:val="006F6445"/>
    <w:rsid w:val="006F6D18"/>
    <w:rsid w:val="006F782A"/>
    <w:rsid w:val="006F7FC0"/>
    <w:rsid w:val="00700140"/>
    <w:rsid w:val="00700735"/>
    <w:rsid w:val="00700ADA"/>
    <w:rsid w:val="00700B7B"/>
    <w:rsid w:val="00700EA7"/>
    <w:rsid w:val="00701509"/>
    <w:rsid w:val="007016FB"/>
    <w:rsid w:val="00702008"/>
    <w:rsid w:val="0070275B"/>
    <w:rsid w:val="00702F21"/>
    <w:rsid w:val="007030B2"/>
    <w:rsid w:val="00703745"/>
    <w:rsid w:val="00704222"/>
    <w:rsid w:val="0070434F"/>
    <w:rsid w:val="00704522"/>
    <w:rsid w:val="0070469F"/>
    <w:rsid w:val="007046BE"/>
    <w:rsid w:val="007052A8"/>
    <w:rsid w:val="007052C5"/>
    <w:rsid w:val="007052ED"/>
    <w:rsid w:val="007056C3"/>
    <w:rsid w:val="00706599"/>
    <w:rsid w:val="00706DBE"/>
    <w:rsid w:val="00706E1A"/>
    <w:rsid w:val="007075AC"/>
    <w:rsid w:val="0070772E"/>
    <w:rsid w:val="00710C0A"/>
    <w:rsid w:val="00710CF5"/>
    <w:rsid w:val="00711BD7"/>
    <w:rsid w:val="007126E0"/>
    <w:rsid w:val="007128BC"/>
    <w:rsid w:val="00712E59"/>
    <w:rsid w:val="0071312A"/>
    <w:rsid w:val="007133C7"/>
    <w:rsid w:val="007134A5"/>
    <w:rsid w:val="007135DB"/>
    <w:rsid w:val="00713E41"/>
    <w:rsid w:val="00714031"/>
    <w:rsid w:val="007142A2"/>
    <w:rsid w:val="00714521"/>
    <w:rsid w:val="00714D92"/>
    <w:rsid w:val="0071584E"/>
    <w:rsid w:val="007158D8"/>
    <w:rsid w:val="00715A61"/>
    <w:rsid w:val="00715AA3"/>
    <w:rsid w:val="00715E97"/>
    <w:rsid w:val="007163D7"/>
    <w:rsid w:val="00716797"/>
    <w:rsid w:val="007168A8"/>
    <w:rsid w:val="00716BA7"/>
    <w:rsid w:val="00717219"/>
    <w:rsid w:val="007178C9"/>
    <w:rsid w:val="00717973"/>
    <w:rsid w:val="00717B12"/>
    <w:rsid w:val="00717E1E"/>
    <w:rsid w:val="0072082C"/>
    <w:rsid w:val="00720B44"/>
    <w:rsid w:val="00721313"/>
    <w:rsid w:val="00721E8C"/>
    <w:rsid w:val="00722333"/>
    <w:rsid w:val="00723517"/>
    <w:rsid w:val="00723A35"/>
    <w:rsid w:val="00723B59"/>
    <w:rsid w:val="007241F7"/>
    <w:rsid w:val="00724255"/>
    <w:rsid w:val="00724D0E"/>
    <w:rsid w:val="0072522C"/>
    <w:rsid w:val="00726DC2"/>
    <w:rsid w:val="00726FD1"/>
    <w:rsid w:val="00727810"/>
    <w:rsid w:val="00727C48"/>
    <w:rsid w:val="00730C0A"/>
    <w:rsid w:val="007311FD"/>
    <w:rsid w:val="00732034"/>
    <w:rsid w:val="0073226E"/>
    <w:rsid w:val="00732443"/>
    <w:rsid w:val="00732678"/>
    <w:rsid w:val="0073329C"/>
    <w:rsid w:val="00733634"/>
    <w:rsid w:val="007342A2"/>
    <w:rsid w:val="007346EA"/>
    <w:rsid w:val="00734C86"/>
    <w:rsid w:val="00735BCC"/>
    <w:rsid w:val="00736068"/>
    <w:rsid w:val="007363A0"/>
    <w:rsid w:val="00736A28"/>
    <w:rsid w:val="0073749C"/>
    <w:rsid w:val="00740606"/>
    <w:rsid w:val="007413F5"/>
    <w:rsid w:val="007415E3"/>
    <w:rsid w:val="00741933"/>
    <w:rsid w:val="00741B31"/>
    <w:rsid w:val="00741F59"/>
    <w:rsid w:val="00741FD0"/>
    <w:rsid w:val="0074203B"/>
    <w:rsid w:val="00742759"/>
    <w:rsid w:val="00742C9A"/>
    <w:rsid w:val="00742F6A"/>
    <w:rsid w:val="007438D5"/>
    <w:rsid w:val="00743DF2"/>
    <w:rsid w:val="00743F6C"/>
    <w:rsid w:val="00744C32"/>
    <w:rsid w:val="0074537E"/>
    <w:rsid w:val="007455FE"/>
    <w:rsid w:val="00745C97"/>
    <w:rsid w:val="00746039"/>
    <w:rsid w:val="007461B8"/>
    <w:rsid w:val="007465C0"/>
    <w:rsid w:val="007471F1"/>
    <w:rsid w:val="00750601"/>
    <w:rsid w:val="0075108C"/>
    <w:rsid w:val="007513FC"/>
    <w:rsid w:val="00751463"/>
    <w:rsid w:val="00751CAE"/>
    <w:rsid w:val="00751E27"/>
    <w:rsid w:val="00751F60"/>
    <w:rsid w:val="007521FE"/>
    <w:rsid w:val="007522B6"/>
    <w:rsid w:val="007527AF"/>
    <w:rsid w:val="007529AF"/>
    <w:rsid w:val="00752C24"/>
    <w:rsid w:val="00753366"/>
    <w:rsid w:val="007535D4"/>
    <w:rsid w:val="007550DA"/>
    <w:rsid w:val="00755520"/>
    <w:rsid w:val="00756372"/>
    <w:rsid w:val="00756A8E"/>
    <w:rsid w:val="00756ACA"/>
    <w:rsid w:val="00757622"/>
    <w:rsid w:val="0075792F"/>
    <w:rsid w:val="00757960"/>
    <w:rsid w:val="00757A2F"/>
    <w:rsid w:val="00757F5D"/>
    <w:rsid w:val="00760001"/>
    <w:rsid w:val="00760241"/>
    <w:rsid w:val="007602E5"/>
    <w:rsid w:val="00760591"/>
    <w:rsid w:val="0076096F"/>
    <w:rsid w:val="00760B32"/>
    <w:rsid w:val="00760EAA"/>
    <w:rsid w:val="0076178A"/>
    <w:rsid w:val="00761FA1"/>
    <w:rsid w:val="007626AC"/>
    <w:rsid w:val="00762912"/>
    <w:rsid w:val="00763100"/>
    <w:rsid w:val="007637A0"/>
    <w:rsid w:val="00764276"/>
    <w:rsid w:val="007642EA"/>
    <w:rsid w:val="007645EE"/>
    <w:rsid w:val="00764601"/>
    <w:rsid w:val="0076496E"/>
    <w:rsid w:val="00764B71"/>
    <w:rsid w:val="007654FC"/>
    <w:rsid w:val="00765B32"/>
    <w:rsid w:val="00766939"/>
    <w:rsid w:val="00766A04"/>
    <w:rsid w:val="00766D78"/>
    <w:rsid w:val="00766F07"/>
    <w:rsid w:val="00767334"/>
    <w:rsid w:val="00767648"/>
    <w:rsid w:val="0077038C"/>
    <w:rsid w:val="00770985"/>
    <w:rsid w:val="00770D72"/>
    <w:rsid w:val="00771554"/>
    <w:rsid w:val="007717FE"/>
    <w:rsid w:val="00771AFF"/>
    <w:rsid w:val="00771CE5"/>
    <w:rsid w:val="00772380"/>
    <w:rsid w:val="00772431"/>
    <w:rsid w:val="0077301F"/>
    <w:rsid w:val="00773783"/>
    <w:rsid w:val="00773E64"/>
    <w:rsid w:val="00773F30"/>
    <w:rsid w:val="0077470D"/>
    <w:rsid w:val="007753FF"/>
    <w:rsid w:val="007754C9"/>
    <w:rsid w:val="00775A35"/>
    <w:rsid w:val="00775A7B"/>
    <w:rsid w:val="00776054"/>
    <w:rsid w:val="00776A44"/>
    <w:rsid w:val="00776E43"/>
    <w:rsid w:val="00776ED8"/>
    <w:rsid w:val="00777536"/>
    <w:rsid w:val="00777B5B"/>
    <w:rsid w:val="00777CBD"/>
    <w:rsid w:val="00777F2F"/>
    <w:rsid w:val="007802F0"/>
    <w:rsid w:val="00780FAC"/>
    <w:rsid w:val="00781242"/>
    <w:rsid w:val="007816CB"/>
    <w:rsid w:val="0078194C"/>
    <w:rsid w:val="007819B4"/>
    <w:rsid w:val="007821E3"/>
    <w:rsid w:val="00782571"/>
    <w:rsid w:val="00782771"/>
    <w:rsid w:val="0078297D"/>
    <w:rsid w:val="00782B99"/>
    <w:rsid w:val="00782E4B"/>
    <w:rsid w:val="00783201"/>
    <w:rsid w:val="00783617"/>
    <w:rsid w:val="00783854"/>
    <w:rsid w:val="00784600"/>
    <w:rsid w:val="00784BBF"/>
    <w:rsid w:val="007853FA"/>
    <w:rsid w:val="00785D87"/>
    <w:rsid w:val="00787B56"/>
    <w:rsid w:val="00790426"/>
    <w:rsid w:val="00790997"/>
    <w:rsid w:val="00790A2A"/>
    <w:rsid w:val="00790FB1"/>
    <w:rsid w:val="0079111B"/>
    <w:rsid w:val="00791912"/>
    <w:rsid w:val="007931A0"/>
    <w:rsid w:val="007932EA"/>
    <w:rsid w:val="0079353D"/>
    <w:rsid w:val="007935CD"/>
    <w:rsid w:val="0079374A"/>
    <w:rsid w:val="00793A8B"/>
    <w:rsid w:val="00793F31"/>
    <w:rsid w:val="00793F38"/>
    <w:rsid w:val="0079421F"/>
    <w:rsid w:val="00794294"/>
    <w:rsid w:val="0079529E"/>
    <w:rsid w:val="007969D0"/>
    <w:rsid w:val="00796A8C"/>
    <w:rsid w:val="00796C21"/>
    <w:rsid w:val="00796E1D"/>
    <w:rsid w:val="00797349"/>
    <w:rsid w:val="00797643"/>
    <w:rsid w:val="007A0A47"/>
    <w:rsid w:val="007A0D95"/>
    <w:rsid w:val="007A15B3"/>
    <w:rsid w:val="007A1BE6"/>
    <w:rsid w:val="007A1EE2"/>
    <w:rsid w:val="007A312A"/>
    <w:rsid w:val="007A32E2"/>
    <w:rsid w:val="007A3A9B"/>
    <w:rsid w:val="007A4107"/>
    <w:rsid w:val="007A539D"/>
    <w:rsid w:val="007A59D7"/>
    <w:rsid w:val="007A63BA"/>
    <w:rsid w:val="007A6701"/>
    <w:rsid w:val="007A6919"/>
    <w:rsid w:val="007A694C"/>
    <w:rsid w:val="007A7125"/>
    <w:rsid w:val="007A7213"/>
    <w:rsid w:val="007A759A"/>
    <w:rsid w:val="007A7BDB"/>
    <w:rsid w:val="007B0538"/>
    <w:rsid w:val="007B05CD"/>
    <w:rsid w:val="007B1282"/>
    <w:rsid w:val="007B12FE"/>
    <w:rsid w:val="007B1C0B"/>
    <w:rsid w:val="007B1D51"/>
    <w:rsid w:val="007B1ED6"/>
    <w:rsid w:val="007B2518"/>
    <w:rsid w:val="007B281D"/>
    <w:rsid w:val="007B285F"/>
    <w:rsid w:val="007B2E53"/>
    <w:rsid w:val="007B3C5E"/>
    <w:rsid w:val="007B3F40"/>
    <w:rsid w:val="007B4223"/>
    <w:rsid w:val="007B4EE4"/>
    <w:rsid w:val="007B4F51"/>
    <w:rsid w:val="007B5032"/>
    <w:rsid w:val="007B518A"/>
    <w:rsid w:val="007B5528"/>
    <w:rsid w:val="007B5A99"/>
    <w:rsid w:val="007B5D6B"/>
    <w:rsid w:val="007B5DB0"/>
    <w:rsid w:val="007B5DE2"/>
    <w:rsid w:val="007B5E2F"/>
    <w:rsid w:val="007B642D"/>
    <w:rsid w:val="007B64C6"/>
    <w:rsid w:val="007B6B7D"/>
    <w:rsid w:val="007B7521"/>
    <w:rsid w:val="007B7557"/>
    <w:rsid w:val="007B7572"/>
    <w:rsid w:val="007B7776"/>
    <w:rsid w:val="007B78E9"/>
    <w:rsid w:val="007B7EF9"/>
    <w:rsid w:val="007C01D7"/>
    <w:rsid w:val="007C0280"/>
    <w:rsid w:val="007C05CE"/>
    <w:rsid w:val="007C05CF"/>
    <w:rsid w:val="007C083C"/>
    <w:rsid w:val="007C0875"/>
    <w:rsid w:val="007C08A3"/>
    <w:rsid w:val="007C0D41"/>
    <w:rsid w:val="007C1079"/>
    <w:rsid w:val="007C11B1"/>
    <w:rsid w:val="007C1731"/>
    <w:rsid w:val="007C182E"/>
    <w:rsid w:val="007C1B22"/>
    <w:rsid w:val="007C26EC"/>
    <w:rsid w:val="007C28C2"/>
    <w:rsid w:val="007C2C87"/>
    <w:rsid w:val="007C3261"/>
    <w:rsid w:val="007C3699"/>
    <w:rsid w:val="007C3F25"/>
    <w:rsid w:val="007C4314"/>
    <w:rsid w:val="007C54B3"/>
    <w:rsid w:val="007C5848"/>
    <w:rsid w:val="007C699E"/>
    <w:rsid w:val="007C6FF2"/>
    <w:rsid w:val="007C72EB"/>
    <w:rsid w:val="007C73F2"/>
    <w:rsid w:val="007C76CB"/>
    <w:rsid w:val="007C7723"/>
    <w:rsid w:val="007C780C"/>
    <w:rsid w:val="007C78B2"/>
    <w:rsid w:val="007C7A12"/>
    <w:rsid w:val="007C7CB4"/>
    <w:rsid w:val="007D080D"/>
    <w:rsid w:val="007D0973"/>
    <w:rsid w:val="007D12FE"/>
    <w:rsid w:val="007D1B69"/>
    <w:rsid w:val="007D24EE"/>
    <w:rsid w:val="007D284E"/>
    <w:rsid w:val="007D2BB6"/>
    <w:rsid w:val="007D37EA"/>
    <w:rsid w:val="007D38CC"/>
    <w:rsid w:val="007D3A34"/>
    <w:rsid w:val="007D3B62"/>
    <w:rsid w:val="007D3EA5"/>
    <w:rsid w:val="007D4035"/>
    <w:rsid w:val="007D432F"/>
    <w:rsid w:val="007D4531"/>
    <w:rsid w:val="007D46E8"/>
    <w:rsid w:val="007D4930"/>
    <w:rsid w:val="007D5186"/>
    <w:rsid w:val="007D5815"/>
    <w:rsid w:val="007D59A4"/>
    <w:rsid w:val="007D608D"/>
    <w:rsid w:val="007D6F89"/>
    <w:rsid w:val="007D755A"/>
    <w:rsid w:val="007D764A"/>
    <w:rsid w:val="007D7E5B"/>
    <w:rsid w:val="007E004F"/>
    <w:rsid w:val="007E02C5"/>
    <w:rsid w:val="007E0365"/>
    <w:rsid w:val="007E084E"/>
    <w:rsid w:val="007E09AA"/>
    <w:rsid w:val="007E0D9A"/>
    <w:rsid w:val="007E0DB8"/>
    <w:rsid w:val="007E1223"/>
    <w:rsid w:val="007E127C"/>
    <w:rsid w:val="007E1E3A"/>
    <w:rsid w:val="007E3046"/>
    <w:rsid w:val="007E3A83"/>
    <w:rsid w:val="007E3B58"/>
    <w:rsid w:val="007E430A"/>
    <w:rsid w:val="007E4485"/>
    <w:rsid w:val="007E46C9"/>
    <w:rsid w:val="007E46D2"/>
    <w:rsid w:val="007E49F5"/>
    <w:rsid w:val="007E4CE0"/>
    <w:rsid w:val="007E515E"/>
    <w:rsid w:val="007E56C9"/>
    <w:rsid w:val="007E57EB"/>
    <w:rsid w:val="007E5BB6"/>
    <w:rsid w:val="007E5E35"/>
    <w:rsid w:val="007E5EA8"/>
    <w:rsid w:val="007E60C6"/>
    <w:rsid w:val="007E61D9"/>
    <w:rsid w:val="007E664F"/>
    <w:rsid w:val="007E67B6"/>
    <w:rsid w:val="007E6F2B"/>
    <w:rsid w:val="007E7936"/>
    <w:rsid w:val="007E7B16"/>
    <w:rsid w:val="007E7FBD"/>
    <w:rsid w:val="007E7FBF"/>
    <w:rsid w:val="007F0CA1"/>
    <w:rsid w:val="007F12CD"/>
    <w:rsid w:val="007F26CD"/>
    <w:rsid w:val="007F2D85"/>
    <w:rsid w:val="007F338D"/>
    <w:rsid w:val="007F346A"/>
    <w:rsid w:val="007F3C80"/>
    <w:rsid w:val="007F3D9B"/>
    <w:rsid w:val="007F3DEC"/>
    <w:rsid w:val="007F4030"/>
    <w:rsid w:val="007F41C7"/>
    <w:rsid w:val="007F47AC"/>
    <w:rsid w:val="007F4ADA"/>
    <w:rsid w:val="007F505C"/>
    <w:rsid w:val="007F5180"/>
    <w:rsid w:val="007F5256"/>
    <w:rsid w:val="007F5B34"/>
    <w:rsid w:val="007F5C7E"/>
    <w:rsid w:val="007F636D"/>
    <w:rsid w:val="007F6911"/>
    <w:rsid w:val="007F6BF7"/>
    <w:rsid w:val="007F7535"/>
    <w:rsid w:val="007F759B"/>
    <w:rsid w:val="007F75D2"/>
    <w:rsid w:val="007F7769"/>
    <w:rsid w:val="007F7C30"/>
    <w:rsid w:val="007F7D12"/>
    <w:rsid w:val="00800020"/>
    <w:rsid w:val="00800692"/>
    <w:rsid w:val="008014CE"/>
    <w:rsid w:val="008014E9"/>
    <w:rsid w:val="008018CE"/>
    <w:rsid w:val="00802407"/>
    <w:rsid w:val="008029BD"/>
    <w:rsid w:val="008029EA"/>
    <w:rsid w:val="00802AAB"/>
    <w:rsid w:val="00802AD0"/>
    <w:rsid w:val="00802E04"/>
    <w:rsid w:val="00802FBE"/>
    <w:rsid w:val="0080310C"/>
    <w:rsid w:val="00803499"/>
    <w:rsid w:val="00804314"/>
    <w:rsid w:val="00804812"/>
    <w:rsid w:val="00805471"/>
    <w:rsid w:val="008055DD"/>
    <w:rsid w:val="00805DE7"/>
    <w:rsid w:val="00806201"/>
    <w:rsid w:val="008063D3"/>
    <w:rsid w:val="008067B0"/>
    <w:rsid w:val="00806BFA"/>
    <w:rsid w:val="00806D65"/>
    <w:rsid w:val="00806E2B"/>
    <w:rsid w:val="00806E9C"/>
    <w:rsid w:val="00807097"/>
    <w:rsid w:val="00807E7C"/>
    <w:rsid w:val="00807E8C"/>
    <w:rsid w:val="00810256"/>
    <w:rsid w:val="008104BF"/>
    <w:rsid w:val="00810A29"/>
    <w:rsid w:val="00810FE7"/>
    <w:rsid w:val="008110FB"/>
    <w:rsid w:val="00811331"/>
    <w:rsid w:val="00811916"/>
    <w:rsid w:val="00811B5B"/>
    <w:rsid w:val="0081228A"/>
    <w:rsid w:val="0081270D"/>
    <w:rsid w:val="00812A51"/>
    <w:rsid w:val="00812AC9"/>
    <w:rsid w:val="00812F14"/>
    <w:rsid w:val="008134A3"/>
    <w:rsid w:val="00813D26"/>
    <w:rsid w:val="00813E9F"/>
    <w:rsid w:val="00814588"/>
    <w:rsid w:val="00814C2E"/>
    <w:rsid w:val="00814C36"/>
    <w:rsid w:val="0081541F"/>
    <w:rsid w:val="008154AB"/>
    <w:rsid w:val="0081630C"/>
    <w:rsid w:val="00816755"/>
    <w:rsid w:val="00816E79"/>
    <w:rsid w:val="00816EC0"/>
    <w:rsid w:val="0081731F"/>
    <w:rsid w:val="008174DC"/>
    <w:rsid w:val="0082068F"/>
    <w:rsid w:val="00820A4D"/>
    <w:rsid w:val="00820B28"/>
    <w:rsid w:val="00821286"/>
    <w:rsid w:val="00821AFD"/>
    <w:rsid w:val="00821B52"/>
    <w:rsid w:val="00823416"/>
    <w:rsid w:val="00823C5C"/>
    <w:rsid w:val="00824182"/>
    <w:rsid w:val="00824618"/>
    <w:rsid w:val="00824905"/>
    <w:rsid w:val="0082551E"/>
    <w:rsid w:val="00825746"/>
    <w:rsid w:val="00825DDA"/>
    <w:rsid w:val="008264AE"/>
    <w:rsid w:val="00826CAE"/>
    <w:rsid w:val="00826D8E"/>
    <w:rsid w:val="00826F0D"/>
    <w:rsid w:val="008276A8"/>
    <w:rsid w:val="00827E87"/>
    <w:rsid w:val="00830628"/>
    <w:rsid w:val="008306CF"/>
    <w:rsid w:val="00830824"/>
    <w:rsid w:val="008309DA"/>
    <w:rsid w:val="00830A66"/>
    <w:rsid w:val="00830BC8"/>
    <w:rsid w:val="00831498"/>
    <w:rsid w:val="008318A8"/>
    <w:rsid w:val="00831DD8"/>
    <w:rsid w:val="008320A9"/>
    <w:rsid w:val="00832563"/>
    <w:rsid w:val="00832600"/>
    <w:rsid w:val="008329DC"/>
    <w:rsid w:val="0083422B"/>
    <w:rsid w:val="00834617"/>
    <w:rsid w:val="0083473B"/>
    <w:rsid w:val="00835080"/>
    <w:rsid w:val="0083510E"/>
    <w:rsid w:val="00835223"/>
    <w:rsid w:val="00835787"/>
    <w:rsid w:val="00835BB1"/>
    <w:rsid w:val="008364A4"/>
    <w:rsid w:val="00836503"/>
    <w:rsid w:val="008367CB"/>
    <w:rsid w:val="0083693C"/>
    <w:rsid w:val="00836C70"/>
    <w:rsid w:val="0083717E"/>
    <w:rsid w:val="00837A6E"/>
    <w:rsid w:val="00837C9A"/>
    <w:rsid w:val="00837CEB"/>
    <w:rsid w:val="00840024"/>
    <w:rsid w:val="00840192"/>
    <w:rsid w:val="008407D3"/>
    <w:rsid w:val="0084124E"/>
    <w:rsid w:val="0084124F"/>
    <w:rsid w:val="00841529"/>
    <w:rsid w:val="00841F97"/>
    <w:rsid w:val="0084202F"/>
    <w:rsid w:val="00842E5B"/>
    <w:rsid w:val="00842ECD"/>
    <w:rsid w:val="00842F00"/>
    <w:rsid w:val="00843051"/>
    <w:rsid w:val="0084334E"/>
    <w:rsid w:val="00843674"/>
    <w:rsid w:val="008441D5"/>
    <w:rsid w:val="00844920"/>
    <w:rsid w:val="00844B48"/>
    <w:rsid w:val="00844BCE"/>
    <w:rsid w:val="00844CBC"/>
    <w:rsid w:val="00844FE0"/>
    <w:rsid w:val="00845314"/>
    <w:rsid w:val="0084548C"/>
    <w:rsid w:val="00846216"/>
    <w:rsid w:val="00846596"/>
    <w:rsid w:val="0084661F"/>
    <w:rsid w:val="0084670C"/>
    <w:rsid w:val="00846F83"/>
    <w:rsid w:val="008474E8"/>
    <w:rsid w:val="008478F8"/>
    <w:rsid w:val="008501B7"/>
    <w:rsid w:val="00850FFA"/>
    <w:rsid w:val="008510B2"/>
    <w:rsid w:val="00851476"/>
    <w:rsid w:val="00851569"/>
    <w:rsid w:val="008516D7"/>
    <w:rsid w:val="008517A0"/>
    <w:rsid w:val="00851A01"/>
    <w:rsid w:val="00851B70"/>
    <w:rsid w:val="00851C7D"/>
    <w:rsid w:val="00851CD9"/>
    <w:rsid w:val="00851D8E"/>
    <w:rsid w:val="00851EE2"/>
    <w:rsid w:val="00852021"/>
    <w:rsid w:val="00852238"/>
    <w:rsid w:val="0085224D"/>
    <w:rsid w:val="0085253F"/>
    <w:rsid w:val="0085269C"/>
    <w:rsid w:val="00852782"/>
    <w:rsid w:val="00853BEA"/>
    <w:rsid w:val="00854253"/>
    <w:rsid w:val="00854368"/>
    <w:rsid w:val="008544C2"/>
    <w:rsid w:val="008547D8"/>
    <w:rsid w:val="0085487B"/>
    <w:rsid w:val="00854D9D"/>
    <w:rsid w:val="00854E12"/>
    <w:rsid w:val="00855232"/>
    <w:rsid w:val="00855AB4"/>
    <w:rsid w:val="0085605D"/>
    <w:rsid w:val="00856182"/>
    <w:rsid w:val="00856257"/>
    <w:rsid w:val="008562F7"/>
    <w:rsid w:val="00856897"/>
    <w:rsid w:val="008572A1"/>
    <w:rsid w:val="00857A0A"/>
    <w:rsid w:val="0086098B"/>
    <w:rsid w:val="00860A03"/>
    <w:rsid w:val="00860A23"/>
    <w:rsid w:val="00860AC2"/>
    <w:rsid w:val="00861046"/>
    <w:rsid w:val="008612D9"/>
    <w:rsid w:val="0086130A"/>
    <w:rsid w:val="00861558"/>
    <w:rsid w:val="008617AA"/>
    <w:rsid w:val="00861B4B"/>
    <w:rsid w:val="00861BA2"/>
    <w:rsid w:val="00861FBC"/>
    <w:rsid w:val="0086215C"/>
    <w:rsid w:val="00862774"/>
    <w:rsid w:val="00862C1C"/>
    <w:rsid w:val="00862F93"/>
    <w:rsid w:val="008632B5"/>
    <w:rsid w:val="00863668"/>
    <w:rsid w:val="008637DD"/>
    <w:rsid w:val="00863F90"/>
    <w:rsid w:val="00864015"/>
    <w:rsid w:val="008642A0"/>
    <w:rsid w:val="00864B78"/>
    <w:rsid w:val="00864E80"/>
    <w:rsid w:val="008653C8"/>
    <w:rsid w:val="00865B26"/>
    <w:rsid w:val="00865E8D"/>
    <w:rsid w:val="008663A2"/>
    <w:rsid w:val="00866623"/>
    <w:rsid w:val="00866A6F"/>
    <w:rsid w:val="00867107"/>
    <w:rsid w:val="008676DB"/>
    <w:rsid w:val="0086792F"/>
    <w:rsid w:val="00870226"/>
    <w:rsid w:val="0087083F"/>
    <w:rsid w:val="0087088A"/>
    <w:rsid w:val="00871415"/>
    <w:rsid w:val="0087214C"/>
    <w:rsid w:val="008721D5"/>
    <w:rsid w:val="00872B05"/>
    <w:rsid w:val="00873E56"/>
    <w:rsid w:val="00873FA2"/>
    <w:rsid w:val="0087402E"/>
    <w:rsid w:val="0087437F"/>
    <w:rsid w:val="008743CE"/>
    <w:rsid w:val="0087451E"/>
    <w:rsid w:val="008747C4"/>
    <w:rsid w:val="008747FF"/>
    <w:rsid w:val="00874B84"/>
    <w:rsid w:val="00875DEC"/>
    <w:rsid w:val="008762A0"/>
    <w:rsid w:val="00876325"/>
    <w:rsid w:val="00876D24"/>
    <w:rsid w:val="00877B0B"/>
    <w:rsid w:val="00877B41"/>
    <w:rsid w:val="00877B67"/>
    <w:rsid w:val="00877BF4"/>
    <w:rsid w:val="00880966"/>
    <w:rsid w:val="00880E41"/>
    <w:rsid w:val="00880F26"/>
    <w:rsid w:val="0088106E"/>
    <w:rsid w:val="008811DE"/>
    <w:rsid w:val="008815C1"/>
    <w:rsid w:val="00881DC0"/>
    <w:rsid w:val="00881DE7"/>
    <w:rsid w:val="008821C0"/>
    <w:rsid w:val="008824FA"/>
    <w:rsid w:val="008838D9"/>
    <w:rsid w:val="00883F1F"/>
    <w:rsid w:val="00884336"/>
    <w:rsid w:val="00884397"/>
    <w:rsid w:val="00884AAA"/>
    <w:rsid w:val="008855E8"/>
    <w:rsid w:val="0088635B"/>
    <w:rsid w:val="00886AB2"/>
    <w:rsid w:val="00887013"/>
    <w:rsid w:val="008878AC"/>
    <w:rsid w:val="00890FAF"/>
    <w:rsid w:val="00891052"/>
    <w:rsid w:val="0089182F"/>
    <w:rsid w:val="00891FC3"/>
    <w:rsid w:val="008923ED"/>
    <w:rsid w:val="00892433"/>
    <w:rsid w:val="008925B3"/>
    <w:rsid w:val="0089284D"/>
    <w:rsid w:val="00892D77"/>
    <w:rsid w:val="008930E7"/>
    <w:rsid w:val="00893A26"/>
    <w:rsid w:val="00893B5D"/>
    <w:rsid w:val="00893BBD"/>
    <w:rsid w:val="00894002"/>
    <w:rsid w:val="0089473F"/>
    <w:rsid w:val="00894974"/>
    <w:rsid w:val="00894A38"/>
    <w:rsid w:val="008950B1"/>
    <w:rsid w:val="00895A48"/>
    <w:rsid w:val="00895FDE"/>
    <w:rsid w:val="00896979"/>
    <w:rsid w:val="0089721F"/>
    <w:rsid w:val="0089781D"/>
    <w:rsid w:val="00897843"/>
    <w:rsid w:val="00897A4A"/>
    <w:rsid w:val="00897D8E"/>
    <w:rsid w:val="008A020C"/>
    <w:rsid w:val="008A0566"/>
    <w:rsid w:val="008A0AB5"/>
    <w:rsid w:val="008A0D7A"/>
    <w:rsid w:val="008A0E5E"/>
    <w:rsid w:val="008A105E"/>
    <w:rsid w:val="008A1A24"/>
    <w:rsid w:val="008A1D48"/>
    <w:rsid w:val="008A2971"/>
    <w:rsid w:val="008A2D72"/>
    <w:rsid w:val="008A2FDD"/>
    <w:rsid w:val="008A3770"/>
    <w:rsid w:val="008A397B"/>
    <w:rsid w:val="008A3B43"/>
    <w:rsid w:val="008A3E93"/>
    <w:rsid w:val="008A3ED0"/>
    <w:rsid w:val="008A3EDA"/>
    <w:rsid w:val="008A3FE5"/>
    <w:rsid w:val="008A4559"/>
    <w:rsid w:val="008A4725"/>
    <w:rsid w:val="008A4E4C"/>
    <w:rsid w:val="008A5030"/>
    <w:rsid w:val="008A5D86"/>
    <w:rsid w:val="008A601A"/>
    <w:rsid w:val="008A675D"/>
    <w:rsid w:val="008A6AEA"/>
    <w:rsid w:val="008B0F21"/>
    <w:rsid w:val="008B13B5"/>
    <w:rsid w:val="008B220D"/>
    <w:rsid w:val="008B2BC1"/>
    <w:rsid w:val="008B2C37"/>
    <w:rsid w:val="008B3BAA"/>
    <w:rsid w:val="008B3F51"/>
    <w:rsid w:val="008B4534"/>
    <w:rsid w:val="008B4955"/>
    <w:rsid w:val="008B5A74"/>
    <w:rsid w:val="008B5BC9"/>
    <w:rsid w:val="008B5EB2"/>
    <w:rsid w:val="008B62FC"/>
    <w:rsid w:val="008B650A"/>
    <w:rsid w:val="008B66DB"/>
    <w:rsid w:val="008B68B5"/>
    <w:rsid w:val="008B6CA4"/>
    <w:rsid w:val="008B752F"/>
    <w:rsid w:val="008B78CA"/>
    <w:rsid w:val="008B79C1"/>
    <w:rsid w:val="008C016E"/>
    <w:rsid w:val="008C0269"/>
    <w:rsid w:val="008C026C"/>
    <w:rsid w:val="008C0F55"/>
    <w:rsid w:val="008C1278"/>
    <w:rsid w:val="008C136C"/>
    <w:rsid w:val="008C1765"/>
    <w:rsid w:val="008C1B70"/>
    <w:rsid w:val="008C1B81"/>
    <w:rsid w:val="008C1D0D"/>
    <w:rsid w:val="008C1E84"/>
    <w:rsid w:val="008C29DC"/>
    <w:rsid w:val="008C2DC4"/>
    <w:rsid w:val="008C30AB"/>
    <w:rsid w:val="008C3108"/>
    <w:rsid w:val="008C3DEF"/>
    <w:rsid w:val="008C3F46"/>
    <w:rsid w:val="008C40B4"/>
    <w:rsid w:val="008C4227"/>
    <w:rsid w:val="008C42A5"/>
    <w:rsid w:val="008C444D"/>
    <w:rsid w:val="008C47D3"/>
    <w:rsid w:val="008C50C4"/>
    <w:rsid w:val="008C53CB"/>
    <w:rsid w:val="008C58FD"/>
    <w:rsid w:val="008C61C6"/>
    <w:rsid w:val="008C6BB9"/>
    <w:rsid w:val="008C6CAF"/>
    <w:rsid w:val="008C6D2A"/>
    <w:rsid w:val="008C6F57"/>
    <w:rsid w:val="008C70F7"/>
    <w:rsid w:val="008C75C6"/>
    <w:rsid w:val="008C7A46"/>
    <w:rsid w:val="008C7F9A"/>
    <w:rsid w:val="008D0A10"/>
    <w:rsid w:val="008D0D65"/>
    <w:rsid w:val="008D1007"/>
    <w:rsid w:val="008D11DF"/>
    <w:rsid w:val="008D1400"/>
    <w:rsid w:val="008D1408"/>
    <w:rsid w:val="008D1A79"/>
    <w:rsid w:val="008D20DD"/>
    <w:rsid w:val="008D2457"/>
    <w:rsid w:val="008D260F"/>
    <w:rsid w:val="008D2B95"/>
    <w:rsid w:val="008D2C4F"/>
    <w:rsid w:val="008D354C"/>
    <w:rsid w:val="008D357C"/>
    <w:rsid w:val="008D3593"/>
    <w:rsid w:val="008D3750"/>
    <w:rsid w:val="008D424D"/>
    <w:rsid w:val="008D4508"/>
    <w:rsid w:val="008D4F63"/>
    <w:rsid w:val="008D50FA"/>
    <w:rsid w:val="008D57B6"/>
    <w:rsid w:val="008D5A8F"/>
    <w:rsid w:val="008D620A"/>
    <w:rsid w:val="008D63B3"/>
    <w:rsid w:val="008D6B9D"/>
    <w:rsid w:val="008D7A1B"/>
    <w:rsid w:val="008E04FC"/>
    <w:rsid w:val="008E1047"/>
    <w:rsid w:val="008E1D28"/>
    <w:rsid w:val="008E280C"/>
    <w:rsid w:val="008E2A09"/>
    <w:rsid w:val="008E2ADC"/>
    <w:rsid w:val="008E2AED"/>
    <w:rsid w:val="008E2BF7"/>
    <w:rsid w:val="008E2C96"/>
    <w:rsid w:val="008E2D41"/>
    <w:rsid w:val="008E2FEC"/>
    <w:rsid w:val="008E3984"/>
    <w:rsid w:val="008E4A97"/>
    <w:rsid w:val="008E4E29"/>
    <w:rsid w:val="008E4E2E"/>
    <w:rsid w:val="008E6165"/>
    <w:rsid w:val="008E7048"/>
    <w:rsid w:val="008F01B9"/>
    <w:rsid w:val="008F03E5"/>
    <w:rsid w:val="008F05DC"/>
    <w:rsid w:val="008F10A7"/>
    <w:rsid w:val="008F15F3"/>
    <w:rsid w:val="008F1925"/>
    <w:rsid w:val="008F19AA"/>
    <w:rsid w:val="008F1D74"/>
    <w:rsid w:val="008F2169"/>
    <w:rsid w:val="008F21D2"/>
    <w:rsid w:val="008F226A"/>
    <w:rsid w:val="008F22BA"/>
    <w:rsid w:val="008F2666"/>
    <w:rsid w:val="008F29B0"/>
    <w:rsid w:val="008F2B9B"/>
    <w:rsid w:val="008F3269"/>
    <w:rsid w:val="008F3552"/>
    <w:rsid w:val="008F3D4F"/>
    <w:rsid w:val="008F4E3C"/>
    <w:rsid w:val="008F5AE0"/>
    <w:rsid w:val="008F5EFF"/>
    <w:rsid w:val="008F6AAA"/>
    <w:rsid w:val="008F6B10"/>
    <w:rsid w:val="008F6BEF"/>
    <w:rsid w:val="008F6EB9"/>
    <w:rsid w:val="00900261"/>
    <w:rsid w:val="009015F3"/>
    <w:rsid w:val="009016EF"/>
    <w:rsid w:val="00901BCD"/>
    <w:rsid w:val="00902363"/>
    <w:rsid w:val="009025DD"/>
    <w:rsid w:val="009027C4"/>
    <w:rsid w:val="00903B1E"/>
    <w:rsid w:val="00903DE0"/>
    <w:rsid w:val="00904C03"/>
    <w:rsid w:val="00904E62"/>
    <w:rsid w:val="00904F57"/>
    <w:rsid w:val="00905525"/>
    <w:rsid w:val="00905526"/>
    <w:rsid w:val="00905581"/>
    <w:rsid w:val="0090617E"/>
    <w:rsid w:val="00906804"/>
    <w:rsid w:val="0090714B"/>
    <w:rsid w:val="0090791B"/>
    <w:rsid w:val="009079B5"/>
    <w:rsid w:val="00907D5B"/>
    <w:rsid w:val="00907E1B"/>
    <w:rsid w:val="00910AD3"/>
    <w:rsid w:val="0091149F"/>
    <w:rsid w:val="0091244E"/>
    <w:rsid w:val="0091257A"/>
    <w:rsid w:val="009125C7"/>
    <w:rsid w:val="00912702"/>
    <w:rsid w:val="00912946"/>
    <w:rsid w:val="00912C91"/>
    <w:rsid w:val="0091343C"/>
    <w:rsid w:val="00913680"/>
    <w:rsid w:val="00913908"/>
    <w:rsid w:val="009147AE"/>
    <w:rsid w:val="00914EF4"/>
    <w:rsid w:val="00914F88"/>
    <w:rsid w:val="009155D8"/>
    <w:rsid w:val="009158DD"/>
    <w:rsid w:val="00915B68"/>
    <w:rsid w:val="00915C8E"/>
    <w:rsid w:val="00915C90"/>
    <w:rsid w:val="00915D91"/>
    <w:rsid w:val="009162E0"/>
    <w:rsid w:val="0091686A"/>
    <w:rsid w:val="00916CBC"/>
    <w:rsid w:val="009170CD"/>
    <w:rsid w:val="009178C9"/>
    <w:rsid w:val="00917A28"/>
    <w:rsid w:val="00917C3A"/>
    <w:rsid w:val="00917E3F"/>
    <w:rsid w:val="00917E8A"/>
    <w:rsid w:val="00920252"/>
    <w:rsid w:val="00920588"/>
    <w:rsid w:val="00920A2D"/>
    <w:rsid w:val="00921138"/>
    <w:rsid w:val="009211D2"/>
    <w:rsid w:val="00921815"/>
    <w:rsid w:val="0092231C"/>
    <w:rsid w:val="009223E5"/>
    <w:rsid w:val="009229C7"/>
    <w:rsid w:val="009230F3"/>
    <w:rsid w:val="00923DF8"/>
    <w:rsid w:val="00924BEB"/>
    <w:rsid w:val="009250FB"/>
    <w:rsid w:val="00925101"/>
    <w:rsid w:val="009251E5"/>
    <w:rsid w:val="009252B5"/>
    <w:rsid w:val="00925856"/>
    <w:rsid w:val="00925873"/>
    <w:rsid w:val="00925C85"/>
    <w:rsid w:val="009260C5"/>
    <w:rsid w:val="00926121"/>
    <w:rsid w:val="009264A1"/>
    <w:rsid w:val="0092686D"/>
    <w:rsid w:val="00926D73"/>
    <w:rsid w:val="00927319"/>
    <w:rsid w:val="00927465"/>
    <w:rsid w:val="00927CAE"/>
    <w:rsid w:val="00927E5E"/>
    <w:rsid w:val="00927E86"/>
    <w:rsid w:val="009303A9"/>
    <w:rsid w:val="00930604"/>
    <w:rsid w:val="0093072E"/>
    <w:rsid w:val="009307B9"/>
    <w:rsid w:val="00930D1E"/>
    <w:rsid w:val="00931098"/>
    <w:rsid w:val="00931151"/>
    <w:rsid w:val="00931732"/>
    <w:rsid w:val="0093183E"/>
    <w:rsid w:val="00932425"/>
    <w:rsid w:val="00934811"/>
    <w:rsid w:val="009351AA"/>
    <w:rsid w:val="009353D2"/>
    <w:rsid w:val="0093585F"/>
    <w:rsid w:val="00935F8B"/>
    <w:rsid w:val="00935FF3"/>
    <w:rsid w:val="00936501"/>
    <w:rsid w:val="00936896"/>
    <w:rsid w:val="00936AF9"/>
    <w:rsid w:val="00936C26"/>
    <w:rsid w:val="00936D4B"/>
    <w:rsid w:val="00940C35"/>
    <w:rsid w:val="00941304"/>
    <w:rsid w:val="00941579"/>
    <w:rsid w:val="00941EE4"/>
    <w:rsid w:val="0094201D"/>
    <w:rsid w:val="0094208C"/>
    <w:rsid w:val="009420B7"/>
    <w:rsid w:val="009426EC"/>
    <w:rsid w:val="009428E3"/>
    <w:rsid w:val="00942AE8"/>
    <w:rsid w:val="00942D6C"/>
    <w:rsid w:val="00943162"/>
    <w:rsid w:val="00943309"/>
    <w:rsid w:val="009433AD"/>
    <w:rsid w:val="00943AF8"/>
    <w:rsid w:val="00943E6F"/>
    <w:rsid w:val="0094417B"/>
    <w:rsid w:val="00944802"/>
    <w:rsid w:val="00944B6B"/>
    <w:rsid w:val="009451A1"/>
    <w:rsid w:val="009458E2"/>
    <w:rsid w:val="00945D28"/>
    <w:rsid w:val="009461D4"/>
    <w:rsid w:val="0094620F"/>
    <w:rsid w:val="009463E9"/>
    <w:rsid w:val="0094645F"/>
    <w:rsid w:val="0094646E"/>
    <w:rsid w:val="0094692E"/>
    <w:rsid w:val="00946B4D"/>
    <w:rsid w:val="00946CB7"/>
    <w:rsid w:val="00947A6D"/>
    <w:rsid w:val="00947BE8"/>
    <w:rsid w:val="00947C52"/>
    <w:rsid w:val="0095048E"/>
    <w:rsid w:val="00950720"/>
    <w:rsid w:val="00950A16"/>
    <w:rsid w:val="00950DDC"/>
    <w:rsid w:val="009512A0"/>
    <w:rsid w:val="00951706"/>
    <w:rsid w:val="009518D4"/>
    <w:rsid w:val="00951CB9"/>
    <w:rsid w:val="00952126"/>
    <w:rsid w:val="0095285F"/>
    <w:rsid w:val="00952C6E"/>
    <w:rsid w:val="00952E2D"/>
    <w:rsid w:val="00953167"/>
    <w:rsid w:val="0095321B"/>
    <w:rsid w:val="0095370E"/>
    <w:rsid w:val="00953F30"/>
    <w:rsid w:val="0095400C"/>
    <w:rsid w:val="00954BFA"/>
    <w:rsid w:val="00955B3C"/>
    <w:rsid w:val="0095602A"/>
    <w:rsid w:val="009560DD"/>
    <w:rsid w:val="00957113"/>
    <w:rsid w:val="00957283"/>
    <w:rsid w:val="0095759F"/>
    <w:rsid w:val="00957887"/>
    <w:rsid w:val="00957AA5"/>
    <w:rsid w:val="009616FA"/>
    <w:rsid w:val="00961A08"/>
    <w:rsid w:val="00961B95"/>
    <w:rsid w:val="00961C26"/>
    <w:rsid w:val="00962443"/>
    <w:rsid w:val="00962540"/>
    <w:rsid w:val="009625A9"/>
    <w:rsid w:val="009628FF"/>
    <w:rsid w:val="00962945"/>
    <w:rsid w:val="009632A9"/>
    <w:rsid w:val="009637E0"/>
    <w:rsid w:val="00963E62"/>
    <w:rsid w:val="0096483A"/>
    <w:rsid w:val="00965D37"/>
    <w:rsid w:val="00965FD2"/>
    <w:rsid w:val="00966190"/>
    <w:rsid w:val="009669E8"/>
    <w:rsid w:val="00966BAA"/>
    <w:rsid w:val="00966DE3"/>
    <w:rsid w:val="00967001"/>
    <w:rsid w:val="009673A1"/>
    <w:rsid w:val="0096769C"/>
    <w:rsid w:val="009679B0"/>
    <w:rsid w:val="00967B6B"/>
    <w:rsid w:val="00970052"/>
    <w:rsid w:val="0097080E"/>
    <w:rsid w:val="009713B4"/>
    <w:rsid w:val="009715E8"/>
    <w:rsid w:val="0097181E"/>
    <w:rsid w:val="00971BBF"/>
    <w:rsid w:val="00971C0E"/>
    <w:rsid w:val="00971CCE"/>
    <w:rsid w:val="00971D1D"/>
    <w:rsid w:val="00971D73"/>
    <w:rsid w:val="00972379"/>
    <w:rsid w:val="009724C5"/>
    <w:rsid w:val="009732FB"/>
    <w:rsid w:val="00974185"/>
    <w:rsid w:val="00974E0F"/>
    <w:rsid w:val="0097564C"/>
    <w:rsid w:val="009759EF"/>
    <w:rsid w:val="00975AEA"/>
    <w:rsid w:val="00977110"/>
    <w:rsid w:val="00977344"/>
    <w:rsid w:val="00977665"/>
    <w:rsid w:val="0097785D"/>
    <w:rsid w:val="009800A4"/>
    <w:rsid w:val="00980B31"/>
    <w:rsid w:val="00981376"/>
    <w:rsid w:val="009814A1"/>
    <w:rsid w:val="00981A10"/>
    <w:rsid w:val="00981A9B"/>
    <w:rsid w:val="00981B3A"/>
    <w:rsid w:val="00981C47"/>
    <w:rsid w:val="00981CD6"/>
    <w:rsid w:val="009820DF"/>
    <w:rsid w:val="0098240F"/>
    <w:rsid w:val="00982617"/>
    <w:rsid w:val="009830A1"/>
    <w:rsid w:val="00983664"/>
    <w:rsid w:val="00983ED8"/>
    <w:rsid w:val="00985493"/>
    <w:rsid w:val="00985518"/>
    <w:rsid w:val="009858BF"/>
    <w:rsid w:val="009862B3"/>
    <w:rsid w:val="00986308"/>
    <w:rsid w:val="00986699"/>
    <w:rsid w:val="00986DF3"/>
    <w:rsid w:val="009879D0"/>
    <w:rsid w:val="00987EDA"/>
    <w:rsid w:val="00990953"/>
    <w:rsid w:val="00990EA2"/>
    <w:rsid w:val="00991451"/>
    <w:rsid w:val="00991955"/>
    <w:rsid w:val="00991AA8"/>
    <w:rsid w:val="00991B3B"/>
    <w:rsid w:val="00991C67"/>
    <w:rsid w:val="00991D44"/>
    <w:rsid w:val="00991D79"/>
    <w:rsid w:val="00991DC5"/>
    <w:rsid w:val="00991E89"/>
    <w:rsid w:val="00992570"/>
    <w:rsid w:val="00992935"/>
    <w:rsid w:val="00992A99"/>
    <w:rsid w:val="00992C1B"/>
    <w:rsid w:val="009933C1"/>
    <w:rsid w:val="00993A94"/>
    <w:rsid w:val="00993CBD"/>
    <w:rsid w:val="00993D16"/>
    <w:rsid w:val="0099412B"/>
    <w:rsid w:val="00994B4F"/>
    <w:rsid w:val="00995403"/>
    <w:rsid w:val="009955FB"/>
    <w:rsid w:val="00995E7E"/>
    <w:rsid w:val="0099754D"/>
    <w:rsid w:val="00997965"/>
    <w:rsid w:val="009A00CF"/>
    <w:rsid w:val="009A00E5"/>
    <w:rsid w:val="009A06BB"/>
    <w:rsid w:val="009A0795"/>
    <w:rsid w:val="009A08DA"/>
    <w:rsid w:val="009A0B7B"/>
    <w:rsid w:val="009A13B6"/>
    <w:rsid w:val="009A1949"/>
    <w:rsid w:val="009A1BAF"/>
    <w:rsid w:val="009A1DFB"/>
    <w:rsid w:val="009A1FCD"/>
    <w:rsid w:val="009A1FF2"/>
    <w:rsid w:val="009A20E2"/>
    <w:rsid w:val="009A2F6A"/>
    <w:rsid w:val="009A3986"/>
    <w:rsid w:val="009A3EF5"/>
    <w:rsid w:val="009A42AB"/>
    <w:rsid w:val="009A4588"/>
    <w:rsid w:val="009A4593"/>
    <w:rsid w:val="009A49F9"/>
    <w:rsid w:val="009A4BD1"/>
    <w:rsid w:val="009A4D40"/>
    <w:rsid w:val="009A4F49"/>
    <w:rsid w:val="009A5511"/>
    <w:rsid w:val="009A555D"/>
    <w:rsid w:val="009A6317"/>
    <w:rsid w:val="009A633C"/>
    <w:rsid w:val="009A7683"/>
    <w:rsid w:val="009A773F"/>
    <w:rsid w:val="009A7F0B"/>
    <w:rsid w:val="009A7F97"/>
    <w:rsid w:val="009B0142"/>
    <w:rsid w:val="009B0C41"/>
    <w:rsid w:val="009B0F13"/>
    <w:rsid w:val="009B16BC"/>
    <w:rsid w:val="009B191B"/>
    <w:rsid w:val="009B1AC6"/>
    <w:rsid w:val="009B2109"/>
    <w:rsid w:val="009B212B"/>
    <w:rsid w:val="009B213C"/>
    <w:rsid w:val="009B248A"/>
    <w:rsid w:val="009B2D80"/>
    <w:rsid w:val="009B2F12"/>
    <w:rsid w:val="009B3049"/>
    <w:rsid w:val="009B3429"/>
    <w:rsid w:val="009B35EF"/>
    <w:rsid w:val="009B3828"/>
    <w:rsid w:val="009B3C30"/>
    <w:rsid w:val="009B47CE"/>
    <w:rsid w:val="009B4B97"/>
    <w:rsid w:val="009B4CE4"/>
    <w:rsid w:val="009B52F0"/>
    <w:rsid w:val="009B5744"/>
    <w:rsid w:val="009B5816"/>
    <w:rsid w:val="009B5E60"/>
    <w:rsid w:val="009B6732"/>
    <w:rsid w:val="009B681A"/>
    <w:rsid w:val="009B6F26"/>
    <w:rsid w:val="009B6FC5"/>
    <w:rsid w:val="009B71BB"/>
    <w:rsid w:val="009B7664"/>
    <w:rsid w:val="009C02BE"/>
    <w:rsid w:val="009C035A"/>
    <w:rsid w:val="009C0956"/>
    <w:rsid w:val="009C0A26"/>
    <w:rsid w:val="009C0BBD"/>
    <w:rsid w:val="009C0D4B"/>
    <w:rsid w:val="009C0EC8"/>
    <w:rsid w:val="009C0FEA"/>
    <w:rsid w:val="009C1282"/>
    <w:rsid w:val="009C1742"/>
    <w:rsid w:val="009C1DF8"/>
    <w:rsid w:val="009C2406"/>
    <w:rsid w:val="009C24C5"/>
    <w:rsid w:val="009C2852"/>
    <w:rsid w:val="009C32BA"/>
    <w:rsid w:val="009C3602"/>
    <w:rsid w:val="009C4385"/>
    <w:rsid w:val="009C44B1"/>
    <w:rsid w:val="009C45A5"/>
    <w:rsid w:val="009C48E2"/>
    <w:rsid w:val="009C4D49"/>
    <w:rsid w:val="009C5ABB"/>
    <w:rsid w:val="009C61A9"/>
    <w:rsid w:val="009C659C"/>
    <w:rsid w:val="009C66E3"/>
    <w:rsid w:val="009C6E07"/>
    <w:rsid w:val="009C6FAC"/>
    <w:rsid w:val="009C6FB9"/>
    <w:rsid w:val="009C712D"/>
    <w:rsid w:val="009C7141"/>
    <w:rsid w:val="009C767E"/>
    <w:rsid w:val="009D2418"/>
    <w:rsid w:val="009D3253"/>
    <w:rsid w:val="009D33D8"/>
    <w:rsid w:val="009D3A32"/>
    <w:rsid w:val="009D3AB3"/>
    <w:rsid w:val="009D3DA8"/>
    <w:rsid w:val="009D3DF8"/>
    <w:rsid w:val="009D3F27"/>
    <w:rsid w:val="009D461B"/>
    <w:rsid w:val="009D4755"/>
    <w:rsid w:val="009D4E12"/>
    <w:rsid w:val="009D4E72"/>
    <w:rsid w:val="009D50F8"/>
    <w:rsid w:val="009D5476"/>
    <w:rsid w:val="009D5705"/>
    <w:rsid w:val="009D58EE"/>
    <w:rsid w:val="009D5A2C"/>
    <w:rsid w:val="009D5B37"/>
    <w:rsid w:val="009D64CD"/>
    <w:rsid w:val="009D6BFB"/>
    <w:rsid w:val="009D6CB7"/>
    <w:rsid w:val="009D70AE"/>
    <w:rsid w:val="009D757A"/>
    <w:rsid w:val="009D7FAB"/>
    <w:rsid w:val="009E00AC"/>
    <w:rsid w:val="009E0661"/>
    <w:rsid w:val="009E0CD5"/>
    <w:rsid w:val="009E0F2B"/>
    <w:rsid w:val="009E1042"/>
    <w:rsid w:val="009E1D6D"/>
    <w:rsid w:val="009E1EEC"/>
    <w:rsid w:val="009E23FB"/>
    <w:rsid w:val="009E257E"/>
    <w:rsid w:val="009E344F"/>
    <w:rsid w:val="009E35AB"/>
    <w:rsid w:val="009E47F9"/>
    <w:rsid w:val="009E49E1"/>
    <w:rsid w:val="009E51C3"/>
    <w:rsid w:val="009E5375"/>
    <w:rsid w:val="009E5905"/>
    <w:rsid w:val="009E6274"/>
    <w:rsid w:val="009E6841"/>
    <w:rsid w:val="009E6978"/>
    <w:rsid w:val="009E7654"/>
    <w:rsid w:val="009E77BD"/>
    <w:rsid w:val="009F0283"/>
    <w:rsid w:val="009F08A6"/>
    <w:rsid w:val="009F0FF4"/>
    <w:rsid w:val="009F1326"/>
    <w:rsid w:val="009F1486"/>
    <w:rsid w:val="009F1A53"/>
    <w:rsid w:val="009F1B8F"/>
    <w:rsid w:val="009F1C1F"/>
    <w:rsid w:val="009F23BE"/>
    <w:rsid w:val="009F2FEF"/>
    <w:rsid w:val="009F3133"/>
    <w:rsid w:val="009F347A"/>
    <w:rsid w:val="009F41D8"/>
    <w:rsid w:val="009F44FF"/>
    <w:rsid w:val="009F45E8"/>
    <w:rsid w:val="009F463A"/>
    <w:rsid w:val="009F47B9"/>
    <w:rsid w:val="009F490F"/>
    <w:rsid w:val="009F5068"/>
    <w:rsid w:val="009F53C7"/>
    <w:rsid w:val="009F59BE"/>
    <w:rsid w:val="009F5E51"/>
    <w:rsid w:val="009F61B0"/>
    <w:rsid w:val="009F62B5"/>
    <w:rsid w:val="009F6DF2"/>
    <w:rsid w:val="009F6E81"/>
    <w:rsid w:val="009F6E9C"/>
    <w:rsid w:val="009F7A46"/>
    <w:rsid w:val="00A002FD"/>
    <w:rsid w:val="00A00A3B"/>
    <w:rsid w:val="00A00BEB"/>
    <w:rsid w:val="00A00C99"/>
    <w:rsid w:val="00A01AD8"/>
    <w:rsid w:val="00A01D6B"/>
    <w:rsid w:val="00A01E5F"/>
    <w:rsid w:val="00A022E5"/>
    <w:rsid w:val="00A025FF"/>
    <w:rsid w:val="00A0293B"/>
    <w:rsid w:val="00A02DE1"/>
    <w:rsid w:val="00A02FFA"/>
    <w:rsid w:val="00A03B78"/>
    <w:rsid w:val="00A03E37"/>
    <w:rsid w:val="00A043EE"/>
    <w:rsid w:val="00A0451D"/>
    <w:rsid w:val="00A04942"/>
    <w:rsid w:val="00A04C16"/>
    <w:rsid w:val="00A05647"/>
    <w:rsid w:val="00A05883"/>
    <w:rsid w:val="00A05ED8"/>
    <w:rsid w:val="00A06024"/>
    <w:rsid w:val="00A06194"/>
    <w:rsid w:val="00A070D3"/>
    <w:rsid w:val="00A071B5"/>
    <w:rsid w:val="00A07708"/>
    <w:rsid w:val="00A07C72"/>
    <w:rsid w:val="00A101D0"/>
    <w:rsid w:val="00A10AE4"/>
    <w:rsid w:val="00A116D2"/>
    <w:rsid w:val="00A11BB8"/>
    <w:rsid w:val="00A1278F"/>
    <w:rsid w:val="00A128E0"/>
    <w:rsid w:val="00A12BC9"/>
    <w:rsid w:val="00A13670"/>
    <w:rsid w:val="00A13E31"/>
    <w:rsid w:val="00A14871"/>
    <w:rsid w:val="00A14879"/>
    <w:rsid w:val="00A14B39"/>
    <w:rsid w:val="00A14D3C"/>
    <w:rsid w:val="00A14E33"/>
    <w:rsid w:val="00A14EE1"/>
    <w:rsid w:val="00A152B7"/>
    <w:rsid w:val="00A1531A"/>
    <w:rsid w:val="00A156CA"/>
    <w:rsid w:val="00A15B9B"/>
    <w:rsid w:val="00A16215"/>
    <w:rsid w:val="00A16226"/>
    <w:rsid w:val="00A16829"/>
    <w:rsid w:val="00A16B77"/>
    <w:rsid w:val="00A16C00"/>
    <w:rsid w:val="00A16DA8"/>
    <w:rsid w:val="00A1737A"/>
    <w:rsid w:val="00A1776E"/>
    <w:rsid w:val="00A17A89"/>
    <w:rsid w:val="00A17E29"/>
    <w:rsid w:val="00A17FB9"/>
    <w:rsid w:val="00A200AA"/>
    <w:rsid w:val="00A203D1"/>
    <w:rsid w:val="00A2062E"/>
    <w:rsid w:val="00A20669"/>
    <w:rsid w:val="00A20F1C"/>
    <w:rsid w:val="00A21332"/>
    <w:rsid w:val="00A21924"/>
    <w:rsid w:val="00A21A97"/>
    <w:rsid w:val="00A231A9"/>
    <w:rsid w:val="00A2348A"/>
    <w:rsid w:val="00A23EDD"/>
    <w:rsid w:val="00A24194"/>
    <w:rsid w:val="00A2428D"/>
    <w:rsid w:val="00A24608"/>
    <w:rsid w:val="00A24A50"/>
    <w:rsid w:val="00A24B78"/>
    <w:rsid w:val="00A24D49"/>
    <w:rsid w:val="00A252BC"/>
    <w:rsid w:val="00A25896"/>
    <w:rsid w:val="00A25DD3"/>
    <w:rsid w:val="00A26CF9"/>
    <w:rsid w:val="00A26E17"/>
    <w:rsid w:val="00A26E7F"/>
    <w:rsid w:val="00A27746"/>
    <w:rsid w:val="00A27B07"/>
    <w:rsid w:val="00A3128D"/>
    <w:rsid w:val="00A313FA"/>
    <w:rsid w:val="00A31535"/>
    <w:rsid w:val="00A318EC"/>
    <w:rsid w:val="00A31A19"/>
    <w:rsid w:val="00A31EDE"/>
    <w:rsid w:val="00A31F5A"/>
    <w:rsid w:val="00A31F90"/>
    <w:rsid w:val="00A3233B"/>
    <w:rsid w:val="00A325F4"/>
    <w:rsid w:val="00A32BDA"/>
    <w:rsid w:val="00A32C39"/>
    <w:rsid w:val="00A32EC4"/>
    <w:rsid w:val="00A32FD1"/>
    <w:rsid w:val="00A336B5"/>
    <w:rsid w:val="00A33994"/>
    <w:rsid w:val="00A35390"/>
    <w:rsid w:val="00A3550E"/>
    <w:rsid w:val="00A3568D"/>
    <w:rsid w:val="00A36062"/>
    <w:rsid w:val="00A3645E"/>
    <w:rsid w:val="00A364BA"/>
    <w:rsid w:val="00A37101"/>
    <w:rsid w:val="00A3749F"/>
    <w:rsid w:val="00A37B91"/>
    <w:rsid w:val="00A400BA"/>
    <w:rsid w:val="00A4019B"/>
    <w:rsid w:val="00A40A51"/>
    <w:rsid w:val="00A410D7"/>
    <w:rsid w:val="00A41901"/>
    <w:rsid w:val="00A4190F"/>
    <w:rsid w:val="00A41BDE"/>
    <w:rsid w:val="00A41DE7"/>
    <w:rsid w:val="00A421AA"/>
    <w:rsid w:val="00A42718"/>
    <w:rsid w:val="00A42FA8"/>
    <w:rsid w:val="00A430AC"/>
    <w:rsid w:val="00A43159"/>
    <w:rsid w:val="00A434B7"/>
    <w:rsid w:val="00A43D52"/>
    <w:rsid w:val="00A444BC"/>
    <w:rsid w:val="00A45081"/>
    <w:rsid w:val="00A4543C"/>
    <w:rsid w:val="00A458B7"/>
    <w:rsid w:val="00A45A17"/>
    <w:rsid w:val="00A45BA8"/>
    <w:rsid w:val="00A45CA8"/>
    <w:rsid w:val="00A45CF1"/>
    <w:rsid w:val="00A45E66"/>
    <w:rsid w:val="00A46132"/>
    <w:rsid w:val="00A4621A"/>
    <w:rsid w:val="00A4669C"/>
    <w:rsid w:val="00A46884"/>
    <w:rsid w:val="00A46A48"/>
    <w:rsid w:val="00A46AE1"/>
    <w:rsid w:val="00A46E55"/>
    <w:rsid w:val="00A4710D"/>
    <w:rsid w:val="00A47CCE"/>
    <w:rsid w:val="00A47F42"/>
    <w:rsid w:val="00A501E3"/>
    <w:rsid w:val="00A50662"/>
    <w:rsid w:val="00A50908"/>
    <w:rsid w:val="00A51B19"/>
    <w:rsid w:val="00A52027"/>
    <w:rsid w:val="00A52536"/>
    <w:rsid w:val="00A528DA"/>
    <w:rsid w:val="00A52977"/>
    <w:rsid w:val="00A53165"/>
    <w:rsid w:val="00A54120"/>
    <w:rsid w:val="00A54253"/>
    <w:rsid w:val="00A54DC8"/>
    <w:rsid w:val="00A54F45"/>
    <w:rsid w:val="00A5507F"/>
    <w:rsid w:val="00A552DC"/>
    <w:rsid w:val="00A557D2"/>
    <w:rsid w:val="00A55C6C"/>
    <w:rsid w:val="00A55C74"/>
    <w:rsid w:val="00A55FA3"/>
    <w:rsid w:val="00A5618D"/>
    <w:rsid w:val="00A562BB"/>
    <w:rsid w:val="00A566E8"/>
    <w:rsid w:val="00A56756"/>
    <w:rsid w:val="00A56B96"/>
    <w:rsid w:val="00A56C5E"/>
    <w:rsid w:val="00A56D70"/>
    <w:rsid w:val="00A5747F"/>
    <w:rsid w:val="00A57726"/>
    <w:rsid w:val="00A579AF"/>
    <w:rsid w:val="00A6029F"/>
    <w:rsid w:val="00A6048E"/>
    <w:rsid w:val="00A607E8"/>
    <w:rsid w:val="00A60842"/>
    <w:rsid w:val="00A60B5F"/>
    <w:rsid w:val="00A60BA8"/>
    <w:rsid w:val="00A60BDF"/>
    <w:rsid w:val="00A60E18"/>
    <w:rsid w:val="00A612AD"/>
    <w:rsid w:val="00A61624"/>
    <w:rsid w:val="00A617B9"/>
    <w:rsid w:val="00A61886"/>
    <w:rsid w:val="00A619E0"/>
    <w:rsid w:val="00A6205E"/>
    <w:rsid w:val="00A624E1"/>
    <w:rsid w:val="00A6286C"/>
    <w:rsid w:val="00A62F01"/>
    <w:rsid w:val="00A636C3"/>
    <w:rsid w:val="00A63ADB"/>
    <w:rsid w:val="00A646F8"/>
    <w:rsid w:val="00A6481B"/>
    <w:rsid w:val="00A64A0C"/>
    <w:rsid w:val="00A657AE"/>
    <w:rsid w:val="00A67286"/>
    <w:rsid w:val="00A679B0"/>
    <w:rsid w:val="00A67CB1"/>
    <w:rsid w:val="00A70C66"/>
    <w:rsid w:val="00A71D18"/>
    <w:rsid w:val="00A71FE3"/>
    <w:rsid w:val="00A724AA"/>
    <w:rsid w:val="00A725F5"/>
    <w:rsid w:val="00A72EB5"/>
    <w:rsid w:val="00A72F2F"/>
    <w:rsid w:val="00A73846"/>
    <w:rsid w:val="00A73B2D"/>
    <w:rsid w:val="00A74047"/>
    <w:rsid w:val="00A7431B"/>
    <w:rsid w:val="00A74529"/>
    <w:rsid w:val="00A7458C"/>
    <w:rsid w:val="00A7479A"/>
    <w:rsid w:val="00A7503E"/>
    <w:rsid w:val="00A7571E"/>
    <w:rsid w:val="00A75AE5"/>
    <w:rsid w:val="00A771FD"/>
    <w:rsid w:val="00A77B15"/>
    <w:rsid w:val="00A809AD"/>
    <w:rsid w:val="00A80ABA"/>
    <w:rsid w:val="00A80D3E"/>
    <w:rsid w:val="00A810FC"/>
    <w:rsid w:val="00A8141A"/>
    <w:rsid w:val="00A81477"/>
    <w:rsid w:val="00A816E5"/>
    <w:rsid w:val="00A81A41"/>
    <w:rsid w:val="00A8243A"/>
    <w:rsid w:val="00A8273D"/>
    <w:rsid w:val="00A82AEA"/>
    <w:rsid w:val="00A82F37"/>
    <w:rsid w:val="00A8429C"/>
    <w:rsid w:val="00A847F0"/>
    <w:rsid w:val="00A84976"/>
    <w:rsid w:val="00A84C2A"/>
    <w:rsid w:val="00A85BCA"/>
    <w:rsid w:val="00A86221"/>
    <w:rsid w:val="00A866B2"/>
    <w:rsid w:val="00A87419"/>
    <w:rsid w:val="00A87780"/>
    <w:rsid w:val="00A87C0F"/>
    <w:rsid w:val="00A901D2"/>
    <w:rsid w:val="00A903F7"/>
    <w:rsid w:val="00A90518"/>
    <w:rsid w:val="00A90C60"/>
    <w:rsid w:val="00A90D15"/>
    <w:rsid w:val="00A90E65"/>
    <w:rsid w:val="00A90F98"/>
    <w:rsid w:val="00A910BC"/>
    <w:rsid w:val="00A91286"/>
    <w:rsid w:val="00A91452"/>
    <w:rsid w:val="00A91A0E"/>
    <w:rsid w:val="00A92B6B"/>
    <w:rsid w:val="00A930F7"/>
    <w:rsid w:val="00A934BF"/>
    <w:rsid w:val="00A935F0"/>
    <w:rsid w:val="00A93AF2"/>
    <w:rsid w:val="00A940DB"/>
    <w:rsid w:val="00A943F5"/>
    <w:rsid w:val="00A9473E"/>
    <w:rsid w:val="00A95B5E"/>
    <w:rsid w:val="00A960C8"/>
    <w:rsid w:val="00A96125"/>
    <w:rsid w:val="00A96AC4"/>
    <w:rsid w:val="00A96BA6"/>
    <w:rsid w:val="00A96D55"/>
    <w:rsid w:val="00A97106"/>
    <w:rsid w:val="00A9747C"/>
    <w:rsid w:val="00A97A9D"/>
    <w:rsid w:val="00A97E15"/>
    <w:rsid w:val="00A97F22"/>
    <w:rsid w:val="00AA0480"/>
    <w:rsid w:val="00AA0749"/>
    <w:rsid w:val="00AA07B9"/>
    <w:rsid w:val="00AA0A1F"/>
    <w:rsid w:val="00AA1115"/>
    <w:rsid w:val="00AA1141"/>
    <w:rsid w:val="00AA14D3"/>
    <w:rsid w:val="00AA1545"/>
    <w:rsid w:val="00AA191C"/>
    <w:rsid w:val="00AA2947"/>
    <w:rsid w:val="00AA2EF1"/>
    <w:rsid w:val="00AA32FF"/>
    <w:rsid w:val="00AA3662"/>
    <w:rsid w:val="00AA38E4"/>
    <w:rsid w:val="00AA3CE8"/>
    <w:rsid w:val="00AA3D3B"/>
    <w:rsid w:val="00AA3F7D"/>
    <w:rsid w:val="00AA43C2"/>
    <w:rsid w:val="00AA4890"/>
    <w:rsid w:val="00AA4B4D"/>
    <w:rsid w:val="00AA4C45"/>
    <w:rsid w:val="00AA534A"/>
    <w:rsid w:val="00AA559B"/>
    <w:rsid w:val="00AA5E29"/>
    <w:rsid w:val="00AA5F63"/>
    <w:rsid w:val="00AA64F3"/>
    <w:rsid w:val="00AA6DAF"/>
    <w:rsid w:val="00AA6F5F"/>
    <w:rsid w:val="00AA6FE1"/>
    <w:rsid w:val="00AA712D"/>
    <w:rsid w:val="00AA7716"/>
    <w:rsid w:val="00AA7803"/>
    <w:rsid w:val="00AA7995"/>
    <w:rsid w:val="00AA7E27"/>
    <w:rsid w:val="00AA7E6C"/>
    <w:rsid w:val="00AA7EA5"/>
    <w:rsid w:val="00AA7FE0"/>
    <w:rsid w:val="00AA7FF2"/>
    <w:rsid w:val="00AB15C2"/>
    <w:rsid w:val="00AB1621"/>
    <w:rsid w:val="00AB198F"/>
    <w:rsid w:val="00AB1AF7"/>
    <w:rsid w:val="00AB1BE1"/>
    <w:rsid w:val="00AB1CC2"/>
    <w:rsid w:val="00AB1F39"/>
    <w:rsid w:val="00AB2244"/>
    <w:rsid w:val="00AB2402"/>
    <w:rsid w:val="00AB2441"/>
    <w:rsid w:val="00AB26F2"/>
    <w:rsid w:val="00AB35CD"/>
    <w:rsid w:val="00AB3CED"/>
    <w:rsid w:val="00AB3F90"/>
    <w:rsid w:val="00AB4988"/>
    <w:rsid w:val="00AB4B7A"/>
    <w:rsid w:val="00AB52CB"/>
    <w:rsid w:val="00AB58E8"/>
    <w:rsid w:val="00AB5AFA"/>
    <w:rsid w:val="00AB5CFD"/>
    <w:rsid w:val="00AB5EAC"/>
    <w:rsid w:val="00AB5F40"/>
    <w:rsid w:val="00AB5F50"/>
    <w:rsid w:val="00AB6297"/>
    <w:rsid w:val="00AB64B5"/>
    <w:rsid w:val="00AB69CE"/>
    <w:rsid w:val="00AB6D39"/>
    <w:rsid w:val="00AB6DED"/>
    <w:rsid w:val="00AB762C"/>
    <w:rsid w:val="00AB7DD7"/>
    <w:rsid w:val="00AC0110"/>
    <w:rsid w:val="00AC0342"/>
    <w:rsid w:val="00AC0A3F"/>
    <w:rsid w:val="00AC1891"/>
    <w:rsid w:val="00AC1A77"/>
    <w:rsid w:val="00AC1FFA"/>
    <w:rsid w:val="00AC2339"/>
    <w:rsid w:val="00AC23F7"/>
    <w:rsid w:val="00AC2402"/>
    <w:rsid w:val="00AC2E61"/>
    <w:rsid w:val="00AC481A"/>
    <w:rsid w:val="00AC48E0"/>
    <w:rsid w:val="00AC4C90"/>
    <w:rsid w:val="00AC4E5D"/>
    <w:rsid w:val="00AC50F5"/>
    <w:rsid w:val="00AC5591"/>
    <w:rsid w:val="00AC58F5"/>
    <w:rsid w:val="00AC7228"/>
    <w:rsid w:val="00AC74C3"/>
    <w:rsid w:val="00AC7525"/>
    <w:rsid w:val="00AC7AAE"/>
    <w:rsid w:val="00AC7BFE"/>
    <w:rsid w:val="00AC7E0A"/>
    <w:rsid w:val="00AD00CA"/>
    <w:rsid w:val="00AD0C67"/>
    <w:rsid w:val="00AD15DB"/>
    <w:rsid w:val="00AD162D"/>
    <w:rsid w:val="00AD180D"/>
    <w:rsid w:val="00AD203F"/>
    <w:rsid w:val="00AD2CAE"/>
    <w:rsid w:val="00AD3385"/>
    <w:rsid w:val="00AD3438"/>
    <w:rsid w:val="00AD34D6"/>
    <w:rsid w:val="00AD3821"/>
    <w:rsid w:val="00AD39CD"/>
    <w:rsid w:val="00AD3AED"/>
    <w:rsid w:val="00AD477E"/>
    <w:rsid w:val="00AD49E4"/>
    <w:rsid w:val="00AD4A7D"/>
    <w:rsid w:val="00AD4BFB"/>
    <w:rsid w:val="00AD54A3"/>
    <w:rsid w:val="00AD6774"/>
    <w:rsid w:val="00AD6785"/>
    <w:rsid w:val="00AD722E"/>
    <w:rsid w:val="00AD7716"/>
    <w:rsid w:val="00AD7E18"/>
    <w:rsid w:val="00AE0642"/>
    <w:rsid w:val="00AE0ADD"/>
    <w:rsid w:val="00AE1E95"/>
    <w:rsid w:val="00AE20E3"/>
    <w:rsid w:val="00AE2464"/>
    <w:rsid w:val="00AE248E"/>
    <w:rsid w:val="00AE256F"/>
    <w:rsid w:val="00AE26EC"/>
    <w:rsid w:val="00AE2F20"/>
    <w:rsid w:val="00AE2F65"/>
    <w:rsid w:val="00AE353D"/>
    <w:rsid w:val="00AE3587"/>
    <w:rsid w:val="00AE3614"/>
    <w:rsid w:val="00AE3782"/>
    <w:rsid w:val="00AE3C47"/>
    <w:rsid w:val="00AE3EEA"/>
    <w:rsid w:val="00AE43D1"/>
    <w:rsid w:val="00AE5629"/>
    <w:rsid w:val="00AE5711"/>
    <w:rsid w:val="00AE5AD5"/>
    <w:rsid w:val="00AE5AF4"/>
    <w:rsid w:val="00AE5DD2"/>
    <w:rsid w:val="00AE702A"/>
    <w:rsid w:val="00AE77F7"/>
    <w:rsid w:val="00AE7851"/>
    <w:rsid w:val="00AE7903"/>
    <w:rsid w:val="00AE7A9E"/>
    <w:rsid w:val="00AE7C3E"/>
    <w:rsid w:val="00AF087D"/>
    <w:rsid w:val="00AF1C6E"/>
    <w:rsid w:val="00AF1D05"/>
    <w:rsid w:val="00AF2982"/>
    <w:rsid w:val="00AF2DF5"/>
    <w:rsid w:val="00AF3699"/>
    <w:rsid w:val="00AF3B6E"/>
    <w:rsid w:val="00AF460E"/>
    <w:rsid w:val="00AF4955"/>
    <w:rsid w:val="00AF517F"/>
    <w:rsid w:val="00AF51D8"/>
    <w:rsid w:val="00AF5282"/>
    <w:rsid w:val="00AF52BF"/>
    <w:rsid w:val="00AF532B"/>
    <w:rsid w:val="00AF56C2"/>
    <w:rsid w:val="00AF5B53"/>
    <w:rsid w:val="00AF6DD1"/>
    <w:rsid w:val="00AF7243"/>
    <w:rsid w:val="00AF767F"/>
    <w:rsid w:val="00B0010C"/>
    <w:rsid w:val="00B001F4"/>
    <w:rsid w:val="00B0085B"/>
    <w:rsid w:val="00B00937"/>
    <w:rsid w:val="00B00C20"/>
    <w:rsid w:val="00B00F17"/>
    <w:rsid w:val="00B01088"/>
    <w:rsid w:val="00B01BC0"/>
    <w:rsid w:val="00B01F55"/>
    <w:rsid w:val="00B02B3A"/>
    <w:rsid w:val="00B02B53"/>
    <w:rsid w:val="00B02BFB"/>
    <w:rsid w:val="00B02FEB"/>
    <w:rsid w:val="00B032D0"/>
    <w:rsid w:val="00B035B4"/>
    <w:rsid w:val="00B03EE9"/>
    <w:rsid w:val="00B048CA"/>
    <w:rsid w:val="00B04A88"/>
    <w:rsid w:val="00B04CCA"/>
    <w:rsid w:val="00B052BF"/>
    <w:rsid w:val="00B05411"/>
    <w:rsid w:val="00B05654"/>
    <w:rsid w:val="00B06633"/>
    <w:rsid w:val="00B07ABF"/>
    <w:rsid w:val="00B1018D"/>
    <w:rsid w:val="00B107A0"/>
    <w:rsid w:val="00B107BE"/>
    <w:rsid w:val="00B10D60"/>
    <w:rsid w:val="00B111E7"/>
    <w:rsid w:val="00B11DE0"/>
    <w:rsid w:val="00B12644"/>
    <w:rsid w:val="00B1299D"/>
    <w:rsid w:val="00B129BE"/>
    <w:rsid w:val="00B12A3F"/>
    <w:rsid w:val="00B12BE3"/>
    <w:rsid w:val="00B12C49"/>
    <w:rsid w:val="00B12FD7"/>
    <w:rsid w:val="00B14405"/>
    <w:rsid w:val="00B14802"/>
    <w:rsid w:val="00B14AA2"/>
    <w:rsid w:val="00B14CCE"/>
    <w:rsid w:val="00B14F85"/>
    <w:rsid w:val="00B14F87"/>
    <w:rsid w:val="00B14FE3"/>
    <w:rsid w:val="00B15438"/>
    <w:rsid w:val="00B15542"/>
    <w:rsid w:val="00B1577D"/>
    <w:rsid w:val="00B15A4B"/>
    <w:rsid w:val="00B16597"/>
    <w:rsid w:val="00B16969"/>
    <w:rsid w:val="00B16CA3"/>
    <w:rsid w:val="00B16CE0"/>
    <w:rsid w:val="00B17267"/>
    <w:rsid w:val="00B176BF"/>
    <w:rsid w:val="00B17865"/>
    <w:rsid w:val="00B17AA1"/>
    <w:rsid w:val="00B17AB7"/>
    <w:rsid w:val="00B17E05"/>
    <w:rsid w:val="00B17E39"/>
    <w:rsid w:val="00B20699"/>
    <w:rsid w:val="00B20ADC"/>
    <w:rsid w:val="00B21F7A"/>
    <w:rsid w:val="00B21F9A"/>
    <w:rsid w:val="00B221AD"/>
    <w:rsid w:val="00B22635"/>
    <w:rsid w:val="00B23B52"/>
    <w:rsid w:val="00B24ACB"/>
    <w:rsid w:val="00B25087"/>
    <w:rsid w:val="00B25844"/>
    <w:rsid w:val="00B25B71"/>
    <w:rsid w:val="00B25C5F"/>
    <w:rsid w:val="00B25CDA"/>
    <w:rsid w:val="00B25EBF"/>
    <w:rsid w:val="00B264A4"/>
    <w:rsid w:val="00B265B7"/>
    <w:rsid w:val="00B27D86"/>
    <w:rsid w:val="00B307AB"/>
    <w:rsid w:val="00B30E81"/>
    <w:rsid w:val="00B310F4"/>
    <w:rsid w:val="00B3135A"/>
    <w:rsid w:val="00B3136D"/>
    <w:rsid w:val="00B318A1"/>
    <w:rsid w:val="00B31E07"/>
    <w:rsid w:val="00B32808"/>
    <w:rsid w:val="00B3309A"/>
    <w:rsid w:val="00B332BB"/>
    <w:rsid w:val="00B334B6"/>
    <w:rsid w:val="00B3367B"/>
    <w:rsid w:val="00B33A5F"/>
    <w:rsid w:val="00B33D6F"/>
    <w:rsid w:val="00B33FD1"/>
    <w:rsid w:val="00B34BE1"/>
    <w:rsid w:val="00B34D12"/>
    <w:rsid w:val="00B36456"/>
    <w:rsid w:val="00B3647A"/>
    <w:rsid w:val="00B36F9C"/>
    <w:rsid w:val="00B3701F"/>
    <w:rsid w:val="00B408C4"/>
    <w:rsid w:val="00B40BF8"/>
    <w:rsid w:val="00B40E30"/>
    <w:rsid w:val="00B41673"/>
    <w:rsid w:val="00B41D19"/>
    <w:rsid w:val="00B422FB"/>
    <w:rsid w:val="00B425EC"/>
    <w:rsid w:val="00B427D9"/>
    <w:rsid w:val="00B43784"/>
    <w:rsid w:val="00B439E2"/>
    <w:rsid w:val="00B44401"/>
    <w:rsid w:val="00B44931"/>
    <w:rsid w:val="00B44B58"/>
    <w:rsid w:val="00B451FA"/>
    <w:rsid w:val="00B45A1F"/>
    <w:rsid w:val="00B4689F"/>
    <w:rsid w:val="00B46943"/>
    <w:rsid w:val="00B46CCD"/>
    <w:rsid w:val="00B4754D"/>
    <w:rsid w:val="00B476E0"/>
    <w:rsid w:val="00B47BF9"/>
    <w:rsid w:val="00B47EE2"/>
    <w:rsid w:val="00B501B9"/>
    <w:rsid w:val="00B50767"/>
    <w:rsid w:val="00B50B60"/>
    <w:rsid w:val="00B53196"/>
    <w:rsid w:val="00B5337E"/>
    <w:rsid w:val="00B53871"/>
    <w:rsid w:val="00B53A7B"/>
    <w:rsid w:val="00B53C0C"/>
    <w:rsid w:val="00B548A2"/>
    <w:rsid w:val="00B54AED"/>
    <w:rsid w:val="00B54F31"/>
    <w:rsid w:val="00B54F6C"/>
    <w:rsid w:val="00B555F7"/>
    <w:rsid w:val="00B55AC9"/>
    <w:rsid w:val="00B566A4"/>
    <w:rsid w:val="00B56A7F"/>
    <w:rsid w:val="00B56E87"/>
    <w:rsid w:val="00B57466"/>
    <w:rsid w:val="00B5763E"/>
    <w:rsid w:val="00B57E35"/>
    <w:rsid w:val="00B600DC"/>
    <w:rsid w:val="00B60D29"/>
    <w:rsid w:val="00B60FFB"/>
    <w:rsid w:val="00B612A1"/>
    <w:rsid w:val="00B612FA"/>
    <w:rsid w:val="00B61446"/>
    <w:rsid w:val="00B6149A"/>
    <w:rsid w:val="00B621C4"/>
    <w:rsid w:val="00B62394"/>
    <w:rsid w:val="00B62C9B"/>
    <w:rsid w:val="00B62D96"/>
    <w:rsid w:val="00B62E41"/>
    <w:rsid w:val="00B63366"/>
    <w:rsid w:val="00B633B4"/>
    <w:rsid w:val="00B635C1"/>
    <w:rsid w:val="00B636ED"/>
    <w:rsid w:val="00B63706"/>
    <w:rsid w:val="00B63E5C"/>
    <w:rsid w:val="00B63EDA"/>
    <w:rsid w:val="00B64677"/>
    <w:rsid w:val="00B64E90"/>
    <w:rsid w:val="00B65412"/>
    <w:rsid w:val="00B65517"/>
    <w:rsid w:val="00B65677"/>
    <w:rsid w:val="00B65A2D"/>
    <w:rsid w:val="00B65B7D"/>
    <w:rsid w:val="00B668FF"/>
    <w:rsid w:val="00B672F9"/>
    <w:rsid w:val="00B67885"/>
    <w:rsid w:val="00B67B2F"/>
    <w:rsid w:val="00B701A0"/>
    <w:rsid w:val="00B70784"/>
    <w:rsid w:val="00B70832"/>
    <w:rsid w:val="00B708B0"/>
    <w:rsid w:val="00B70E0C"/>
    <w:rsid w:val="00B718D0"/>
    <w:rsid w:val="00B71BD0"/>
    <w:rsid w:val="00B71C3E"/>
    <w:rsid w:val="00B72540"/>
    <w:rsid w:val="00B728E5"/>
    <w:rsid w:val="00B72B3A"/>
    <w:rsid w:val="00B72BAD"/>
    <w:rsid w:val="00B73886"/>
    <w:rsid w:val="00B738B6"/>
    <w:rsid w:val="00B7446F"/>
    <w:rsid w:val="00B744E4"/>
    <w:rsid w:val="00B74FDF"/>
    <w:rsid w:val="00B75143"/>
    <w:rsid w:val="00B75363"/>
    <w:rsid w:val="00B756B3"/>
    <w:rsid w:val="00B75E4F"/>
    <w:rsid w:val="00B75F97"/>
    <w:rsid w:val="00B760F8"/>
    <w:rsid w:val="00B7651E"/>
    <w:rsid w:val="00B76738"/>
    <w:rsid w:val="00B76914"/>
    <w:rsid w:val="00B76B1E"/>
    <w:rsid w:val="00B76F74"/>
    <w:rsid w:val="00B8045C"/>
    <w:rsid w:val="00B805FF"/>
    <w:rsid w:val="00B80AF2"/>
    <w:rsid w:val="00B80B59"/>
    <w:rsid w:val="00B81274"/>
    <w:rsid w:val="00B81B75"/>
    <w:rsid w:val="00B81C2B"/>
    <w:rsid w:val="00B829DE"/>
    <w:rsid w:val="00B83CFE"/>
    <w:rsid w:val="00B84AC6"/>
    <w:rsid w:val="00B85289"/>
    <w:rsid w:val="00B85696"/>
    <w:rsid w:val="00B85BF2"/>
    <w:rsid w:val="00B85F3F"/>
    <w:rsid w:val="00B865E1"/>
    <w:rsid w:val="00B8661A"/>
    <w:rsid w:val="00B871C9"/>
    <w:rsid w:val="00B87543"/>
    <w:rsid w:val="00B877C5"/>
    <w:rsid w:val="00B87B19"/>
    <w:rsid w:val="00B900E5"/>
    <w:rsid w:val="00B90104"/>
    <w:rsid w:val="00B905B0"/>
    <w:rsid w:val="00B90A6D"/>
    <w:rsid w:val="00B91356"/>
    <w:rsid w:val="00B91400"/>
    <w:rsid w:val="00B914AB"/>
    <w:rsid w:val="00B916F4"/>
    <w:rsid w:val="00B91860"/>
    <w:rsid w:val="00B919C6"/>
    <w:rsid w:val="00B92345"/>
    <w:rsid w:val="00B92499"/>
    <w:rsid w:val="00B92629"/>
    <w:rsid w:val="00B92806"/>
    <w:rsid w:val="00B9359D"/>
    <w:rsid w:val="00B944D6"/>
    <w:rsid w:val="00B9497F"/>
    <w:rsid w:val="00B94D69"/>
    <w:rsid w:val="00B95D44"/>
    <w:rsid w:val="00B95EB6"/>
    <w:rsid w:val="00B962DB"/>
    <w:rsid w:val="00B965E5"/>
    <w:rsid w:val="00B97657"/>
    <w:rsid w:val="00B97DD8"/>
    <w:rsid w:val="00BA0127"/>
    <w:rsid w:val="00BA0369"/>
    <w:rsid w:val="00BA03D7"/>
    <w:rsid w:val="00BA0819"/>
    <w:rsid w:val="00BA09A1"/>
    <w:rsid w:val="00BA0B38"/>
    <w:rsid w:val="00BA11D1"/>
    <w:rsid w:val="00BA15E8"/>
    <w:rsid w:val="00BA1CE9"/>
    <w:rsid w:val="00BA2092"/>
    <w:rsid w:val="00BA2355"/>
    <w:rsid w:val="00BA37A8"/>
    <w:rsid w:val="00BA3B01"/>
    <w:rsid w:val="00BA40A2"/>
    <w:rsid w:val="00BA46A0"/>
    <w:rsid w:val="00BA48F6"/>
    <w:rsid w:val="00BA4C01"/>
    <w:rsid w:val="00BA5532"/>
    <w:rsid w:val="00BA55FA"/>
    <w:rsid w:val="00BA5B58"/>
    <w:rsid w:val="00BA5BF3"/>
    <w:rsid w:val="00BA5ED5"/>
    <w:rsid w:val="00BA6147"/>
    <w:rsid w:val="00BA636C"/>
    <w:rsid w:val="00BA63A8"/>
    <w:rsid w:val="00BA7391"/>
    <w:rsid w:val="00BA7483"/>
    <w:rsid w:val="00BA78F9"/>
    <w:rsid w:val="00BA7B99"/>
    <w:rsid w:val="00BB0242"/>
    <w:rsid w:val="00BB0A54"/>
    <w:rsid w:val="00BB0C0E"/>
    <w:rsid w:val="00BB1192"/>
    <w:rsid w:val="00BB194C"/>
    <w:rsid w:val="00BB26C0"/>
    <w:rsid w:val="00BB26E7"/>
    <w:rsid w:val="00BB2F3D"/>
    <w:rsid w:val="00BB3308"/>
    <w:rsid w:val="00BB33C0"/>
    <w:rsid w:val="00BB3DF4"/>
    <w:rsid w:val="00BB4975"/>
    <w:rsid w:val="00BB4CB5"/>
    <w:rsid w:val="00BB539F"/>
    <w:rsid w:val="00BB5B3E"/>
    <w:rsid w:val="00BB5E66"/>
    <w:rsid w:val="00BB6128"/>
    <w:rsid w:val="00BB6385"/>
    <w:rsid w:val="00BB652F"/>
    <w:rsid w:val="00BB70BD"/>
    <w:rsid w:val="00BB7224"/>
    <w:rsid w:val="00BB7D41"/>
    <w:rsid w:val="00BC0230"/>
    <w:rsid w:val="00BC128C"/>
    <w:rsid w:val="00BC14FF"/>
    <w:rsid w:val="00BC1548"/>
    <w:rsid w:val="00BC2235"/>
    <w:rsid w:val="00BC2312"/>
    <w:rsid w:val="00BC23CB"/>
    <w:rsid w:val="00BC23F6"/>
    <w:rsid w:val="00BC2B6C"/>
    <w:rsid w:val="00BC2C77"/>
    <w:rsid w:val="00BC2E5A"/>
    <w:rsid w:val="00BC32ED"/>
    <w:rsid w:val="00BC3352"/>
    <w:rsid w:val="00BC3934"/>
    <w:rsid w:val="00BC3BDC"/>
    <w:rsid w:val="00BC4016"/>
    <w:rsid w:val="00BC4040"/>
    <w:rsid w:val="00BC40A7"/>
    <w:rsid w:val="00BC419C"/>
    <w:rsid w:val="00BC4A5B"/>
    <w:rsid w:val="00BC5441"/>
    <w:rsid w:val="00BC55AB"/>
    <w:rsid w:val="00BC59C8"/>
    <w:rsid w:val="00BC5B6F"/>
    <w:rsid w:val="00BC63B3"/>
    <w:rsid w:val="00BC63D4"/>
    <w:rsid w:val="00BC7145"/>
    <w:rsid w:val="00BC716F"/>
    <w:rsid w:val="00BC7DC8"/>
    <w:rsid w:val="00BD05C5"/>
    <w:rsid w:val="00BD067E"/>
    <w:rsid w:val="00BD09FA"/>
    <w:rsid w:val="00BD0FEE"/>
    <w:rsid w:val="00BD100B"/>
    <w:rsid w:val="00BD145F"/>
    <w:rsid w:val="00BD14D9"/>
    <w:rsid w:val="00BD155B"/>
    <w:rsid w:val="00BD2219"/>
    <w:rsid w:val="00BD228C"/>
    <w:rsid w:val="00BD2D7A"/>
    <w:rsid w:val="00BD3758"/>
    <w:rsid w:val="00BD3919"/>
    <w:rsid w:val="00BD3A94"/>
    <w:rsid w:val="00BD3D60"/>
    <w:rsid w:val="00BD45BA"/>
    <w:rsid w:val="00BD4C28"/>
    <w:rsid w:val="00BD50DC"/>
    <w:rsid w:val="00BD5110"/>
    <w:rsid w:val="00BD590A"/>
    <w:rsid w:val="00BD5EB1"/>
    <w:rsid w:val="00BD63A8"/>
    <w:rsid w:val="00BD63AF"/>
    <w:rsid w:val="00BD678B"/>
    <w:rsid w:val="00BD6A97"/>
    <w:rsid w:val="00BD7465"/>
    <w:rsid w:val="00BD7498"/>
    <w:rsid w:val="00BE012A"/>
    <w:rsid w:val="00BE095F"/>
    <w:rsid w:val="00BE1971"/>
    <w:rsid w:val="00BE1EFD"/>
    <w:rsid w:val="00BE24E1"/>
    <w:rsid w:val="00BE273C"/>
    <w:rsid w:val="00BE2889"/>
    <w:rsid w:val="00BE29C8"/>
    <w:rsid w:val="00BE2D4D"/>
    <w:rsid w:val="00BE2DD5"/>
    <w:rsid w:val="00BE406F"/>
    <w:rsid w:val="00BE4158"/>
    <w:rsid w:val="00BE45D9"/>
    <w:rsid w:val="00BE469D"/>
    <w:rsid w:val="00BE4768"/>
    <w:rsid w:val="00BE4A55"/>
    <w:rsid w:val="00BE4DD0"/>
    <w:rsid w:val="00BE521B"/>
    <w:rsid w:val="00BE61BB"/>
    <w:rsid w:val="00BE6C1D"/>
    <w:rsid w:val="00BE7DC9"/>
    <w:rsid w:val="00BE7FA1"/>
    <w:rsid w:val="00BF0852"/>
    <w:rsid w:val="00BF1002"/>
    <w:rsid w:val="00BF1721"/>
    <w:rsid w:val="00BF1754"/>
    <w:rsid w:val="00BF1ECB"/>
    <w:rsid w:val="00BF1FD1"/>
    <w:rsid w:val="00BF2CA1"/>
    <w:rsid w:val="00BF31AD"/>
    <w:rsid w:val="00BF3274"/>
    <w:rsid w:val="00BF3319"/>
    <w:rsid w:val="00BF348B"/>
    <w:rsid w:val="00BF3630"/>
    <w:rsid w:val="00BF385B"/>
    <w:rsid w:val="00BF3A52"/>
    <w:rsid w:val="00BF3AC6"/>
    <w:rsid w:val="00BF4FD2"/>
    <w:rsid w:val="00BF562E"/>
    <w:rsid w:val="00BF580D"/>
    <w:rsid w:val="00BF5821"/>
    <w:rsid w:val="00BF6597"/>
    <w:rsid w:val="00BF6680"/>
    <w:rsid w:val="00BF6AA1"/>
    <w:rsid w:val="00BF6AD2"/>
    <w:rsid w:val="00BF6B09"/>
    <w:rsid w:val="00C0022E"/>
    <w:rsid w:val="00C005C2"/>
    <w:rsid w:val="00C005E0"/>
    <w:rsid w:val="00C01CF2"/>
    <w:rsid w:val="00C02665"/>
    <w:rsid w:val="00C029EB"/>
    <w:rsid w:val="00C031FD"/>
    <w:rsid w:val="00C03C89"/>
    <w:rsid w:val="00C03E80"/>
    <w:rsid w:val="00C03EA4"/>
    <w:rsid w:val="00C03ED4"/>
    <w:rsid w:val="00C03F6A"/>
    <w:rsid w:val="00C04BF3"/>
    <w:rsid w:val="00C053F3"/>
    <w:rsid w:val="00C05C7A"/>
    <w:rsid w:val="00C06197"/>
    <w:rsid w:val="00C0659D"/>
    <w:rsid w:val="00C065B3"/>
    <w:rsid w:val="00C06715"/>
    <w:rsid w:val="00C068BA"/>
    <w:rsid w:val="00C072A5"/>
    <w:rsid w:val="00C07759"/>
    <w:rsid w:val="00C077E8"/>
    <w:rsid w:val="00C07A7D"/>
    <w:rsid w:val="00C07B8B"/>
    <w:rsid w:val="00C106DC"/>
    <w:rsid w:val="00C10790"/>
    <w:rsid w:val="00C1082D"/>
    <w:rsid w:val="00C10DDC"/>
    <w:rsid w:val="00C11B32"/>
    <w:rsid w:val="00C11B3D"/>
    <w:rsid w:val="00C11C2D"/>
    <w:rsid w:val="00C12748"/>
    <w:rsid w:val="00C1310B"/>
    <w:rsid w:val="00C13340"/>
    <w:rsid w:val="00C13CE3"/>
    <w:rsid w:val="00C14B54"/>
    <w:rsid w:val="00C15803"/>
    <w:rsid w:val="00C15C45"/>
    <w:rsid w:val="00C15EEE"/>
    <w:rsid w:val="00C16122"/>
    <w:rsid w:val="00C16460"/>
    <w:rsid w:val="00C164C4"/>
    <w:rsid w:val="00C1718F"/>
    <w:rsid w:val="00C171BF"/>
    <w:rsid w:val="00C17312"/>
    <w:rsid w:val="00C17DDA"/>
    <w:rsid w:val="00C2099F"/>
    <w:rsid w:val="00C20D11"/>
    <w:rsid w:val="00C211DA"/>
    <w:rsid w:val="00C21839"/>
    <w:rsid w:val="00C21DD4"/>
    <w:rsid w:val="00C22177"/>
    <w:rsid w:val="00C22284"/>
    <w:rsid w:val="00C22954"/>
    <w:rsid w:val="00C22BC9"/>
    <w:rsid w:val="00C22E24"/>
    <w:rsid w:val="00C236BB"/>
    <w:rsid w:val="00C2370C"/>
    <w:rsid w:val="00C23B5E"/>
    <w:rsid w:val="00C23F33"/>
    <w:rsid w:val="00C2425F"/>
    <w:rsid w:val="00C24308"/>
    <w:rsid w:val="00C245DE"/>
    <w:rsid w:val="00C24D32"/>
    <w:rsid w:val="00C25377"/>
    <w:rsid w:val="00C25C0C"/>
    <w:rsid w:val="00C25F63"/>
    <w:rsid w:val="00C26105"/>
    <w:rsid w:val="00C261EC"/>
    <w:rsid w:val="00C263B2"/>
    <w:rsid w:val="00C2698F"/>
    <w:rsid w:val="00C2710B"/>
    <w:rsid w:val="00C277F7"/>
    <w:rsid w:val="00C27899"/>
    <w:rsid w:val="00C27CC5"/>
    <w:rsid w:val="00C27F2C"/>
    <w:rsid w:val="00C30455"/>
    <w:rsid w:val="00C30EA1"/>
    <w:rsid w:val="00C31019"/>
    <w:rsid w:val="00C312E5"/>
    <w:rsid w:val="00C31A43"/>
    <w:rsid w:val="00C31D65"/>
    <w:rsid w:val="00C320AE"/>
    <w:rsid w:val="00C32318"/>
    <w:rsid w:val="00C32985"/>
    <w:rsid w:val="00C32A2B"/>
    <w:rsid w:val="00C332CE"/>
    <w:rsid w:val="00C3385E"/>
    <w:rsid w:val="00C33968"/>
    <w:rsid w:val="00C33DC5"/>
    <w:rsid w:val="00C34068"/>
    <w:rsid w:val="00C340E2"/>
    <w:rsid w:val="00C34C94"/>
    <w:rsid w:val="00C360E3"/>
    <w:rsid w:val="00C36707"/>
    <w:rsid w:val="00C36DE6"/>
    <w:rsid w:val="00C37664"/>
    <w:rsid w:val="00C379CC"/>
    <w:rsid w:val="00C37B05"/>
    <w:rsid w:val="00C37BE1"/>
    <w:rsid w:val="00C37FBC"/>
    <w:rsid w:val="00C40062"/>
    <w:rsid w:val="00C40547"/>
    <w:rsid w:val="00C4062E"/>
    <w:rsid w:val="00C408F3"/>
    <w:rsid w:val="00C40D51"/>
    <w:rsid w:val="00C40E15"/>
    <w:rsid w:val="00C41036"/>
    <w:rsid w:val="00C413C1"/>
    <w:rsid w:val="00C4266E"/>
    <w:rsid w:val="00C43124"/>
    <w:rsid w:val="00C4378B"/>
    <w:rsid w:val="00C438D3"/>
    <w:rsid w:val="00C43E3B"/>
    <w:rsid w:val="00C45298"/>
    <w:rsid w:val="00C455F6"/>
    <w:rsid w:val="00C4586C"/>
    <w:rsid w:val="00C45992"/>
    <w:rsid w:val="00C4611D"/>
    <w:rsid w:val="00C47583"/>
    <w:rsid w:val="00C47690"/>
    <w:rsid w:val="00C47B05"/>
    <w:rsid w:val="00C5011C"/>
    <w:rsid w:val="00C5013F"/>
    <w:rsid w:val="00C502B3"/>
    <w:rsid w:val="00C50FB1"/>
    <w:rsid w:val="00C51332"/>
    <w:rsid w:val="00C513F9"/>
    <w:rsid w:val="00C51BC1"/>
    <w:rsid w:val="00C51CBF"/>
    <w:rsid w:val="00C51EF7"/>
    <w:rsid w:val="00C521B5"/>
    <w:rsid w:val="00C52256"/>
    <w:rsid w:val="00C524F2"/>
    <w:rsid w:val="00C524F5"/>
    <w:rsid w:val="00C527E3"/>
    <w:rsid w:val="00C528D1"/>
    <w:rsid w:val="00C52B85"/>
    <w:rsid w:val="00C52D79"/>
    <w:rsid w:val="00C52E97"/>
    <w:rsid w:val="00C52FF8"/>
    <w:rsid w:val="00C5300D"/>
    <w:rsid w:val="00C5351D"/>
    <w:rsid w:val="00C53744"/>
    <w:rsid w:val="00C53779"/>
    <w:rsid w:val="00C53F87"/>
    <w:rsid w:val="00C54236"/>
    <w:rsid w:val="00C544D9"/>
    <w:rsid w:val="00C54580"/>
    <w:rsid w:val="00C558AF"/>
    <w:rsid w:val="00C55CB9"/>
    <w:rsid w:val="00C55D62"/>
    <w:rsid w:val="00C55E91"/>
    <w:rsid w:val="00C56873"/>
    <w:rsid w:val="00C56990"/>
    <w:rsid w:val="00C56C24"/>
    <w:rsid w:val="00C57518"/>
    <w:rsid w:val="00C576B0"/>
    <w:rsid w:val="00C57E37"/>
    <w:rsid w:val="00C608D5"/>
    <w:rsid w:val="00C60D83"/>
    <w:rsid w:val="00C60E3C"/>
    <w:rsid w:val="00C60E58"/>
    <w:rsid w:val="00C61221"/>
    <w:rsid w:val="00C614FE"/>
    <w:rsid w:val="00C61DCA"/>
    <w:rsid w:val="00C623B4"/>
    <w:rsid w:val="00C624C3"/>
    <w:rsid w:val="00C62806"/>
    <w:rsid w:val="00C62988"/>
    <w:rsid w:val="00C62DAC"/>
    <w:rsid w:val="00C63100"/>
    <w:rsid w:val="00C6343E"/>
    <w:rsid w:val="00C63668"/>
    <w:rsid w:val="00C63D26"/>
    <w:rsid w:val="00C6439B"/>
    <w:rsid w:val="00C6470A"/>
    <w:rsid w:val="00C64881"/>
    <w:rsid w:val="00C64F1E"/>
    <w:rsid w:val="00C65004"/>
    <w:rsid w:val="00C65464"/>
    <w:rsid w:val="00C6554D"/>
    <w:rsid w:val="00C65908"/>
    <w:rsid w:val="00C65B98"/>
    <w:rsid w:val="00C65C0B"/>
    <w:rsid w:val="00C66045"/>
    <w:rsid w:val="00C66597"/>
    <w:rsid w:val="00C66688"/>
    <w:rsid w:val="00C66B44"/>
    <w:rsid w:val="00C671FC"/>
    <w:rsid w:val="00C677C9"/>
    <w:rsid w:val="00C67AAD"/>
    <w:rsid w:val="00C67B6F"/>
    <w:rsid w:val="00C67D57"/>
    <w:rsid w:val="00C67EF9"/>
    <w:rsid w:val="00C70047"/>
    <w:rsid w:val="00C7033C"/>
    <w:rsid w:val="00C7063F"/>
    <w:rsid w:val="00C70A58"/>
    <w:rsid w:val="00C70D45"/>
    <w:rsid w:val="00C713C0"/>
    <w:rsid w:val="00C71888"/>
    <w:rsid w:val="00C71FAA"/>
    <w:rsid w:val="00C72247"/>
    <w:rsid w:val="00C72B51"/>
    <w:rsid w:val="00C72DBC"/>
    <w:rsid w:val="00C7456D"/>
    <w:rsid w:val="00C7461B"/>
    <w:rsid w:val="00C755DD"/>
    <w:rsid w:val="00C75656"/>
    <w:rsid w:val="00C75EB4"/>
    <w:rsid w:val="00C760D9"/>
    <w:rsid w:val="00C762A3"/>
    <w:rsid w:val="00C766E4"/>
    <w:rsid w:val="00C76BE2"/>
    <w:rsid w:val="00C76D6A"/>
    <w:rsid w:val="00C76FE9"/>
    <w:rsid w:val="00C7749F"/>
    <w:rsid w:val="00C775C5"/>
    <w:rsid w:val="00C77B99"/>
    <w:rsid w:val="00C80062"/>
    <w:rsid w:val="00C806CA"/>
    <w:rsid w:val="00C80B8F"/>
    <w:rsid w:val="00C80CBF"/>
    <w:rsid w:val="00C80DC0"/>
    <w:rsid w:val="00C810C6"/>
    <w:rsid w:val="00C81292"/>
    <w:rsid w:val="00C81812"/>
    <w:rsid w:val="00C81AFF"/>
    <w:rsid w:val="00C81BE7"/>
    <w:rsid w:val="00C81CC3"/>
    <w:rsid w:val="00C81DFD"/>
    <w:rsid w:val="00C826D1"/>
    <w:rsid w:val="00C8289F"/>
    <w:rsid w:val="00C82E74"/>
    <w:rsid w:val="00C832AC"/>
    <w:rsid w:val="00C8341A"/>
    <w:rsid w:val="00C847D4"/>
    <w:rsid w:val="00C8488A"/>
    <w:rsid w:val="00C84934"/>
    <w:rsid w:val="00C84D61"/>
    <w:rsid w:val="00C85577"/>
    <w:rsid w:val="00C8589D"/>
    <w:rsid w:val="00C86128"/>
    <w:rsid w:val="00C86490"/>
    <w:rsid w:val="00C8652D"/>
    <w:rsid w:val="00C8658B"/>
    <w:rsid w:val="00C866AD"/>
    <w:rsid w:val="00C868D7"/>
    <w:rsid w:val="00C87476"/>
    <w:rsid w:val="00C875BE"/>
    <w:rsid w:val="00C87BB9"/>
    <w:rsid w:val="00C87F8C"/>
    <w:rsid w:val="00C901F3"/>
    <w:rsid w:val="00C9111A"/>
    <w:rsid w:val="00C91780"/>
    <w:rsid w:val="00C91A55"/>
    <w:rsid w:val="00C91FCC"/>
    <w:rsid w:val="00C921FC"/>
    <w:rsid w:val="00C9293E"/>
    <w:rsid w:val="00C92D10"/>
    <w:rsid w:val="00C937AA"/>
    <w:rsid w:val="00C93A60"/>
    <w:rsid w:val="00C946DA"/>
    <w:rsid w:val="00C95A5F"/>
    <w:rsid w:val="00C960FC"/>
    <w:rsid w:val="00C961E4"/>
    <w:rsid w:val="00C965E6"/>
    <w:rsid w:val="00C968A4"/>
    <w:rsid w:val="00C96B7C"/>
    <w:rsid w:val="00C96BA5"/>
    <w:rsid w:val="00C96F90"/>
    <w:rsid w:val="00C97053"/>
    <w:rsid w:val="00C97364"/>
    <w:rsid w:val="00C97A18"/>
    <w:rsid w:val="00CA06E7"/>
    <w:rsid w:val="00CA083C"/>
    <w:rsid w:val="00CA0DE2"/>
    <w:rsid w:val="00CA0E03"/>
    <w:rsid w:val="00CA1D1A"/>
    <w:rsid w:val="00CA1D5C"/>
    <w:rsid w:val="00CA1DFD"/>
    <w:rsid w:val="00CA1FF3"/>
    <w:rsid w:val="00CA224C"/>
    <w:rsid w:val="00CA23DF"/>
    <w:rsid w:val="00CA255D"/>
    <w:rsid w:val="00CA2A95"/>
    <w:rsid w:val="00CA2AC3"/>
    <w:rsid w:val="00CA2D0F"/>
    <w:rsid w:val="00CA2F8C"/>
    <w:rsid w:val="00CA2F91"/>
    <w:rsid w:val="00CA2FB0"/>
    <w:rsid w:val="00CA357F"/>
    <w:rsid w:val="00CA3587"/>
    <w:rsid w:val="00CA39BD"/>
    <w:rsid w:val="00CA4076"/>
    <w:rsid w:val="00CA4093"/>
    <w:rsid w:val="00CA43F3"/>
    <w:rsid w:val="00CA512C"/>
    <w:rsid w:val="00CA54A3"/>
    <w:rsid w:val="00CA63F0"/>
    <w:rsid w:val="00CA67C3"/>
    <w:rsid w:val="00CA7226"/>
    <w:rsid w:val="00CA73A6"/>
    <w:rsid w:val="00CA7D65"/>
    <w:rsid w:val="00CA7E08"/>
    <w:rsid w:val="00CB01AA"/>
    <w:rsid w:val="00CB091C"/>
    <w:rsid w:val="00CB0B82"/>
    <w:rsid w:val="00CB0E74"/>
    <w:rsid w:val="00CB1359"/>
    <w:rsid w:val="00CB1C0A"/>
    <w:rsid w:val="00CB1F58"/>
    <w:rsid w:val="00CB29BE"/>
    <w:rsid w:val="00CB2D9B"/>
    <w:rsid w:val="00CB2EC5"/>
    <w:rsid w:val="00CB3887"/>
    <w:rsid w:val="00CB4272"/>
    <w:rsid w:val="00CB44C4"/>
    <w:rsid w:val="00CB46F9"/>
    <w:rsid w:val="00CB49F4"/>
    <w:rsid w:val="00CB55BA"/>
    <w:rsid w:val="00CB5888"/>
    <w:rsid w:val="00CB5C03"/>
    <w:rsid w:val="00CB5C65"/>
    <w:rsid w:val="00CB5D28"/>
    <w:rsid w:val="00CB5DF2"/>
    <w:rsid w:val="00CB6247"/>
    <w:rsid w:val="00CB6686"/>
    <w:rsid w:val="00CB693F"/>
    <w:rsid w:val="00CB71E2"/>
    <w:rsid w:val="00CB75F2"/>
    <w:rsid w:val="00CB76FF"/>
    <w:rsid w:val="00CC06C4"/>
    <w:rsid w:val="00CC0D75"/>
    <w:rsid w:val="00CC1069"/>
    <w:rsid w:val="00CC14D4"/>
    <w:rsid w:val="00CC1943"/>
    <w:rsid w:val="00CC19E6"/>
    <w:rsid w:val="00CC1CA4"/>
    <w:rsid w:val="00CC1F4F"/>
    <w:rsid w:val="00CC297E"/>
    <w:rsid w:val="00CC3F9D"/>
    <w:rsid w:val="00CC4298"/>
    <w:rsid w:val="00CC4306"/>
    <w:rsid w:val="00CC4325"/>
    <w:rsid w:val="00CC4675"/>
    <w:rsid w:val="00CC51FF"/>
    <w:rsid w:val="00CC5356"/>
    <w:rsid w:val="00CC53B8"/>
    <w:rsid w:val="00CC56A1"/>
    <w:rsid w:val="00CC5719"/>
    <w:rsid w:val="00CC5B92"/>
    <w:rsid w:val="00CC6419"/>
    <w:rsid w:val="00CC67CF"/>
    <w:rsid w:val="00CC6BB4"/>
    <w:rsid w:val="00CC6DC7"/>
    <w:rsid w:val="00CC71F7"/>
    <w:rsid w:val="00CC721D"/>
    <w:rsid w:val="00CC75CA"/>
    <w:rsid w:val="00CC7988"/>
    <w:rsid w:val="00CC7DB1"/>
    <w:rsid w:val="00CD083B"/>
    <w:rsid w:val="00CD0E9D"/>
    <w:rsid w:val="00CD0F32"/>
    <w:rsid w:val="00CD1096"/>
    <w:rsid w:val="00CD15A6"/>
    <w:rsid w:val="00CD19EA"/>
    <w:rsid w:val="00CD1D4D"/>
    <w:rsid w:val="00CD280C"/>
    <w:rsid w:val="00CD2C33"/>
    <w:rsid w:val="00CD2C7B"/>
    <w:rsid w:val="00CD395B"/>
    <w:rsid w:val="00CD3D82"/>
    <w:rsid w:val="00CD46A9"/>
    <w:rsid w:val="00CD4780"/>
    <w:rsid w:val="00CD4D29"/>
    <w:rsid w:val="00CD542D"/>
    <w:rsid w:val="00CD579C"/>
    <w:rsid w:val="00CD5CC1"/>
    <w:rsid w:val="00CD5FB7"/>
    <w:rsid w:val="00CD678E"/>
    <w:rsid w:val="00CD696B"/>
    <w:rsid w:val="00CD6B6C"/>
    <w:rsid w:val="00CE03F0"/>
    <w:rsid w:val="00CE0B55"/>
    <w:rsid w:val="00CE0D06"/>
    <w:rsid w:val="00CE0DB8"/>
    <w:rsid w:val="00CE1B84"/>
    <w:rsid w:val="00CE1DEE"/>
    <w:rsid w:val="00CE1FE5"/>
    <w:rsid w:val="00CE2224"/>
    <w:rsid w:val="00CE23FC"/>
    <w:rsid w:val="00CE253C"/>
    <w:rsid w:val="00CE2551"/>
    <w:rsid w:val="00CE285E"/>
    <w:rsid w:val="00CE2E69"/>
    <w:rsid w:val="00CE3189"/>
    <w:rsid w:val="00CE340F"/>
    <w:rsid w:val="00CE34D8"/>
    <w:rsid w:val="00CE4162"/>
    <w:rsid w:val="00CE44A7"/>
    <w:rsid w:val="00CE4864"/>
    <w:rsid w:val="00CE4B75"/>
    <w:rsid w:val="00CE4D43"/>
    <w:rsid w:val="00CE4E82"/>
    <w:rsid w:val="00CE54CE"/>
    <w:rsid w:val="00CE5B82"/>
    <w:rsid w:val="00CE5C22"/>
    <w:rsid w:val="00CE5FA7"/>
    <w:rsid w:val="00CE6BE4"/>
    <w:rsid w:val="00CE7177"/>
    <w:rsid w:val="00CE7215"/>
    <w:rsid w:val="00CE770D"/>
    <w:rsid w:val="00CE77CA"/>
    <w:rsid w:val="00CE7BA3"/>
    <w:rsid w:val="00CF0384"/>
    <w:rsid w:val="00CF0437"/>
    <w:rsid w:val="00CF06D6"/>
    <w:rsid w:val="00CF0EE9"/>
    <w:rsid w:val="00CF1676"/>
    <w:rsid w:val="00CF1BF9"/>
    <w:rsid w:val="00CF1FDF"/>
    <w:rsid w:val="00CF23F3"/>
    <w:rsid w:val="00CF330E"/>
    <w:rsid w:val="00CF33DB"/>
    <w:rsid w:val="00CF3BFE"/>
    <w:rsid w:val="00CF45EF"/>
    <w:rsid w:val="00CF4A1C"/>
    <w:rsid w:val="00CF4B91"/>
    <w:rsid w:val="00CF4C5F"/>
    <w:rsid w:val="00CF4FED"/>
    <w:rsid w:val="00CF5753"/>
    <w:rsid w:val="00CF57A8"/>
    <w:rsid w:val="00CF5AF8"/>
    <w:rsid w:val="00CF5D34"/>
    <w:rsid w:val="00CF5D98"/>
    <w:rsid w:val="00CF611A"/>
    <w:rsid w:val="00CF6332"/>
    <w:rsid w:val="00CF6BB6"/>
    <w:rsid w:val="00CF6D3E"/>
    <w:rsid w:val="00CF70DE"/>
    <w:rsid w:val="00CF74C0"/>
    <w:rsid w:val="00D005DD"/>
    <w:rsid w:val="00D00EA3"/>
    <w:rsid w:val="00D01421"/>
    <w:rsid w:val="00D01A0A"/>
    <w:rsid w:val="00D01AFF"/>
    <w:rsid w:val="00D01D5D"/>
    <w:rsid w:val="00D01DCE"/>
    <w:rsid w:val="00D02584"/>
    <w:rsid w:val="00D0260C"/>
    <w:rsid w:val="00D02A7D"/>
    <w:rsid w:val="00D02B30"/>
    <w:rsid w:val="00D02F13"/>
    <w:rsid w:val="00D0316E"/>
    <w:rsid w:val="00D0318E"/>
    <w:rsid w:val="00D03210"/>
    <w:rsid w:val="00D0341B"/>
    <w:rsid w:val="00D0355B"/>
    <w:rsid w:val="00D035BE"/>
    <w:rsid w:val="00D038BF"/>
    <w:rsid w:val="00D03B80"/>
    <w:rsid w:val="00D03CD4"/>
    <w:rsid w:val="00D03E54"/>
    <w:rsid w:val="00D03F6B"/>
    <w:rsid w:val="00D04127"/>
    <w:rsid w:val="00D04788"/>
    <w:rsid w:val="00D05696"/>
    <w:rsid w:val="00D05767"/>
    <w:rsid w:val="00D059CD"/>
    <w:rsid w:val="00D05CEF"/>
    <w:rsid w:val="00D06C8B"/>
    <w:rsid w:val="00D06EC3"/>
    <w:rsid w:val="00D070CF"/>
    <w:rsid w:val="00D108D5"/>
    <w:rsid w:val="00D10BC9"/>
    <w:rsid w:val="00D11466"/>
    <w:rsid w:val="00D11528"/>
    <w:rsid w:val="00D119B9"/>
    <w:rsid w:val="00D11DF9"/>
    <w:rsid w:val="00D11FB8"/>
    <w:rsid w:val="00D12D98"/>
    <w:rsid w:val="00D131DF"/>
    <w:rsid w:val="00D135EE"/>
    <w:rsid w:val="00D136B8"/>
    <w:rsid w:val="00D13AC2"/>
    <w:rsid w:val="00D1417A"/>
    <w:rsid w:val="00D14244"/>
    <w:rsid w:val="00D1498D"/>
    <w:rsid w:val="00D14E56"/>
    <w:rsid w:val="00D15039"/>
    <w:rsid w:val="00D15E68"/>
    <w:rsid w:val="00D16082"/>
    <w:rsid w:val="00D162ED"/>
    <w:rsid w:val="00D163ED"/>
    <w:rsid w:val="00D16555"/>
    <w:rsid w:val="00D1658A"/>
    <w:rsid w:val="00D16DD7"/>
    <w:rsid w:val="00D17431"/>
    <w:rsid w:val="00D175AF"/>
    <w:rsid w:val="00D1765C"/>
    <w:rsid w:val="00D178EA"/>
    <w:rsid w:val="00D17F7C"/>
    <w:rsid w:val="00D17FC7"/>
    <w:rsid w:val="00D20055"/>
    <w:rsid w:val="00D2085D"/>
    <w:rsid w:val="00D21578"/>
    <w:rsid w:val="00D218CE"/>
    <w:rsid w:val="00D2198D"/>
    <w:rsid w:val="00D21B7E"/>
    <w:rsid w:val="00D21BB3"/>
    <w:rsid w:val="00D2223A"/>
    <w:rsid w:val="00D226A8"/>
    <w:rsid w:val="00D226CD"/>
    <w:rsid w:val="00D22D5C"/>
    <w:rsid w:val="00D23076"/>
    <w:rsid w:val="00D2333E"/>
    <w:rsid w:val="00D2350C"/>
    <w:rsid w:val="00D23AF5"/>
    <w:rsid w:val="00D23B4F"/>
    <w:rsid w:val="00D23B71"/>
    <w:rsid w:val="00D23EE0"/>
    <w:rsid w:val="00D24667"/>
    <w:rsid w:val="00D24763"/>
    <w:rsid w:val="00D24C78"/>
    <w:rsid w:val="00D24D0B"/>
    <w:rsid w:val="00D24ED1"/>
    <w:rsid w:val="00D25905"/>
    <w:rsid w:val="00D25AA1"/>
    <w:rsid w:val="00D26446"/>
    <w:rsid w:val="00D26F1B"/>
    <w:rsid w:val="00D27218"/>
    <w:rsid w:val="00D27E46"/>
    <w:rsid w:val="00D30739"/>
    <w:rsid w:val="00D30B8C"/>
    <w:rsid w:val="00D31651"/>
    <w:rsid w:val="00D31A2E"/>
    <w:rsid w:val="00D32083"/>
    <w:rsid w:val="00D32B28"/>
    <w:rsid w:val="00D33619"/>
    <w:rsid w:val="00D33F0D"/>
    <w:rsid w:val="00D34A07"/>
    <w:rsid w:val="00D35657"/>
    <w:rsid w:val="00D35C6E"/>
    <w:rsid w:val="00D35FE5"/>
    <w:rsid w:val="00D368E7"/>
    <w:rsid w:val="00D368EA"/>
    <w:rsid w:val="00D373C1"/>
    <w:rsid w:val="00D37846"/>
    <w:rsid w:val="00D405D5"/>
    <w:rsid w:val="00D4090A"/>
    <w:rsid w:val="00D40BC9"/>
    <w:rsid w:val="00D4129A"/>
    <w:rsid w:val="00D41C6E"/>
    <w:rsid w:val="00D41E44"/>
    <w:rsid w:val="00D42626"/>
    <w:rsid w:val="00D426FC"/>
    <w:rsid w:val="00D43496"/>
    <w:rsid w:val="00D43D9E"/>
    <w:rsid w:val="00D43F7F"/>
    <w:rsid w:val="00D446A6"/>
    <w:rsid w:val="00D44C8C"/>
    <w:rsid w:val="00D44DC8"/>
    <w:rsid w:val="00D452E7"/>
    <w:rsid w:val="00D45303"/>
    <w:rsid w:val="00D453B2"/>
    <w:rsid w:val="00D45FD8"/>
    <w:rsid w:val="00D45FDD"/>
    <w:rsid w:val="00D46326"/>
    <w:rsid w:val="00D469B3"/>
    <w:rsid w:val="00D46B4B"/>
    <w:rsid w:val="00D46D48"/>
    <w:rsid w:val="00D46F9D"/>
    <w:rsid w:val="00D47226"/>
    <w:rsid w:val="00D474EB"/>
    <w:rsid w:val="00D476D5"/>
    <w:rsid w:val="00D47C15"/>
    <w:rsid w:val="00D504CA"/>
    <w:rsid w:val="00D50ABB"/>
    <w:rsid w:val="00D50B28"/>
    <w:rsid w:val="00D516E4"/>
    <w:rsid w:val="00D518E3"/>
    <w:rsid w:val="00D51A0A"/>
    <w:rsid w:val="00D51A25"/>
    <w:rsid w:val="00D52A3C"/>
    <w:rsid w:val="00D52CD7"/>
    <w:rsid w:val="00D52E27"/>
    <w:rsid w:val="00D538F4"/>
    <w:rsid w:val="00D53C3C"/>
    <w:rsid w:val="00D54589"/>
    <w:rsid w:val="00D54E69"/>
    <w:rsid w:val="00D54F0D"/>
    <w:rsid w:val="00D5515E"/>
    <w:rsid w:val="00D5562D"/>
    <w:rsid w:val="00D5578C"/>
    <w:rsid w:val="00D56066"/>
    <w:rsid w:val="00D56750"/>
    <w:rsid w:val="00D5721E"/>
    <w:rsid w:val="00D57583"/>
    <w:rsid w:val="00D5779A"/>
    <w:rsid w:val="00D601D5"/>
    <w:rsid w:val="00D605EC"/>
    <w:rsid w:val="00D60B3D"/>
    <w:rsid w:val="00D60B86"/>
    <w:rsid w:val="00D612BF"/>
    <w:rsid w:val="00D6148D"/>
    <w:rsid w:val="00D61632"/>
    <w:rsid w:val="00D61823"/>
    <w:rsid w:val="00D61931"/>
    <w:rsid w:val="00D61D72"/>
    <w:rsid w:val="00D61DAB"/>
    <w:rsid w:val="00D62574"/>
    <w:rsid w:val="00D62592"/>
    <w:rsid w:val="00D62656"/>
    <w:rsid w:val="00D62A42"/>
    <w:rsid w:val="00D62D02"/>
    <w:rsid w:val="00D6308D"/>
    <w:rsid w:val="00D63482"/>
    <w:rsid w:val="00D636B6"/>
    <w:rsid w:val="00D640F9"/>
    <w:rsid w:val="00D64C2F"/>
    <w:rsid w:val="00D64EE7"/>
    <w:rsid w:val="00D6509D"/>
    <w:rsid w:val="00D651E0"/>
    <w:rsid w:val="00D65A5F"/>
    <w:rsid w:val="00D65AA7"/>
    <w:rsid w:val="00D65CDB"/>
    <w:rsid w:val="00D65D00"/>
    <w:rsid w:val="00D667A3"/>
    <w:rsid w:val="00D675A7"/>
    <w:rsid w:val="00D67630"/>
    <w:rsid w:val="00D67695"/>
    <w:rsid w:val="00D67EA7"/>
    <w:rsid w:val="00D70168"/>
    <w:rsid w:val="00D7029F"/>
    <w:rsid w:val="00D70A52"/>
    <w:rsid w:val="00D70D21"/>
    <w:rsid w:val="00D70EC7"/>
    <w:rsid w:val="00D70F0D"/>
    <w:rsid w:val="00D71557"/>
    <w:rsid w:val="00D7173E"/>
    <w:rsid w:val="00D71924"/>
    <w:rsid w:val="00D71AE5"/>
    <w:rsid w:val="00D71AE6"/>
    <w:rsid w:val="00D71B50"/>
    <w:rsid w:val="00D71E5E"/>
    <w:rsid w:val="00D71F06"/>
    <w:rsid w:val="00D71F3F"/>
    <w:rsid w:val="00D72179"/>
    <w:rsid w:val="00D72243"/>
    <w:rsid w:val="00D723E6"/>
    <w:rsid w:val="00D72451"/>
    <w:rsid w:val="00D7254B"/>
    <w:rsid w:val="00D736E5"/>
    <w:rsid w:val="00D73ABC"/>
    <w:rsid w:val="00D73C63"/>
    <w:rsid w:val="00D74440"/>
    <w:rsid w:val="00D749D6"/>
    <w:rsid w:val="00D74B44"/>
    <w:rsid w:val="00D75B45"/>
    <w:rsid w:val="00D75BB6"/>
    <w:rsid w:val="00D75E1A"/>
    <w:rsid w:val="00D76562"/>
    <w:rsid w:val="00D76818"/>
    <w:rsid w:val="00D76A13"/>
    <w:rsid w:val="00D76F90"/>
    <w:rsid w:val="00D771C0"/>
    <w:rsid w:val="00D774FA"/>
    <w:rsid w:val="00D777C3"/>
    <w:rsid w:val="00D778A9"/>
    <w:rsid w:val="00D779D3"/>
    <w:rsid w:val="00D77ED6"/>
    <w:rsid w:val="00D77F7F"/>
    <w:rsid w:val="00D80855"/>
    <w:rsid w:val="00D808D0"/>
    <w:rsid w:val="00D81077"/>
    <w:rsid w:val="00D816DB"/>
    <w:rsid w:val="00D81E86"/>
    <w:rsid w:val="00D81FA5"/>
    <w:rsid w:val="00D821AB"/>
    <w:rsid w:val="00D82656"/>
    <w:rsid w:val="00D82A4B"/>
    <w:rsid w:val="00D82FD6"/>
    <w:rsid w:val="00D836F4"/>
    <w:rsid w:val="00D83951"/>
    <w:rsid w:val="00D841CA"/>
    <w:rsid w:val="00D84418"/>
    <w:rsid w:val="00D8447F"/>
    <w:rsid w:val="00D84623"/>
    <w:rsid w:val="00D847EB"/>
    <w:rsid w:val="00D84E26"/>
    <w:rsid w:val="00D85D5B"/>
    <w:rsid w:val="00D87471"/>
    <w:rsid w:val="00D875DC"/>
    <w:rsid w:val="00D87D97"/>
    <w:rsid w:val="00D87E0D"/>
    <w:rsid w:val="00D87F45"/>
    <w:rsid w:val="00D902F9"/>
    <w:rsid w:val="00D90765"/>
    <w:rsid w:val="00D909FC"/>
    <w:rsid w:val="00D90DDC"/>
    <w:rsid w:val="00D91224"/>
    <w:rsid w:val="00D913FC"/>
    <w:rsid w:val="00D91453"/>
    <w:rsid w:val="00D91DC6"/>
    <w:rsid w:val="00D91ED9"/>
    <w:rsid w:val="00D91F2E"/>
    <w:rsid w:val="00D91FD3"/>
    <w:rsid w:val="00D920DB"/>
    <w:rsid w:val="00D92107"/>
    <w:rsid w:val="00D92917"/>
    <w:rsid w:val="00D92B86"/>
    <w:rsid w:val="00D92B8A"/>
    <w:rsid w:val="00D92C9E"/>
    <w:rsid w:val="00D93023"/>
    <w:rsid w:val="00D93493"/>
    <w:rsid w:val="00D9353A"/>
    <w:rsid w:val="00D9362D"/>
    <w:rsid w:val="00D93850"/>
    <w:rsid w:val="00D93C55"/>
    <w:rsid w:val="00D93D6A"/>
    <w:rsid w:val="00D9425D"/>
    <w:rsid w:val="00D94846"/>
    <w:rsid w:val="00D94A78"/>
    <w:rsid w:val="00D94DDB"/>
    <w:rsid w:val="00D95149"/>
    <w:rsid w:val="00D952C2"/>
    <w:rsid w:val="00D959FA"/>
    <w:rsid w:val="00D95CBC"/>
    <w:rsid w:val="00D963AC"/>
    <w:rsid w:val="00D96ED4"/>
    <w:rsid w:val="00D9760C"/>
    <w:rsid w:val="00D976F0"/>
    <w:rsid w:val="00D97718"/>
    <w:rsid w:val="00DA0696"/>
    <w:rsid w:val="00DA09EC"/>
    <w:rsid w:val="00DA0D65"/>
    <w:rsid w:val="00DA1059"/>
    <w:rsid w:val="00DA15B8"/>
    <w:rsid w:val="00DA2081"/>
    <w:rsid w:val="00DA2149"/>
    <w:rsid w:val="00DA2238"/>
    <w:rsid w:val="00DA23A0"/>
    <w:rsid w:val="00DA25D2"/>
    <w:rsid w:val="00DA2A4A"/>
    <w:rsid w:val="00DA2E5D"/>
    <w:rsid w:val="00DA30B8"/>
    <w:rsid w:val="00DA313D"/>
    <w:rsid w:val="00DA32A1"/>
    <w:rsid w:val="00DA3F3F"/>
    <w:rsid w:val="00DA3FB0"/>
    <w:rsid w:val="00DA4302"/>
    <w:rsid w:val="00DA4AAC"/>
    <w:rsid w:val="00DA519B"/>
    <w:rsid w:val="00DA5593"/>
    <w:rsid w:val="00DA597B"/>
    <w:rsid w:val="00DA5EC6"/>
    <w:rsid w:val="00DA5F62"/>
    <w:rsid w:val="00DA753A"/>
    <w:rsid w:val="00DA7F90"/>
    <w:rsid w:val="00DB0374"/>
    <w:rsid w:val="00DB1219"/>
    <w:rsid w:val="00DB19BF"/>
    <w:rsid w:val="00DB1C76"/>
    <w:rsid w:val="00DB2246"/>
    <w:rsid w:val="00DB25BF"/>
    <w:rsid w:val="00DB299C"/>
    <w:rsid w:val="00DB2C69"/>
    <w:rsid w:val="00DB2DEA"/>
    <w:rsid w:val="00DB30F7"/>
    <w:rsid w:val="00DB396C"/>
    <w:rsid w:val="00DB4000"/>
    <w:rsid w:val="00DB4194"/>
    <w:rsid w:val="00DB42F8"/>
    <w:rsid w:val="00DB487E"/>
    <w:rsid w:val="00DB59D6"/>
    <w:rsid w:val="00DB5C32"/>
    <w:rsid w:val="00DB661D"/>
    <w:rsid w:val="00DB66F5"/>
    <w:rsid w:val="00DB6A80"/>
    <w:rsid w:val="00DB6BBB"/>
    <w:rsid w:val="00DB6C49"/>
    <w:rsid w:val="00DB7004"/>
    <w:rsid w:val="00DB76C1"/>
    <w:rsid w:val="00DB76F0"/>
    <w:rsid w:val="00DB79A5"/>
    <w:rsid w:val="00DB79F8"/>
    <w:rsid w:val="00DB7D6C"/>
    <w:rsid w:val="00DC01AE"/>
    <w:rsid w:val="00DC0440"/>
    <w:rsid w:val="00DC06A5"/>
    <w:rsid w:val="00DC08CA"/>
    <w:rsid w:val="00DC0C66"/>
    <w:rsid w:val="00DC0F49"/>
    <w:rsid w:val="00DC14F5"/>
    <w:rsid w:val="00DC1E8B"/>
    <w:rsid w:val="00DC2594"/>
    <w:rsid w:val="00DC27FC"/>
    <w:rsid w:val="00DC2BB6"/>
    <w:rsid w:val="00DC2E30"/>
    <w:rsid w:val="00DC33EA"/>
    <w:rsid w:val="00DC361B"/>
    <w:rsid w:val="00DC3687"/>
    <w:rsid w:val="00DC3932"/>
    <w:rsid w:val="00DC43C4"/>
    <w:rsid w:val="00DC462E"/>
    <w:rsid w:val="00DC4701"/>
    <w:rsid w:val="00DC473E"/>
    <w:rsid w:val="00DC4A4A"/>
    <w:rsid w:val="00DC4BC1"/>
    <w:rsid w:val="00DC54A6"/>
    <w:rsid w:val="00DC6344"/>
    <w:rsid w:val="00DC6E38"/>
    <w:rsid w:val="00DC6F2C"/>
    <w:rsid w:val="00DC72F8"/>
    <w:rsid w:val="00DC7566"/>
    <w:rsid w:val="00DC7734"/>
    <w:rsid w:val="00DC781F"/>
    <w:rsid w:val="00DC7D62"/>
    <w:rsid w:val="00DD0153"/>
    <w:rsid w:val="00DD0BA8"/>
    <w:rsid w:val="00DD19C3"/>
    <w:rsid w:val="00DD1CAA"/>
    <w:rsid w:val="00DD1D2F"/>
    <w:rsid w:val="00DD1EEB"/>
    <w:rsid w:val="00DD2C10"/>
    <w:rsid w:val="00DD345E"/>
    <w:rsid w:val="00DD3998"/>
    <w:rsid w:val="00DD44A0"/>
    <w:rsid w:val="00DD4FBA"/>
    <w:rsid w:val="00DD65A8"/>
    <w:rsid w:val="00DD6C2E"/>
    <w:rsid w:val="00DD6DC3"/>
    <w:rsid w:val="00DE0033"/>
    <w:rsid w:val="00DE012D"/>
    <w:rsid w:val="00DE04ED"/>
    <w:rsid w:val="00DE0A78"/>
    <w:rsid w:val="00DE0D49"/>
    <w:rsid w:val="00DE1401"/>
    <w:rsid w:val="00DE1F67"/>
    <w:rsid w:val="00DE23F7"/>
    <w:rsid w:val="00DE249C"/>
    <w:rsid w:val="00DE2558"/>
    <w:rsid w:val="00DE2F18"/>
    <w:rsid w:val="00DE3527"/>
    <w:rsid w:val="00DE37A0"/>
    <w:rsid w:val="00DE3C75"/>
    <w:rsid w:val="00DE3DB5"/>
    <w:rsid w:val="00DE4DBE"/>
    <w:rsid w:val="00DE4FB5"/>
    <w:rsid w:val="00DE57CC"/>
    <w:rsid w:val="00DE5934"/>
    <w:rsid w:val="00DE5A09"/>
    <w:rsid w:val="00DE5B57"/>
    <w:rsid w:val="00DE5C7A"/>
    <w:rsid w:val="00DE5DD8"/>
    <w:rsid w:val="00DE5E5D"/>
    <w:rsid w:val="00DE5F0E"/>
    <w:rsid w:val="00DE6651"/>
    <w:rsid w:val="00DE6B9C"/>
    <w:rsid w:val="00DE6BB5"/>
    <w:rsid w:val="00DE703C"/>
    <w:rsid w:val="00DE71DD"/>
    <w:rsid w:val="00DE72DB"/>
    <w:rsid w:val="00DE793F"/>
    <w:rsid w:val="00DE7FE3"/>
    <w:rsid w:val="00DF0234"/>
    <w:rsid w:val="00DF04C7"/>
    <w:rsid w:val="00DF06BD"/>
    <w:rsid w:val="00DF0892"/>
    <w:rsid w:val="00DF0FCF"/>
    <w:rsid w:val="00DF1216"/>
    <w:rsid w:val="00DF13CF"/>
    <w:rsid w:val="00DF1653"/>
    <w:rsid w:val="00DF16D8"/>
    <w:rsid w:val="00DF197A"/>
    <w:rsid w:val="00DF1C50"/>
    <w:rsid w:val="00DF28CC"/>
    <w:rsid w:val="00DF3744"/>
    <w:rsid w:val="00DF37EA"/>
    <w:rsid w:val="00DF3B6F"/>
    <w:rsid w:val="00DF418C"/>
    <w:rsid w:val="00DF45AA"/>
    <w:rsid w:val="00DF4692"/>
    <w:rsid w:val="00DF5066"/>
    <w:rsid w:val="00DF5858"/>
    <w:rsid w:val="00DF598D"/>
    <w:rsid w:val="00DF5E2B"/>
    <w:rsid w:val="00DF6389"/>
    <w:rsid w:val="00DF709E"/>
    <w:rsid w:val="00DF737F"/>
    <w:rsid w:val="00DF7426"/>
    <w:rsid w:val="00DF779E"/>
    <w:rsid w:val="00DF779F"/>
    <w:rsid w:val="00DF77C6"/>
    <w:rsid w:val="00DF784D"/>
    <w:rsid w:val="00DF7CF9"/>
    <w:rsid w:val="00E006F1"/>
    <w:rsid w:val="00E015DB"/>
    <w:rsid w:val="00E018B6"/>
    <w:rsid w:val="00E01FD0"/>
    <w:rsid w:val="00E02070"/>
    <w:rsid w:val="00E023BD"/>
    <w:rsid w:val="00E0251C"/>
    <w:rsid w:val="00E02CAB"/>
    <w:rsid w:val="00E03DF9"/>
    <w:rsid w:val="00E03E24"/>
    <w:rsid w:val="00E04433"/>
    <w:rsid w:val="00E0454F"/>
    <w:rsid w:val="00E046E0"/>
    <w:rsid w:val="00E04962"/>
    <w:rsid w:val="00E05535"/>
    <w:rsid w:val="00E05BB3"/>
    <w:rsid w:val="00E071D3"/>
    <w:rsid w:val="00E071D8"/>
    <w:rsid w:val="00E0746B"/>
    <w:rsid w:val="00E07472"/>
    <w:rsid w:val="00E0782A"/>
    <w:rsid w:val="00E07F94"/>
    <w:rsid w:val="00E10272"/>
    <w:rsid w:val="00E1075B"/>
    <w:rsid w:val="00E10957"/>
    <w:rsid w:val="00E10E50"/>
    <w:rsid w:val="00E10EFA"/>
    <w:rsid w:val="00E11154"/>
    <w:rsid w:val="00E112C9"/>
    <w:rsid w:val="00E11999"/>
    <w:rsid w:val="00E120C6"/>
    <w:rsid w:val="00E1221A"/>
    <w:rsid w:val="00E127CD"/>
    <w:rsid w:val="00E128FC"/>
    <w:rsid w:val="00E129DD"/>
    <w:rsid w:val="00E12E62"/>
    <w:rsid w:val="00E1332E"/>
    <w:rsid w:val="00E13920"/>
    <w:rsid w:val="00E13973"/>
    <w:rsid w:val="00E14285"/>
    <w:rsid w:val="00E143C6"/>
    <w:rsid w:val="00E1450E"/>
    <w:rsid w:val="00E148E9"/>
    <w:rsid w:val="00E14996"/>
    <w:rsid w:val="00E15DE5"/>
    <w:rsid w:val="00E16370"/>
    <w:rsid w:val="00E16539"/>
    <w:rsid w:val="00E16715"/>
    <w:rsid w:val="00E169B2"/>
    <w:rsid w:val="00E16DA7"/>
    <w:rsid w:val="00E17067"/>
    <w:rsid w:val="00E1716B"/>
    <w:rsid w:val="00E17B8C"/>
    <w:rsid w:val="00E17C1F"/>
    <w:rsid w:val="00E17FEB"/>
    <w:rsid w:val="00E206D9"/>
    <w:rsid w:val="00E20A1E"/>
    <w:rsid w:val="00E20A6A"/>
    <w:rsid w:val="00E20E5E"/>
    <w:rsid w:val="00E212E1"/>
    <w:rsid w:val="00E2131A"/>
    <w:rsid w:val="00E217E9"/>
    <w:rsid w:val="00E21D5F"/>
    <w:rsid w:val="00E220A9"/>
    <w:rsid w:val="00E2290F"/>
    <w:rsid w:val="00E229D6"/>
    <w:rsid w:val="00E229DA"/>
    <w:rsid w:val="00E22DDF"/>
    <w:rsid w:val="00E230C8"/>
    <w:rsid w:val="00E238CE"/>
    <w:rsid w:val="00E2394D"/>
    <w:rsid w:val="00E24D06"/>
    <w:rsid w:val="00E24F5D"/>
    <w:rsid w:val="00E25030"/>
    <w:rsid w:val="00E2551A"/>
    <w:rsid w:val="00E25AC2"/>
    <w:rsid w:val="00E25B18"/>
    <w:rsid w:val="00E26147"/>
    <w:rsid w:val="00E26820"/>
    <w:rsid w:val="00E27AC7"/>
    <w:rsid w:val="00E27F09"/>
    <w:rsid w:val="00E30516"/>
    <w:rsid w:val="00E306D6"/>
    <w:rsid w:val="00E30CF2"/>
    <w:rsid w:val="00E30F72"/>
    <w:rsid w:val="00E31112"/>
    <w:rsid w:val="00E3124C"/>
    <w:rsid w:val="00E31924"/>
    <w:rsid w:val="00E31CB9"/>
    <w:rsid w:val="00E31DD3"/>
    <w:rsid w:val="00E31F2C"/>
    <w:rsid w:val="00E3309A"/>
    <w:rsid w:val="00E3367D"/>
    <w:rsid w:val="00E3378A"/>
    <w:rsid w:val="00E3490B"/>
    <w:rsid w:val="00E34FBE"/>
    <w:rsid w:val="00E35C5D"/>
    <w:rsid w:val="00E368D3"/>
    <w:rsid w:val="00E36A0A"/>
    <w:rsid w:val="00E36EE7"/>
    <w:rsid w:val="00E372CA"/>
    <w:rsid w:val="00E3761E"/>
    <w:rsid w:val="00E37C96"/>
    <w:rsid w:val="00E37D1D"/>
    <w:rsid w:val="00E37D23"/>
    <w:rsid w:val="00E40079"/>
    <w:rsid w:val="00E4016E"/>
    <w:rsid w:val="00E41174"/>
    <w:rsid w:val="00E4129E"/>
    <w:rsid w:val="00E41E0B"/>
    <w:rsid w:val="00E423CD"/>
    <w:rsid w:val="00E424A2"/>
    <w:rsid w:val="00E42DE7"/>
    <w:rsid w:val="00E4307B"/>
    <w:rsid w:val="00E432D4"/>
    <w:rsid w:val="00E438BA"/>
    <w:rsid w:val="00E43AB1"/>
    <w:rsid w:val="00E43B6D"/>
    <w:rsid w:val="00E43FF0"/>
    <w:rsid w:val="00E452A0"/>
    <w:rsid w:val="00E455A2"/>
    <w:rsid w:val="00E458A2"/>
    <w:rsid w:val="00E45BE2"/>
    <w:rsid w:val="00E45F0F"/>
    <w:rsid w:val="00E460F0"/>
    <w:rsid w:val="00E46201"/>
    <w:rsid w:val="00E463A3"/>
    <w:rsid w:val="00E469BF"/>
    <w:rsid w:val="00E479FF"/>
    <w:rsid w:val="00E47FA9"/>
    <w:rsid w:val="00E50F8C"/>
    <w:rsid w:val="00E5127D"/>
    <w:rsid w:val="00E51397"/>
    <w:rsid w:val="00E5191F"/>
    <w:rsid w:val="00E51CFA"/>
    <w:rsid w:val="00E51E4D"/>
    <w:rsid w:val="00E51F8C"/>
    <w:rsid w:val="00E52222"/>
    <w:rsid w:val="00E525AA"/>
    <w:rsid w:val="00E52980"/>
    <w:rsid w:val="00E532DF"/>
    <w:rsid w:val="00E534AA"/>
    <w:rsid w:val="00E53CC6"/>
    <w:rsid w:val="00E5410E"/>
    <w:rsid w:val="00E54D8D"/>
    <w:rsid w:val="00E54F75"/>
    <w:rsid w:val="00E55292"/>
    <w:rsid w:val="00E558F1"/>
    <w:rsid w:val="00E55937"/>
    <w:rsid w:val="00E55B88"/>
    <w:rsid w:val="00E55C60"/>
    <w:rsid w:val="00E55DDE"/>
    <w:rsid w:val="00E56446"/>
    <w:rsid w:val="00E5674B"/>
    <w:rsid w:val="00E571DF"/>
    <w:rsid w:val="00E57394"/>
    <w:rsid w:val="00E57B01"/>
    <w:rsid w:val="00E57C70"/>
    <w:rsid w:val="00E57D0B"/>
    <w:rsid w:val="00E60295"/>
    <w:rsid w:val="00E60353"/>
    <w:rsid w:val="00E610DA"/>
    <w:rsid w:val="00E61D11"/>
    <w:rsid w:val="00E624F6"/>
    <w:rsid w:val="00E632A6"/>
    <w:rsid w:val="00E63587"/>
    <w:rsid w:val="00E6372F"/>
    <w:rsid w:val="00E63B1D"/>
    <w:rsid w:val="00E64172"/>
    <w:rsid w:val="00E64328"/>
    <w:rsid w:val="00E643CB"/>
    <w:rsid w:val="00E64C91"/>
    <w:rsid w:val="00E64EEB"/>
    <w:rsid w:val="00E6594C"/>
    <w:rsid w:val="00E660F2"/>
    <w:rsid w:val="00E66106"/>
    <w:rsid w:val="00E6649A"/>
    <w:rsid w:val="00E6649F"/>
    <w:rsid w:val="00E66CA4"/>
    <w:rsid w:val="00E66FA2"/>
    <w:rsid w:val="00E675F3"/>
    <w:rsid w:val="00E701EE"/>
    <w:rsid w:val="00E70469"/>
    <w:rsid w:val="00E70B76"/>
    <w:rsid w:val="00E710BE"/>
    <w:rsid w:val="00E710FC"/>
    <w:rsid w:val="00E716FD"/>
    <w:rsid w:val="00E71E26"/>
    <w:rsid w:val="00E72743"/>
    <w:rsid w:val="00E72857"/>
    <w:rsid w:val="00E72E2C"/>
    <w:rsid w:val="00E7383B"/>
    <w:rsid w:val="00E73900"/>
    <w:rsid w:val="00E73D38"/>
    <w:rsid w:val="00E73E97"/>
    <w:rsid w:val="00E74531"/>
    <w:rsid w:val="00E74634"/>
    <w:rsid w:val="00E7530E"/>
    <w:rsid w:val="00E7531F"/>
    <w:rsid w:val="00E75600"/>
    <w:rsid w:val="00E760F3"/>
    <w:rsid w:val="00E763BE"/>
    <w:rsid w:val="00E76560"/>
    <w:rsid w:val="00E76731"/>
    <w:rsid w:val="00E767DF"/>
    <w:rsid w:val="00E7683E"/>
    <w:rsid w:val="00E76992"/>
    <w:rsid w:val="00E769EE"/>
    <w:rsid w:val="00E770FE"/>
    <w:rsid w:val="00E77A67"/>
    <w:rsid w:val="00E80081"/>
    <w:rsid w:val="00E8055C"/>
    <w:rsid w:val="00E80692"/>
    <w:rsid w:val="00E80B4A"/>
    <w:rsid w:val="00E80BEE"/>
    <w:rsid w:val="00E8123A"/>
    <w:rsid w:val="00E81A4F"/>
    <w:rsid w:val="00E81AF3"/>
    <w:rsid w:val="00E8216B"/>
    <w:rsid w:val="00E83007"/>
    <w:rsid w:val="00E83014"/>
    <w:rsid w:val="00E833B9"/>
    <w:rsid w:val="00E840BA"/>
    <w:rsid w:val="00E84A3D"/>
    <w:rsid w:val="00E84D1B"/>
    <w:rsid w:val="00E84D3B"/>
    <w:rsid w:val="00E8528D"/>
    <w:rsid w:val="00E853BE"/>
    <w:rsid w:val="00E858E1"/>
    <w:rsid w:val="00E85CED"/>
    <w:rsid w:val="00E86059"/>
    <w:rsid w:val="00E861B4"/>
    <w:rsid w:val="00E8671E"/>
    <w:rsid w:val="00E8681B"/>
    <w:rsid w:val="00E873BD"/>
    <w:rsid w:val="00E9049B"/>
    <w:rsid w:val="00E90575"/>
    <w:rsid w:val="00E90902"/>
    <w:rsid w:val="00E909E4"/>
    <w:rsid w:val="00E90C8B"/>
    <w:rsid w:val="00E90CB1"/>
    <w:rsid w:val="00E918DB"/>
    <w:rsid w:val="00E91A88"/>
    <w:rsid w:val="00E91FDB"/>
    <w:rsid w:val="00E92073"/>
    <w:rsid w:val="00E9229A"/>
    <w:rsid w:val="00E922BB"/>
    <w:rsid w:val="00E92687"/>
    <w:rsid w:val="00E927EB"/>
    <w:rsid w:val="00E92916"/>
    <w:rsid w:val="00E92D81"/>
    <w:rsid w:val="00E938AE"/>
    <w:rsid w:val="00E93A7B"/>
    <w:rsid w:val="00E93BD6"/>
    <w:rsid w:val="00E94164"/>
    <w:rsid w:val="00E9430D"/>
    <w:rsid w:val="00E94663"/>
    <w:rsid w:val="00E9531A"/>
    <w:rsid w:val="00E9606B"/>
    <w:rsid w:val="00E96158"/>
    <w:rsid w:val="00E96915"/>
    <w:rsid w:val="00E97169"/>
    <w:rsid w:val="00E972F2"/>
    <w:rsid w:val="00E9750A"/>
    <w:rsid w:val="00E97AE5"/>
    <w:rsid w:val="00EA09C4"/>
    <w:rsid w:val="00EA139A"/>
    <w:rsid w:val="00EA1A16"/>
    <w:rsid w:val="00EA20EB"/>
    <w:rsid w:val="00EA27BE"/>
    <w:rsid w:val="00EA2B80"/>
    <w:rsid w:val="00EA2C40"/>
    <w:rsid w:val="00EA2EA0"/>
    <w:rsid w:val="00EA39C1"/>
    <w:rsid w:val="00EA3CAC"/>
    <w:rsid w:val="00EA4080"/>
    <w:rsid w:val="00EA4A30"/>
    <w:rsid w:val="00EA4D92"/>
    <w:rsid w:val="00EA4EFA"/>
    <w:rsid w:val="00EA515B"/>
    <w:rsid w:val="00EA5323"/>
    <w:rsid w:val="00EA536C"/>
    <w:rsid w:val="00EA537D"/>
    <w:rsid w:val="00EA5832"/>
    <w:rsid w:val="00EA5ACC"/>
    <w:rsid w:val="00EA5E73"/>
    <w:rsid w:val="00EA6CB8"/>
    <w:rsid w:val="00EA76B1"/>
    <w:rsid w:val="00EA7795"/>
    <w:rsid w:val="00EA78A5"/>
    <w:rsid w:val="00EA7B8F"/>
    <w:rsid w:val="00EB04A3"/>
    <w:rsid w:val="00EB055F"/>
    <w:rsid w:val="00EB0C9B"/>
    <w:rsid w:val="00EB0DD9"/>
    <w:rsid w:val="00EB159A"/>
    <w:rsid w:val="00EB1C47"/>
    <w:rsid w:val="00EB20E0"/>
    <w:rsid w:val="00EB2160"/>
    <w:rsid w:val="00EB262B"/>
    <w:rsid w:val="00EB2761"/>
    <w:rsid w:val="00EB27E7"/>
    <w:rsid w:val="00EB3A6F"/>
    <w:rsid w:val="00EB4046"/>
    <w:rsid w:val="00EB43E0"/>
    <w:rsid w:val="00EB4A73"/>
    <w:rsid w:val="00EB4AA6"/>
    <w:rsid w:val="00EB4C26"/>
    <w:rsid w:val="00EB5296"/>
    <w:rsid w:val="00EB6153"/>
    <w:rsid w:val="00EB634B"/>
    <w:rsid w:val="00EB67F6"/>
    <w:rsid w:val="00EB6DB3"/>
    <w:rsid w:val="00EB6DCF"/>
    <w:rsid w:val="00EB725A"/>
    <w:rsid w:val="00EB7597"/>
    <w:rsid w:val="00EB7607"/>
    <w:rsid w:val="00EB7B08"/>
    <w:rsid w:val="00EB7C83"/>
    <w:rsid w:val="00EC021A"/>
    <w:rsid w:val="00EC0265"/>
    <w:rsid w:val="00EC0FA4"/>
    <w:rsid w:val="00EC1105"/>
    <w:rsid w:val="00EC1A86"/>
    <w:rsid w:val="00EC1B17"/>
    <w:rsid w:val="00EC231E"/>
    <w:rsid w:val="00EC2514"/>
    <w:rsid w:val="00EC276B"/>
    <w:rsid w:val="00EC2918"/>
    <w:rsid w:val="00EC3BCF"/>
    <w:rsid w:val="00EC42EF"/>
    <w:rsid w:val="00EC4AED"/>
    <w:rsid w:val="00EC4D6F"/>
    <w:rsid w:val="00EC507F"/>
    <w:rsid w:val="00EC5350"/>
    <w:rsid w:val="00EC5FFB"/>
    <w:rsid w:val="00EC68D2"/>
    <w:rsid w:val="00EC6DF5"/>
    <w:rsid w:val="00EC6E6A"/>
    <w:rsid w:val="00EC6F89"/>
    <w:rsid w:val="00EC77BC"/>
    <w:rsid w:val="00EC7A65"/>
    <w:rsid w:val="00EC7B52"/>
    <w:rsid w:val="00ED0228"/>
    <w:rsid w:val="00ED051D"/>
    <w:rsid w:val="00ED0604"/>
    <w:rsid w:val="00ED071D"/>
    <w:rsid w:val="00ED0BD7"/>
    <w:rsid w:val="00ED0BE7"/>
    <w:rsid w:val="00ED0E8C"/>
    <w:rsid w:val="00ED11F0"/>
    <w:rsid w:val="00ED158A"/>
    <w:rsid w:val="00ED27EC"/>
    <w:rsid w:val="00ED291A"/>
    <w:rsid w:val="00ED2A97"/>
    <w:rsid w:val="00ED3076"/>
    <w:rsid w:val="00ED3A2D"/>
    <w:rsid w:val="00ED3B47"/>
    <w:rsid w:val="00ED4174"/>
    <w:rsid w:val="00ED4B9F"/>
    <w:rsid w:val="00ED4CD3"/>
    <w:rsid w:val="00ED51DF"/>
    <w:rsid w:val="00ED5226"/>
    <w:rsid w:val="00ED56A5"/>
    <w:rsid w:val="00ED5A46"/>
    <w:rsid w:val="00ED5A5C"/>
    <w:rsid w:val="00ED5E2B"/>
    <w:rsid w:val="00ED606D"/>
    <w:rsid w:val="00ED6785"/>
    <w:rsid w:val="00ED6F7C"/>
    <w:rsid w:val="00ED78BC"/>
    <w:rsid w:val="00ED78E1"/>
    <w:rsid w:val="00ED7C44"/>
    <w:rsid w:val="00ED7F77"/>
    <w:rsid w:val="00EE02DF"/>
    <w:rsid w:val="00EE0946"/>
    <w:rsid w:val="00EE0FB8"/>
    <w:rsid w:val="00EE1392"/>
    <w:rsid w:val="00EE17E1"/>
    <w:rsid w:val="00EE1B6D"/>
    <w:rsid w:val="00EE28F9"/>
    <w:rsid w:val="00EE3749"/>
    <w:rsid w:val="00EE3D8D"/>
    <w:rsid w:val="00EE4301"/>
    <w:rsid w:val="00EE4A2A"/>
    <w:rsid w:val="00EE532B"/>
    <w:rsid w:val="00EE56F6"/>
    <w:rsid w:val="00EE5E49"/>
    <w:rsid w:val="00EE6825"/>
    <w:rsid w:val="00EE6ABD"/>
    <w:rsid w:val="00EE6B4F"/>
    <w:rsid w:val="00EE6CD1"/>
    <w:rsid w:val="00EE6F32"/>
    <w:rsid w:val="00EE72C2"/>
    <w:rsid w:val="00EE73B1"/>
    <w:rsid w:val="00EE799C"/>
    <w:rsid w:val="00EE7C5D"/>
    <w:rsid w:val="00EE7F92"/>
    <w:rsid w:val="00EF02AF"/>
    <w:rsid w:val="00EF0E8F"/>
    <w:rsid w:val="00EF0FB7"/>
    <w:rsid w:val="00EF149E"/>
    <w:rsid w:val="00EF15DC"/>
    <w:rsid w:val="00EF1E6C"/>
    <w:rsid w:val="00EF2034"/>
    <w:rsid w:val="00EF2195"/>
    <w:rsid w:val="00EF2EC2"/>
    <w:rsid w:val="00EF32A7"/>
    <w:rsid w:val="00EF391D"/>
    <w:rsid w:val="00EF496E"/>
    <w:rsid w:val="00EF4B89"/>
    <w:rsid w:val="00EF5555"/>
    <w:rsid w:val="00EF555E"/>
    <w:rsid w:val="00EF585A"/>
    <w:rsid w:val="00EF64C0"/>
    <w:rsid w:val="00EF6D9E"/>
    <w:rsid w:val="00EF6F4B"/>
    <w:rsid w:val="00EF708D"/>
    <w:rsid w:val="00EF70EE"/>
    <w:rsid w:val="00EF72D0"/>
    <w:rsid w:val="00EF7843"/>
    <w:rsid w:val="00EF78F9"/>
    <w:rsid w:val="00EF79C1"/>
    <w:rsid w:val="00EF7B46"/>
    <w:rsid w:val="00EF7CEF"/>
    <w:rsid w:val="00F006D2"/>
    <w:rsid w:val="00F00B5A"/>
    <w:rsid w:val="00F01227"/>
    <w:rsid w:val="00F0124F"/>
    <w:rsid w:val="00F015BE"/>
    <w:rsid w:val="00F01CC7"/>
    <w:rsid w:val="00F02351"/>
    <w:rsid w:val="00F027F1"/>
    <w:rsid w:val="00F02EA8"/>
    <w:rsid w:val="00F03072"/>
    <w:rsid w:val="00F034B7"/>
    <w:rsid w:val="00F03745"/>
    <w:rsid w:val="00F03ACA"/>
    <w:rsid w:val="00F04193"/>
    <w:rsid w:val="00F041C9"/>
    <w:rsid w:val="00F041FB"/>
    <w:rsid w:val="00F0464F"/>
    <w:rsid w:val="00F04781"/>
    <w:rsid w:val="00F047BB"/>
    <w:rsid w:val="00F04BFC"/>
    <w:rsid w:val="00F0558B"/>
    <w:rsid w:val="00F058CC"/>
    <w:rsid w:val="00F05DA4"/>
    <w:rsid w:val="00F07042"/>
    <w:rsid w:val="00F07059"/>
    <w:rsid w:val="00F07114"/>
    <w:rsid w:val="00F07918"/>
    <w:rsid w:val="00F07B74"/>
    <w:rsid w:val="00F10253"/>
    <w:rsid w:val="00F10517"/>
    <w:rsid w:val="00F1105A"/>
    <w:rsid w:val="00F115B6"/>
    <w:rsid w:val="00F1166A"/>
    <w:rsid w:val="00F11678"/>
    <w:rsid w:val="00F120C9"/>
    <w:rsid w:val="00F12226"/>
    <w:rsid w:val="00F12C4B"/>
    <w:rsid w:val="00F12DD4"/>
    <w:rsid w:val="00F13B53"/>
    <w:rsid w:val="00F13C7F"/>
    <w:rsid w:val="00F13DC0"/>
    <w:rsid w:val="00F141D8"/>
    <w:rsid w:val="00F14CB5"/>
    <w:rsid w:val="00F1583E"/>
    <w:rsid w:val="00F169E1"/>
    <w:rsid w:val="00F16B5E"/>
    <w:rsid w:val="00F172B4"/>
    <w:rsid w:val="00F175F4"/>
    <w:rsid w:val="00F2000D"/>
    <w:rsid w:val="00F2013D"/>
    <w:rsid w:val="00F2016C"/>
    <w:rsid w:val="00F20421"/>
    <w:rsid w:val="00F209FA"/>
    <w:rsid w:val="00F20CD5"/>
    <w:rsid w:val="00F21394"/>
    <w:rsid w:val="00F217B7"/>
    <w:rsid w:val="00F21BA1"/>
    <w:rsid w:val="00F222DF"/>
    <w:rsid w:val="00F2285C"/>
    <w:rsid w:val="00F2358B"/>
    <w:rsid w:val="00F23AB4"/>
    <w:rsid w:val="00F23D6C"/>
    <w:rsid w:val="00F24662"/>
    <w:rsid w:val="00F24D69"/>
    <w:rsid w:val="00F24D7C"/>
    <w:rsid w:val="00F24DE3"/>
    <w:rsid w:val="00F2557B"/>
    <w:rsid w:val="00F255F9"/>
    <w:rsid w:val="00F25762"/>
    <w:rsid w:val="00F258CF"/>
    <w:rsid w:val="00F25DC9"/>
    <w:rsid w:val="00F25EED"/>
    <w:rsid w:val="00F26FB0"/>
    <w:rsid w:val="00F2716E"/>
    <w:rsid w:val="00F2799B"/>
    <w:rsid w:val="00F27F04"/>
    <w:rsid w:val="00F3003D"/>
    <w:rsid w:val="00F30655"/>
    <w:rsid w:val="00F306CD"/>
    <w:rsid w:val="00F31919"/>
    <w:rsid w:val="00F31BEA"/>
    <w:rsid w:val="00F31C29"/>
    <w:rsid w:val="00F321C2"/>
    <w:rsid w:val="00F323C0"/>
    <w:rsid w:val="00F32E30"/>
    <w:rsid w:val="00F3317F"/>
    <w:rsid w:val="00F33AF6"/>
    <w:rsid w:val="00F33EB1"/>
    <w:rsid w:val="00F3454E"/>
    <w:rsid w:val="00F348B8"/>
    <w:rsid w:val="00F348CD"/>
    <w:rsid w:val="00F34E10"/>
    <w:rsid w:val="00F34F44"/>
    <w:rsid w:val="00F35574"/>
    <w:rsid w:val="00F35DA8"/>
    <w:rsid w:val="00F3647B"/>
    <w:rsid w:val="00F36553"/>
    <w:rsid w:val="00F3659F"/>
    <w:rsid w:val="00F36A2E"/>
    <w:rsid w:val="00F36DA0"/>
    <w:rsid w:val="00F37685"/>
    <w:rsid w:val="00F37784"/>
    <w:rsid w:val="00F37A0F"/>
    <w:rsid w:val="00F40006"/>
    <w:rsid w:val="00F4045B"/>
    <w:rsid w:val="00F4072D"/>
    <w:rsid w:val="00F40E8E"/>
    <w:rsid w:val="00F40F62"/>
    <w:rsid w:val="00F41057"/>
    <w:rsid w:val="00F414E5"/>
    <w:rsid w:val="00F41A3D"/>
    <w:rsid w:val="00F41C0A"/>
    <w:rsid w:val="00F424D0"/>
    <w:rsid w:val="00F426FB"/>
    <w:rsid w:val="00F43029"/>
    <w:rsid w:val="00F432C7"/>
    <w:rsid w:val="00F4336C"/>
    <w:rsid w:val="00F43752"/>
    <w:rsid w:val="00F44071"/>
    <w:rsid w:val="00F440C8"/>
    <w:rsid w:val="00F440ED"/>
    <w:rsid w:val="00F44334"/>
    <w:rsid w:val="00F4459C"/>
    <w:rsid w:val="00F447A4"/>
    <w:rsid w:val="00F458FF"/>
    <w:rsid w:val="00F467D8"/>
    <w:rsid w:val="00F46BCE"/>
    <w:rsid w:val="00F47177"/>
    <w:rsid w:val="00F475FA"/>
    <w:rsid w:val="00F478EE"/>
    <w:rsid w:val="00F47C1F"/>
    <w:rsid w:val="00F47D73"/>
    <w:rsid w:val="00F50326"/>
    <w:rsid w:val="00F50660"/>
    <w:rsid w:val="00F511CE"/>
    <w:rsid w:val="00F51C7C"/>
    <w:rsid w:val="00F51F62"/>
    <w:rsid w:val="00F52717"/>
    <w:rsid w:val="00F52EB1"/>
    <w:rsid w:val="00F535E7"/>
    <w:rsid w:val="00F536A1"/>
    <w:rsid w:val="00F53902"/>
    <w:rsid w:val="00F53C8A"/>
    <w:rsid w:val="00F53F0F"/>
    <w:rsid w:val="00F5417A"/>
    <w:rsid w:val="00F54270"/>
    <w:rsid w:val="00F550E8"/>
    <w:rsid w:val="00F5577E"/>
    <w:rsid w:val="00F56762"/>
    <w:rsid w:val="00F56A04"/>
    <w:rsid w:val="00F56EF7"/>
    <w:rsid w:val="00F5768C"/>
    <w:rsid w:val="00F57AA6"/>
    <w:rsid w:val="00F6082D"/>
    <w:rsid w:val="00F6083F"/>
    <w:rsid w:val="00F608C9"/>
    <w:rsid w:val="00F60B0C"/>
    <w:rsid w:val="00F6133B"/>
    <w:rsid w:val="00F61617"/>
    <w:rsid w:val="00F61C9E"/>
    <w:rsid w:val="00F61D8E"/>
    <w:rsid w:val="00F62121"/>
    <w:rsid w:val="00F623FC"/>
    <w:rsid w:val="00F62AC3"/>
    <w:rsid w:val="00F63260"/>
    <w:rsid w:val="00F634BE"/>
    <w:rsid w:val="00F634F6"/>
    <w:rsid w:val="00F635E3"/>
    <w:rsid w:val="00F63631"/>
    <w:rsid w:val="00F63CAB"/>
    <w:rsid w:val="00F63DB2"/>
    <w:rsid w:val="00F6435C"/>
    <w:rsid w:val="00F6448F"/>
    <w:rsid w:val="00F647BE"/>
    <w:rsid w:val="00F64A2C"/>
    <w:rsid w:val="00F65258"/>
    <w:rsid w:val="00F658A4"/>
    <w:rsid w:val="00F659C0"/>
    <w:rsid w:val="00F65CF0"/>
    <w:rsid w:val="00F662E3"/>
    <w:rsid w:val="00F67DA8"/>
    <w:rsid w:val="00F67FF4"/>
    <w:rsid w:val="00F705DB"/>
    <w:rsid w:val="00F705DD"/>
    <w:rsid w:val="00F708C2"/>
    <w:rsid w:val="00F70E9E"/>
    <w:rsid w:val="00F715F8"/>
    <w:rsid w:val="00F7169A"/>
    <w:rsid w:val="00F716CA"/>
    <w:rsid w:val="00F71853"/>
    <w:rsid w:val="00F7193B"/>
    <w:rsid w:val="00F71A1E"/>
    <w:rsid w:val="00F71F0E"/>
    <w:rsid w:val="00F71F2B"/>
    <w:rsid w:val="00F72149"/>
    <w:rsid w:val="00F7236B"/>
    <w:rsid w:val="00F723D6"/>
    <w:rsid w:val="00F72A2E"/>
    <w:rsid w:val="00F72AD7"/>
    <w:rsid w:val="00F72F15"/>
    <w:rsid w:val="00F7388D"/>
    <w:rsid w:val="00F738EE"/>
    <w:rsid w:val="00F73C77"/>
    <w:rsid w:val="00F73D93"/>
    <w:rsid w:val="00F750D4"/>
    <w:rsid w:val="00F7515A"/>
    <w:rsid w:val="00F753F4"/>
    <w:rsid w:val="00F75DCF"/>
    <w:rsid w:val="00F76555"/>
    <w:rsid w:val="00F7684E"/>
    <w:rsid w:val="00F76FB9"/>
    <w:rsid w:val="00F7793E"/>
    <w:rsid w:val="00F80373"/>
    <w:rsid w:val="00F80D6E"/>
    <w:rsid w:val="00F813C7"/>
    <w:rsid w:val="00F819FA"/>
    <w:rsid w:val="00F81CCF"/>
    <w:rsid w:val="00F81D09"/>
    <w:rsid w:val="00F81F7A"/>
    <w:rsid w:val="00F81FE2"/>
    <w:rsid w:val="00F8214B"/>
    <w:rsid w:val="00F8331B"/>
    <w:rsid w:val="00F83325"/>
    <w:rsid w:val="00F83583"/>
    <w:rsid w:val="00F838A0"/>
    <w:rsid w:val="00F83EA1"/>
    <w:rsid w:val="00F84C21"/>
    <w:rsid w:val="00F84DEA"/>
    <w:rsid w:val="00F84E2C"/>
    <w:rsid w:val="00F85082"/>
    <w:rsid w:val="00F85275"/>
    <w:rsid w:val="00F85581"/>
    <w:rsid w:val="00F855EF"/>
    <w:rsid w:val="00F85A45"/>
    <w:rsid w:val="00F85F79"/>
    <w:rsid w:val="00F860A3"/>
    <w:rsid w:val="00F86353"/>
    <w:rsid w:val="00F866C3"/>
    <w:rsid w:val="00F87B8F"/>
    <w:rsid w:val="00F87D1C"/>
    <w:rsid w:val="00F902F5"/>
    <w:rsid w:val="00F90417"/>
    <w:rsid w:val="00F90963"/>
    <w:rsid w:val="00F90A6A"/>
    <w:rsid w:val="00F90B90"/>
    <w:rsid w:val="00F91295"/>
    <w:rsid w:val="00F913CC"/>
    <w:rsid w:val="00F91924"/>
    <w:rsid w:val="00F91B4C"/>
    <w:rsid w:val="00F91BD5"/>
    <w:rsid w:val="00F926D9"/>
    <w:rsid w:val="00F92873"/>
    <w:rsid w:val="00F928FA"/>
    <w:rsid w:val="00F92D1C"/>
    <w:rsid w:val="00F92D8F"/>
    <w:rsid w:val="00F930C9"/>
    <w:rsid w:val="00F930E8"/>
    <w:rsid w:val="00F93138"/>
    <w:rsid w:val="00F936A6"/>
    <w:rsid w:val="00F9380B"/>
    <w:rsid w:val="00F939BC"/>
    <w:rsid w:val="00F9411A"/>
    <w:rsid w:val="00F941F0"/>
    <w:rsid w:val="00F9487B"/>
    <w:rsid w:val="00F94AFE"/>
    <w:rsid w:val="00F94E7F"/>
    <w:rsid w:val="00F958A4"/>
    <w:rsid w:val="00F95E49"/>
    <w:rsid w:val="00F95F45"/>
    <w:rsid w:val="00F961DD"/>
    <w:rsid w:val="00F968A0"/>
    <w:rsid w:val="00F96B8C"/>
    <w:rsid w:val="00F9722D"/>
    <w:rsid w:val="00F977B6"/>
    <w:rsid w:val="00F97AA3"/>
    <w:rsid w:val="00F97BE9"/>
    <w:rsid w:val="00FA00BE"/>
    <w:rsid w:val="00FA045D"/>
    <w:rsid w:val="00FA06F6"/>
    <w:rsid w:val="00FA07CB"/>
    <w:rsid w:val="00FA08CD"/>
    <w:rsid w:val="00FA0D0D"/>
    <w:rsid w:val="00FA0ECD"/>
    <w:rsid w:val="00FA1060"/>
    <w:rsid w:val="00FA1372"/>
    <w:rsid w:val="00FA1596"/>
    <w:rsid w:val="00FA17D1"/>
    <w:rsid w:val="00FA1A2B"/>
    <w:rsid w:val="00FA210E"/>
    <w:rsid w:val="00FA2B60"/>
    <w:rsid w:val="00FA2DAE"/>
    <w:rsid w:val="00FA2E1F"/>
    <w:rsid w:val="00FA2EA7"/>
    <w:rsid w:val="00FA3406"/>
    <w:rsid w:val="00FA3408"/>
    <w:rsid w:val="00FA352B"/>
    <w:rsid w:val="00FA3B02"/>
    <w:rsid w:val="00FA408A"/>
    <w:rsid w:val="00FA495E"/>
    <w:rsid w:val="00FA5067"/>
    <w:rsid w:val="00FA5DA6"/>
    <w:rsid w:val="00FA6157"/>
    <w:rsid w:val="00FA70D2"/>
    <w:rsid w:val="00FA7210"/>
    <w:rsid w:val="00FA7C0F"/>
    <w:rsid w:val="00FB033E"/>
    <w:rsid w:val="00FB092A"/>
    <w:rsid w:val="00FB0D48"/>
    <w:rsid w:val="00FB1252"/>
    <w:rsid w:val="00FB1667"/>
    <w:rsid w:val="00FB311A"/>
    <w:rsid w:val="00FB35C9"/>
    <w:rsid w:val="00FB3D0C"/>
    <w:rsid w:val="00FB3D4F"/>
    <w:rsid w:val="00FB4188"/>
    <w:rsid w:val="00FB441F"/>
    <w:rsid w:val="00FB463A"/>
    <w:rsid w:val="00FB4D21"/>
    <w:rsid w:val="00FB4F30"/>
    <w:rsid w:val="00FB625E"/>
    <w:rsid w:val="00FB62AD"/>
    <w:rsid w:val="00FB69E7"/>
    <w:rsid w:val="00FB6DCA"/>
    <w:rsid w:val="00FB6F77"/>
    <w:rsid w:val="00FB7129"/>
    <w:rsid w:val="00FB7931"/>
    <w:rsid w:val="00FB7D0C"/>
    <w:rsid w:val="00FB7E09"/>
    <w:rsid w:val="00FB7F72"/>
    <w:rsid w:val="00FC089E"/>
    <w:rsid w:val="00FC1239"/>
    <w:rsid w:val="00FC198C"/>
    <w:rsid w:val="00FC19DC"/>
    <w:rsid w:val="00FC1BFF"/>
    <w:rsid w:val="00FC2703"/>
    <w:rsid w:val="00FC304F"/>
    <w:rsid w:val="00FC322B"/>
    <w:rsid w:val="00FC32C2"/>
    <w:rsid w:val="00FC3609"/>
    <w:rsid w:val="00FC3631"/>
    <w:rsid w:val="00FC3725"/>
    <w:rsid w:val="00FC3E16"/>
    <w:rsid w:val="00FC4434"/>
    <w:rsid w:val="00FC4728"/>
    <w:rsid w:val="00FC4E27"/>
    <w:rsid w:val="00FC512C"/>
    <w:rsid w:val="00FC551D"/>
    <w:rsid w:val="00FC57B7"/>
    <w:rsid w:val="00FC5BC1"/>
    <w:rsid w:val="00FC5DE7"/>
    <w:rsid w:val="00FC67A4"/>
    <w:rsid w:val="00FC6C48"/>
    <w:rsid w:val="00FC7F5C"/>
    <w:rsid w:val="00FD03DB"/>
    <w:rsid w:val="00FD0C75"/>
    <w:rsid w:val="00FD0CBD"/>
    <w:rsid w:val="00FD0E44"/>
    <w:rsid w:val="00FD1344"/>
    <w:rsid w:val="00FD16FA"/>
    <w:rsid w:val="00FD1F1B"/>
    <w:rsid w:val="00FD2CAB"/>
    <w:rsid w:val="00FD3497"/>
    <w:rsid w:val="00FD35F1"/>
    <w:rsid w:val="00FD38C0"/>
    <w:rsid w:val="00FD3BF4"/>
    <w:rsid w:val="00FD3D21"/>
    <w:rsid w:val="00FD3D53"/>
    <w:rsid w:val="00FD3E82"/>
    <w:rsid w:val="00FD3EDA"/>
    <w:rsid w:val="00FD403D"/>
    <w:rsid w:val="00FD43C4"/>
    <w:rsid w:val="00FD45BB"/>
    <w:rsid w:val="00FD465F"/>
    <w:rsid w:val="00FD59F5"/>
    <w:rsid w:val="00FD5E70"/>
    <w:rsid w:val="00FD6156"/>
    <w:rsid w:val="00FD633B"/>
    <w:rsid w:val="00FD64D9"/>
    <w:rsid w:val="00FD6AAA"/>
    <w:rsid w:val="00FD6B53"/>
    <w:rsid w:val="00FD6DF4"/>
    <w:rsid w:val="00FD6F41"/>
    <w:rsid w:val="00FD73E6"/>
    <w:rsid w:val="00FD78BE"/>
    <w:rsid w:val="00FD7D3F"/>
    <w:rsid w:val="00FE0039"/>
    <w:rsid w:val="00FE088F"/>
    <w:rsid w:val="00FE1431"/>
    <w:rsid w:val="00FE17A1"/>
    <w:rsid w:val="00FE1DF9"/>
    <w:rsid w:val="00FE2120"/>
    <w:rsid w:val="00FE2251"/>
    <w:rsid w:val="00FE263F"/>
    <w:rsid w:val="00FE29A5"/>
    <w:rsid w:val="00FE29D1"/>
    <w:rsid w:val="00FE29E8"/>
    <w:rsid w:val="00FE2A6A"/>
    <w:rsid w:val="00FE2B62"/>
    <w:rsid w:val="00FE2E0F"/>
    <w:rsid w:val="00FE34F9"/>
    <w:rsid w:val="00FE358E"/>
    <w:rsid w:val="00FE385C"/>
    <w:rsid w:val="00FE3AC4"/>
    <w:rsid w:val="00FE3F58"/>
    <w:rsid w:val="00FE47C8"/>
    <w:rsid w:val="00FE5AEA"/>
    <w:rsid w:val="00FE5B66"/>
    <w:rsid w:val="00FE5D16"/>
    <w:rsid w:val="00FE705A"/>
    <w:rsid w:val="00FE7196"/>
    <w:rsid w:val="00FF0366"/>
    <w:rsid w:val="00FF0622"/>
    <w:rsid w:val="00FF108D"/>
    <w:rsid w:val="00FF15C3"/>
    <w:rsid w:val="00FF189E"/>
    <w:rsid w:val="00FF1A44"/>
    <w:rsid w:val="00FF1A58"/>
    <w:rsid w:val="00FF1AE8"/>
    <w:rsid w:val="00FF25BD"/>
    <w:rsid w:val="00FF2BC2"/>
    <w:rsid w:val="00FF3468"/>
    <w:rsid w:val="00FF5039"/>
    <w:rsid w:val="00FF5066"/>
    <w:rsid w:val="00FF525B"/>
    <w:rsid w:val="00FF541C"/>
    <w:rsid w:val="00FF5742"/>
    <w:rsid w:val="00FF5EEC"/>
    <w:rsid w:val="00FF6628"/>
    <w:rsid w:val="00FF7D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style="mso-height-percent:200;mso-width-relative:margin;mso-height-relative:margin" fillcolor="none [3212]" strokecolor="none [3212]">
      <v:fill color="none [3212]"/>
      <v:stroke color="none [3212]"/>
      <v:textbox style="mso-fit-shape-to-text:t"/>
      <o:colormru v:ext="edit" colors="#002663,#e36f1e"/>
    </o:shapedefaults>
    <o:shapelayout v:ext="edit">
      <o:idmap v:ext="edit" data="1"/>
    </o:shapelayout>
  </w:shapeDefaults>
  <w:decimalSymbol w:val="."/>
  <w:listSeparator w:val=","/>
  <w14:docId w14:val="5281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oa heading" w:unhideWhenUsed="0"/>
    <w:lsdException w:name="Title" w:semiHidden="0" w:uiPriority="0" w:unhideWhenUsed="0"/>
    <w:lsdException w:name="Default Paragraph Font" w:uiPriority="1"/>
    <w:lsdException w:name="Body Text" w:semiHidden="0" w:uiPriority="0" w:unhideWhenUsed="0" w:qFormat="1"/>
    <w:lsdException w:name="Subtitle" w:semiHidden="0" w:uiPriority="0" w:unhideWhenUsed="0"/>
    <w:lsdException w:name="Block Tex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qFormat/>
    <w:rsid w:val="009147AE"/>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4E3286"/>
    <w:pPr>
      <w:keepNext/>
      <w:keepLines/>
      <w:tabs>
        <w:tab w:val="left" w:pos="851"/>
      </w:tabs>
      <w:spacing w:before="0" w:after="480" w:line="240" w:lineRule="auto"/>
      <w:ind w:left="851" w:hanging="851"/>
      <w:jc w:val="left"/>
      <w:outlineLvl w:val="0"/>
    </w:pPr>
    <w:rPr>
      <w:rFonts w:eastAsiaTheme="majorEastAsia" w:cstheme="majorBidi"/>
      <w:b/>
      <w:bCs/>
      <w:color w:val="17556C"/>
      <w:sz w:val="48"/>
      <w:szCs w:val="28"/>
      <w:bdr w:val="none" w:sz="0" w:space="0" w:color="auto" w:frame="1"/>
    </w:rPr>
  </w:style>
  <w:style w:type="paragraph" w:styleId="Heading2">
    <w:name w:val="heading 2"/>
    <w:basedOn w:val="Normal"/>
    <w:next w:val="Normal"/>
    <w:link w:val="Heading2Char"/>
    <w:qFormat/>
    <w:rsid w:val="004E3286"/>
    <w:pPr>
      <w:keepNext/>
      <w:keepLines/>
      <w:tabs>
        <w:tab w:val="left" w:pos="737"/>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Normal"/>
    <w:link w:val="Heading3Char"/>
    <w:qFormat/>
    <w:rsid w:val="0081270D"/>
    <w:pPr>
      <w:keepNext/>
      <w:keepLines/>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Normal"/>
    <w:link w:val="Heading4Char"/>
    <w:qFormat/>
    <w:rsid w:val="004E3286"/>
    <w:pPr>
      <w:spacing w:before="280"/>
      <w:outlineLvl w:val="3"/>
    </w:pPr>
    <w:rPr>
      <w:color w:val="0F7B7D"/>
      <w:sz w:val="24"/>
    </w:rPr>
  </w:style>
  <w:style w:type="paragraph" w:styleId="Heading5">
    <w:name w:val="heading 5"/>
    <w:basedOn w:val="Normal"/>
    <w:next w:val="Normal"/>
    <w:link w:val="Heading5Char"/>
    <w:qFormat/>
    <w:rsid w:val="001A1796"/>
    <w:pPr>
      <w:keepNext/>
      <w:keepLines/>
      <w:spacing w:before="280" w:after="0" w:line="240" w:lineRule="auto"/>
      <w:jc w:val="left"/>
      <w:outlineLvl w:val="4"/>
    </w:pPr>
    <w:rPr>
      <w:rFonts w:eastAsiaTheme="majorEastAsia"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lightbrown">
    <w:name w:val="Section title - light brown"/>
    <w:basedOn w:val="Sectiontitle-darkbrown"/>
    <w:next w:val="BodyText"/>
    <w:semiHidden/>
    <w:qFormat/>
    <w:rsid w:val="00D7029F"/>
    <w:rPr>
      <w:color w:val="F4D19C"/>
    </w:rPr>
  </w:style>
  <w:style w:type="paragraph" w:customStyle="1" w:styleId="Sectiontitle-darkbrown">
    <w:name w:val="Section title - dark brown"/>
    <w:basedOn w:val="Heading1"/>
    <w:semiHidden/>
    <w:qFormat/>
    <w:rsid w:val="005E32A1"/>
    <w:pPr>
      <w:keepLines w:val="0"/>
      <w:spacing w:after="0"/>
    </w:pPr>
    <w:rPr>
      <w:sz w:val="72"/>
    </w:rPr>
  </w:style>
  <w:style w:type="paragraph" w:styleId="BodyText">
    <w:name w:val="Body Text"/>
    <w:basedOn w:val="Normal"/>
    <w:link w:val="BodyTextChar"/>
    <w:qFormat/>
    <w:rsid w:val="004E27B6"/>
    <w:pPr>
      <w:jc w:val="left"/>
    </w:pPr>
  </w:style>
  <w:style w:type="character" w:customStyle="1" w:styleId="BodyTextChar">
    <w:name w:val="Body Text Char"/>
    <w:basedOn w:val="DefaultParagraphFont"/>
    <w:link w:val="BodyText"/>
    <w:rsid w:val="004E27B6"/>
    <w:rPr>
      <w:rFonts w:ascii="Calibri" w:eastAsiaTheme="minorEastAsia" w:hAnsi="Calibri"/>
      <w:lang w:eastAsia="en-NZ"/>
    </w:rPr>
  </w:style>
  <w:style w:type="character" w:customStyle="1" w:styleId="Heading1Char">
    <w:name w:val="Heading 1 Char"/>
    <w:basedOn w:val="DefaultParagraphFont"/>
    <w:link w:val="Heading1"/>
    <w:rsid w:val="004E3286"/>
    <w:rPr>
      <w:rFonts w:ascii="Calibri" w:eastAsiaTheme="majorEastAsia" w:hAnsi="Calibri" w:cstheme="majorBidi"/>
      <w:b/>
      <w:bCs/>
      <w:color w:val="17556C"/>
      <w:sz w:val="48"/>
      <w:szCs w:val="28"/>
      <w:bdr w:val="none" w:sz="0" w:space="0" w:color="auto" w:frame="1"/>
      <w:lang w:eastAsia="en-NZ"/>
    </w:rPr>
  </w:style>
  <w:style w:type="character" w:customStyle="1" w:styleId="Heading2Char">
    <w:name w:val="Heading 2 Char"/>
    <w:basedOn w:val="DefaultParagraphFont"/>
    <w:link w:val="Heading2"/>
    <w:rsid w:val="004E3286"/>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rsid w:val="0081270D"/>
    <w:rPr>
      <w:rFonts w:ascii="Calibri" w:eastAsiaTheme="majorEastAsia" w:hAnsi="Calibri" w:cstheme="majorBidi"/>
      <w:b/>
      <w:bCs/>
      <w:sz w:val="28"/>
      <w:lang w:eastAsia="en-NZ"/>
    </w:rPr>
  </w:style>
  <w:style w:type="character" w:customStyle="1" w:styleId="Heading4Char">
    <w:name w:val="Heading 4 Char"/>
    <w:basedOn w:val="DefaultParagraphFont"/>
    <w:link w:val="Heading4"/>
    <w:rsid w:val="004E3286"/>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rsid w:val="001A1796"/>
    <w:rPr>
      <w:rFonts w:ascii="Calibri" w:eastAsiaTheme="majorEastAsia" w:hAnsi="Calibri" w:cstheme="majorBidi"/>
      <w:i/>
      <w:sz w:val="24"/>
      <w:lang w:eastAsia="en-NZ"/>
    </w:rPr>
  </w:style>
  <w:style w:type="paragraph" w:styleId="ListParagraph">
    <w:name w:val="List Paragraph"/>
    <w:basedOn w:val="Normal"/>
    <w:link w:val="ListParagraphChar"/>
    <w:uiPriority w:val="34"/>
    <w:semiHidden/>
    <w:qFormat/>
    <w:rsid w:val="00361511"/>
    <w:pPr>
      <w:ind w:left="397" w:hanging="397"/>
      <w:jc w:val="left"/>
    </w:pPr>
  </w:style>
  <w:style w:type="character" w:customStyle="1" w:styleId="ListParagraphChar">
    <w:name w:val="List Paragraph Char"/>
    <w:link w:val="ListParagraph"/>
    <w:uiPriority w:val="34"/>
    <w:semiHidden/>
    <w:locked/>
    <w:rsid w:val="00361511"/>
    <w:rPr>
      <w:rFonts w:ascii="Calibri" w:eastAsiaTheme="minorEastAsia" w:hAnsi="Calibri"/>
      <w:color w:val="00264C"/>
      <w:lang w:eastAsia="en-NZ"/>
    </w:rPr>
  </w:style>
  <w:style w:type="character" w:styleId="Hyperlink">
    <w:name w:val="Hyperlink"/>
    <w:basedOn w:val="DefaultParagraphFont"/>
    <w:uiPriority w:val="99"/>
    <w:rsid w:val="00310263"/>
    <w:rPr>
      <w:color w:val="1C556C"/>
      <w:u w:val="none"/>
    </w:rPr>
  </w:style>
  <w:style w:type="table" w:styleId="TableGrid">
    <w:name w:val="Table Grid"/>
    <w:basedOn w:val="TableNormal"/>
    <w:uiPriority w:val="59"/>
    <w:rsid w:val="009B0142"/>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4E27B6"/>
    <w:pPr>
      <w:spacing w:before="0" w:after="60" w:line="240" w:lineRule="atLeast"/>
      <w:ind w:left="284" w:hanging="284"/>
      <w:jc w:val="left"/>
    </w:pPr>
    <w:rPr>
      <w:rFonts w:eastAsia="Times New Roman" w:cs="Times New Roman"/>
      <w:sz w:val="18"/>
      <w:szCs w:val="20"/>
      <w:lang w:val="x-none" w:eastAsia="en-US"/>
    </w:rPr>
  </w:style>
  <w:style w:type="character" w:customStyle="1" w:styleId="FootnoteTextChar">
    <w:name w:val="Footnote Text Char"/>
    <w:basedOn w:val="DefaultParagraphFont"/>
    <w:link w:val="FootnoteText"/>
    <w:uiPriority w:val="99"/>
    <w:rsid w:val="009147AE"/>
    <w:rPr>
      <w:rFonts w:ascii="Calibri" w:eastAsia="Times New Roman" w:hAnsi="Calibri" w:cs="Times New Roman"/>
      <w:sz w:val="18"/>
      <w:szCs w:val="20"/>
      <w:lang w:val="x-none"/>
    </w:rPr>
  </w:style>
  <w:style w:type="character" w:styleId="FootnoteReference">
    <w:name w:val="footnote reference"/>
    <w:basedOn w:val="DefaultParagraphFont"/>
    <w:uiPriority w:val="99"/>
    <w:rsid w:val="00F440ED"/>
    <w:rPr>
      <w:rFonts w:ascii="Calibri" w:hAnsi="Calibri"/>
      <w:sz w:val="22"/>
      <w:vertAlign w:val="superscript"/>
    </w:rPr>
  </w:style>
  <w:style w:type="paragraph" w:styleId="BalloonText">
    <w:name w:val="Balloon Text"/>
    <w:basedOn w:val="Normal"/>
    <w:link w:val="BalloonTextChar"/>
    <w:uiPriority w:val="99"/>
    <w:semiHidden/>
    <w:unhideWhenUsed/>
    <w:rsid w:val="00B40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30"/>
    <w:rPr>
      <w:rFonts w:ascii="Tahoma" w:eastAsiaTheme="minorEastAsia" w:hAnsi="Tahoma" w:cs="Tahoma"/>
      <w:sz w:val="16"/>
      <w:szCs w:val="16"/>
      <w:lang w:eastAsia="en-NZ"/>
    </w:rPr>
  </w:style>
  <w:style w:type="paragraph" w:styleId="Title">
    <w:name w:val="Title"/>
    <w:basedOn w:val="Normal"/>
    <w:next w:val="Normal"/>
    <w:link w:val="TitleChar"/>
    <w:uiPriority w:val="2"/>
    <w:rsid w:val="00CC51FF"/>
    <w:pPr>
      <w:spacing w:before="0" w:after="600" w:line="240" w:lineRule="auto"/>
      <w:jc w:val="left"/>
    </w:pPr>
    <w:rPr>
      <w:rFonts w:eastAsiaTheme="majorEastAsia" w:cstheme="majorBidi"/>
      <w:b/>
      <w:color w:val="00264C"/>
      <w:sz w:val="52"/>
      <w:szCs w:val="52"/>
    </w:rPr>
  </w:style>
  <w:style w:type="character" w:customStyle="1" w:styleId="TitleChar">
    <w:name w:val="Title Char"/>
    <w:basedOn w:val="DefaultParagraphFont"/>
    <w:link w:val="Title"/>
    <w:uiPriority w:val="2"/>
    <w:rsid w:val="00CF70DE"/>
    <w:rPr>
      <w:rFonts w:ascii="Calibri" w:eastAsiaTheme="majorEastAsia" w:hAnsi="Calibri" w:cstheme="majorBidi"/>
      <w:b/>
      <w:color w:val="00264C"/>
      <w:sz w:val="52"/>
      <w:szCs w:val="52"/>
      <w:lang w:eastAsia="en-NZ"/>
    </w:rPr>
  </w:style>
  <w:style w:type="paragraph" w:customStyle="1" w:styleId="Bullet">
    <w:name w:val="Bullet"/>
    <w:basedOn w:val="Normal"/>
    <w:qFormat/>
    <w:rsid w:val="004E27B6"/>
    <w:pPr>
      <w:numPr>
        <w:numId w:val="1"/>
      </w:numPr>
      <w:tabs>
        <w:tab w:val="clear" w:pos="567"/>
        <w:tab w:val="left" w:pos="397"/>
      </w:tabs>
      <w:spacing w:before="0" w:line="280" w:lineRule="exact"/>
      <w:ind w:left="397" w:hanging="397"/>
      <w:jc w:val="left"/>
    </w:pPr>
    <w:rPr>
      <w:rFonts w:eastAsia="Times New Roman" w:cs="Times New Roman"/>
      <w:szCs w:val="20"/>
    </w:rPr>
  </w:style>
  <w:style w:type="paragraph" w:customStyle="1" w:styleId="Footereven">
    <w:name w:val="Footer even"/>
    <w:basedOn w:val="Normal"/>
    <w:uiPriority w:val="1"/>
    <w:rsid w:val="004E27B6"/>
    <w:pPr>
      <w:tabs>
        <w:tab w:val="left" w:pos="567"/>
      </w:tabs>
      <w:spacing w:after="0" w:line="240" w:lineRule="auto"/>
      <w:jc w:val="left"/>
    </w:pPr>
    <w:rPr>
      <w:rFonts w:eastAsia="Times New Roman" w:cs="Arial"/>
      <w:sz w:val="18"/>
      <w:szCs w:val="16"/>
      <w:lang w:eastAsia="en-US"/>
    </w:rPr>
  </w:style>
  <w:style w:type="paragraph" w:customStyle="1" w:styleId="Footerodd">
    <w:name w:val="Footer odd"/>
    <w:basedOn w:val="Normal"/>
    <w:uiPriority w:val="1"/>
    <w:rsid w:val="00EE799C"/>
    <w:pPr>
      <w:tabs>
        <w:tab w:val="right" w:pos="7938"/>
        <w:tab w:val="right" w:pos="8505"/>
      </w:tabs>
      <w:spacing w:after="0" w:line="240" w:lineRule="auto"/>
      <w:jc w:val="left"/>
    </w:pPr>
    <w:rPr>
      <w:rFonts w:eastAsia="Times New Roman" w:cs="Arial"/>
      <w:sz w:val="18"/>
      <w:szCs w:val="16"/>
      <w:lang w:eastAsia="en-US"/>
    </w:rPr>
  </w:style>
  <w:style w:type="character" w:styleId="PageNumber">
    <w:name w:val="page number"/>
    <w:basedOn w:val="DefaultParagraphFont"/>
    <w:semiHidden/>
    <w:rsid w:val="005078F6"/>
    <w:rPr>
      <w:rFonts w:ascii="Arial" w:hAnsi="Arial" w:cs="Arial"/>
      <w:b/>
      <w:bCs/>
      <w:sz w:val="20"/>
      <w:szCs w:val="20"/>
    </w:rPr>
  </w:style>
  <w:style w:type="paragraph" w:customStyle="1" w:styleId="Tablebullet">
    <w:name w:val="Tablebullet"/>
    <w:basedOn w:val="Tabletext"/>
    <w:rsid w:val="008F22BA"/>
    <w:pPr>
      <w:numPr>
        <w:numId w:val="2"/>
      </w:numPr>
      <w:tabs>
        <w:tab w:val="clear" w:pos="338"/>
        <w:tab w:val="clear" w:pos="397"/>
      </w:tabs>
      <w:spacing w:before="0"/>
      <w:ind w:left="284" w:hanging="284"/>
    </w:pPr>
  </w:style>
  <w:style w:type="paragraph" w:customStyle="1" w:styleId="Tabletext">
    <w:name w:val="Tabletext"/>
    <w:basedOn w:val="Normal"/>
    <w:rsid w:val="0044649B"/>
    <w:pPr>
      <w:tabs>
        <w:tab w:val="left" w:pos="397"/>
      </w:tabs>
      <w:spacing w:before="60" w:after="60" w:line="220" w:lineRule="atLeast"/>
      <w:jc w:val="left"/>
    </w:pPr>
    <w:rPr>
      <w:rFonts w:eastAsia="Times New Roman" w:cs="Times New Roman"/>
      <w:sz w:val="18"/>
      <w:szCs w:val="20"/>
      <w:lang w:eastAsia="en-US"/>
    </w:rPr>
  </w:style>
  <w:style w:type="paragraph" w:customStyle="1" w:styleId="TableDash">
    <w:name w:val="TableDash"/>
    <w:basedOn w:val="Tabletext"/>
    <w:rsid w:val="008F22BA"/>
    <w:pPr>
      <w:numPr>
        <w:ilvl w:val="1"/>
        <w:numId w:val="2"/>
      </w:numPr>
      <w:spacing w:before="0" w:line="240" w:lineRule="auto"/>
      <w:ind w:left="568" w:hanging="284"/>
    </w:pPr>
  </w:style>
  <w:style w:type="paragraph" w:customStyle="1" w:styleId="Tablehead">
    <w:name w:val="Tablehead"/>
    <w:basedOn w:val="Normal"/>
    <w:semiHidden/>
    <w:rsid w:val="00BB2F3D"/>
    <w:pPr>
      <w:keepNext/>
      <w:spacing w:before="60" w:after="60" w:line="240" w:lineRule="auto"/>
      <w:jc w:val="left"/>
      <w:outlineLvl w:val="0"/>
    </w:pPr>
    <w:rPr>
      <w:rFonts w:eastAsia="Times New Roman" w:cs="Times New Roman"/>
      <w:b/>
      <w:bCs/>
      <w:sz w:val="18"/>
      <w:szCs w:val="20"/>
      <w:lang w:eastAsia="en-US"/>
    </w:rPr>
  </w:style>
  <w:style w:type="paragraph" w:styleId="Subtitle">
    <w:name w:val="Subtitle"/>
    <w:basedOn w:val="Normal"/>
    <w:next w:val="Normal"/>
    <w:link w:val="SubtitleChar"/>
    <w:uiPriority w:val="3"/>
    <w:rsid w:val="00CC51FF"/>
    <w:pPr>
      <w:numPr>
        <w:ilvl w:val="1"/>
      </w:numPr>
      <w:jc w:val="left"/>
    </w:pPr>
    <w:rPr>
      <w:rFonts w:eastAsiaTheme="majorEastAsia" w:cstheme="majorBidi"/>
      <w:b/>
      <w:iCs/>
      <w:color w:val="00264C"/>
      <w:sz w:val="36"/>
      <w:szCs w:val="24"/>
    </w:rPr>
  </w:style>
  <w:style w:type="character" w:customStyle="1" w:styleId="SubtitleChar">
    <w:name w:val="Subtitle Char"/>
    <w:basedOn w:val="DefaultParagraphFont"/>
    <w:link w:val="Subtitle"/>
    <w:uiPriority w:val="3"/>
    <w:rsid w:val="00FD1F1B"/>
    <w:rPr>
      <w:rFonts w:ascii="Calibri" w:eastAsiaTheme="majorEastAsia" w:hAnsi="Calibri" w:cstheme="majorBidi"/>
      <w:b/>
      <w:iCs/>
      <w:color w:val="00264C"/>
      <w:sz w:val="36"/>
      <w:szCs w:val="24"/>
      <w:lang w:eastAsia="en-NZ"/>
    </w:rPr>
  </w:style>
  <w:style w:type="paragraph" w:customStyle="1" w:styleId="Sub-bullet">
    <w:name w:val="Sub-bullet"/>
    <w:basedOn w:val="ListParagraph"/>
    <w:next w:val="BodyText"/>
    <w:qFormat/>
    <w:rsid w:val="004E27B6"/>
    <w:pPr>
      <w:numPr>
        <w:ilvl w:val="1"/>
        <w:numId w:val="3"/>
      </w:numPr>
      <w:tabs>
        <w:tab w:val="clear" w:pos="1440"/>
      </w:tabs>
      <w:spacing w:before="0"/>
      <w:ind w:left="794" w:hanging="397"/>
    </w:pPr>
    <w:rPr>
      <w:rFonts w:eastAsia="Times New Roman" w:cs="Times New Roman"/>
    </w:rPr>
  </w:style>
  <w:style w:type="paragraph" w:customStyle="1" w:styleId="Greentext-tables">
    <w:name w:val="Green text - tables"/>
    <w:basedOn w:val="BodyText"/>
    <w:rsid w:val="005D02C3"/>
    <w:pPr>
      <w:ind w:left="284" w:right="284"/>
    </w:pPr>
    <w:rPr>
      <w:color w:val="2C997B"/>
      <w:sz w:val="20"/>
    </w:rPr>
  </w:style>
  <w:style w:type="paragraph" w:customStyle="1" w:styleId="Greenheading-tables">
    <w:name w:val="Green heading - tables"/>
    <w:basedOn w:val="Greentext-tables"/>
    <w:rsid w:val="005D02C3"/>
    <w:pPr>
      <w:keepNext/>
      <w:spacing w:before="240" w:after="0"/>
    </w:pPr>
    <w:rPr>
      <w:rFonts w:eastAsia="Times New Roman"/>
      <w:b/>
    </w:rPr>
  </w:style>
  <w:style w:type="paragraph" w:styleId="Footer">
    <w:name w:val="footer"/>
    <w:basedOn w:val="Normal"/>
    <w:link w:val="FooterChar"/>
    <w:semiHidden/>
    <w:rsid w:val="00945D28"/>
    <w:pPr>
      <w:tabs>
        <w:tab w:val="center" w:pos="4513"/>
        <w:tab w:val="right" w:pos="9026"/>
      </w:tabs>
      <w:spacing w:before="0" w:after="0" w:line="240" w:lineRule="auto"/>
    </w:pPr>
  </w:style>
  <w:style w:type="character" w:customStyle="1" w:styleId="FooterChar">
    <w:name w:val="Footer Char"/>
    <w:basedOn w:val="DefaultParagraphFont"/>
    <w:link w:val="Footer"/>
    <w:semiHidden/>
    <w:rsid w:val="002A234F"/>
    <w:rPr>
      <w:rFonts w:ascii="Calibri" w:eastAsiaTheme="minorEastAsia" w:hAnsi="Calibri"/>
      <w:color w:val="00264C"/>
      <w:lang w:eastAsia="en-NZ"/>
    </w:rPr>
  </w:style>
  <w:style w:type="paragraph" w:customStyle="1" w:styleId="Box">
    <w:name w:val="Box"/>
    <w:basedOn w:val="Normal"/>
    <w:uiPriority w:val="1"/>
    <w:rsid w:val="00AB35CD"/>
    <w:pPr>
      <w:pBdr>
        <w:top w:val="single" w:sz="4" w:space="15" w:color="A4BBC4"/>
        <w:left w:val="single" w:sz="4" w:space="15" w:color="A4BBC4"/>
        <w:bottom w:val="single" w:sz="4" w:space="15" w:color="A4BBC4"/>
        <w:right w:val="single" w:sz="4" w:space="15" w:color="A4BBC4"/>
      </w:pBdr>
      <w:shd w:val="clear" w:color="auto" w:fill="A4BBC4"/>
      <w:spacing w:after="60"/>
      <w:ind w:left="851" w:right="284" w:hanging="567"/>
      <w:jc w:val="left"/>
    </w:pPr>
    <w:rPr>
      <w:color w:val="17556C"/>
      <w:sz w:val="20"/>
    </w:rPr>
  </w:style>
  <w:style w:type="paragraph" w:customStyle="1" w:styleId="Boxbullet">
    <w:name w:val="Box bullet"/>
    <w:basedOn w:val="Box"/>
    <w:uiPriority w:val="1"/>
    <w:rsid w:val="00E4016E"/>
    <w:pPr>
      <w:numPr>
        <w:numId w:val="12"/>
      </w:numPr>
      <w:spacing w:before="0"/>
      <w:ind w:left="681" w:hanging="397"/>
    </w:pPr>
  </w:style>
  <w:style w:type="paragraph" w:customStyle="1" w:styleId="Boxheading">
    <w:name w:val="Box heading"/>
    <w:basedOn w:val="Box"/>
    <w:next w:val="Box"/>
    <w:uiPriority w:val="1"/>
    <w:rsid w:val="00F120C9"/>
    <w:pPr>
      <w:keepNext/>
      <w:spacing w:after="0"/>
    </w:pPr>
    <w:rPr>
      <w:b/>
    </w:rPr>
  </w:style>
  <w:style w:type="paragraph" w:customStyle="1" w:styleId="Boxnumbered">
    <w:name w:val="Box numbered"/>
    <w:basedOn w:val="Boxbullet"/>
    <w:next w:val="BodyText"/>
    <w:semiHidden/>
    <w:qFormat/>
    <w:rsid w:val="006E69DE"/>
    <w:pPr>
      <w:numPr>
        <w:numId w:val="4"/>
      </w:numPr>
    </w:pPr>
  </w:style>
  <w:style w:type="paragraph" w:styleId="Quote">
    <w:name w:val="Quote"/>
    <w:basedOn w:val="Normal"/>
    <w:next w:val="Normal"/>
    <w:link w:val="QuoteChar"/>
    <w:qFormat/>
    <w:rsid w:val="004E27B6"/>
    <w:pPr>
      <w:ind w:left="397" w:right="397"/>
      <w:jc w:val="left"/>
    </w:pPr>
    <w:rPr>
      <w:iCs/>
      <w:sz w:val="20"/>
    </w:rPr>
  </w:style>
  <w:style w:type="character" w:customStyle="1" w:styleId="QuoteChar">
    <w:name w:val="Quote Char"/>
    <w:basedOn w:val="DefaultParagraphFont"/>
    <w:link w:val="Quote"/>
    <w:rsid w:val="004E27B6"/>
    <w:rPr>
      <w:rFonts w:ascii="Calibri" w:eastAsiaTheme="minorEastAsia" w:hAnsi="Calibri"/>
      <w:iCs/>
      <w:sz w:val="20"/>
      <w:lang w:eastAsia="en-NZ"/>
    </w:rPr>
  </w:style>
  <w:style w:type="paragraph" w:styleId="EndnoteText">
    <w:name w:val="endnote text"/>
    <w:basedOn w:val="Normal"/>
    <w:link w:val="EndnoteTextChar"/>
    <w:semiHidden/>
    <w:rsid w:val="00CE2551"/>
    <w:pPr>
      <w:spacing w:after="0" w:line="240" w:lineRule="exact"/>
      <w:ind w:left="397" w:hanging="397"/>
      <w:jc w:val="left"/>
    </w:pPr>
    <w:rPr>
      <w:sz w:val="20"/>
      <w:szCs w:val="20"/>
    </w:rPr>
  </w:style>
  <w:style w:type="character" w:customStyle="1" w:styleId="EndnoteTextChar">
    <w:name w:val="Endnote Text Char"/>
    <w:basedOn w:val="DefaultParagraphFont"/>
    <w:link w:val="EndnoteText"/>
    <w:semiHidden/>
    <w:rsid w:val="002B1CB7"/>
    <w:rPr>
      <w:rFonts w:ascii="Calibri" w:eastAsiaTheme="minorEastAsia" w:hAnsi="Calibri"/>
      <w:color w:val="00264C"/>
      <w:sz w:val="20"/>
      <w:szCs w:val="20"/>
      <w:lang w:eastAsia="en-NZ"/>
    </w:rPr>
  </w:style>
  <w:style w:type="character" w:styleId="EndnoteReference">
    <w:name w:val="endnote reference"/>
    <w:basedOn w:val="DefaultParagraphFont"/>
    <w:uiPriority w:val="99"/>
    <w:semiHidden/>
    <w:unhideWhenUsed/>
    <w:rsid w:val="00544692"/>
    <w:rPr>
      <w:vertAlign w:val="superscript"/>
    </w:rPr>
  </w:style>
  <w:style w:type="paragraph" w:customStyle="1" w:styleId="Blueboxbullet">
    <w:name w:val="Blue box bullet"/>
    <w:basedOn w:val="Bullet"/>
    <w:rsid w:val="00735BCC"/>
    <w:pPr>
      <w:numPr>
        <w:numId w:val="5"/>
      </w:numPr>
      <w:pBdr>
        <w:top w:val="single" w:sz="4" w:space="15" w:color="D2DDE2"/>
        <w:left w:val="single" w:sz="4" w:space="15" w:color="D2DDE2"/>
        <w:bottom w:val="single" w:sz="4" w:space="15" w:color="D2DDE2"/>
        <w:right w:val="single" w:sz="4" w:space="15" w:color="D2DDE2"/>
      </w:pBdr>
      <w:shd w:val="clear" w:color="auto" w:fill="D2DDE2"/>
      <w:tabs>
        <w:tab w:val="clear" w:pos="397"/>
      </w:tabs>
      <w:ind w:right="284"/>
    </w:pPr>
    <w:rPr>
      <w:color w:val="1C556C"/>
      <w:sz w:val="20"/>
    </w:rPr>
  </w:style>
  <w:style w:type="paragraph" w:customStyle="1" w:styleId="Brownboxheading">
    <w:name w:val="Brown box heading"/>
    <w:basedOn w:val="Boxheading"/>
    <w:uiPriority w:val="1"/>
    <w:semiHidden/>
    <w:qFormat/>
    <w:rsid w:val="003F0C32"/>
    <w:pPr>
      <w:keepLines/>
      <w:pBdr>
        <w:top w:val="single" w:sz="4" w:space="15" w:color="F3CC97"/>
        <w:left w:val="single" w:sz="4" w:space="15" w:color="F3CC97"/>
        <w:bottom w:val="single" w:sz="4" w:space="15" w:color="F3CC97"/>
        <w:right w:val="single" w:sz="4" w:space="15" w:color="F3CC97"/>
      </w:pBdr>
      <w:shd w:val="clear" w:color="B47015" w:fill="F3CC97"/>
    </w:pPr>
    <w:rPr>
      <w:color w:val="B47015"/>
    </w:rPr>
  </w:style>
  <w:style w:type="paragraph" w:customStyle="1" w:styleId="Brownboxtext">
    <w:name w:val="Brown box text"/>
    <w:basedOn w:val="Box"/>
    <w:uiPriority w:val="1"/>
    <w:semiHidden/>
    <w:qFormat/>
    <w:rsid w:val="005E32A1"/>
    <w:pPr>
      <w:pBdr>
        <w:top w:val="single" w:sz="4" w:space="15" w:color="F3CC97"/>
        <w:left w:val="single" w:sz="4" w:space="15" w:color="F3CC97"/>
        <w:bottom w:val="single" w:sz="4" w:space="15" w:color="F3CC97"/>
        <w:right w:val="single" w:sz="4" w:space="15" w:color="F3CC97"/>
      </w:pBdr>
      <w:shd w:val="clear" w:color="B47015" w:fill="F3CC97"/>
    </w:pPr>
    <w:rPr>
      <w:color w:val="B47015"/>
    </w:rPr>
  </w:style>
  <w:style w:type="paragraph" w:customStyle="1" w:styleId="Casestudyheading">
    <w:name w:val="Case study heading"/>
    <w:basedOn w:val="BodyText"/>
    <w:rsid w:val="00661920"/>
    <w:pPr>
      <w:keepNext/>
      <w:spacing w:before="160" w:line="240" w:lineRule="auto"/>
      <w:ind w:left="284"/>
    </w:pPr>
    <w:rPr>
      <w:b/>
      <w:caps/>
    </w:rPr>
  </w:style>
  <w:style w:type="paragraph" w:customStyle="1" w:styleId="Blueboxtext">
    <w:name w:val="Blue box text"/>
    <w:basedOn w:val="BodyText"/>
    <w:rsid w:val="00DB1C76"/>
    <w:pPr>
      <w:pBdr>
        <w:top w:val="single" w:sz="4" w:space="15" w:color="D2DDE2"/>
        <w:left w:val="single" w:sz="4" w:space="15" w:color="D2DDE2"/>
        <w:bottom w:val="single" w:sz="4" w:space="15" w:color="D2DDE2"/>
        <w:right w:val="single" w:sz="4" w:space="15" w:color="D2DDE2"/>
      </w:pBdr>
      <w:shd w:val="clear" w:color="auto" w:fill="D2DDE2"/>
      <w:ind w:left="284" w:right="284"/>
    </w:pPr>
    <w:rPr>
      <w:color w:val="1C556C"/>
      <w:sz w:val="20"/>
    </w:rPr>
  </w:style>
  <w:style w:type="paragraph" w:customStyle="1" w:styleId="Questionsub-bullet">
    <w:name w:val="Question sub-bullet"/>
    <w:basedOn w:val="Sub-bullet"/>
    <w:semiHidden/>
    <w:qFormat/>
    <w:rsid w:val="00CE2551"/>
    <w:pPr>
      <w:ind w:left="1077" w:right="284"/>
    </w:pPr>
    <w:rPr>
      <w:color w:val="E36F1E"/>
    </w:rPr>
  </w:style>
  <w:style w:type="paragraph" w:customStyle="1" w:styleId="Heading1-lightbrown">
    <w:name w:val="Heading 1 - light brown"/>
    <w:basedOn w:val="Heading1"/>
    <w:next w:val="BodyText"/>
    <w:semiHidden/>
    <w:qFormat/>
    <w:rsid w:val="008D424D"/>
    <w:rPr>
      <w:color w:val="F1B78E"/>
    </w:rPr>
  </w:style>
  <w:style w:type="paragraph" w:customStyle="1" w:styleId="Browntextnumbered">
    <w:name w:val="Brown text numbered"/>
    <w:basedOn w:val="BodyText"/>
    <w:semiHidden/>
    <w:qFormat/>
    <w:rsid w:val="000B6BF8"/>
    <w:pPr>
      <w:numPr>
        <w:numId w:val="6"/>
      </w:numPr>
      <w:spacing w:before="0"/>
      <w:ind w:left="681" w:right="284" w:hanging="397"/>
    </w:pPr>
    <w:rPr>
      <w:rFonts w:eastAsia="Times New Roman"/>
      <w:color w:val="B47015"/>
    </w:rPr>
  </w:style>
  <w:style w:type="paragraph" w:customStyle="1" w:styleId="Quotebullet">
    <w:name w:val="Quote bullet"/>
    <w:basedOn w:val="Bullet"/>
    <w:qFormat/>
    <w:rsid w:val="003D4825"/>
    <w:pPr>
      <w:tabs>
        <w:tab w:val="clear" w:pos="397"/>
      </w:tabs>
      <w:ind w:left="794" w:right="397"/>
    </w:pPr>
    <w:rPr>
      <w:sz w:val="20"/>
    </w:rPr>
  </w:style>
  <w:style w:type="paragraph" w:styleId="TOC1">
    <w:name w:val="toc 1"/>
    <w:basedOn w:val="Normal"/>
    <w:next w:val="Normal"/>
    <w:uiPriority w:val="39"/>
    <w:unhideWhenUsed/>
    <w:rsid w:val="00F94E7F"/>
    <w:pPr>
      <w:tabs>
        <w:tab w:val="left" w:pos="567"/>
        <w:tab w:val="right" w:pos="8494"/>
      </w:tabs>
      <w:spacing w:before="240" w:after="0" w:line="240" w:lineRule="auto"/>
      <w:ind w:right="567"/>
      <w:jc w:val="left"/>
    </w:pPr>
  </w:style>
  <w:style w:type="paragraph" w:styleId="TOC2">
    <w:name w:val="toc 2"/>
    <w:basedOn w:val="Normal"/>
    <w:next w:val="Normal"/>
    <w:uiPriority w:val="39"/>
    <w:unhideWhenUsed/>
    <w:rsid w:val="00375ED6"/>
    <w:pPr>
      <w:tabs>
        <w:tab w:val="left" w:pos="567"/>
        <w:tab w:val="right" w:pos="8494"/>
      </w:tabs>
      <w:spacing w:before="60" w:after="60" w:line="240" w:lineRule="auto"/>
      <w:ind w:left="567" w:right="567"/>
      <w:jc w:val="left"/>
    </w:pPr>
  </w:style>
  <w:style w:type="paragraph" w:styleId="TOC3">
    <w:name w:val="toc 3"/>
    <w:basedOn w:val="Normal"/>
    <w:next w:val="Normal"/>
    <w:autoRedefine/>
    <w:semiHidden/>
    <w:rsid w:val="0055121D"/>
    <w:pPr>
      <w:tabs>
        <w:tab w:val="left" w:pos="1134"/>
        <w:tab w:val="right" w:pos="9060"/>
      </w:tabs>
      <w:spacing w:before="60" w:after="60" w:line="240" w:lineRule="auto"/>
      <w:ind w:left="567" w:right="567"/>
      <w:jc w:val="left"/>
    </w:pPr>
  </w:style>
  <w:style w:type="paragraph" w:customStyle="1" w:styleId="Blueboxheading">
    <w:name w:val="Blue box heading"/>
    <w:basedOn w:val="Blueboxtext"/>
    <w:rsid w:val="007932EA"/>
    <w:pPr>
      <w:keepNext/>
      <w:spacing w:before="240" w:after="0"/>
    </w:pPr>
    <w:rPr>
      <w:rFonts w:eastAsia="Times New Roman"/>
      <w:b/>
    </w:rPr>
  </w:style>
  <w:style w:type="paragraph" w:customStyle="1" w:styleId="Bodytextnumbered">
    <w:name w:val="Body text numbered"/>
    <w:basedOn w:val="BodyText"/>
    <w:uiPriority w:val="1"/>
    <w:rsid w:val="00D72179"/>
    <w:pPr>
      <w:numPr>
        <w:numId w:val="15"/>
      </w:numPr>
      <w:spacing w:before="0"/>
    </w:pPr>
  </w:style>
  <w:style w:type="paragraph" w:customStyle="1" w:styleId="References">
    <w:name w:val="References"/>
    <w:basedOn w:val="Normal"/>
    <w:rsid w:val="00CE2551"/>
    <w:pPr>
      <w:jc w:val="left"/>
    </w:pPr>
    <w:rPr>
      <w:rFonts w:eastAsia="Times New Roman" w:cs="Times New Roman"/>
      <w:szCs w:val="20"/>
      <w:lang w:eastAsia="en-US"/>
    </w:rPr>
  </w:style>
  <w:style w:type="paragraph" w:customStyle="1" w:styleId="Bodytexta">
    <w:name w:val="Body text a"/>
    <w:aliases w:val="b,Sub-list a"/>
    <w:basedOn w:val="BodyText"/>
    <w:uiPriority w:val="1"/>
    <w:rsid w:val="00461557"/>
    <w:pPr>
      <w:numPr>
        <w:numId w:val="7"/>
      </w:numPr>
      <w:spacing w:before="0"/>
      <w:ind w:left="1474" w:hanging="397"/>
    </w:pPr>
  </w:style>
  <w:style w:type="paragraph" w:customStyle="1" w:styleId="HeadingnotforTOC">
    <w:name w:val="Heading not for TOC"/>
    <w:basedOn w:val="BodyText"/>
    <w:semiHidden/>
    <w:qFormat/>
    <w:rsid w:val="00AD49E4"/>
    <w:pPr>
      <w:keepNext/>
      <w:spacing w:before="0" w:after="360" w:line="240" w:lineRule="auto"/>
    </w:pPr>
    <w:rPr>
      <w:b/>
      <w:color w:val="F4D19C"/>
      <w:sz w:val="64"/>
      <w:szCs w:val="64"/>
    </w:rPr>
  </w:style>
  <w:style w:type="paragraph" w:customStyle="1" w:styleId="Questiontext">
    <w:name w:val="Question text"/>
    <w:basedOn w:val="Blueboxtext"/>
    <w:semiHidden/>
    <w:qFormat/>
    <w:rsid w:val="005D43FA"/>
    <w:rPr>
      <w:color w:val="E36F1E"/>
    </w:rPr>
  </w:style>
  <w:style w:type="paragraph" w:customStyle="1" w:styleId="Questionbullet">
    <w:name w:val="Question bullet"/>
    <w:basedOn w:val="Blueboxbullet"/>
    <w:semiHidden/>
    <w:qFormat/>
    <w:rsid w:val="00BE1EFD"/>
    <w:pPr>
      <w:numPr>
        <w:numId w:val="8"/>
      </w:numPr>
      <w:ind w:left="681" w:hanging="397"/>
    </w:pPr>
    <w:rPr>
      <w:color w:val="E36F1E"/>
    </w:rPr>
  </w:style>
  <w:style w:type="paragraph" w:customStyle="1" w:styleId="Questionheading">
    <w:name w:val="Question heading"/>
    <w:basedOn w:val="Blueboxheading"/>
    <w:semiHidden/>
    <w:qFormat/>
    <w:rsid w:val="005D43FA"/>
    <w:rPr>
      <w:color w:val="E36F1E"/>
    </w:rPr>
  </w:style>
  <w:style w:type="paragraph" w:customStyle="1" w:styleId="Imprint">
    <w:name w:val="Imprint"/>
    <w:basedOn w:val="Normal"/>
    <w:uiPriority w:val="3"/>
    <w:rsid w:val="004E27B6"/>
    <w:pPr>
      <w:spacing w:before="0" w:after="240" w:line="240" w:lineRule="auto"/>
      <w:jc w:val="left"/>
    </w:pPr>
    <w:rPr>
      <w:rFonts w:eastAsia="Times New Roman" w:cs="Times New Roman"/>
      <w:szCs w:val="20"/>
      <w:lang w:eastAsia="en-US"/>
    </w:rPr>
  </w:style>
  <w:style w:type="paragraph" w:customStyle="1" w:styleId="Heading">
    <w:name w:val="Heading"/>
    <w:basedOn w:val="Heading1"/>
    <w:next w:val="Normal"/>
    <w:semiHidden/>
    <w:rsid w:val="004E44DD"/>
    <w:pPr>
      <w:keepNext w:val="0"/>
      <w:keepLines w:val="0"/>
      <w:tabs>
        <w:tab w:val="clear" w:pos="851"/>
        <w:tab w:val="left" w:pos="567"/>
      </w:tabs>
      <w:spacing w:after="120"/>
      <w:outlineLvl w:val="9"/>
    </w:pPr>
    <w:rPr>
      <w:rFonts w:eastAsia="Times New Roman" w:cs="Times New Roman"/>
      <w:bCs w:val="0"/>
      <w:sz w:val="44"/>
      <w:szCs w:val="20"/>
      <w:lang w:eastAsia="en-US"/>
    </w:rPr>
  </w:style>
  <w:style w:type="paragraph" w:customStyle="1" w:styleId="Sub-list">
    <w:name w:val="Sub-list"/>
    <w:basedOn w:val="Normal"/>
    <w:semiHidden/>
    <w:rsid w:val="0040640A"/>
    <w:pPr>
      <w:numPr>
        <w:numId w:val="10"/>
      </w:numPr>
      <w:tabs>
        <w:tab w:val="left" w:pos="794"/>
      </w:tabs>
      <w:spacing w:before="60" w:after="240" w:line="240" w:lineRule="auto"/>
    </w:pPr>
    <w:rPr>
      <w:rFonts w:ascii="Times New Roman" w:eastAsia="Times New Roman" w:hAnsi="Times New Roman" w:cs="Times New Roman"/>
      <w:szCs w:val="20"/>
      <w:lang w:eastAsia="en-US"/>
    </w:rPr>
  </w:style>
  <w:style w:type="paragraph" w:customStyle="1" w:styleId="Figureheading">
    <w:name w:val="Figure heading"/>
    <w:basedOn w:val="Normal"/>
    <w:next w:val="Normal"/>
    <w:rsid w:val="004E27B6"/>
    <w:pPr>
      <w:keepNext/>
      <w:spacing w:line="240" w:lineRule="auto"/>
      <w:ind w:left="1134" w:hanging="1134"/>
      <w:jc w:val="left"/>
    </w:pPr>
    <w:rPr>
      <w:rFonts w:eastAsia="Times New Roman" w:cs="Times New Roman"/>
      <w:b/>
      <w:sz w:val="20"/>
      <w:szCs w:val="20"/>
      <w:lang w:eastAsia="en-US"/>
    </w:rPr>
  </w:style>
  <w:style w:type="paragraph" w:customStyle="1" w:styleId="Note">
    <w:name w:val="Note"/>
    <w:basedOn w:val="Normal"/>
    <w:next w:val="Normal"/>
    <w:rsid w:val="00E148E9"/>
    <w:pPr>
      <w:tabs>
        <w:tab w:val="left" w:pos="680"/>
      </w:tabs>
      <w:spacing w:after="240" w:line="240" w:lineRule="atLeast"/>
      <w:jc w:val="left"/>
    </w:pPr>
    <w:rPr>
      <w:rFonts w:eastAsia="Times New Roman" w:cs="Times New Roman"/>
      <w:sz w:val="18"/>
      <w:szCs w:val="20"/>
      <w:lang w:eastAsia="en-US"/>
    </w:rPr>
  </w:style>
  <w:style w:type="paragraph" w:customStyle="1" w:styleId="Source">
    <w:name w:val="Source"/>
    <w:basedOn w:val="Normal"/>
    <w:next w:val="Normal"/>
    <w:semiHidden/>
    <w:rsid w:val="0040640A"/>
    <w:pPr>
      <w:tabs>
        <w:tab w:val="left" w:pos="680"/>
      </w:tabs>
      <w:spacing w:after="240" w:line="240" w:lineRule="auto"/>
      <w:jc w:val="left"/>
    </w:pPr>
    <w:rPr>
      <w:rFonts w:ascii="Arial" w:eastAsia="Times New Roman" w:hAnsi="Arial" w:cs="Times New Roman"/>
      <w:sz w:val="16"/>
      <w:szCs w:val="20"/>
      <w:lang w:eastAsia="en-US"/>
    </w:rPr>
  </w:style>
  <w:style w:type="paragraph" w:customStyle="1" w:styleId="Tableheading">
    <w:name w:val="Table heading"/>
    <w:basedOn w:val="Normal"/>
    <w:next w:val="Normal"/>
    <w:rsid w:val="004E27B6"/>
    <w:pPr>
      <w:keepNext/>
      <w:spacing w:line="240" w:lineRule="auto"/>
      <w:ind w:left="1134" w:hanging="1134"/>
      <w:jc w:val="left"/>
    </w:pPr>
    <w:rPr>
      <w:rFonts w:eastAsia="Times New Roman" w:cs="Times New Roman"/>
      <w:b/>
      <w:sz w:val="20"/>
      <w:szCs w:val="20"/>
      <w:lang w:eastAsia="en-US"/>
    </w:rPr>
  </w:style>
  <w:style w:type="paragraph" w:customStyle="1" w:styleId="TableText0">
    <w:name w:val="TableText"/>
    <w:basedOn w:val="Normal"/>
    <w:semiHidden/>
    <w:rsid w:val="0040640A"/>
    <w:pPr>
      <w:spacing w:before="60" w:after="60" w:line="240" w:lineRule="auto"/>
      <w:jc w:val="left"/>
    </w:pPr>
    <w:rPr>
      <w:rFonts w:ascii="Arial" w:eastAsia="Times New Roman" w:hAnsi="Arial" w:cs="Times New Roman"/>
      <w:sz w:val="16"/>
      <w:szCs w:val="20"/>
      <w:lang w:eastAsia="en-US"/>
    </w:rPr>
  </w:style>
  <w:style w:type="paragraph" w:customStyle="1" w:styleId="TableTextbold">
    <w:name w:val="TableText bold"/>
    <w:basedOn w:val="TableText0"/>
    <w:rsid w:val="00BB2F3D"/>
    <w:rPr>
      <w:rFonts w:ascii="Calibri" w:hAnsi="Calibri"/>
      <w:b/>
      <w:sz w:val="18"/>
    </w:rPr>
  </w:style>
  <w:style w:type="paragraph" w:customStyle="1" w:styleId="Glossary">
    <w:name w:val="Glossary"/>
    <w:basedOn w:val="Normal"/>
    <w:semiHidden/>
    <w:rsid w:val="0040640A"/>
    <w:pPr>
      <w:tabs>
        <w:tab w:val="left" w:pos="2835"/>
      </w:tabs>
      <w:spacing w:before="0" w:after="240" w:line="240" w:lineRule="auto"/>
      <w:ind w:left="2835" w:hanging="2835"/>
    </w:pPr>
    <w:rPr>
      <w:rFonts w:ascii="Times New Roman" w:eastAsia="Times New Roman" w:hAnsi="Times New Roman" w:cs="Times New Roman"/>
      <w:szCs w:val="20"/>
      <w:lang w:eastAsia="en-US"/>
    </w:rPr>
  </w:style>
  <w:style w:type="paragraph" w:customStyle="1" w:styleId="Numberedparagraph">
    <w:name w:val="Numbered paragraph"/>
    <w:basedOn w:val="Normal"/>
    <w:semiHidden/>
    <w:rsid w:val="0040640A"/>
    <w:pPr>
      <w:numPr>
        <w:numId w:val="9"/>
      </w:numPr>
      <w:spacing w:line="240" w:lineRule="auto"/>
    </w:pPr>
    <w:rPr>
      <w:rFonts w:ascii="Times New Roman" w:eastAsia="Times New Roman" w:hAnsi="Times New Roman" w:cs="Times New Roman"/>
      <w:szCs w:val="20"/>
      <w:lang w:eastAsia="en-US"/>
    </w:rPr>
  </w:style>
  <w:style w:type="paragraph" w:styleId="TableofFigures">
    <w:name w:val="table of figures"/>
    <w:basedOn w:val="Normal"/>
    <w:next w:val="Normal"/>
    <w:uiPriority w:val="99"/>
    <w:rsid w:val="00470D00"/>
    <w:pPr>
      <w:tabs>
        <w:tab w:val="right" w:pos="8505"/>
      </w:tabs>
      <w:spacing w:before="80" w:after="0" w:line="240" w:lineRule="auto"/>
      <w:ind w:left="1134" w:right="567" w:hanging="1134"/>
      <w:jc w:val="left"/>
    </w:pPr>
    <w:rPr>
      <w:rFonts w:eastAsia="Times New Roman" w:cs="Times New Roman"/>
      <w:sz w:val="20"/>
      <w:szCs w:val="20"/>
      <w:lang w:eastAsia="en-US"/>
    </w:rPr>
  </w:style>
  <w:style w:type="paragraph" w:customStyle="1" w:styleId="Sub-listi">
    <w:name w:val="Sub-list i"/>
    <w:aliases w:val="ii"/>
    <w:basedOn w:val="BodyText"/>
    <w:semiHidden/>
    <w:rsid w:val="0040640A"/>
    <w:pPr>
      <w:numPr>
        <w:numId w:val="11"/>
      </w:numPr>
      <w:spacing w:before="60" w:after="60" w:line="240" w:lineRule="auto"/>
      <w:jc w:val="both"/>
    </w:pPr>
    <w:rPr>
      <w:rFonts w:ascii="Times New Roman" w:eastAsia="Times New Roman" w:hAnsi="Times New Roman" w:cs="Times New Roman"/>
      <w:szCs w:val="20"/>
      <w:lang w:eastAsia="en-US"/>
    </w:rPr>
  </w:style>
  <w:style w:type="paragraph" w:styleId="PlainText">
    <w:name w:val="Plain Text"/>
    <w:basedOn w:val="Normal"/>
    <w:link w:val="PlainTextChar"/>
    <w:uiPriority w:val="99"/>
    <w:semiHidden/>
    <w:rsid w:val="0040640A"/>
    <w:pPr>
      <w:spacing w:before="0" w:after="240" w:line="240" w:lineRule="auto"/>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EA5323"/>
    <w:rPr>
      <w:rFonts w:ascii="Consolas" w:eastAsia="Calibri" w:hAnsi="Consolas" w:cs="Times New Roman"/>
      <w:sz w:val="21"/>
      <w:szCs w:val="21"/>
      <w:lang w:eastAsia="en-NZ"/>
    </w:rPr>
  </w:style>
  <w:style w:type="paragraph" w:customStyle="1" w:styleId="Questionforconsultationfeedback">
    <w:name w:val="Question for consultation feedback"/>
    <w:basedOn w:val="BodyText"/>
    <w:semiHidden/>
    <w:qFormat/>
    <w:rsid w:val="0040640A"/>
    <w:pPr>
      <w:spacing w:before="0" w:after="240" w:line="240" w:lineRule="auto"/>
      <w:jc w:val="both"/>
    </w:pPr>
    <w:rPr>
      <w:rFonts w:ascii="Times New Roman" w:eastAsia="Times New Roman" w:hAnsi="Times New Roman" w:cs="Times New Roman"/>
      <w:i/>
      <w:szCs w:val="20"/>
      <w:lang w:eastAsia="en-US"/>
    </w:rPr>
  </w:style>
  <w:style w:type="character" w:styleId="CommentReference">
    <w:name w:val="annotation reference"/>
    <w:basedOn w:val="DefaultParagraphFont"/>
    <w:uiPriority w:val="99"/>
    <w:semiHidden/>
    <w:unhideWhenUsed/>
    <w:rsid w:val="0040640A"/>
    <w:rPr>
      <w:sz w:val="16"/>
      <w:szCs w:val="16"/>
    </w:rPr>
  </w:style>
  <w:style w:type="paragraph" w:styleId="CommentText">
    <w:name w:val="annotation text"/>
    <w:basedOn w:val="Normal"/>
    <w:link w:val="CommentTextChar"/>
    <w:uiPriority w:val="99"/>
    <w:semiHidden/>
    <w:unhideWhenUsed/>
    <w:rsid w:val="0040640A"/>
    <w:pPr>
      <w:spacing w:before="0" w:after="200" w:line="240" w:lineRule="auto"/>
      <w:jc w:val="left"/>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semiHidden/>
    <w:rsid w:val="0040640A"/>
    <w:rPr>
      <w:sz w:val="20"/>
      <w:szCs w:val="20"/>
    </w:rPr>
  </w:style>
  <w:style w:type="paragraph" w:styleId="CommentSubject">
    <w:name w:val="annotation subject"/>
    <w:basedOn w:val="CommentText"/>
    <w:next w:val="CommentText"/>
    <w:link w:val="CommentSubjectChar"/>
    <w:uiPriority w:val="99"/>
    <w:semiHidden/>
    <w:unhideWhenUsed/>
    <w:rsid w:val="0040640A"/>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0640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rsid w:val="00D33F0D"/>
    <w:rPr>
      <w:color w:val="800080" w:themeColor="followedHyperlink"/>
      <w:u w:val="none"/>
    </w:rPr>
  </w:style>
  <w:style w:type="paragraph" w:styleId="Header">
    <w:name w:val="header"/>
    <w:basedOn w:val="Normal"/>
    <w:link w:val="HeaderChar"/>
    <w:uiPriority w:val="99"/>
    <w:unhideWhenUsed/>
    <w:rsid w:val="00ED071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D071D"/>
    <w:rPr>
      <w:rFonts w:ascii="Calibri" w:eastAsiaTheme="minorEastAsia" w:hAnsi="Calibri"/>
      <w:lang w:eastAsia="en-NZ"/>
    </w:rPr>
  </w:style>
  <w:style w:type="numbering" w:customStyle="1" w:styleId="Style1">
    <w:name w:val="Style1"/>
    <w:uiPriority w:val="99"/>
    <w:rsid w:val="00507388"/>
    <w:pPr>
      <w:numPr>
        <w:numId w:val="27"/>
      </w:numPr>
    </w:pPr>
  </w:style>
  <w:style w:type="paragraph" w:styleId="Revision">
    <w:name w:val="Revision"/>
    <w:hidden/>
    <w:uiPriority w:val="99"/>
    <w:semiHidden/>
    <w:rsid w:val="000B06DB"/>
    <w:pPr>
      <w:spacing w:after="0" w:line="240" w:lineRule="auto"/>
    </w:pPr>
    <w:rPr>
      <w:rFonts w:ascii="Calibri" w:eastAsiaTheme="minorEastAsia" w:hAnsi="Calibri"/>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oa heading" w:unhideWhenUsed="0"/>
    <w:lsdException w:name="Title" w:semiHidden="0" w:uiPriority="0" w:unhideWhenUsed="0"/>
    <w:lsdException w:name="Default Paragraph Font" w:uiPriority="1"/>
    <w:lsdException w:name="Body Text" w:semiHidden="0" w:uiPriority="0" w:unhideWhenUsed="0" w:qFormat="1"/>
    <w:lsdException w:name="Subtitle" w:semiHidden="0" w:uiPriority="0" w:unhideWhenUsed="0"/>
    <w:lsdException w:name="Block Text"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qFormat/>
    <w:rsid w:val="009147AE"/>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4E3286"/>
    <w:pPr>
      <w:keepNext/>
      <w:keepLines/>
      <w:tabs>
        <w:tab w:val="left" w:pos="851"/>
      </w:tabs>
      <w:spacing w:before="0" w:after="480" w:line="240" w:lineRule="auto"/>
      <w:ind w:left="851" w:hanging="851"/>
      <w:jc w:val="left"/>
      <w:outlineLvl w:val="0"/>
    </w:pPr>
    <w:rPr>
      <w:rFonts w:eastAsiaTheme="majorEastAsia" w:cstheme="majorBidi"/>
      <w:b/>
      <w:bCs/>
      <w:color w:val="17556C"/>
      <w:sz w:val="48"/>
      <w:szCs w:val="28"/>
      <w:bdr w:val="none" w:sz="0" w:space="0" w:color="auto" w:frame="1"/>
    </w:rPr>
  </w:style>
  <w:style w:type="paragraph" w:styleId="Heading2">
    <w:name w:val="heading 2"/>
    <w:basedOn w:val="Normal"/>
    <w:next w:val="Normal"/>
    <w:link w:val="Heading2Char"/>
    <w:qFormat/>
    <w:rsid w:val="004E3286"/>
    <w:pPr>
      <w:keepNext/>
      <w:keepLines/>
      <w:tabs>
        <w:tab w:val="left" w:pos="737"/>
      </w:tabs>
      <w:spacing w:before="360" w:after="0" w:line="240" w:lineRule="auto"/>
      <w:jc w:val="left"/>
      <w:outlineLvl w:val="1"/>
    </w:pPr>
    <w:rPr>
      <w:rFonts w:eastAsiaTheme="majorEastAsia" w:cstheme="majorBidi"/>
      <w:b/>
      <w:bCs/>
      <w:color w:val="0F7B7D"/>
      <w:sz w:val="36"/>
      <w:szCs w:val="26"/>
    </w:rPr>
  </w:style>
  <w:style w:type="paragraph" w:styleId="Heading3">
    <w:name w:val="heading 3"/>
    <w:basedOn w:val="Normal"/>
    <w:next w:val="Normal"/>
    <w:link w:val="Heading3Char"/>
    <w:qFormat/>
    <w:rsid w:val="0081270D"/>
    <w:pPr>
      <w:keepNext/>
      <w:keepLines/>
      <w:tabs>
        <w:tab w:val="left" w:pos="851"/>
      </w:tabs>
      <w:spacing w:before="360" w:after="0" w:line="240" w:lineRule="auto"/>
      <w:jc w:val="left"/>
      <w:outlineLvl w:val="2"/>
    </w:pPr>
    <w:rPr>
      <w:rFonts w:eastAsiaTheme="majorEastAsia" w:cstheme="majorBidi"/>
      <w:b/>
      <w:bCs/>
      <w:sz w:val="28"/>
    </w:rPr>
  </w:style>
  <w:style w:type="paragraph" w:styleId="Heading4">
    <w:name w:val="heading 4"/>
    <w:basedOn w:val="Heading3"/>
    <w:next w:val="Normal"/>
    <w:link w:val="Heading4Char"/>
    <w:qFormat/>
    <w:rsid w:val="004E3286"/>
    <w:pPr>
      <w:spacing w:before="280"/>
      <w:outlineLvl w:val="3"/>
    </w:pPr>
    <w:rPr>
      <w:color w:val="0F7B7D"/>
      <w:sz w:val="24"/>
    </w:rPr>
  </w:style>
  <w:style w:type="paragraph" w:styleId="Heading5">
    <w:name w:val="heading 5"/>
    <w:basedOn w:val="Normal"/>
    <w:next w:val="Normal"/>
    <w:link w:val="Heading5Char"/>
    <w:qFormat/>
    <w:rsid w:val="001A1796"/>
    <w:pPr>
      <w:keepNext/>
      <w:keepLines/>
      <w:spacing w:before="280" w:after="0" w:line="240" w:lineRule="auto"/>
      <w:jc w:val="left"/>
      <w:outlineLvl w:val="4"/>
    </w:pPr>
    <w:rPr>
      <w:rFonts w:eastAsiaTheme="majorEastAsia"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lightbrown">
    <w:name w:val="Section title - light brown"/>
    <w:basedOn w:val="Sectiontitle-darkbrown"/>
    <w:next w:val="BodyText"/>
    <w:semiHidden/>
    <w:qFormat/>
    <w:rsid w:val="00D7029F"/>
    <w:rPr>
      <w:color w:val="F4D19C"/>
    </w:rPr>
  </w:style>
  <w:style w:type="paragraph" w:customStyle="1" w:styleId="Sectiontitle-darkbrown">
    <w:name w:val="Section title - dark brown"/>
    <w:basedOn w:val="Heading1"/>
    <w:semiHidden/>
    <w:qFormat/>
    <w:rsid w:val="005E32A1"/>
    <w:pPr>
      <w:keepLines w:val="0"/>
      <w:spacing w:after="0"/>
    </w:pPr>
    <w:rPr>
      <w:sz w:val="72"/>
    </w:rPr>
  </w:style>
  <w:style w:type="paragraph" w:styleId="BodyText">
    <w:name w:val="Body Text"/>
    <w:basedOn w:val="Normal"/>
    <w:link w:val="BodyTextChar"/>
    <w:qFormat/>
    <w:rsid w:val="004E27B6"/>
    <w:pPr>
      <w:jc w:val="left"/>
    </w:pPr>
  </w:style>
  <w:style w:type="character" w:customStyle="1" w:styleId="BodyTextChar">
    <w:name w:val="Body Text Char"/>
    <w:basedOn w:val="DefaultParagraphFont"/>
    <w:link w:val="BodyText"/>
    <w:rsid w:val="004E27B6"/>
    <w:rPr>
      <w:rFonts w:ascii="Calibri" w:eastAsiaTheme="minorEastAsia" w:hAnsi="Calibri"/>
      <w:lang w:eastAsia="en-NZ"/>
    </w:rPr>
  </w:style>
  <w:style w:type="character" w:customStyle="1" w:styleId="Heading1Char">
    <w:name w:val="Heading 1 Char"/>
    <w:basedOn w:val="DefaultParagraphFont"/>
    <w:link w:val="Heading1"/>
    <w:rsid w:val="004E3286"/>
    <w:rPr>
      <w:rFonts w:ascii="Calibri" w:eastAsiaTheme="majorEastAsia" w:hAnsi="Calibri" w:cstheme="majorBidi"/>
      <w:b/>
      <w:bCs/>
      <w:color w:val="17556C"/>
      <w:sz w:val="48"/>
      <w:szCs w:val="28"/>
      <w:bdr w:val="none" w:sz="0" w:space="0" w:color="auto" w:frame="1"/>
      <w:lang w:eastAsia="en-NZ"/>
    </w:rPr>
  </w:style>
  <w:style w:type="character" w:customStyle="1" w:styleId="Heading2Char">
    <w:name w:val="Heading 2 Char"/>
    <w:basedOn w:val="DefaultParagraphFont"/>
    <w:link w:val="Heading2"/>
    <w:rsid w:val="004E3286"/>
    <w:rPr>
      <w:rFonts w:ascii="Calibri" w:eastAsiaTheme="majorEastAsia" w:hAnsi="Calibri" w:cstheme="majorBidi"/>
      <w:b/>
      <w:bCs/>
      <w:color w:val="0F7B7D"/>
      <w:sz w:val="36"/>
      <w:szCs w:val="26"/>
      <w:lang w:eastAsia="en-NZ"/>
    </w:rPr>
  </w:style>
  <w:style w:type="character" w:customStyle="1" w:styleId="Heading3Char">
    <w:name w:val="Heading 3 Char"/>
    <w:basedOn w:val="DefaultParagraphFont"/>
    <w:link w:val="Heading3"/>
    <w:rsid w:val="0081270D"/>
    <w:rPr>
      <w:rFonts w:ascii="Calibri" w:eastAsiaTheme="majorEastAsia" w:hAnsi="Calibri" w:cstheme="majorBidi"/>
      <w:b/>
      <w:bCs/>
      <w:sz w:val="28"/>
      <w:lang w:eastAsia="en-NZ"/>
    </w:rPr>
  </w:style>
  <w:style w:type="character" w:customStyle="1" w:styleId="Heading4Char">
    <w:name w:val="Heading 4 Char"/>
    <w:basedOn w:val="DefaultParagraphFont"/>
    <w:link w:val="Heading4"/>
    <w:rsid w:val="004E3286"/>
    <w:rPr>
      <w:rFonts w:ascii="Calibri" w:eastAsiaTheme="majorEastAsia" w:hAnsi="Calibri" w:cstheme="majorBidi"/>
      <w:b/>
      <w:bCs/>
      <w:color w:val="0F7B7D"/>
      <w:sz w:val="24"/>
      <w:lang w:eastAsia="en-NZ"/>
    </w:rPr>
  </w:style>
  <w:style w:type="character" w:customStyle="1" w:styleId="Heading5Char">
    <w:name w:val="Heading 5 Char"/>
    <w:basedOn w:val="DefaultParagraphFont"/>
    <w:link w:val="Heading5"/>
    <w:rsid w:val="001A1796"/>
    <w:rPr>
      <w:rFonts w:ascii="Calibri" w:eastAsiaTheme="majorEastAsia" w:hAnsi="Calibri" w:cstheme="majorBidi"/>
      <w:i/>
      <w:sz w:val="24"/>
      <w:lang w:eastAsia="en-NZ"/>
    </w:rPr>
  </w:style>
  <w:style w:type="paragraph" w:styleId="ListParagraph">
    <w:name w:val="List Paragraph"/>
    <w:basedOn w:val="Normal"/>
    <w:link w:val="ListParagraphChar"/>
    <w:uiPriority w:val="34"/>
    <w:semiHidden/>
    <w:qFormat/>
    <w:rsid w:val="00361511"/>
    <w:pPr>
      <w:ind w:left="397" w:hanging="397"/>
      <w:jc w:val="left"/>
    </w:pPr>
  </w:style>
  <w:style w:type="character" w:customStyle="1" w:styleId="ListParagraphChar">
    <w:name w:val="List Paragraph Char"/>
    <w:link w:val="ListParagraph"/>
    <w:uiPriority w:val="34"/>
    <w:semiHidden/>
    <w:locked/>
    <w:rsid w:val="00361511"/>
    <w:rPr>
      <w:rFonts w:ascii="Calibri" w:eastAsiaTheme="minorEastAsia" w:hAnsi="Calibri"/>
      <w:color w:val="00264C"/>
      <w:lang w:eastAsia="en-NZ"/>
    </w:rPr>
  </w:style>
  <w:style w:type="character" w:styleId="Hyperlink">
    <w:name w:val="Hyperlink"/>
    <w:basedOn w:val="DefaultParagraphFont"/>
    <w:uiPriority w:val="99"/>
    <w:rsid w:val="00310263"/>
    <w:rPr>
      <w:color w:val="1C556C"/>
      <w:u w:val="none"/>
    </w:rPr>
  </w:style>
  <w:style w:type="table" w:styleId="TableGrid">
    <w:name w:val="Table Grid"/>
    <w:basedOn w:val="TableNormal"/>
    <w:uiPriority w:val="59"/>
    <w:rsid w:val="009B0142"/>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4E27B6"/>
    <w:pPr>
      <w:spacing w:before="0" w:after="60" w:line="240" w:lineRule="atLeast"/>
      <w:ind w:left="284" w:hanging="284"/>
      <w:jc w:val="left"/>
    </w:pPr>
    <w:rPr>
      <w:rFonts w:eastAsia="Times New Roman" w:cs="Times New Roman"/>
      <w:sz w:val="18"/>
      <w:szCs w:val="20"/>
      <w:lang w:val="x-none" w:eastAsia="en-US"/>
    </w:rPr>
  </w:style>
  <w:style w:type="character" w:customStyle="1" w:styleId="FootnoteTextChar">
    <w:name w:val="Footnote Text Char"/>
    <w:basedOn w:val="DefaultParagraphFont"/>
    <w:link w:val="FootnoteText"/>
    <w:uiPriority w:val="99"/>
    <w:rsid w:val="009147AE"/>
    <w:rPr>
      <w:rFonts w:ascii="Calibri" w:eastAsia="Times New Roman" w:hAnsi="Calibri" w:cs="Times New Roman"/>
      <w:sz w:val="18"/>
      <w:szCs w:val="20"/>
      <w:lang w:val="x-none"/>
    </w:rPr>
  </w:style>
  <w:style w:type="character" w:styleId="FootnoteReference">
    <w:name w:val="footnote reference"/>
    <w:basedOn w:val="DefaultParagraphFont"/>
    <w:uiPriority w:val="99"/>
    <w:rsid w:val="00F440ED"/>
    <w:rPr>
      <w:rFonts w:ascii="Calibri" w:hAnsi="Calibri"/>
      <w:sz w:val="22"/>
      <w:vertAlign w:val="superscript"/>
    </w:rPr>
  </w:style>
  <w:style w:type="paragraph" w:styleId="BalloonText">
    <w:name w:val="Balloon Text"/>
    <w:basedOn w:val="Normal"/>
    <w:link w:val="BalloonTextChar"/>
    <w:uiPriority w:val="99"/>
    <w:semiHidden/>
    <w:unhideWhenUsed/>
    <w:rsid w:val="00B40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30"/>
    <w:rPr>
      <w:rFonts w:ascii="Tahoma" w:eastAsiaTheme="minorEastAsia" w:hAnsi="Tahoma" w:cs="Tahoma"/>
      <w:sz w:val="16"/>
      <w:szCs w:val="16"/>
      <w:lang w:eastAsia="en-NZ"/>
    </w:rPr>
  </w:style>
  <w:style w:type="paragraph" w:styleId="Title">
    <w:name w:val="Title"/>
    <w:basedOn w:val="Normal"/>
    <w:next w:val="Normal"/>
    <w:link w:val="TitleChar"/>
    <w:uiPriority w:val="2"/>
    <w:rsid w:val="00CC51FF"/>
    <w:pPr>
      <w:spacing w:before="0" w:after="600" w:line="240" w:lineRule="auto"/>
      <w:jc w:val="left"/>
    </w:pPr>
    <w:rPr>
      <w:rFonts w:eastAsiaTheme="majorEastAsia" w:cstheme="majorBidi"/>
      <w:b/>
      <w:color w:val="00264C"/>
      <w:sz w:val="52"/>
      <w:szCs w:val="52"/>
    </w:rPr>
  </w:style>
  <w:style w:type="character" w:customStyle="1" w:styleId="TitleChar">
    <w:name w:val="Title Char"/>
    <w:basedOn w:val="DefaultParagraphFont"/>
    <w:link w:val="Title"/>
    <w:uiPriority w:val="2"/>
    <w:rsid w:val="00CF70DE"/>
    <w:rPr>
      <w:rFonts w:ascii="Calibri" w:eastAsiaTheme="majorEastAsia" w:hAnsi="Calibri" w:cstheme="majorBidi"/>
      <w:b/>
      <w:color w:val="00264C"/>
      <w:sz w:val="52"/>
      <w:szCs w:val="52"/>
      <w:lang w:eastAsia="en-NZ"/>
    </w:rPr>
  </w:style>
  <w:style w:type="paragraph" w:customStyle="1" w:styleId="Bullet">
    <w:name w:val="Bullet"/>
    <w:basedOn w:val="Normal"/>
    <w:qFormat/>
    <w:rsid w:val="004E27B6"/>
    <w:pPr>
      <w:numPr>
        <w:numId w:val="1"/>
      </w:numPr>
      <w:tabs>
        <w:tab w:val="clear" w:pos="567"/>
        <w:tab w:val="left" w:pos="397"/>
      </w:tabs>
      <w:spacing w:before="0" w:line="280" w:lineRule="exact"/>
      <w:ind w:left="397" w:hanging="397"/>
      <w:jc w:val="left"/>
    </w:pPr>
    <w:rPr>
      <w:rFonts w:eastAsia="Times New Roman" w:cs="Times New Roman"/>
      <w:szCs w:val="20"/>
    </w:rPr>
  </w:style>
  <w:style w:type="paragraph" w:customStyle="1" w:styleId="Footereven">
    <w:name w:val="Footer even"/>
    <w:basedOn w:val="Normal"/>
    <w:uiPriority w:val="1"/>
    <w:rsid w:val="004E27B6"/>
    <w:pPr>
      <w:tabs>
        <w:tab w:val="left" w:pos="567"/>
      </w:tabs>
      <w:spacing w:after="0" w:line="240" w:lineRule="auto"/>
      <w:jc w:val="left"/>
    </w:pPr>
    <w:rPr>
      <w:rFonts w:eastAsia="Times New Roman" w:cs="Arial"/>
      <w:sz w:val="18"/>
      <w:szCs w:val="16"/>
      <w:lang w:eastAsia="en-US"/>
    </w:rPr>
  </w:style>
  <w:style w:type="paragraph" w:customStyle="1" w:styleId="Footerodd">
    <w:name w:val="Footer odd"/>
    <w:basedOn w:val="Normal"/>
    <w:uiPriority w:val="1"/>
    <w:rsid w:val="00EE799C"/>
    <w:pPr>
      <w:tabs>
        <w:tab w:val="right" w:pos="7938"/>
        <w:tab w:val="right" w:pos="8505"/>
      </w:tabs>
      <w:spacing w:after="0" w:line="240" w:lineRule="auto"/>
      <w:jc w:val="left"/>
    </w:pPr>
    <w:rPr>
      <w:rFonts w:eastAsia="Times New Roman" w:cs="Arial"/>
      <w:sz w:val="18"/>
      <w:szCs w:val="16"/>
      <w:lang w:eastAsia="en-US"/>
    </w:rPr>
  </w:style>
  <w:style w:type="character" w:styleId="PageNumber">
    <w:name w:val="page number"/>
    <w:basedOn w:val="DefaultParagraphFont"/>
    <w:semiHidden/>
    <w:rsid w:val="005078F6"/>
    <w:rPr>
      <w:rFonts w:ascii="Arial" w:hAnsi="Arial" w:cs="Arial"/>
      <w:b/>
      <w:bCs/>
      <w:sz w:val="20"/>
      <w:szCs w:val="20"/>
    </w:rPr>
  </w:style>
  <w:style w:type="paragraph" w:customStyle="1" w:styleId="Tablebullet">
    <w:name w:val="Tablebullet"/>
    <w:basedOn w:val="Tabletext"/>
    <w:rsid w:val="008F22BA"/>
    <w:pPr>
      <w:numPr>
        <w:numId w:val="2"/>
      </w:numPr>
      <w:tabs>
        <w:tab w:val="clear" w:pos="338"/>
        <w:tab w:val="clear" w:pos="397"/>
      </w:tabs>
      <w:spacing w:before="0"/>
      <w:ind w:left="284" w:hanging="284"/>
    </w:pPr>
  </w:style>
  <w:style w:type="paragraph" w:customStyle="1" w:styleId="Tabletext">
    <w:name w:val="Tabletext"/>
    <w:basedOn w:val="Normal"/>
    <w:rsid w:val="0044649B"/>
    <w:pPr>
      <w:tabs>
        <w:tab w:val="left" w:pos="397"/>
      </w:tabs>
      <w:spacing w:before="60" w:after="60" w:line="220" w:lineRule="atLeast"/>
      <w:jc w:val="left"/>
    </w:pPr>
    <w:rPr>
      <w:rFonts w:eastAsia="Times New Roman" w:cs="Times New Roman"/>
      <w:sz w:val="18"/>
      <w:szCs w:val="20"/>
      <w:lang w:eastAsia="en-US"/>
    </w:rPr>
  </w:style>
  <w:style w:type="paragraph" w:customStyle="1" w:styleId="TableDash">
    <w:name w:val="TableDash"/>
    <w:basedOn w:val="Tabletext"/>
    <w:rsid w:val="008F22BA"/>
    <w:pPr>
      <w:numPr>
        <w:ilvl w:val="1"/>
        <w:numId w:val="2"/>
      </w:numPr>
      <w:spacing w:before="0" w:line="240" w:lineRule="auto"/>
      <w:ind w:left="568" w:hanging="284"/>
    </w:pPr>
  </w:style>
  <w:style w:type="paragraph" w:customStyle="1" w:styleId="Tablehead">
    <w:name w:val="Tablehead"/>
    <w:basedOn w:val="Normal"/>
    <w:semiHidden/>
    <w:rsid w:val="00BB2F3D"/>
    <w:pPr>
      <w:keepNext/>
      <w:spacing w:before="60" w:after="60" w:line="240" w:lineRule="auto"/>
      <w:jc w:val="left"/>
      <w:outlineLvl w:val="0"/>
    </w:pPr>
    <w:rPr>
      <w:rFonts w:eastAsia="Times New Roman" w:cs="Times New Roman"/>
      <w:b/>
      <w:bCs/>
      <w:sz w:val="18"/>
      <w:szCs w:val="20"/>
      <w:lang w:eastAsia="en-US"/>
    </w:rPr>
  </w:style>
  <w:style w:type="paragraph" w:styleId="Subtitle">
    <w:name w:val="Subtitle"/>
    <w:basedOn w:val="Normal"/>
    <w:next w:val="Normal"/>
    <w:link w:val="SubtitleChar"/>
    <w:uiPriority w:val="3"/>
    <w:rsid w:val="00CC51FF"/>
    <w:pPr>
      <w:numPr>
        <w:ilvl w:val="1"/>
      </w:numPr>
      <w:jc w:val="left"/>
    </w:pPr>
    <w:rPr>
      <w:rFonts w:eastAsiaTheme="majorEastAsia" w:cstheme="majorBidi"/>
      <w:b/>
      <w:iCs/>
      <w:color w:val="00264C"/>
      <w:sz w:val="36"/>
      <w:szCs w:val="24"/>
    </w:rPr>
  </w:style>
  <w:style w:type="character" w:customStyle="1" w:styleId="SubtitleChar">
    <w:name w:val="Subtitle Char"/>
    <w:basedOn w:val="DefaultParagraphFont"/>
    <w:link w:val="Subtitle"/>
    <w:uiPriority w:val="3"/>
    <w:rsid w:val="00FD1F1B"/>
    <w:rPr>
      <w:rFonts w:ascii="Calibri" w:eastAsiaTheme="majorEastAsia" w:hAnsi="Calibri" w:cstheme="majorBidi"/>
      <w:b/>
      <w:iCs/>
      <w:color w:val="00264C"/>
      <w:sz w:val="36"/>
      <w:szCs w:val="24"/>
      <w:lang w:eastAsia="en-NZ"/>
    </w:rPr>
  </w:style>
  <w:style w:type="paragraph" w:customStyle="1" w:styleId="Sub-bullet">
    <w:name w:val="Sub-bullet"/>
    <w:basedOn w:val="ListParagraph"/>
    <w:next w:val="BodyText"/>
    <w:qFormat/>
    <w:rsid w:val="004E27B6"/>
    <w:pPr>
      <w:numPr>
        <w:ilvl w:val="1"/>
        <w:numId w:val="3"/>
      </w:numPr>
      <w:tabs>
        <w:tab w:val="clear" w:pos="1440"/>
      </w:tabs>
      <w:spacing w:before="0"/>
      <w:ind w:left="794" w:hanging="397"/>
    </w:pPr>
    <w:rPr>
      <w:rFonts w:eastAsia="Times New Roman" w:cs="Times New Roman"/>
    </w:rPr>
  </w:style>
  <w:style w:type="paragraph" w:customStyle="1" w:styleId="Greentext-tables">
    <w:name w:val="Green text - tables"/>
    <w:basedOn w:val="BodyText"/>
    <w:rsid w:val="005D02C3"/>
    <w:pPr>
      <w:ind w:left="284" w:right="284"/>
    </w:pPr>
    <w:rPr>
      <w:color w:val="2C997B"/>
      <w:sz w:val="20"/>
    </w:rPr>
  </w:style>
  <w:style w:type="paragraph" w:customStyle="1" w:styleId="Greenheading-tables">
    <w:name w:val="Green heading - tables"/>
    <w:basedOn w:val="Greentext-tables"/>
    <w:rsid w:val="005D02C3"/>
    <w:pPr>
      <w:keepNext/>
      <w:spacing w:before="240" w:after="0"/>
    </w:pPr>
    <w:rPr>
      <w:rFonts w:eastAsia="Times New Roman"/>
      <w:b/>
    </w:rPr>
  </w:style>
  <w:style w:type="paragraph" w:styleId="Footer">
    <w:name w:val="footer"/>
    <w:basedOn w:val="Normal"/>
    <w:link w:val="FooterChar"/>
    <w:semiHidden/>
    <w:rsid w:val="00945D28"/>
    <w:pPr>
      <w:tabs>
        <w:tab w:val="center" w:pos="4513"/>
        <w:tab w:val="right" w:pos="9026"/>
      </w:tabs>
      <w:spacing w:before="0" w:after="0" w:line="240" w:lineRule="auto"/>
    </w:pPr>
  </w:style>
  <w:style w:type="character" w:customStyle="1" w:styleId="FooterChar">
    <w:name w:val="Footer Char"/>
    <w:basedOn w:val="DefaultParagraphFont"/>
    <w:link w:val="Footer"/>
    <w:semiHidden/>
    <w:rsid w:val="002A234F"/>
    <w:rPr>
      <w:rFonts w:ascii="Calibri" w:eastAsiaTheme="minorEastAsia" w:hAnsi="Calibri"/>
      <w:color w:val="00264C"/>
      <w:lang w:eastAsia="en-NZ"/>
    </w:rPr>
  </w:style>
  <w:style w:type="paragraph" w:customStyle="1" w:styleId="Box">
    <w:name w:val="Box"/>
    <w:basedOn w:val="Normal"/>
    <w:uiPriority w:val="1"/>
    <w:rsid w:val="00AB35CD"/>
    <w:pPr>
      <w:pBdr>
        <w:top w:val="single" w:sz="4" w:space="15" w:color="A4BBC4"/>
        <w:left w:val="single" w:sz="4" w:space="15" w:color="A4BBC4"/>
        <w:bottom w:val="single" w:sz="4" w:space="15" w:color="A4BBC4"/>
        <w:right w:val="single" w:sz="4" w:space="15" w:color="A4BBC4"/>
      </w:pBdr>
      <w:shd w:val="clear" w:color="auto" w:fill="A4BBC4"/>
      <w:spacing w:after="60"/>
      <w:ind w:left="851" w:right="284" w:hanging="567"/>
      <w:jc w:val="left"/>
    </w:pPr>
    <w:rPr>
      <w:color w:val="17556C"/>
      <w:sz w:val="20"/>
    </w:rPr>
  </w:style>
  <w:style w:type="paragraph" w:customStyle="1" w:styleId="Boxbullet">
    <w:name w:val="Box bullet"/>
    <w:basedOn w:val="Box"/>
    <w:uiPriority w:val="1"/>
    <w:rsid w:val="00E4016E"/>
    <w:pPr>
      <w:numPr>
        <w:numId w:val="12"/>
      </w:numPr>
      <w:spacing w:before="0"/>
      <w:ind w:left="681" w:hanging="397"/>
    </w:pPr>
  </w:style>
  <w:style w:type="paragraph" w:customStyle="1" w:styleId="Boxheading">
    <w:name w:val="Box heading"/>
    <w:basedOn w:val="Box"/>
    <w:next w:val="Box"/>
    <w:uiPriority w:val="1"/>
    <w:rsid w:val="00F120C9"/>
    <w:pPr>
      <w:keepNext/>
      <w:spacing w:after="0"/>
    </w:pPr>
    <w:rPr>
      <w:b/>
    </w:rPr>
  </w:style>
  <w:style w:type="paragraph" w:customStyle="1" w:styleId="Boxnumbered">
    <w:name w:val="Box numbered"/>
    <w:basedOn w:val="Boxbullet"/>
    <w:next w:val="BodyText"/>
    <w:semiHidden/>
    <w:qFormat/>
    <w:rsid w:val="006E69DE"/>
    <w:pPr>
      <w:numPr>
        <w:numId w:val="4"/>
      </w:numPr>
    </w:pPr>
  </w:style>
  <w:style w:type="paragraph" w:styleId="Quote">
    <w:name w:val="Quote"/>
    <w:basedOn w:val="Normal"/>
    <w:next w:val="Normal"/>
    <w:link w:val="QuoteChar"/>
    <w:qFormat/>
    <w:rsid w:val="004E27B6"/>
    <w:pPr>
      <w:ind w:left="397" w:right="397"/>
      <w:jc w:val="left"/>
    </w:pPr>
    <w:rPr>
      <w:iCs/>
      <w:sz w:val="20"/>
    </w:rPr>
  </w:style>
  <w:style w:type="character" w:customStyle="1" w:styleId="QuoteChar">
    <w:name w:val="Quote Char"/>
    <w:basedOn w:val="DefaultParagraphFont"/>
    <w:link w:val="Quote"/>
    <w:rsid w:val="004E27B6"/>
    <w:rPr>
      <w:rFonts w:ascii="Calibri" w:eastAsiaTheme="minorEastAsia" w:hAnsi="Calibri"/>
      <w:iCs/>
      <w:sz w:val="20"/>
      <w:lang w:eastAsia="en-NZ"/>
    </w:rPr>
  </w:style>
  <w:style w:type="paragraph" w:styleId="EndnoteText">
    <w:name w:val="endnote text"/>
    <w:basedOn w:val="Normal"/>
    <w:link w:val="EndnoteTextChar"/>
    <w:semiHidden/>
    <w:rsid w:val="00CE2551"/>
    <w:pPr>
      <w:spacing w:after="0" w:line="240" w:lineRule="exact"/>
      <w:ind w:left="397" w:hanging="397"/>
      <w:jc w:val="left"/>
    </w:pPr>
    <w:rPr>
      <w:sz w:val="20"/>
      <w:szCs w:val="20"/>
    </w:rPr>
  </w:style>
  <w:style w:type="character" w:customStyle="1" w:styleId="EndnoteTextChar">
    <w:name w:val="Endnote Text Char"/>
    <w:basedOn w:val="DefaultParagraphFont"/>
    <w:link w:val="EndnoteText"/>
    <w:semiHidden/>
    <w:rsid w:val="002B1CB7"/>
    <w:rPr>
      <w:rFonts w:ascii="Calibri" w:eastAsiaTheme="minorEastAsia" w:hAnsi="Calibri"/>
      <w:color w:val="00264C"/>
      <w:sz w:val="20"/>
      <w:szCs w:val="20"/>
      <w:lang w:eastAsia="en-NZ"/>
    </w:rPr>
  </w:style>
  <w:style w:type="character" w:styleId="EndnoteReference">
    <w:name w:val="endnote reference"/>
    <w:basedOn w:val="DefaultParagraphFont"/>
    <w:uiPriority w:val="99"/>
    <w:semiHidden/>
    <w:unhideWhenUsed/>
    <w:rsid w:val="00544692"/>
    <w:rPr>
      <w:vertAlign w:val="superscript"/>
    </w:rPr>
  </w:style>
  <w:style w:type="paragraph" w:customStyle="1" w:styleId="Blueboxbullet">
    <w:name w:val="Blue box bullet"/>
    <w:basedOn w:val="Bullet"/>
    <w:rsid w:val="00735BCC"/>
    <w:pPr>
      <w:numPr>
        <w:numId w:val="5"/>
      </w:numPr>
      <w:pBdr>
        <w:top w:val="single" w:sz="4" w:space="15" w:color="D2DDE2"/>
        <w:left w:val="single" w:sz="4" w:space="15" w:color="D2DDE2"/>
        <w:bottom w:val="single" w:sz="4" w:space="15" w:color="D2DDE2"/>
        <w:right w:val="single" w:sz="4" w:space="15" w:color="D2DDE2"/>
      </w:pBdr>
      <w:shd w:val="clear" w:color="auto" w:fill="D2DDE2"/>
      <w:tabs>
        <w:tab w:val="clear" w:pos="397"/>
      </w:tabs>
      <w:ind w:right="284"/>
    </w:pPr>
    <w:rPr>
      <w:color w:val="1C556C"/>
      <w:sz w:val="20"/>
    </w:rPr>
  </w:style>
  <w:style w:type="paragraph" w:customStyle="1" w:styleId="Brownboxheading">
    <w:name w:val="Brown box heading"/>
    <w:basedOn w:val="Boxheading"/>
    <w:uiPriority w:val="1"/>
    <w:semiHidden/>
    <w:qFormat/>
    <w:rsid w:val="003F0C32"/>
    <w:pPr>
      <w:keepLines/>
      <w:pBdr>
        <w:top w:val="single" w:sz="4" w:space="15" w:color="F3CC97"/>
        <w:left w:val="single" w:sz="4" w:space="15" w:color="F3CC97"/>
        <w:bottom w:val="single" w:sz="4" w:space="15" w:color="F3CC97"/>
        <w:right w:val="single" w:sz="4" w:space="15" w:color="F3CC97"/>
      </w:pBdr>
      <w:shd w:val="clear" w:color="B47015" w:fill="F3CC97"/>
    </w:pPr>
    <w:rPr>
      <w:color w:val="B47015"/>
    </w:rPr>
  </w:style>
  <w:style w:type="paragraph" w:customStyle="1" w:styleId="Brownboxtext">
    <w:name w:val="Brown box text"/>
    <w:basedOn w:val="Box"/>
    <w:uiPriority w:val="1"/>
    <w:semiHidden/>
    <w:qFormat/>
    <w:rsid w:val="005E32A1"/>
    <w:pPr>
      <w:pBdr>
        <w:top w:val="single" w:sz="4" w:space="15" w:color="F3CC97"/>
        <w:left w:val="single" w:sz="4" w:space="15" w:color="F3CC97"/>
        <w:bottom w:val="single" w:sz="4" w:space="15" w:color="F3CC97"/>
        <w:right w:val="single" w:sz="4" w:space="15" w:color="F3CC97"/>
      </w:pBdr>
      <w:shd w:val="clear" w:color="B47015" w:fill="F3CC97"/>
    </w:pPr>
    <w:rPr>
      <w:color w:val="B47015"/>
    </w:rPr>
  </w:style>
  <w:style w:type="paragraph" w:customStyle="1" w:styleId="Casestudyheading">
    <w:name w:val="Case study heading"/>
    <w:basedOn w:val="BodyText"/>
    <w:rsid w:val="00661920"/>
    <w:pPr>
      <w:keepNext/>
      <w:spacing w:before="160" w:line="240" w:lineRule="auto"/>
      <w:ind w:left="284"/>
    </w:pPr>
    <w:rPr>
      <w:b/>
      <w:caps/>
    </w:rPr>
  </w:style>
  <w:style w:type="paragraph" w:customStyle="1" w:styleId="Blueboxtext">
    <w:name w:val="Blue box text"/>
    <w:basedOn w:val="BodyText"/>
    <w:rsid w:val="00DB1C76"/>
    <w:pPr>
      <w:pBdr>
        <w:top w:val="single" w:sz="4" w:space="15" w:color="D2DDE2"/>
        <w:left w:val="single" w:sz="4" w:space="15" w:color="D2DDE2"/>
        <w:bottom w:val="single" w:sz="4" w:space="15" w:color="D2DDE2"/>
        <w:right w:val="single" w:sz="4" w:space="15" w:color="D2DDE2"/>
      </w:pBdr>
      <w:shd w:val="clear" w:color="auto" w:fill="D2DDE2"/>
      <w:ind w:left="284" w:right="284"/>
    </w:pPr>
    <w:rPr>
      <w:color w:val="1C556C"/>
      <w:sz w:val="20"/>
    </w:rPr>
  </w:style>
  <w:style w:type="paragraph" w:customStyle="1" w:styleId="Questionsub-bullet">
    <w:name w:val="Question sub-bullet"/>
    <w:basedOn w:val="Sub-bullet"/>
    <w:semiHidden/>
    <w:qFormat/>
    <w:rsid w:val="00CE2551"/>
    <w:pPr>
      <w:ind w:left="1077" w:right="284"/>
    </w:pPr>
    <w:rPr>
      <w:color w:val="E36F1E"/>
    </w:rPr>
  </w:style>
  <w:style w:type="paragraph" w:customStyle="1" w:styleId="Heading1-lightbrown">
    <w:name w:val="Heading 1 - light brown"/>
    <w:basedOn w:val="Heading1"/>
    <w:next w:val="BodyText"/>
    <w:semiHidden/>
    <w:qFormat/>
    <w:rsid w:val="008D424D"/>
    <w:rPr>
      <w:color w:val="F1B78E"/>
    </w:rPr>
  </w:style>
  <w:style w:type="paragraph" w:customStyle="1" w:styleId="Browntextnumbered">
    <w:name w:val="Brown text numbered"/>
    <w:basedOn w:val="BodyText"/>
    <w:semiHidden/>
    <w:qFormat/>
    <w:rsid w:val="000B6BF8"/>
    <w:pPr>
      <w:numPr>
        <w:numId w:val="6"/>
      </w:numPr>
      <w:spacing w:before="0"/>
      <w:ind w:left="681" w:right="284" w:hanging="397"/>
    </w:pPr>
    <w:rPr>
      <w:rFonts w:eastAsia="Times New Roman"/>
      <w:color w:val="B47015"/>
    </w:rPr>
  </w:style>
  <w:style w:type="paragraph" w:customStyle="1" w:styleId="Quotebullet">
    <w:name w:val="Quote bullet"/>
    <w:basedOn w:val="Bullet"/>
    <w:qFormat/>
    <w:rsid w:val="003D4825"/>
    <w:pPr>
      <w:tabs>
        <w:tab w:val="clear" w:pos="397"/>
      </w:tabs>
      <w:ind w:left="794" w:right="397"/>
    </w:pPr>
    <w:rPr>
      <w:sz w:val="20"/>
    </w:rPr>
  </w:style>
  <w:style w:type="paragraph" w:styleId="TOC1">
    <w:name w:val="toc 1"/>
    <w:basedOn w:val="Normal"/>
    <w:next w:val="Normal"/>
    <w:uiPriority w:val="39"/>
    <w:unhideWhenUsed/>
    <w:rsid w:val="00F94E7F"/>
    <w:pPr>
      <w:tabs>
        <w:tab w:val="left" w:pos="567"/>
        <w:tab w:val="right" w:pos="8494"/>
      </w:tabs>
      <w:spacing w:before="240" w:after="0" w:line="240" w:lineRule="auto"/>
      <w:ind w:right="567"/>
      <w:jc w:val="left"/>
    </w:pPr>
  </w:style>
  <w:style w:type="paragraph" w:styleId="TOC2">
    <w:name w:val="toc 2"/>
    <w:basedOn w:val="Normal"/>
    <w:next w:val="Normal"/>
    <w:uiPriority w:val="39"/>
    <w:unhideWhenUsed/>
    <w:rsid w:val="00375ED6"/>
    <w:pPr>
      <w:tabs>
        <w:tab w:val="left" w:pos="567"/>
        <w:tab w:val="right" w:pos="8494"/>
      </w:tabs>
      <w:spacing w:before="60" w:after="60" w:line="240" w:lineRule="auto"/>
      <w:ind w:left="567" w:right="567"/>
      <w:jc w:val="left"/>
    </w:pPr>
  </w:style>
  <w:style w:type="paragraph" w:styleId="TOC3">
    <w:name w:val="toc 3"/>
    <w:basedOn w:val="Normal"/>
    <w:next w:val="Normal"/>
    <w:autoRedefine/>
    <w:semiHidden/>
    <w:rsid w:val="0055121D"/>
    <w:pPr>
      <w:tabs>
        <w:tab w:val="left" w:pos="1134"/>
        <w:tab w:val="right" w:pos="9060"/>
      </w:tabs>
      <w:spacing w:before="60" w:after="60" w:line="240" w:lineRule="auto"/>
      <w:ind w:left="567" w:right="567"/>
      <w:jc w:val="left"/>
    </w:pPr>
  </w:style>
  <w:style w:type="paragraph" w:customStyle="1" w:styleId="Blueboxheading">
    <w:name w:val="Blue box heading"/>
    <w:basedOn w:val="Blueboxtext"/>
    <w:rsid w:val="007932EA"/>
    <w:pPr>
      <w:keepNext/>
      <w:spacing w:before="240" w:after="0"/>
    </w:pPr>
    <w:rPr>
      <w:rFonts w:eastAsia="Times New Roman"/>
      <w:b/>
    </w:rPr>
  </w:style>
  <w:style w:type="paragraph" w:customStyle="1" w:styleId="Bodytextnumbered">
    <w:name w:val="Body text numbered"/>
    <w:basedOn w:val="BodyText"/>
    <w:uiPriority w:val="1"/>
    <w:rsid w:val="00D72179"/>
    <w:pPr>
      <w:numPr>
        <w:numId w:val="15"/>
      </w:numPr>
      <w:spacing w:before="0"/>
    </w:pPr>
  </w:style>
  <w:style w:type="paragraph" w:customStyle="1" w:styleId="References">
    <w:name w:val="References"/>
    <w:basedOn w:val="Normal"/>
    <w:rsid w:val="00CE2551"/>
    <w:pPr>
      <w:jc w:val="left"/>
    </w:pPr>
    <w:rPr>
      <w:rFonts w:eastAsia="Times New Roman" w:cs="Times New Roman"/>
      <w:szCs w:val="20"/>
      <w:lang w:eastAsia="en-US"/>
    </w:rPr>
  </w:style>
  <w:style w:type="paragraph" w:customStyle="1" w:styleId="Bodytexta">
    <w:name w:val="Body text a"/>
    <w:aliases w:val="b,Sub-list a"/>
    <w:basedOn w:val="BodyText"/>
    <w:uiPriority w:val="1"/>
    <w:rsid w:val="00461557"/>
    <w:pPr>
      <w:numPr>
        <w:numId w:val="7"/>
      </w:numPr>
      <w:spacing w:before="0"/>
      <w:ind w:left="1474" w:hanging="397"/>
    </w:pPr>
  </w:style>
  <w:style w:type="paragraph" w:customStyle="1" w:styleId="HeadingnotforTOC">
    <w:name w:val="Heading not for TOC"/>
    <w:basedOn w:val="BodyText"/>
    <w:semiHidden/>
    <w:qFormat/>
    <w:rsid w:val="00AD49E4"/>
    <w:pPr>
      <w:keepNext/>
      <w:spacing w:before="0" w:after="360" w:line="240" w:lineRule="auto"/>
    </w:pPr>
    <w:rPr>
      <w:b/>
      <w:color w:val="F4D19C"/>
      <w:sz w:val="64"/>
      <w:szCs w:val="64"/>
    </w:rPr>
  </w:style>
  <w:style w:type="paragraph" w:customStyle="1" w:styleId="Questiontext">
    <w:name w:val="Question text"/>
    <w:basedOn w:val="Blueboxtext"/>
    <w:semiHidden/>
    <w:qFormat/>
    <w:rsid w:val="005D43FA"/>
    <w:rPr>
      <w:color w:val="E36F1E"/>
    </w:rPr>
  </w:style>
  <w:style w:type="paragraph" w:customStyle="1" w:styleId="Questionbullet">
    <w:name w:val="Question bullet"/>
    <w:basedOn w:val="Blueboxbullet"/>
    <w:semiHidden/>
    <w:qFormat/>
    <w:rsid w:val="00BE1EFD"/>
    <w:pPr>
      <w:numPr>
        <w:numId w:val="8"/>
      </w:numPr>
      <w:ind w:left="681" w:hanging="397"/>
    </w:pPr>
    <w:rPr>
      <w:color w:val="E36F1E"/>
    </w:rPr>
  </w:style>
  <w:style w:type="paragraph" w:customStyle="1" w:styleId="Questionheading">
    <w:name w:val="Question heading"/>
    <w:basedOn w:val="Blueboxheading"/>
    <w:semiHidden/>
    <w:qFormat/>
    <w:rsid w:val="005D43FA"/>
    <w:rPr>
      <w:color w:val="E36F1E"/>
    </w:rPr>
  </w:style>
  <w:style w:type="paragraph" w:customStyle="1" w:styleId="Imprint">
    <w:name w:val="Imprint"/>
    <w:basedOn w:val="Normal"/>
    <w:uiPriority w:val="3"/>
    <w:rsid w:val="004E27B6"/>
    <w:pPr>
      <w:spacing w:before="0" w:after="240" w:line="240" w:lineRule="auto"/>
      <w:jc w:val="left"/>
    </w:pPr>
    <w:rPr>
      <w:rFonts w:eastAsia="Times New Roman" w:cs="Times New Roman"/>
      <w:szCs w:val="20"/>
      <w:lang w:eastAsia="en-US"/>
    </w:rPr>
  </w:style>
  <w:style w:type="paragraph" w:customStyle="1" w:styleId="Heading">
    <w:name w:val="Heading"/>
    <w:basedOn w:val="Heading1"/>
    <w:next w:val="Normal"/>
    <w:semiHidden/>
    <w:rsid w:val="004E44DD"/>
    <w:pPr>
      <w:keepNext w:val="0"/>
      <w:keepLines w:val="0"/>
      <w:tabs>
        <w:tab w:val="clear" w:pos="851"/>
        <w:tab w:val="left" w:pos="567"/>
      </w:tabs>
      <w:spacing w:after="120"/>
      <w:outlineLvl w:val="9"/>
    </w:pPr>
    <w:rPr>
      <w:rFonts w:eastAsia="Times New Roman" w:cs="Times New Roman"/>
      <w:bCs w:val="0"/>
      <w:sz w:val="44"/>
      <w:szCs w:val="20"/>
      <w:lang w:eastAsia="en-US"/>
    </w:rPr>
  </w:style>
  <w:style w:type="paragraph" w:customStyle="1" w:styleId="Sub-list">
    <w:name w:val="Sub-list"/>
    <w:basedOn w:val="Normal"/>
    <w:semiHidden/>
    <w:rsid w:val="0040640A"/>
    <w:pPr>
      <w:numPr>
        <w:numId w:val="10"/>
      </w:numPr>
      <w:tabs>
        <w:tab w:val="left" w:pos="794"/>
      </w:tabs>
      <w:spacing w:before="60" w:after="240" w:line="240" w:lineRule="auto"/>
    </w:pPr>
    <w:rPr>
      <w:rFonts w:ascii="Times New Roman" w:eastAsia="Times New Roman" w:hAnsi="Times New Roman" w:cs="Times New Roman"/>
      <w:szCs w:val="20"/>
      <w:lang w:eastAsia="en-US"/>
    </w:rPr>
  </w:style>
  <w:style w:type="paragraph" w:customStyle="1" w:styleId="Figureheading">
    <w:name w:val="Figure heading"/>
    <w:basedOn w:val="Normal"/>
    <w:next w:val="Normal"/>
    <w:rsid w:val="004E27B6"/>
    <w:pPr>
      <w:keepNext/>
      <w:spacing w:line="240" w:lineRule="auto"/>
      <w:ind w:left="1134" w:hanging="1134"/>
      <w:jc w:val="left"/>
    </w:pPr>
    <w:rPr>
      <w:rFonts w:eastAsia="Times New Roman" w:cs="Times New Roman"/>
      <w:b/>
      <w:sz w:val="20"/>
      <w:szCs w:val="20"/>
      <w:lang w:eastAsia="en-US"/>
    </w:rPr>
  </w:style>
  <w:style w:type="paragraph" w:customStyle="1" w:styleId="Note">
    <w:name w:val="Note"/>
    <w:basedOn w:val="Normal"/>
    <w:next w:val="Normal"/>
    <w:rsid w:val="00E148E9"/>
    <w:pPr>
      <w:tabs>
        <w:tab w:val="left" w:pos="680"/>
      </w:tabs>
      <w:spacing w:after="240" w:line="240" w:lineRule="atLeast"/>
      <w:jc w:val="left"/>
    </w:pPr>
    <w:rPr>
      <w:rFonts w:eastAsia="Times New Roman" w:cs="Times New Roman"/>
      <w:sz w:val="18"/>
      <w:szCs w:val="20"/>
      <w:lang w:eastAsia="en-US"/>
    </w:rPr>
  </w:style>
  <w:style w:type="paragraph" w:customStyle="1" w:styleId="Source">
    <w:name w:val="Source"/>
    <w:basedOn w:val="Normal"/>
    <w:next w:val="Normal"/>
    <w:semiHidden/>
    <w:rsid w:val="0040640A"/>
    <w:pPr>
      <w:tabs>
        <w:tab w:val="left" w:pos="680"/>
      </w:tabs>
      <w:spacing w:after="240" w:line="240" w:lineRule="auto"/>
      <w:jc w:val="left"/>
    </w:pPr>
    <w:rPr>
      <w:rFonts w:ascii="Arial" w:eastAsia="Times New Roman" w:hAnsi="Arial" w:cs="Times New Roman"/>
      <w:sz w:val="16"/>
      <w:szCs w:val="20"/>
      <w:lang w:eastAsia="en-US"/>
    </w:rPr>
  </w:style>
  <w:style w:type="paragraph" w:customStyle="1" w:styleId="Tableheading">
    <w:name w:val="Table heading"/>
    <w:basedOn w:val="Normal"/>
    <w:next w:val="Normal"/>
    <w:rsid w:val="004E27B6"/>
    <w:pPr>
      <w:keepNext/>
      <w:spacing w:line="240" w:lineRule="auto"/>
      <w:ind w:left="1134" w:hanging="1134"/>
      <w:jc w:val="left"/>
    </w:pPr>
    <w:rPr>
      <w:rFonts w:eastAsia="Times New Roman" w:cs="Times New Roman"/>
      <w:b/>
      <w:sz w:val="20"/>
      <w:szCs w:val="20"/>
      <w:lang w:eastAsia="en-US"/>
    </w:rPr>
  </w:style>
  <w:style w:type="paragraph" w:customStyle="1" w:styleId="TableText0">
    <w:name w:val="TableText"/>
    <w:basedOn w:val="Normal"/>
    <w:semiHidden/>
    <w:rsid w:val="0040640A"/>
    <w:pPr>
      <w:spacing w:before="60" w:after="60" w:line="240" w:lineRule="auto"/>
      <w:jc w:val="left"/>
    </w:pPr>
    <w:rPr>
      <w:rFonts w:ascii="Arial" w:eastAsia="Times New Roman" w:hAnsi="Arial" w:cs="Times New Roman"/>
      <w:sz w:val="16"/>
      <w:szCs w:val="20"/>
      <w:lang w:eastAsia="en-US"/>
    </w:rPr>
  </w:style>
  <w:style w:type="paragraph" w:customStyle="1" w:styleId="TableTextbold">
    <w:name w:val="TableText bold"/>
    <w:basedOn w:val="TableText0"/>
    <w:rsid w:val="00BB2F3D"/>
    <w:rPr>
      <w:rFonts w:ascii="Calibri" w:hAnsi="Calibri"/>
      <w:b/>
      <w:sz w:val="18"/>
    </w:rPr>
  </w:style>
  <w:style w:type="paragraph" w:customStyle="1" w:styleId="Glossary">
    <w:name w:val="Glossary"/>
    <w:basedOn w:val="Normal"/>
    <w:semiHidden/>
    <w:rsid w:val="0040640A"/>
    <w:pPr>
      <w:tabs>
        <w:tab w:val="left" w:pos="2835"/>
      </w:tabs>
      <w:spacing w:before="0" w:after="240" w:line="240" w:lineRule="auto"/>
      <w:ind w:left="2835" w:hanging="2835"/>
    </w:pPr>
    <w:rPr>
      <w:rFonts w:ascii="Times New Roman" w:eastAsia="Times New Roman" w:hAnsi="Times New Roman" w:cs="Times New Roman"/>
      <w:szCs w:val="20"/>
      <w:lang w:eastAsia="en-US"/>
    </w:rPr>
  </w:style>
  <w:style w:type="paragraph" w:customStyle="1" w:styleId="Numberedparagraph">
    <w:name w:val="Numbered paragraph"/>
    <w:basedOn w:val="Normal"/>
    <w:semiHidden/>
    <w:rsid w:val="0040640A"/>
    <w:pPr>
      <w:numPr>
        <w:numId w:val="9"/>
      </w:numPr>
      <w:spacing w:line="240" w:lineRule="auto"/>
    </w:pPr>
    <w:rPr>
      <w:rFonts w:ascii="Times New Roman" w:eastAsia="Times New Roman" w:hAnsi="Times New Roman" w:cs="Times New Roman"/>
      <w:szCs w:val="20"/>
      <w:lang w:eastAsia="en-US"/>
    </w:rPr>
  </w:style>
  <w:style w:type="paragraph" w:styleId="TableofFigures">
    <w:name w:val="table of figures"/>
    <w:basedOn w:val="Normal"/>
    <w:next w:val="Normal"/>
    <w:uiPriority w:val="99"/>
    <w:rsid w:val="00470D00"/>
    <w:pPr>
      <w:tabs>
        <w:tab w:val="right" w:pos="8505"/>
      </w:tabs>
      <w:spacing w:before="80" w:after="0" w:line="240" w:lineRule="auto"/>
      <w:ind w:left="1134" w:right="567" w:hanging="1134"/>
      <w:jc w:val="left"/>
    </w:pPr>
    <w:rPr>
      <w:rFonts w:eastAsia="Times New Roman" w:cs="Times New Roman"/>
      <w:sz w:val="20"/>
      <w:szCs w:val="20"/>
      <w:lang w:eastAsia="en-US"/>
    </w:rPr>
  </w:style>
  <w:style w:type="paragraph" w:customStyle="1" w:styleId="Sub-listi">
    <w:name w:val="Sub-list i"/>
    <w:aliases w:val="ii"/>
    <w:basedOn w:val="BodyText"/>
    <w:semiHidden/>
    <w:rsid w:val="0040640A"/>
    <w:pPr>
      <w:numPr>
        <w:numId w:val="11"/>
      </w:numPr>
      <w:spacing w:before="60" w:after="60" w:line="240" w:lineRule="auto"/>
      <w:jc w:val="both"/>
    </w:pPr>
    <w:rPr>
      <w:rFonts w:ascii="Times New Roman" w:eastAsia="Times New Roman" w:hAnsi="Times New Roman" w:cs="Times New Roman"/>
      <w:szCs w:val="20"/>
      <w:lang w:eastAsia="en-US"/>
    </w:rPr>
  </w:style>
  <w:style w:type="paragraph" w:styleId="PlainText">
    <w:name w:val="Plain Text"/>
    <w:basedOn w:val="Normal"/>
    <w:link w:val="PlainTextChar"/>
    <w:uiPriority w:val="99"/>
    <w:semiHidden/>
    <w:rsid w:val="0040640A"/>
    <w:pPr>
      <w:spacing w:before="0" w:after="240" w:line="240" w:lineRule="auto"/>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EA5323"/>
    <w:rPr>
      <w:rFonts w:ascii="Consolas" w:eastAsia="Calibri" w:hAnsi="Consolas" w:cs="Times New Roman"/>
      <w:sz w:val="21"/>
      <w:szCs w:val="21"/>
      <w:lang w:eastAsia="en-NZ"/>
    </w:rPr>
  </w:style>
  <w:style w:type="paragraph" w:customStyle="1" w:styleId="Questionforconsultationfeedback">
    <w:name w:val="Question for consultation feedback"/>
    <w:basedOn w:val="BodyText"/>
    <w:semiHidden/>
    <w:qFormat/>
    <w:rsid w:val="0040640A"/>
    <w:pPr>
      <w:spacing w:before="0" w:after="240" w:line="240" w:lineRule="auto"/>
      <w:jc w:val="both"/>
    </w:pPr>
    <w:rPr>
      <w:rFonts w:ascii="Times New Roman" w:eastAsia="Times New Roman" w:hAnsi="Times New Roman" w:cs="Times New Roman"/>
      <w:i/>
      <w:szCs w:val="20"/>
      <w:lang w:eastAsia="en-US"/>
    </w:rPr>
  </w:style>
  <w:style w:type="character" w:styleId="CommentReference">
    <w:name w:val="annotation reference"/>
    <w:basedOn w:val="DefaultParagraphFont"/>
    <w:uiPriority w:val="99"/>
    <w:semiHidden/>
    <w:unhideWhenUsed/>
    <w:rsid w:val="0040640A"/>
    <w:rPr>
      <w:sz w:val="16"/>
      <w:szCs w:val="16"/>
    </w:rPr>
  </w:style>
  <w:style w:type="paragraph" w:styleId="CommentText">
    <w:name w:val="annotation text"/>
    <w:basedOn w:val="Normal"/>
    <w:link w:val="CommentTextChar"/>
    <w:uiPriority w:val="99"/>
    <w:semiHidden/>
    <w:unhideWhenUsed/>
    <w:rsid w:val="0040640A"/>
    <w:pPr>
      <w:spacing w:before="0" w:after="200" w:line="240" w:lineRule="auto"/>
      <w:jc w:val="left"/>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semiHidden/>
    <w:rsid w:val="0040640A"/>
    <w:rPr>
      <w:sz w:val="20"/>
      <w:szCs w:val="20"/>
    </w:rPr>
  </w:style>
  <w:style w:type="paragraph" w:styleId="CommentSubject">
    <w:name w:val="annotation subject"/>
    <w:basedOn w:val="CommentText"/>
    <w:next w:val="CommentText"/>
    <w:link w:val="CommentSubjectChar"/>
    <w:uiPriority w:val="99"/>
    <w:semiHidden/>
    <w:unhideWhenUsed/>
    <w:rsid w:val="0040640A"/>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0640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rsid w:val="00D33F0D"/>
    <w:rPr>
      <w:color w:val="800080" w:themeColor="followedHyperlink"/>
      <w:u w:val="none"/>
    </w:rPr>
  </w:style>
  <w:style w:type="paragraph" w:styleId="Header">
    <w:name w:val="header"/>
    <w:basedOn w:val="Normal"/>
    <w:link w:val="HeaderChar"/>
    <w:uiPriority w:val="99"/>
    <w:unhideWhenUsed/>
    <w:rsid w:val="00ED071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D071D"/>
    <w:rPr>
      <w:rFonts w:ascii="Calibri" w:eastAsiaTheme="minorEastAsia" w:hAnsi="Calibri"/>
      <w:lang w:eastAsia="en-NZ"/>
    </w:rPr>
  </w:style>
  <w:style w:type="numbering" w:customStyle="1" w:styleId="Style1">
    <w:name w:val="Style1"/>
    <w:uiPriority w:val="99"/>
    <w:rsid w:val="00507388"/>
    <w:pPr>
      <w:numPr>
        <w:numId w:val="27"/>
      </w:numPr>
    </w:pPr>
  </w:style>
  <w:style w:type="paragraph" w:styleId="Revision">
    <w:name w:val="Revision"/>
    <w:hidden/>
    <w:uiPriority w:val="99"/>
    <w:semiHidden/>
    <w:rsid w:val="000B06DB"/>
    <w:pPr>
      <w:spacing w:after="0" w:line="240" w:lineRule="auto"/>
    </w:pPr>
    <w:rPr>
      <w:rFonts w:ascii="Calibri" w:eastAsiaTheme="minorEastAsia" w:hAnsi="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10">
      <w:bodyDiv w:val="1"/>
      <w:marLeft w:val="0"/>
      <w:marRight w:val="0"/>
      <w:marTop w:val="0"/>
      <w:marBottom w:val="0"/>
      <w:divBdr>
        <w:top w:val="none" w:sz="0" w:space="0" w:color="auto"/>
        <w:left w:val="none" w:sz="0" w:space="0" w:color="auto"/>
        <w:bottom w:val="none" w:sz="0" w:space="0" w:color="auto"/>
        <w:right w:val="none" w:sz="0" w:space="0" w:color="auto"/>
      </w:divBdr>
    </w:div>
    <w:div w:id="19067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hyperlink" Target="http://www.mfe.govt.nz/publications/hazards/methodology-deriving-standards-contaminants-soil-protect-human-health"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www.mfe.govt.nz/publications/rma-land-hazards/proposed-national-environmental-standard-assessing-and-managing-0" TargetMode="External"/><Relationship Id="rId42" Type="http://schemas.openxmlformats.org/officeDocument/2006/relationships/header" Target="header6.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www.mfe.govt.nz" TargetMode="External"/><Relationship Id="rId33" Type="http://schemas.openxmlformats.org/officeDocument/2006/relationships/hyperlink" Target="http://www.mfe.govt.nz/publications/land/diffuse-source-contamination-site-management-options-residential-and-rural" TargetMode="External"/><Relationship Id="rId38" Type="http://schemas.openxmlformats.org/officeDocument/2006/relationships/hyperlink" Target="http://www.mfe.govt.nz/publications/hazards/guidelines-assessing-and-managing-petroleum-hydrocarbon-contaminated-sites-new"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8.xml"/><Relationship Id="rId41" Type="http://schemas.openxmlformats.org/officeDocument/2006/relationships/hyperlink" Target="http://www.mfe.govt.nz/publications/rma/resource-management-act-two-yearly-survey-local-authorities-201220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nescs.submissions@mfe.govt.nz" TargetMode="External"/><Relationship Id="rId32" Type="http://schemas.openxmlformats.org/officeDocument/2006/relationships/hyperlink" Target="http://www.mfe.govt.nz/publications/land/accounting-bioavailability-contaminated-land-site-specific-health-risk-assessment" TargetMode="External"/><Relationship Id="rId37" Type="http://schemas.openxmlformats.org/officeDocument/2006/relationships/hyperlink" Target="http://www.mfe.govt.nz/publications/land-hazards/contaminated-land-management-guidelines-no-5-site-investigation-and" TargetMode="External"/><Relationship Id="rId40" Type="http://schemas.openxmlformats.org/officeDocument/2006/relationships/hyperlink" Target="http://www.mfe.govt.nz/publications/rma-land-hazards/users-guide-national-environmental-standard-assessing-and-managing"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file:///C:\Users\jenny_000\Documents\Work\Environment%20-%20Ministry%20for\FORMATTING\Managing%20NZ's%20oceans\www.mfe.govt.nz\more\consultations" TargetMode="External"/><Relationship Id="rId28" Type="http://schemas.openxmlformats.org/officeDocument/2006/relationships/footer" Target="footer7.xml"/><Relationship Id="rId36" Type="http://schemas.openxmlformats.org/officeDocument/2006/relationships/hyperlink" Target="http://www.mfe.govt.nz/publications/land-hazards/contaminated-land-management-guidelines-no-2-hierarchy-and-application-new" TargetMode="Externa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mfe.govt.nz/" TargetMode="External"/><Relationship Id="rId22" Type="http://schemas.openxmlformats.org/officeDocument/2006/relationships/hyperlink" Target="http://www.mfe.govt.nz" TargetMode="External"/><Relationship Id="rId27" Type="http://schemas.openxmlformats.org/officeDocument/2006/relationships/header" Target="header5.xml"/><Relationship Id="rId30" Type="http://schemas.openxmlformats.org/officeDocument/2006/relationships/footer" Target="footer9.xml"/><Relationship Id="rId35" Type="http://schemas.openxmlformats.org/officeDocument/2006/relationships/hyperlink" Target="http://www.mfe.govt.nz/publications/land-hazards/contaminated-land-management-guidelines-no-1-reporting-contaminated-sites" TargetMode="External"/><Relationship Id="rId43" Type="http://schemas.openxmlformats.org/officeDocument/2006/relationships/footer" Target="footer11.xml"/></Relationships>
</file>

<file path=word/_rels/footnotes.xml.rels><?xml version="1.0" encoding="UTF-8" standalone="yes"?>
<Relationships xmlns="http://schemas.openxmlformats.org/package/2006/relationships"><Relationship Id="rId2" Type="http://schemas.openxmlformats.org/officeDocument/2006/relationships/hyperlink" Target="http://www.crccare.com/products-and-services/certification-scheme" TargetMode="External"/><Relationship Id="rId1" Type="http://schemas.openxmlformats.org/officeDocument/2006/relationships/hyperlink" Target="http://www.cenv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_000\Documents\Work\Environment%20-%20Ministry%20for\FORMATTING\Warm%20discussion%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870AB-52BB-4FDC-B069-5F3B3665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Warm discussion document template</Template>
  <TotalTime>0</TotalTime>
  <Pages>66</Pages>
  <Words>22014</Words>
  <Characters>125482</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2016-08-29T04:24:00Z</dcterms:created>
  <dcterms:modified xsi:type="dcterms:W3CDTF">2016-09-02T03:53:00Z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-367407042</vt:i4>
  </property>
  <property fmtid="{D5CDD505-2E9C-101B-9397-08002B2CF9AE}" pid="3" name="_NewReviewCycle">
    <vt:lpwstr/>
  </property>
  <property fmtid="{D5CDD505-2E9C-101B-9397-08002B2CF9AE}" pid="4" name="_ReviewingToolsShownOnce">
    <vt:lpwstr/>
  </property>
</Properties>
</file>