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F5C09" w14:textId="042FA8AD" w:rsidR="0080531E" w:rsidRPr="0089135C" w:rsidRDefault="003B5C08" w:rsidP="0003640E">
      <w:pPr>
        <w:pStyle w:val="BodyText"/>
      </w:pPr>
      <w:r>
        <w:rPr>
          <w:noProof/>
        </w:rPr>
        <w:drawing>
          <wp:anchor distT="0" distB="0" distL="114300" distR="114300" simplePos="0" relativeHeight="251658240" behindDoc="0" locked="0" layoutInCell="1" allowOverlap="1" wp14:anchorId="40C1DD07" wp14:editId="127745A2">
            <wp:simplePos x="0" y="0"/>
            <wp:positionH relativeFrom="column">
              <wp:posOffset>-624840</wp:posOffset>
            </wp:positionH>
            <wp:positionV relativeFrom="paragraph">
              <wp:posOffset>-3589655</wp:posOffset>
            </wp:positionV>
            <wp:extent cx="7056120" cy="10556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udc-guide-cover-full-siz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56120" cy="10556875"/>
                    </a:xfrm>
                    <a:prstGeom prst="rect">
                      <a:avLst/>
                    </a:prstGeom>
                  </pic:spPr>
                </pic:pic>
              </a:graphicData>
            </a:graphic>
            <wp14:sizeRelH relativeFrom="page">
              <wp14:pctWidth>0</wp14:pctWidth>
            </wp14:sizeRelH>
            <wp14:sizeRelV relativeFrom="page">
              <wp14:pctHeight>0</wp14:pctHeight>
            </wp14:sizeRelV>
          </wp:anchor>
        </w:drawing>
      </w:r>
    </w:p>
    <w:p w14:paraId="116EA9C4" w14:textId="77777777" w:rsidR="0003640E" w:rsidRPr="0089135C" w:rsidRDefault="0003640E" w:rsidP="0080531E">
      <w:pPr>
        <w:jc w:val="left"/>
        <w:rPr>
          <w:color w:val="FF0000"/>
        </w:rPr>
        <w:sectPr w:rsidR="0003640E" w:rsidRPr="0089135C" w:rsidSect="0036151C">
          <w:headerReference w:type="default" r:id="rId10"/>
          <w:footerReference w:type="default" r:id="rId11"/>
          <w:pgSz w:w="11907" w:h="16840" w:code="9"/>
          <w:pgMar w:top="5670" w:right="1418" w:bottom="1701" w:left="1418" w:header="567" w:footer="1134" w:gutter="0"/>
          <w:cols w:space="720"/>
        </w:sectPr>
      </w:pPr>
    </w:p>
    <w:p w14:paraId="6EF3B210" w14:textId="77777777" w:rsidR="004E1DEC" w:rsidRDefault="004E1DEC" w:rsidP="0080531E">
      <w:pPr>
        <w:pStyle w:val="Imprint"/>
        <w:rPr>
          <w:rFonts w:eastAsia="Times New Roman" w:cs="Times New Roman"/>
        </w:rPr>
      </w:pPr>
    </w:p>
    <w:p w14:paraId="16031051" w14:textId="77777777" w:rsidR="004E1DEC" w:rsidRDefault="004E1DEC" w:rsidP="0080531E">
      <w:pPr>
        <w:pStyle w:val="Imprint"/>
        <w:rPr>
          <w:rFonts w:eastAsia="Times New Roman" w:cs="Times New Roman"/>
        </w:rPr>
      </w:pPr>
    </w:p>
    <w:p w14:paraId="0E95BAB0" w14:textId="77777777" w:rsidR="004E1DEC" w:rsidRDefault="004E1DEC" w:rsidP="0080531E">
      <w:pPr>
        <w:pStyle w:val="Imprint"/>
        <w:rPr>
          <w:rFonts w:eastAsia="Times New Roman" w:cs="Times New Roman"/>
        </w:rPr>
      </w:pPr>
    </w:p>
    <w:p w14:paraId="21279B73" w14:textId="77777777" w:rsidR="004E1DEC" w:rsidRDefault="004E1DEC" w:rsidP="0080531E">
      <w:pPr>
        <w:pStyle w:val="Imprint"/>
        <w:rPr>
          <w:rFonts w:eastAsia="Times New Roman" w:cs="Times New Roman"/>
        </w:rPr>
      </w:pPr>
    </w:p>
    <w:p w14:paraId="07835662" w14:textId="77777777" w:rsidR="004E1DEC" w:rsidRDefault="004E1DEC" w:rsidP="0080531E">
      <w:pPr>
        <w:pStyle w:val="Imprint"/>
        <w:rPr>
          <w:rFonts w:eastAsia="Times New Roman" w:cs="Times New Roman"/>
        </w:rPr>
      </w:pPr>
    </w:p>
    <w:p w14:paraId="5495ABA4" w14:textId="77777777" w:rsidR="004E1DEC" w:rsidRDefault="004E1DEC" w:rsidP="0080531E">
      <w:pPr>
        <w:pStyle w:val="Imprint"/>
        <w:rPr>
          <w:rFonts w:eastAsia="Times New Roman" w:cs="Times New Roman"/>
        </w:rPr>
      </w:pPr>
    </w:p>
    <w:p w14:paraId="0CE69BB5" w14:textId="77777777" w:rsidR="004E1DEC" w:rsidRDefault="004E1DEC" w:rsidP="0080531E">
      <w:pPr>
        <w:pStyle w:val="Imprint"/>
        <w:rPr>
          <w:rFonts w:eastAsia="Times New Roman" w:cs="Times New Roman"/>
        </w:rPr>
      </w:pPr>
    </w:p>
    <w:p w14:paraId="05F01C2A" w14:textId="77777777" w:rsidR="004E1DEC" w:rsidRDefault="004E1DEC" w:rsidP="0080531E">
      <w:pPr>
        <w:pStyle w:val="Imprint"/>
        <w:rPr>
          <w:rFonts w:eastAsia="Times New Roman" w:cs="Times New Roman"/>
        </w:rPr>
      </w:pPr>
    </w:p>
    <w:p w14:paraId="1E274131" w14:textId="237AB74A" w:rsidR="0080531E" w:rsidRPr="0089135C" w:rsidRDefault="001E3327" w:rsidP="0080531E">
      <w:pPr>
        <w:pStyle w:val="Imprint"/>
      </w:pPr>
      <w:r w:rsidRPr="0089135C">
        <w:rPr>
          <w:rFonts w:eastAsia="Times New Roman" w:cs="Times New Roman"/>
        </w:rPr>
        <w:t xml:space="preserve">This document may be cited as: Ministry for the Environment and Ministry of Business, Innovation and Employment. 2016. </w:t>
      </w:r>
      <w:r w:rsidRPr="0089135C">
        <w:rPr>
          <w:rFonts w:eastAsia="Times New Roman" w:cs="Times New Roman"/>
          <w:i/>
        </w:rPr>
        <w:t>Introductory Guide to the National Policy Statement on</w:t>
      </w:r>
      <w:r w:rsidR="006E6F93" w:rsidRPr="0089135C">
        <w:rPr>
          <w:rFonts w:eastAsia="Times New Roman" w:cs="Times New Roman"/>
          <w:i/>
        </w:rPr>
        <w:t> </w:t>
      </w:r>
      <w:r w:rsidRPr="0089135C">
        <w:rPr>
          <w:rFonts w:eastAsia="Times New Roman" w:cs="Times New Roman"/>
          <w:i/>
        </w:rPr>
        <w:t>Urban Development Capacity 2016</w:t>
      </w:r>
      <w:r w:rsidRPr="0089135C">
        <w:rPr>
          <w:rFonts w:eastAsia="Times New Roman" w:cs="Times New Roman"/>
        </w:rPr>
        <w:t>. Wellington: Ministry for the Environment and Ministry</w:t>
      </w:r>
      <w:r w:rsidR="006E6F93" w:rsidRPr="0089135C">
        <w:rPr>
          <w:rFonts w:eastAsia="Times New Roman" w:cs="Times New Roman"/>
        </w:rPr>
        <w:t> </w:t>
      </w:r>
      <w:r w:rsidRPr="0089135C">
        <w:rPr>
          <w:rFonts w:eastAsia="Times New Roman" w:cs="Times New Roman"/>
        </w:rPr>
        <w:t>of Business, Innovation and Employment.</w:t>
      </w:r>
      <w:r w:rsidR="00336DE6">
        <w:rPr>
          <w:rFonts w:eastAsia="Times New Roman" w:cs="Times New Roman"/>
        </w:rPr>
        <w:t xml:space="preserve"> </w:t>
      </w:r>
    </w:p>
    <w:p w14:paraId="6C2A4221" w14:textId="77777777" w:rsidR="00750F30" w:rsidRDefault="00750F30" w:rsidP="0080531E">
      <w:pPr>
        <w:pStyle w:val="Imprint"/>
      </w:pPr>
    </w:p>
    <w:p w14:paraId="73145AFE" w14:textId="77777777" w:rsidR="004E1DEC" w:rsidRDefault="004E1DEC" w:rsidP="0080531E">
      <w:pPr>
        <w:pStyle w:val="Imprint"/>
      </w:pPr>
    </w:p>
    <w:p w14:paraId="2C37DC28" w14:textId="77777777" w:rsidR="00750F30" w:rsidRPr="0089135C" w:rsidRDefault="00750F30" w:rsidP="0080531E">
      <w:pPr>
        <w:pStyle w:val="Imprint"/>
      </w:pPr>
    </w:p>
    <w:p w14:paraId="201C2755" w14:textId="77777777" w:rsidR="0080531E" w:rsidRPr="0089135C" w:rsidRDefault="0080531E" w:rsidP="0080531E">
      <w:pPr>
        <w:pStyle w:val="Imprint"/>
      </w:pPr>
    </w:p>
    <w:p w14:paraId="731DA40B" w14:textId="77777777" w:rsidR="00760C00" w:rsidRPr="0089135C" w:rsidRDefault="00760C00" w:rsidP="0080531E">
      <w:pPr>
        <w:pStyle w:val="Imprint"/>
      </w:pPr>
      <w:bookmarkStart w:id="0" w:name="_GoBack"/>
      <w:bookmarkEnd w:id="0"/>
    </w:p>
    <w:p w14:paraId="532B34BA" w14:textId="77777777" w:rsidR="0080531E" w:rsidRDefault="0080531E" w:rsidP="0080531E">
      <w:pPr>
        <w:pStyle w:val="Imprint"/>
      </w:pPr>
    </w:p>
    <w:p w14:paraId="2AD03EA1" w14:textId="77777777" w:rsidR="00BB19A4" w:rsidRDefault="00BB19A4" w:rsidP="0080531E">
      <w:pPr>
        <w:pStyle w:val="Imprint"/>
      </w:pPr>
    </w:p>
    <w:p w14:paraId="0E72B027" w14:textId="77777777" w:rsidR="00BB19A4" w:rsidRPr="0089135C" w:rsidRDefault="00BB19A4" w:rsidP="0080531E">
      <w:pPr>
        <w:pStyle w:val="Imprint"/>
      </w:pPr>
    </w:p>
    <w:p w14:paraId="3B92B1CA" w14:textId="77777777" w:rsidR="00CB557F" w:rsidRPr="0089135C" w:rsidRDefault="00CB557F" w:rsidP="0080531E">
      <w:pPr>
        <w:pStyle w:val="Imprint"/>
      </w:pPr>
    </w:p>
    <w:p w14:paraId="05BB73A5" w14:textId="77777777" w:rsidR="002E31DF" w:rsidRDefault="002E31DF" w:rsidP="0080531E">
      <w:pPr>
        <w:pStyle w:val="Imprint"/>
      </w:pPr>
    </w:p>
    <w:p w14:paraId="2AB3161A" w14:textId="77777777" w:rsidR="00AF2D43" w:rsidRDefault="00AF2D43" w:rsidP="0080531E">
      <w:pPr>
        <w:pStyle w:val="Imprint"/>
      </w:pPr>
    </w:p>
    <w:p w14:paraId="14C046ED" w14:textId="77777777" w:rsidR="00AF2D43" w:rsidRPr="0089135C" w:rsidRDefault="00AF2D43" w:rsidP="0080531E">
      <w:pPr>
        <w:pStyle w:val="Imprint"/>
      </w:pPr>
    </w:p>
    <w:p w14:paraId="03502B94" w14:textId="77777777" w:rsidR="002E31DF" w:rsidRPr="0089135C" w:rsidRDefault="002E31DF" w:rsidP="0080531E">
      <w:pPr>
        <w:pStyle w:val="Imprint"/>
      </w:pPr>
    </w:p>
    <w:p w14:paraId="35A48DCE" w14:textId="77777777" w:rsidR="002E31DF" w:rsidRPr="0089135C" w:rsidRDefault="002E31DF" w:rsidP="0080531E">
      <w:pPr>
        <w:pStyle w:val="Imprint"/>
      </w:pPr>
    </w:p>
    <w:p w14:paraId="04E0E4CB" w14:textId="77777777" w:rsidR="002E31DF" w:rsidRPr="0089135C" w:rsidRDefault="002E31DF" w:rsidP="002E31DF">
      <w:pPr>
        <w:pStyle w:val="Imprint"/>
        <w:spacing w:before="0" w:after="0"/>
      </w:pPr>
    </w:p>
    <w:p w14:paraId="42B5F8C4" w14:textId="646B70FA" w:rsidR="0080531E" w:rsidRPr="0089135C" w:rsidRDefault="0080531E" w:rsidP="0080531E">
      <w:pPr>
        <w:pStyle w:val="Imprint"/>
      </w:pPr>
      <w:r w:rsidRPr="0089135C">
        <w:t xml:space="preserve">Published in </w:t>
      </w:r>
      <w:r w:rsidR="002813CC">
        <w:rPr>
          <w:rFonts w:eastAsia="Times New Roman" w:cs="Times New Roman"/>
        </w:rPr>
        <w:t>November</w:t>
      </w:r>
      <w:r w:rsidR="006E6F93" w:rsidRPr="0089135C">
        <w:rPr>
          <w:rFonts w:eastAsia="Times New Roman" w:cs="Times New Roman"/>
        </w:rPr>
        <w:t xml:space="preserve"> 2016 </w:t>
      </w:r>
      <w:r w:rsidRPr="0089135C">
        <w:t>by the</w:t>
      </w:r>
      <w:r w:rsidRPr="0089135C">
        <w:br/>
        <w:t xml:space="preserve">Ministry for the Environment </w:t>
      </w:r>
      <w:r w:rsidR="006E6F93" w:rsidRPr="0089135C">
        <w:rPr>
          <w:rFonts w:eastAsia="Times New Roman" w:cs="Times New Roman"/>
        </w:rPr>
        <w:t>and the Ministry of Business, Innovation and Employment</w:t>
      </w:r>
      <w:r w:rsidRPr="0089135C">
        <w:br/>
      </w:r>
      <w:proofErr w:type="spellStart"/>
      <w:r w:rsidRPr="0089135C">
        <w:t>Manatū</w:t>
      </w:r>
      <w:proofErr w:type="spellEnd"/>
      <w:r w:rsidRPr="0089135C">
        <w:t xml:space="preserve"> </w:t>
      </w:r>
      <w:proofErr w:type="spellStart"/>
      <w:r w:rsidRPr="0089135C">
        <w:t>Mō</w:t>
      </w:r>
      <w:proofErr w:type="spellEnd"/>
      <w:r w:rsidRPr="0089135C">
        <w:t xml:space="preserve"> </w:t>
      </w:r>
      <w:proofErr w:type="spellStart"/>
      <w:r w:rsidRPr="0089135C">
        <w:t>Te</w:t>
      </w:r>
      <w:proofErr w:type="spellEnd"/>
      <w:r w:rsidRPr="0089135C">
        <w:t xml:space="preserve"> </w:t>
      </w:r>
      <w:proofErr w:type="spellStart"/>
      <w:r w:rsidRPr="0089135C">
        <w:t>Taiao</w:t>
      </w:r>
      <w:proofErr w:type="spellEnd"/>
      <w:r w:rsidR="00336DE6">
        <w:t xml:space="preserve"> and </w:t>
      </w:r>
      <w:proofErr w:type="spellStart"/>
      <w:r w:rsidR="00336DE6">
        <w:t>Hikina</w:t>
      </w:r>
      <w:proofErr w:type="spellEnd"/>
      <w:r w:rsidR="00336DE6">
        <w:t xml:space="preserve"> </w:t>
      </w:r>
      <w:proofErr w:type="spellStart"/>
      <w:r w:rsidR="00336DE6">
        <w:t>Whakatutuki</w:t>
      </w:r>
      <w:proofErr w:type="spellEnd"/>
      <w:r w:rsidRPr="0089135C">
        <w:br/>
        <w:t>PO Box 10362, Wellington 6143, New Zealand</w:t>
      </w:r>
    </w:p>
    <w:p w14:paraId="0023358B" w14:textId="5B8C5BF2" w:rsidR="0080531E" w:rsidRPr="0089135C" w:rsidRDefault="00750F30" w:rsidP="00750F30">
      <w:pPr>
        <w:pStyle w:val="Imprint"/>
      </w:pPr>
      <w:r>
        <w:t xml:space="preserve">ISBN: </w:t>
      </w:r>
      <w:r w:rsidR="00F637DE" w:rsidRPr="00F637DE">
        <w:t>978-0-908339-71-6</w:t>
      </w:r>
      <w:r>
        <w:br/>
      </w:r>
      <w:r w:rsidR="0080531E" w:rsidRPr="0089135C">
        <w:t xml:space="preserve">Publication number: </w:t>
      </w:r>
      <w:r w:rsidR="0080531E" w:rsidRPr="00F637DE">
        <w:t xml:space="preserve">ME </w:t>
      </w:r>
      <w:r w:rsidR="00F637DE">
        <w:t>1274</w:t>
      </w:r>
    </w:p>
    <w:p w14:paraId="61C9B2B7" w14:textId="77777777" w:rsidR="0080531E" w:rsidRPr="0089135C" w:rsidRDefault="0080531E" w:rsidP="0080531E">
      <w:pPr>
        <w:pStyle w:val="Imprint"/>
      </w:pPr>
      <w:r w:rsidRPr="0089135C">
        <w:t xml:space="preserve">© Crown copyright New Zealand </w:t>
      </w:r>
      <w:r w:rsidR="006E6F93" w:rsidRPr="0089135C">
        <w:t>2016</w:t>
      </w:r>
    </w:p>
    <w:p w14:paraId="11DA108B" w14:textId="77777777" w:rsidR="0080531E" w:rsidRPr="0089135C" w:rsidRDefault="0080531E" w:rsidP="0080531E">
      <w:pPr>
        <w:pStyle w:val="Imprint"/>
        <w:spacing w:before="240"/>
      </w:pPr>
      <w:r w:rsidRPr="0089135C">
        <w:t>This document is available on the Ministry for</w:t>
      </w:r>
      <w:r w:rsidR="004C4E8A" w:rsidRPr="0089135C">
        <w:t xml:space="preserve"> the Environment </w:t>
      </w:r>
      <w:r w:rsidR="00CB557F" w:rsidRPr="0089135C">
        <w:t>website</w:t>
      </w:r>
      <w:r w:rsidRPr="0089135C">
        <w:t xml:space="preserve">: </w:t>
      </w:r>
      <w:hyperlink r:id="rId12" w:history="1">
        <w:r w:rsidRPr="0089135C">
          <w:rPr>
            <w:rStyle w:val="Hyperlink"/>
          </w:rPr>
          <w:t>www.mfe.govt.nz</w:t>
        </w:r>
      </w:hyperlink>
      <w:r w:rsidR="00B51610" w:rsidRPr="0089135C">
        <w:rPr>
          <w:rStyle w:val="Hyperlink"/>
          <w:color w:val="auto"/>
        </w:rPr>
        <w:t>.</w:t>
      </w:r>
    </w:p>
    <w:p w14:paraId="75B9623C" w14:textId="77777777" w:rsidR="0080531E" w:rsidRPr="0089135C" w:rsidRDefault="0080531E" w:rsidP="00D369CC">
      <w:pPr>
        <w:tabs>
          <w:tab w:val="right" w:pos="8505"/>
        </w:tabs>
        <w:spacing w:before="0" w:after="0" w:line="240" w:lineRule="auto"/>
        <w:ind w:left="-170" w:right="-1"/>
        <w:jc w:val="left"/>
      </w:pPr>
      <w:r w:rsidRPr="0089135C">
        <w:rPr>
          <w:noProof/>
        </w:rPr>
        <w:drawing>
          <wp:inline distT="0" distB="0" distL="0" distR="0" wp14:anchorId="4E42B6E0" wp14:editId="706E975F">
            <wp:extent cx="1971675" cy="609600"/>
            <wp:effectExtent l="19050" t="0" r="9525" b="0"/>
            <wp:docPr id="6" name="Picture 1" descr="B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_Logo"/>
                    <pic:cNvPicPr>
                      <a:picLocks noChangeAspect="1" noChangeArrowheads="1"/>
                    </pic:cNvPicPr>
                  </pic:nvPicPr>
                  <pic:blipFill>
                    <a:blip r:embed="rId13" cstate="print"/>
                    <a:srcRect/>
                    <a:stretch>
                      <a:fillRect/>
                    </a:stretch>
                  </pic:blipFill>
                  <pic:spPr bwMode="auto">
                    <a:xfrm>
                      <a:off x="0" y="0"/>
                      <a:ext cx="1971675" cy="609600"/>
                    </a:xfrm>
                    <a:prstGeom prst="rect">
                      <a:avLst/>
                    </a:prstGeom>
                    <a:noFill/>
                    <a:ln w="9525">
                      <a:noFill/>
                      <a:miter lim="800000"/>
                      <a:headEnd/>
                      <a:tailEnd/>
                    </a:ln>
                  </pic:spPr>
                </pic:pic>
              </a:graphicData>
            </a:graphic>
          </wp:inline>
        </w:drawing>
      </w:r>
      <w:r w:rsidR="00D369CC" w:rsidRPr="0089135C">
        <w:tab/>
      </w:r>
      <w:r w:rsidR="00D369CC" w:rsidRPr="0089135C">
        <w:rPr>
          <w:rFonts w:eastAsia="Times New Roman" w:cs="Times New Roman"/>
          <w:noProof/>
        </w:rPr>
        <w:drawing>
          <wp:inline distT="0" distB="0" distL="0" distR="0" wp14:anchorId="5DB21C35" wp14:editId="14F11178">
            <wp:extent cx="2196000" cy="46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972" t="21396" r="6671" b="20787"/>
                    <a:stretch/>
                  </pic:blipFill>
                  <pic:spPr bwMode="auto">
                    <a:xfrm>
                      <a:off x="0" y="0"/>
                      <a:ext cx="2196000" cy="460800"/>
                    </a:xfrm>
                    <a:prstGeom prst="rect">
                      <a:avLst/>
                    </a:prstGeom>
                    <a:noFill/>
                    <a:ln>
                      <a:noFill/>
                    </a:ln>
                    <a:extLst>
                      <a:ext uri="{53640926-AAD7-44D8-BBD7-CCE9431645EC}">
                        <a14:shadowObscured xmlns:a14="http://schemas.microsoft.com/office/drawing/2010/main"/>
                      </a:ext>
                    </a:extLst>
                  </pic:spPr>
                </pic:pic>
              </a:graphicData>
            </a:graphic>
          </wp:inline>
        </w:drawing>
      </w:r>
    </w:p>
    <w:p w14:paraId="63FA8B69" w14:textId="77777777" w:rsidR="0080531E" w:rsidRPr="0089135C" w:rsidRDefault="0080531E" w:rsidP="0080531E">
      <w:pPr>
        <w:spacing w:before="0" w:after="0" w:line="240" w:lineRule="auto"/>
      </w:pPr>
    </w:p>
    <w:p w14:paraId="1DC31F7A" w14:textId="77777777" w:rsidR="0080531E" w:rsidRPr="0089135C" w:rsidRDefault="0080531E" w:rsidP="002E31DF">
      <w:pPr>
        <w:pStyle w:val="BodyText"/>
        <w:sectPr w:rsidR="0080531E" w:rsidRPr="0089135C" w:rsidSect="0036151C">
          <w:headerReference w:type="even" r:id="rId15"/>
          <w:headerReference w:type="default" r:id="rId16"/>
          <w:footerReference w:type="even" r:id="rId17"/>
          <w:footerReference w:type="default" r:id="rId18"/>
          <w:pgSz w:w="11907" w:h="16840" w:code="9"/>
          <w:pgMar w:top="1134" w:right="1418" w:bottom="1134" w:left="1418" w:header="567" w:footer="567" w:gutter="567"/>
          <w:pgNumType w:fmt="lowerRoman"/>
          <w:cols w:space="720"/>
        </w:sectPr>
      </w:pPr>
    </w:p>
    <w:p w14:paraId="619B471D" w14:textId="77777777" w:rsidR="0080531E" w:rsidRPr="0089135C" w:rsidRDefault="0080531E" w:rsidP="008B68EC">
      <w:pPr>
        <w:pStyle w:val="Heading"/>
      </w:pPr>
      <w:r w:rsidRPr="0089135C">
        <w:lastRenderedPageBreak/>
        <w:t>Contents</w:t>
      </w:r>
    </w:p>
    <w:p w14:paraId="6BAA26A0" w14:textId="77777777" w:rsidR="00D02F3F" w:rsidRDefault="00775F57">
      <w:pPr>
        <w:pStyle w:val="TOC1"/>
        <w:rPr>
          <w:rFonts w:asciiTheme="minorHAnsi" w:hAnsiTheme="minorHAnsi"/>
          <w:noProof/>
        </w:rPr>
      </w:pPr>
      <w:r w:rsidRPr="0089135C">
        <w:rPr>
          <w:color w:val="0092CF"/>
        </w:rPr>
        <w:fldChar w:fldCharType="begin"/>
      </w:r>
      <w:r w:rsidRPr="0089135C">
        <w:rPr>
          <w:color w:val="0092CF"/>
        </w:rPr>
        <w:instrText xml:space="preserve"> TOC \h \z \t "Heading 1,1,Heading 2,2" </w:instrText>
      </w:r>
      <w:r w:rsidRPr="0089135C">
        <w:rPr>
          <w:color w:val="0092CF"/>
        </w:rPr>
        <w:fldChar w:fldCharType="separate"/>
      </w:r>
      <w:hyperlink w:anchor="_Toc465600893" w:history="1">
        <w:r w:rsidR="00D02F3F" w:rsidRPr="0059583C">
          <w:rPr>
            <w:rStyle w:val="Hyperlink"/>
            <w:noProof/>
          </w:rPr>
          <w:t>1</w:t>
        </w:r>
        <w:r w:rsidR="00D02F3F">
          <w:rPr>
            <w:rFonts w:asciiTheme="minorHAnsi" w:hAnsiTheme="minorHAnsi"/>
            <w:noProof/>
          </w:rPr>
          <w:tab/>
        </w:r>
        <w:r w:rsidR="00D02F3F" w:rsidRPr="0059583C">
          <w:rPr>
            <w:rStyle w:val="Hyperlink"/>
            <w:noProof/>
          </w:rPr>
          <w:t>Introduction</w:t>
        </w:r>
        <w:r w:rsidR="00D02F3F">
          <w:rPr>
            <w:noProof/>
            <w:webHidden/>
          </w:rPr>
          <w:tab/>
        </w:r>
        <w:r w:rsidR="00D02F3F">
          <w:rPr>
            <w:noProof/>
            <w:webHidden/>
          </w:rPr>
          <w:fldChar w:fldCharType="begin"/>
        </w:r>
        <w:r w:rsidR="00D02F3F">
          <w:rPr>
            <w:noProof/>
            <w:webHidden/>
          </w:rPr>
          <w:instrText xml:space="preserve"> PAGEREF _Toc465600893 \h </w:instrText>
        </w:r>
        <w:r w:rsidR="00D02F3F">
          <w:rPr>
            <w:noProof/>
            <w:webHidden/>
          </w:rPr>
        </w:r>
        <w:r w:rsidR="00D02F3F">
          <w:rPr>
            <w:noProof/>
            <w:webHidden/>
          </w:rPr>
          <w:fldChar w:fldCharType="separate"/>
        </w:r>
        <w:r w:rsidR="00166B21">
          <w:rPr>
            <w:noProof/>
            <w:webHidden/>
          </w:rPr>
          <w:t>5</w:t>
        </w:r>
        <w:r w:rsidR="00D02F3F">
          <w:rPr>
            <w:noProof/>
            <w:webHidden/>
          </w:rPr>
          <w:fldChar w:fldCharType="end"/>
        </w:r>
      </w:hyperlink>
    </w:p>
    <w:p w14:paraId="7998C8B3" w14:textId="77777777" w:rsidR="00D02F3F" w:rsidRDefault="00166B21">
      <w:pPr>
        <w:pStyle w:val="TOC2"/>
        <w:rPr>
          <w:rFonts w:asciiTheme="minorHAnsi" w:hAnsiTheme="minorHAnsi"/>
          <w:noProof/>
        </w:rPr>
      </w:pPr>
      <w:hyperlink w:anchor="_Toc465600894" w:history="1">
        <w:r w:rsidR="00D02F3F" w:rsidRPr="0059583C">
          <w:rPr>
            <w:rStyle w:val="Hyperlink"/>
            <w:noProof/>
          </w:rPr>
          <w:t>Purpose and focus of this guide</w:t>
        </w:r>
        <w:r w:rsidR="00D02F3F">
          <w:rPr>
            <w:noProof/>
            <w:webHidden/>
          </w:rPr>
          <w:tab/>
        </w:r>
        <w:r w:rsidR="00D02F3F">
          <w:rPr>
            <w:noProof/>
            <w:webHidden/>
          </w:rPr>
          <w:fldChar w:fldCharType="begin"/>
        </w:r>
        <w:r w:rsidR="00D02F3F">
          <w:rPr>
            <w:noProof/>
            <w:webHidden/>
          </w:rPr>
          <w:instrText xml:space="preserve"> PAGEREF _Toc465600894 \h </w:instrText>
        </w:r>
        <w:r w:rsidR="00D02F3F">
          <w:rPr>
            <w:noProof/>
            <w:webHidden/>
          </w:rPr>
        </w:r>
        <w:r w:rsidR="00D02F3F">
          <w:rPr>
            <w:noProof/>
            <w:webHidden/>
          </w:rPr>
          <w:fldChar w:fldCharType="separate"/>
        </w:r>
        <w:r>
          <w:rPr>
            <w:noProof/>
            <w:webHidden/>
          </w:rPr>
          <w:t>5</w:t>
        </w:r>
        <w:r w:rsidR="00D02F3F">
          <w:rPr>
            <w:noProof/>
            <w:webHidden/>
          </w:rPr>
          <w:fldChar w:fldCharType="end"/>
        </w:r>
      </w:hyperlink>
    </w:p>
    <w:p w14:paraId="75586F8A" w14:textId="77777777" w:rsidR="00D02F3F" w:rsidRDefault="00166B21">
      <w:pPr>
        <w:pStyle w:val="TOC2"/>
        <w:rPr>
          <w:rFonts w:asciiTheme="minorHAnsi" w:hAnsiTheme="minorHAnsi"/>
          <w:noProof/>
        </w:rPr>
      </w:pPr>
      <w:hyperlink w:anchor="_Toc465600895" w:history="1">
        <w:r w:rsidR="00D02F3F" w:rsidRPr="0059583C">
          <w:rPr>
            <w:rStyle w:val="Hyperlink"/>
            <w:noProof/>
          </w:rPr>
          <w:t>Role of a national policy statement</w:t>
        </w:r>
        <w:r w:rsidR="00D02F3F">
          <w:rPr>
            <w:noProof/>
            <w:webHidden/>
          </w:rPr>
          <w:tab/>
        </w:r>
        <w:r w:rsidR="00D02F3F">
          <w:rPr>
            <w:noProof/>
            <w:webHidden/>
          </w:rPr>
          <w:fldChar w:fldCharType="begin"/>
        </w:r>
        <w:r w:rsidR="00D02F3F">
          <w:rPr>
            <w:noProof/>
            <w:webHidden/>
          </w:rPr>
          <w:instrText xml:space="preserve"> PAGEREF _Toc465600895 \h </w:instrText>
        </w:r>
        <w:r w:rsidR="00D02F3F">
          <w:rPr>
            <w:noProof/>
            <w:webHidden/>
          </w:rPr>
        </w:r>
        <w:r w:rsidR="00D02F3F">
          <w:rPr>
            <w:noProof/>
            <w:webHidden/>
          </w:rPr>
          <w:fldChar w:fldCharType="separate"/>
        </w:r>
        <w:r>
          <w:rPr>
            <w:noProof/>
            <w:webHidden/>
          </w:rPr>
          <w:t>5</w:t>
        </w:r>
        <w:r w:rsidR="00D02F3F">
          <w:rPr>
            <w:noProof/>
            <w:webHidden/>
          </w:rPr>
          <w:fldChar w:fldCharType="end"/>
        </w:r>
      </w:hyperlink>
    </w:p>
    <w:p w14:paraId="5CBBEC5B" w14:textId="77777777" w:rsidR="00D02F3F" w:rsidRDefault="00166B21">
      <w:pPr>
        <w:pStyle w:val="TOC2"/>
        <w:rPr>
          <w:rFonts w:asciiTheme="minorHAnsi" w:hAnsiTheme="minorHAnsi"/>
          <w:noProof/>
        </w:rPr>
      </w:pPr>
      <w:hyperlink w:anchor="_Toc465600896" w:history="1">
        <w:r w:rsidR="00D02F3F" w:rsidRPr="0059583C">
          <w:rPr>
            <w:rStyle w:val="Hyperlink"/>
            <w:noProof/>
          </w:rPr>
          <w:t>National Policy Statement on Urban Development Capacity</w:t>
        </w:r>
        <w:r w:rsidR="00D02F3F">
          <w:rPr>
            <w:noProof/>
            <w:webHidden/>
          </w:rPr>
          <w:tab/>
        </w:r>
        <w:r w:rsidR="00D02F3F">
          <w:rPr>
            <w:noProof/>
            <w:webHidden/>
          </w:rPr>
          <w:fldChar w:fldCharType="begin"/>
        </w:r>
        <w:r w:rsidR="00D02F3F">
          <w:rPr>
            <w:noProof/>
            <w:webHidden/>
          </w:rPr>
          <w:instrText xml:space="preserve"> PAGEREF _Toc465600896 \h </w:instrText>
        </w:r>
        <w:r w:rsidR="00D02F3F">
          <w:rPr>
            <w:noProof/>
            <w:webHidden/>
          </w:rPr>
        </w:r>
        <w:r w:rsidR="00D02F3F">
          <w:rPr>
            <w:noProof/>
            <w:webHidden/>
          </w:rPr>
          <w:fldChar w:fldCharType="separate"/>
        </w:r>
        <w:r>
          <w:rPr>
            <w:noProof/>
            <w:webHidden/>
          </w:rPr>
          <w:t>5</w:t>
        </w:r>
        <w:r w:rsidR="00D02F3F">
          <w:rPr>
            <w:noProof/>
            <w:webHidden/>
          </w:rPr>
          <w:fldChar w:fldCharType="end"/>
        </w:r>
      </w:hyperlink>
    </w:p>
    <w:p w14:paraId="30673634" w14:textId="77777777" w:rsidR="00D02F3F" w:rsidRDefault="00166B21">
      <w:pPr>
        <w:pStyle w:val="TOC2"/>
        <w:rPr>
          <w:rFonts w:asciiTheme="minorHAnsi" w:hAnsiTheme="minorHAnsi"/>
          <w:noProof/>
        </w:rPr>
      </w:pPr>
      <w:hyperlink w:anchor="_Toc465600897" w:history="1">
        <w:r w:rsidR="00D02F3F" w:rsidRPr="0059583C">
          <w:rPr>
            <w:rStyle w:val="Hyperlink"/>
            <w:noProof/>
          </w:rPr>
          <w:t>Overview of the requirements</w:t>
        </w:r>
        <w:r w:rsidR="00D02F3F">
          <w:rPr>
            <w:noProof/>
            <w:webHidden/>
          </w:rPr>
          <w:tab/>
        </w:r>
        <w:r w:rsidR="00D02F3F">
          <w:rPr>
            <w:noProof/>
            <w:webHidden/>
          </w:rPr>
          <w:fldChar w:fldCharType="begin"/>
        </w:r>
        <w:r w:rsidR="00D02F3F">
          <w:rPr>
            <w:noProof/>
            <w:webHidden/>
          </w:rPr>
          <w:instrText xml:space="preserve"> PAGEREF _Toc465600897 \h </w:instrText>
        </w:r>
        <w:r w:rsidR="00D02F3F">
          <w:rPr>
            <w:noProof/>
            <w:webHidden/>
          </w:rPr>
        </w:r>
        <w:r w:rsidR="00D02F3F">
          <w:rPr>
            <w:noProof/>
            <w:webHidden/>
          </w:rPr>
          <w:fldChar w:fldCharType="separate"/>
        </w:r>
        <w:r>
          <w:rPr>
            <w:noProof/>
            <w:webHidden/>
          </w:rPr>
          <w:t>6</w:t>
        </w:r>
        <w:r w:rsidR="00D02F3F">
          <w:rPr>
            <w:noProof/>
            <w:webHidden/>
          </w:rPr>
          <w:fldChar w:fldCharType="end"/>
        </w:r>
      </w:hyperlink>
    </w:p>
    <w:p w14:paraId="029725E3" w14:textId="77777777" w:rsidR="00D02F3F" w:rsidRDefault="00166B21">
      <w:pPr>
        <w:pStyle w:val="TOC2"/>
        <w:rPr>
          <w:rFonts w:asciiTheme="minorHAnsi" w:hAnsiTheme="minorHAnsi"/>
          <w:noProof/>
        </w:rPr>
      </w:pPr>
      <w:hyperlink w:anchor="_Toc465600898" w:history="1">
        <w:r w:rsidR="00D02F3F" w:rsidRPr="0059583C">
          <w:rPr>
            <w:rStyle w:val="Hyperlink"/>
            <w:noProof/>
          </w:rPr>
          <w:t>Which policies apply to my local authority and when?</w:t>
        </w:r>
        <w:r w:rsidR="00D02F3F">
          <w:rPr>
            <w:noProof/>
            <w:webHidden/>
          </w:rPr>
          <w:tab/>
        </w:r>
        <w:r w:rsidR="00D02F3F">
          <w:rPr>
            <w:noProof/>
            <w:webHidden/>
          </w:rPr>
          <w:fldChar w:fldCharType="begin"/>
        </w:r>
        <w:r w:rsidR="00D02F3F">
          <w:rPr>
            <w:noProof/>
            <w:webHidden/>
          </w:rPr>
          <w:instrText xml:space="preserve"> PAGEREF _Toc465600898 \h </w:instrText>
        </w:r>
        <w:r w:rsidR="00D02F3F">
          <w:rPr>
            <w:noProof/>
            <w:webHidden/>
          </w:rPr>
        </w:r>
        <w:r w:rsidR="00D02F3F">
          <w:rPr>
            <w:noProof/>
            <w:webHidden/>
          </w:rPr>
          <w:fldChar w:fldCharType="separate"/>
        </w:r>
        <w:r>
          <w:rPr>
            <w:noProof/>
            <w:webHidden/>
          </w:rPr>
          <w:t>6</w:t>
        </w:r>
        <w:r w:rsidR="00D02F3F">
          <w:rPr>
            <w:noProof/>
            <w:webHidden/>
          </w:rPr>
          <w:fldChar w:fldCharType="end"/>
        </w:r>
      </w:hyperlink>
    </w:p>
    <w:p w14:paraId="7B952365" w14:textId="77777777" w:rsidR="00D02F3F" w:rsidRDefault="00166B21">
      <w:pPr>
        <w:pStyle w:val="TOC1"/>
        <w:rPr>
          <w:rFonts w:asciiTheme="minorHAnsi" w:hAnsiTheme="minorHAnsi"/>
          <w:noProof/>
        </w:rPr>
      </w:pPr>
      <w:hyperlink w:anchor="_Toc465600899" w:history="1">
        <w:r w:rsidR="00D02F3F" w:rsidRPr="0059583C">
          <w:rPr>
            <w:rStyle w:val="Hyperlink"/>
            <w:noProof/>
          </w:rPr>
          <w:t>2</w:t>
        </w:r>
        <w:r w:rsidR="00D02F3F">
          <w:rPr>
            <w:rFonts w:asciiTheme="minorHAnsi" w:hAnsiTheme="minorHAnsi"/>
            <w:noProof/>
          </w:rPr>
          <w:tab/>
        </w:r>
        <w:r w:rsidR="00D02F3F" w:rsidRPr="0059583C">
          <w:rPr>
            <w:rStyle w:val="Hyperlink"/>
            <w:noProof/>
          </w:rPr>
          <w:t>Requirements of all local authorities</w:t>
        </w:r>
        <w:r w:rsidR="00D02F3F">
          <w:rPr>
            <w:noProof/>
            <w:webHidden/>
          </w:rPr>
          <w:tab/>
        </w:r>
        <w:r w:rsidR="00D02F3F">
          <w:rPr>
            <w:noProof/>
            <w:webHidden/>
          </w:rPr>
          <w:fldChar w:fldCharType="begin"/>
        </w:r>
        <w:r w:rsidR="00D02F3F">
          <w:rPr>
            <w:noProof/>
            <w:webHidden/>
          </w:rPr>
          <w:instrText xml:space="preserve"> PAGEREF _Toc465600899 \h </w:instrText>
        </w:r>
        <w:r w:rsidR="00D02F3F">
          <w:rPr>
            <w:noProof/>
            <w:webHidden/>
          </w:rPr>
        </w:r>
        <w:r w:rsidR="00D02F3F">
          <w:rPr>
            <w:noProof/>
            <w:webHidden/>
          </w:rPr>
          <w:fldChar w:fldCharType="separate"/>
        </w:r>
        <w:r>
          <w:rPr>
            <w:noProof/>
            <w:webHidden/>
          </w:rPr>
          <w:t>10</w:t>
        </w:r>
        <w:r w:rsidR="00D02F3F">
          <w:rPr>
            <w:noProof/>
            <w:webHidden/>
          </w:rPr>
          <w:fldChar w:fldCharType="end"/>
        </w:r>
      </w:hyperlink>
    </w:p>
    <w:p w14:paraId="237BC0CC" w14:textId="77777777" w:rsidR="00D02F3F" w:rsidRDefault="00166B21">
      <w:pPr>
        <w:pStyle w:val="TOC2"/>
        <w:rPr>
          <w:rFonts w:asciiTheme="minorHAnsi" w:hAnsiTheme="minorHAnsi"/>
          <w:noProof/>
        </w:rPr>
      </w:pPr>
      <w:hyperlink w:anchor="_Toc465600900" w:history="1">
        <w:r w:rsidR="00D02F3F" w:rsidRPr="0059583C">
          <w:rPr>
            <w:rStyle w:val="Hyperlink"/>
            <w:noProof/>
          </w:rPr>
          <w:t>Objectives</w:t>
        </w:r>
        <w:r w:rsidR="00D02F3F">
          <w:rPr>
            <w:noProof/>
            <w:webHidden/>
          </w:rPr>
          <w:tab/>
        </w:r>
        <w:r w:rsidR="00D02F3F">
          <w:rPr>
            <w:noProof/>
            <w:webHidden/>
          </w:rPr>
          <w:fldChar w:fldCharType="begin"/>
        </w:r>
        <w:r w:rsidR="00D02F3F">
          <w:rPr>
            <w:noProof/>
            <w:webHidden/>
          </w:rPr>
          <w:instrText xml:space="preserve"> PAGEREF _Toc465600900 \h </w:instrText>
        </w:r>
        <w:r w:rsidR="00D02F3F">
          <w:rPr>
            <w:noProof/>
            <w:webHidden/>
          </w:rPr>
        </w:r>
        <w:r w:rsidR="00D02F3F">
          <w:rPr>
            <w:noProof/>
            <w:webHidden/>
          </w:rPr>
          <w:fldChar w:fldCharType="separate"/>
        </w:r>
        <w:r>
          <w:rPr>
            <w:noProof/>
            <w:webHidden/>
          </w:rPr>
          <w:t>10</w:t>
        </w:r>
        <w:r w:rsidR="00D02F3F">
          <w:rPr>
            <w:noProof/>
            <w:webHidden/>
          </w:rPr>
          <w:fldChar w:fldCharType="end"/>
        </w:r>
      </w:hyperlink>
    </w:p>
    <w:p w14:paraId="5DA01A44" w14:textId="77777777" w:rsidR="00D02F3F" w:rsidRDefault="00166B21">
      <w:pPr>
        <w:pStyle w:val="TOC2"/>
        <w:rPr>
          <w:rFonts w:asciiTheme="minorHAnsi" w:hAnsiTheme="minorHAnsi"/>
          <w:noProof/>
        </w:rPr>
      </w:pPr>
      <w:hyperlink w:anchor="_Toc465600901" w:history="1">
        <w:r w:rsidR="00D02F3F" w:rsidRPr="0059583C">
          <w:rPr>
            <w:rStyle w:val="Hyperlink"/>
            <w:noProof/>
          </w:rPr>
          <w:t>Definitions</w:t>
        </w:r>
        <w:r w:rsidR="00D02F3F">
          <w:rPr>
            <w:noProof/>
            <w:webHidden/>
          </w:rPr>
          <w:tab/>
        </w:r>
        <w:r w:rsidR="00D02F3F">
          <w:rPr>
            <w:noProof/>
            <w:webHidden/>
          </w:rPr>
          <w:fldChar w:fldCharType="begin"/>
        </w:r>
        <w:r w:rsidR="00D02F3F">
          <w:rPr>
            <w:noProof/>
            <w:webHidden/>
          </w:rPr>
          <w:instrText xml:space="preserve"> PAGEREF _Toc465600901 \h </w:instrText>
        </w:r>
        <w:r w:rsidR="00D02F3F">
          <w:rPr>
            <w:noProof/>
            <w:webHidden/>
          </w:rPr>
        </w:r>
        <w:r w:rsidR="00D02F3F">
          <w:rPr>
            <w:noProof/>
            <w:webHidden/>
          </w:rPr>
          <w:fldChar w:fldCharType="separate"/>
        </w:r>
        <w:r>
          <w:rPr>
            <w:noProof/>
            <w:webHidden/>
          </w:rPr>
          <w:t>10</w:t>
        </w:r>
        <w:r w:rsidR="00D02F3F">
          <w:rPr>
            <w:noProof/>
            <w:webHidden/>
          </w:rPr>
          <w:fldChar w:fldCharType="end"/>
        </w:r>
      </w:hyperlink>
    </w:p>
    <w:p w14:paraId="621C7978" w14:textId="77777777" w:rsidR="00D02F3F" w:rsidRDefault="00166B21">
      <w:pPr>
        <w:pStyle w:val="TOC2"/>
        <w:rPr>
          <w:rFonts w:asciiTheme="minorHAnsi" w:hAnsiTheme="minorHAnsi"/>
          <w:noProof/>
        </w:rPr>
      </w:pPr>
      <w:hyperlink w:anchor="_Toc465600902" w:history="1">
        <w:r w:rsidR="00D02F3F" w:rsidRPr="0059583C">
          <w:rPr>
            <w:rStyle w:val="Hyperlink"/>
            <w:noProof/>
          </w:rPr>
          <w:t>Outcomes for planning decisions</w:t>
        </w:r>
        <w:r w:rsidR="00D02F3F">
          <w:rPr>
            <w:noProof/>
            <w:webHidden/>
          </w:rPr>
          <w:tab/>
        </w:r>
        <w:r w:rsidR="00D02F3F">
          <w:rPr>
            <w:noProof/>
            <w:webHidden/>
          </w:rPr>
          <w:fldChar w:fldCharType="begin"/>
        </w:r>
        <w:r w:rsidR="00D02F3F">
          <w:rPr>
            <w:noProof/>
            <w:webHidden/>
          </w:rPr>
          <w:instrText xml:space="preserve"> PAGEREF _Toc465600902 \h </w:instrText>
        </w:r>
        <w:r w:rsidR="00D02F3F">
          <w:rPr>
            <w:noProof/>
            <w:webHidden/>
          </w:rPr>
        </w:r>
        <w:r w:rsidR="00D02F3F">
          <w:rPr>
            <w:noProof/>
            <w:webHidden/>
          </w:rPr>
          <w:fldChar w:fldCharType="separate"/>
        </w:r>
        <w:r>
          <w:rPr>
            <w:noProof/>
            <w:webHidden/>
          </w:rPr>
          <w:t>14</w:t>
        </w:r>
        <w:r w:rsidR="00D02F3F">
          <w:rPr>
            <w:noProof/>
            <w:webHidden/>
          </w:rPr>
          <w:fldChar w:fldCharType="end"/>
        </w:r>
      </w:hyperlink>
    </w:p>
    <w:p w14:paraId="796CD778" w14:textId="77777777" w:rsidR="00D02F3F" w:rsidRDefault="00166B21">
      <w:pPr>
        <w:pStyle w:val="TOC1"/>
        <w:rPr>
          <w:rFonts w:asciiTheme="minorHAnsi" w:hAnsiTheme="minorHAnsi"/>
          <w:noProof/>
        </w:rPr>
      </w:pPr>
      <w:hyperlink w:anchor="_Toc465600903" w:history="1">
        <w:r w:rsidR="00D02F3F" w:rsidRPr="0059583C">
          <w:rPr>
            <w:rStyle w:val="Hyperlink"/>
            <w:noProof/>
          </w:rPr>
          <w:t>3</w:t>
        </w:r>
        <w:r w:rsidR="00D02F3F">
          <w:rPr>
            <w:rFonts w:asciiTheme="minorHAnsi" w:hAnsiTheme="minorHAnsi"/>
            <w:noProof/>
          </w:rPr>
          <w:tab/>
        </w:r>
        <w:r w:rsidR="00D02F3F" w:rsidRPr="0059583C">
          <w:rPr>
            <w:rStyle w:val="Hyperlink"/>
            <w:noProof/>
          </w:rPr>
          <w:t>Requirements of medium- and high-growth urban areas</w:t>
        </w:r>
        <w:r w:rsidR="00D02F3F">
          <w:rPr>
            <w:noProof/>
            <w:webHidden/>
          </w:rPr>
          <w:tab/>
        </w:r>
        <w:r w:rsidR="00D02F3F">
          <w:rPr>
            <w:noProof/>
            <w:webHidden/>
          </w:rPr>
          <w:fldChar w:fldCharType="begin"/>
        </w:r>
        <w:r w:rsidR="00D02F3F">
          <w:rPr>
            <w:noProof/>
            <w:webHidden/>
          </w:rPr>
          <w:instrText xml:space="preserve"> PAGEREF _Toc465600903 \h </w:instrText>
        </w:r>
        <w:r w:rsidR="00D02F3F">
          <w:rPr>
            <w:noProof/>
            <w:webHidden/>
          </w:rPr>
        </w:r>
        <w:r w:rsidR="00D02F3F">
          <w:rPr>
            <w:noProof/>
            <w:webHidden/>
          </w:rPr>
          <w:fldChar w:fldCharType="separate"/>
        </w:r>
        <w:r>
          <w:rPr>
            <w:noProof/>
            <w:webHidden/>
          </w:rPr>
          <w:t>18</w:t>
        </w:r>
        <w:r w:rsidR="00D02F3F">
          <w:rPr>
            <w:noProof/>
            <w:webHidden/>
          </w:rPr>
          <w:fldChar w:fldCharType="end"/>
        </w:r>
      </w:hyperlink>
    </w:p>
    <w:p w14:paraId="5F92FF7E" w14:textId="77777777" w:rsidR="00D02F3F" w:rsidRDefault="00166B21">
      <w:pPr>
        <w:pStyle w:val="TOC2"/>
        <w:rPr>
          <w:rFonts w:asciiTheme="minorHAnsi" w:hAnsiTheme="minorHAnsi"/>
          <w:noProof/>
        </w:rPr>
      </w:pPr>
      <w:hyperlink w:anchor="_Toc465600904" w:history="1">
        <w:r w:rsidR="00D02F3F" w:rsidRPr="0059583C">
          <w:rPr>
            <w:rStyle w:val="Hyperlink"/>
            <w:noProof/>
          </w:rPr>
          <w:t>Policies PB1–PB7: Evidence and monitoring to support planning decisions</w:t>
        </w:r>
        <w:r w:rsidR="00D02F3F">
          <w:rPr>
            <w:noProof/>
            <w:webHidden/>
          </w:rPr>
          <w:tab/>
        </w:r>
        <w:r w:rsidR="00D02F3F">
          <w:rPr>
            <w:noProof/>
            <w:webHidden/>
          </w:rPr>
          <w:fldChar w:fldCharType="begin"/>
        </w:r>
        <w:r w:rsidR="00D02F3F">
          <w:rPr>
            <w:noProof/>
            <w:webHidden/>
          </w:rPr>
          <w:instrText xml:space="preserve"> PAGEREF _Toc465600904 \h </w:instrText>
        </w:r>
        <w:r w:rsidR="00D02F3F">
          <w:rPr>
            <w:noProof/>
            <w:webHidden/>
          </w:rPr>
        </w:r>
        <w:r w:rsidR="00D02F3F">
          <w:rPr>
            <w:noProof/>
            <w:webHidden/>
          </w:rPr>
          <w:fldChar w:fldCharType="separate"/>
        </w:r>
        <w:r>
          <w:rPr>
            <w:noProof/>
            <w:webHidden/>
          </w:rPr>
          <w:t>18</w:t>
        </w:r>
        <w:r w:rsidR="00D02F3F">
          <w:rPr>
            <w:noProof/>
            <w:webHidden/>
          </w:rPr>
          <w:fldChar w:fldCharType="end"/>
        </w:r>
      </w:hyperlink>
    </w:p>
    <w:p w14:paraId="25606A01" w14:textId="77777777" w:rsidR="00D02F3F" w:rsidRDefault="00166B21">
      <w:pPr>
        <w:pStyle w:val="TOC2"/>
        <w:rPr>
          <w:rFonts w:asciiTheme="minorHAnsi" w:hAnsiTheme="minorHAnsi"/>
          <w:noProof/>
        </w:rPr>
      </w:pPr>
      <w:hyperlink w:anchor="_Toc465600905" w:history="1">
        <w:r w:rsidR="00D02F3F" w:rsidRPr="0059583C">
          <w:rPr>
            <w:rStyle w:val="Hyperlink"/>
            <w:noProof/>
          </w:rPr>
          <w:t>Policies PC1–PC4: Responsive planning</w:t>
        </w:r>
        <w:r w:rsidR="00D02F3F">
          <w:rPr>
            <w:noProof/>
            <w:webHidden/>
          </w:rPr>
          <w:tab/>
        </w:r>
        <w:r w:rsidR="00D02F3F">
          <w:rPr>
            <w:noProof/>
            <w:webHidden/>
          </w:rPr>
          <w:fldChar w:fldCharType="begin"/>
        </w:r>
        <w:r w:rsidR="00D02F3F">
          <w:rPr>
            <w:noProof/>
            <w:webHidden/>
          </w:rPr>
          <w:instrText xml:space="preserve"> PAGEREF _Toc465600905 \h </w:instrText>
        </w:r>
        <w:r w:rsidR="00D02F3F">
          <w:rPr>
            <w:noProof/>
            <w:webHidden/>
          </w:rPr>
        </w:r>
        <w:r w:rsidR="00D02F3F">
          <w:rPr>
            <w:noProof/>
            <w:webHidden/>
          </w:rPr>
          <w:fldChar w:fldCharType="separate"/>
        </w:r>
        <w:r>
          <w:rPr>
            <w:noProof/>
            <w:webHidden/>
          </w:rPr>
          <w:t>21</w:t>
        </w:r>
        <w:r w:rsidR="00D02F3F">
          <w:rPr>
            <w:noProof/>
            <w:webHidden/>
          </w:rPr>
          <w:fldChar w:fldCharType="end"/>
        </w:r>
      </w:hyperlink>
    </w:p>
    <w:p w14:paraId="7ECF6B0C" w14:textId="77777777" w:rsidR="00D02F3F" w:rsidRDefault="00166B21">
      <w:pPr>
        <w:pStyle w:val="TOC2"/>
        <w:rPr>
          <w:rFonts w:asciiTheme="minorHAnsi" w:hAnsiTheme="minorHAnsi"/>
          <w:noProof/>
        </w:rPr>
      </w:pPr>
      <w:hyperlink w:anchor="_Toc465600906" w:history="1">
        <w:r w:rsidR="00D02F3F" w:rsidRPr="0059583C">
          <w:rPr>
            <w:rStyle w:val="Hyperlink"/>
            <w:noProof/>
          </w:rPr>
          <w:t>Policies PD1–PD2: Coordinated evidence and decision</w:t>
        </w:r>
        <w:r w:rsidR="00D02F3F" w:rsidRPr="0059583C">
          <w:rPr>
            <w:rStyle w:val="Hyperlink"/>
            <w:noProof/>
          </w:rPr>
          <w:noBreakHyphen/>
          <w:t>making</w:t>
        </w:r>
        <w:r w:rsidR="00D02F3F">
          <w:rPr>
            <w:noProof/>
            <w:webHidden/>
          </w:rPr>
          <w:tab/>
        </w:r>
        <w:r w:rsidR="00D02F3F">
          <w:rPr>
            <w:noProof/>
            <w:webHidden/>
          </w:rPr>
          <w:fldChar w:fldCharType="begin"/>
        </w:r>
        <w:r w:rsidR="00D02F3F">
          <w:rPr>
            <w:noProof/>
            <w:webHidden/>
          </w:rPr>
          <w:instrText xml:space="preserve"> PAGEREF _Toc465600906 \h </w:instrText>
        </w:r>
        <w:r w:rsidR="00D02F3F">
          <w:rPr>
            <w:noProof/>
            <w:webHidden/>
          </w:rPr>
        </w:r>
        <w:r w:rsidR="00D02F3F">
          <w:rPr>
            <w:noProof/>
            <w:webHidden/>
          </w:rPr>
          <w:fldChar w:fldCharType="separate"/>
        </w:r>
        <w:r>
          <w:rPr>
            <w:noProof/>
            <w:webHidden/>
          </w:rPr>
          <w:t>24</w:t>
        </w:r>
        <w:r w:rsidR="00D02F3F">
          <w:rPr>
            <w:noProof/>
            <w:webHidden/>
          </w:rPr>
          <w:fldChar w:fldCharType="end"/>
        </w:r>
      </w:hyperlink>
    </w:p>
    <w:p w14:paraId="764A9E85" w14:textId="77777777" w:rsidR="00D02F3F" w:rsidRDefault="00166B21" w:rsidP="004F37C6">
      <w:pPr>
        <w:pStyle w:val="TOC2"/>
        <w:ind w:left="567" w:firstLine="0"/>
        <w:rPr>
          <w:rFonts w:asciiTheme="minorHAnsi" w:hAnsiTheme="minorHAnsi"/>
          <w:noProof/>
        </w:rPr>
      </w:pPr>
      <w:hyperlink w:anchor="_Toc465600907" w:history="1">
        <w:r w:rsidR="00D02F3F" w:rsidRPr="0059583C">
          <w:rPr>
            <w:rStyle w:val="Hyperlink"/>
            <w:noProof/>
          </w:rPr>
          <w:t>Policies that medium-growth local authorities are encouraged to also give effect to</w:t>
        </w:r>
        <w:r w:rsidR="00D02F3F">
          <w:rPr>
            <w:noProof/>
            <w:webHidden/>
          </w:rPr>
          <w:tab/>
        </w:r>
        <w:r w:rsidR="00D02F3F">
          <w:rPr>
            <w:noProof/>
            <w:webHidden/>
          </w:rPr>
          <w:fldChar w:fldCharType="begin"/>
        </w:r>
        <w:r w:rsidR="00D02F3F">
          <w:rPr>
            <w:noProof/>
            <w:webHidden/>
          </w:rPr>
          <w:instrText xml:space="preserve"> PAGEREF _Toc465600907 \h </w:instrText>
        </w:r>
        <w:r w:rsidR="00D02F3F">
          <w:rPr>
            <w:noProof/>
            <w:webHidden/>
          </w:rPr>
        </w:r>
        <w:r w:rsidR="00D02F3F">
          <w:rPr>
            <w:noProof/>
            <w:webHidden/>
          </w:rPr>
          <w:fldChar w:fldCharType="separate"/>
        </w:r>
        <w:r>
          <w:rPr>
            <w:noProof/>
            <w:webHidden/>
          </w:rPr>
          <w:t>25</w:t>
        </w:r>
        <w:r w:rsidR="00D02F3F">
          <w:rPr>
            <w:noProof/>
            <w:webHidden/>
          </w:rPr>
          <w:fldChar w:fldCharType="end"/>
        </w:r>
      </w:hyperlink>
    </w:p>
    <w:p w14:paraId="27B05B90" w14:textId="77777777" w:rsidR="00D02F3F" w:rsidRDefault="00166B21">
      <w:pPr>
        <w:pStyle w:val="TOC1"/>
        <w:rPr>
          <w:rFonts w:asciiTheme="minorHAnsi" w:hAnsiTheme="minorHAnsi"/>
          <w:noProof/>
        </w:rPr>
      </w:pPr>
      <w:hyperlink w:anchor="_Toc465600908" w:history="1">
        <w:r w:rsidR="00D02F3F" w:rsidRPr="0059583C">
          <w:rPr>
            <w:rStyle w:val="Hyperlink"/>
            <w:noProof/>
          </w:rPr>
          <w:t>4</w:t>
        </w:r>
        <w:r w:rsidR="00D02F3F">
          <w:rPr>
            <w:rFonts w:asciiTheme="minorHAnsi" w:hAnsiTheme="minorHAnsi"/>
            <w:noProof/>
          </w:rPr>
          <w:tab/>
        </w:r>
        <w:r w:rsidR="00D02F3F" w:rsidRPr="0059583C">
          <w:rPr>
            <w:rStyle w:val="Hyperlink"/>
            <w:noProof/>
          </w:rPr>
          <w:t>Requirements of high-growth urban areas</w:t>
        </w:r>
        <w:r w:rsidR="00D02F3F">
          <w:rPr>
            <w:noProof/>
            <w:webHidden/>
          </w:rPr>
          <w:tab/>
        </w:r>
        <w:r w:rsidR="00D02F3F">
          <w:rPr>
            <w:noProof/>
            <w:webHidden/>
          </w:rPr>
          <w:fldChar w:fldCharType="begin"/>
        </w:r>
        <w:r w:rsidR="00D02F3F">
          <w:rPr>
            <w:noProof/>
            <w:webHidden/>
          </w:rPr>
          <w:instrText xml:space="preserve"> PAGEREF _Toc465600908 \h </w:instrText>
        </w:r>
        <w:r w:rsidR="00D02F3F">
          <w:rPr>
            <w:noProof/>
            <w:webHidden/>
          </w:rPr>
        </w:r>
        <w:r w:rsidR="00D02F3F">
          <w:rPr>
            <w:noProof/>
            <w:webHidden/>
          </w:rPr>
          <w:fldChar w:fldCharType="separate"/>
        </w:r>
        <w:r>
          <w:rPr>
            <w:noProof/>
            <w:webHidden/>
          </w:rPr>
          <w:t>26</w:t>
        </w:r>
        <w:r w:rsidR="00D02F3F">
          <w:rPr>
            <w:noProof/>
            <w:webHidden/>
          </w:rPr>
          <w:fldChar w:fldCharType="end"/>
        </w:r>
      </w:hyperlink>
    </w:p>
    <w:p w14:paraId="33B577E8" w14:textId="77777777" w:rsidR="00D02F3F" w:rsidRDefault="00166B21">
      <w:pPr>
        <w:pStyle w:val="TOC2"/>
        <w:rPr>
          <w:rFonts w:asciiTheme="minorHAnsi" w:hAnsiTheme="minorHAnsi"/>
          <w:noProof/>
        </w:rPr>
      </w:pPr>
      <w:hyperlink w:anchor="_Toc465600909" w:history="1">
        <w:r w:rsidR="00D02F3F" w:rsidRPr="0059583C">
          <w:rPr>
            <w:rStyle w:val="Hyperlink"/>
            <w:noProof/>
          </w:rPr>
          <w:t>Policies PC5–PC14: Responsive planning</w:t>
        </w:r>
        <w:r w:rsidR="00D02F3F">
          <w:rPr>
            <w:noProof/>
            <w:webHidden/>
          </w:rPr>
          <w:tab/>
        </w:r>
        <w:r w:rsidR="00D02F3F">
          <w:rPr>
            <w:noProof/>
            <w:webHidden/>
          </w:rPr>
          <w:fldChar w:fldCharType="begin"/>
        </w:r>
        <w:r w:rsidR="00D02F3F">
          <w:rPr>
            <w:noProof/>
            <w:webHidden/>
          </w:rPr>
          <w:instrText xml:space="preserve"> PAGEREF _Toc465600909 \h </w:instrText>
        </w:r>
        <w:r w:rsidR="00D02F3F">
          <w:rPr>
            <w:noProof/>
            <w:webHidden/>
          </w:rPr>
        </w:r>
        <w:r w:rsidR="00D02F3F">
          <w:rPr>
            <w:noProof/>
            <w:webHidden/>
          </w:rPr>
          <w:fldChar w:fldCharType="separate"/>
        </w:r>
        <w:r>
          <w:rPr>
            <w:noProof/>
            <w:webHidden/>
          </w:rPr>
          <w:t>26</w:t>
        </w:r>
        <w:r w:rsidR="00D02F3F">
          <w:rPr>
            <w:noProof/>
            <w:webHidden/>
          </w:rPr>
          <w:fldChar w:fldCharType="end"/>
        </w:r>
      </w:hyperlink>
    </w:p>
    <w:p w14:paraId="53C5DBE4" w14:textId="77777777" w:rsidR="00D02F3F" w:rsidRDefault="00166B21">
      <w:pPr>
        <w:pStyle w:val="TOC2"/>
        <w:rPr>
          <w:rFonts w:asciiTheme="minorHAnsi" w:hAnsiTheme="minorHAnsi"/>
          <w:noProof/>
        </w:rPr>
      </w:pPr>
      <w:hyperlink w:anchor="_Toc465600910" w:history="1">
        <w:r w:rsidR="00D02F3F" w:rsidRPr="0059583C">
          <w:rPr>
            <w:rStyle w:val="Hyperlink"/>
            <w:noProof/>
          </w:rPr>
          <w:t>Policies PD3–PD4: Coordinated evidence and decision</w:t>
        </w:r>
        <w:r w:rsidR="00D02F3F" w:rsidRPr="0059583C">
          <w:rPr>
            <w:rStyle w:val="Hyperlink"/>
            <w:noProof/>
          </w:rPr>
          <w:noBreakHyphen/>
          <w:t>making</w:t>
        </w:r>
        <w:r w:rsidR="00D02F3F">
          <w:rPr>
            <w:noProof/>
            <w:webHidden/>
          </w:rPr>
          <w:tab/>
        </w:r>
        <w:r w:rsidR="00D02F3F">
          <w:rPr>
            <w:noProof/>
            <w:webHidden/>
          </w:rPr>
          <w:fldChar w:fldCharType="begin"/>
        </w:r>
        <w:r w:rsidR="00D02F3F">
          <w:rPr>
            <w:noProof/>
            <w:webHidden/>
          </w:rPr>
          <w:instrText xml:space="preserve"> PAGEREF _Toc465600910 \h </w:instrText>
        </w:r>
        <w:r w:rsidR="00D02F3F">
          <w:rPr>
            <w:noProof/>
            <w:webHidden/>
          </w:rPr>
        </w:r>
        <w:r w:rsidR="00D02F3F">
          <w:rPr>
            <w:noProof/>
            <w:webHidden/>
          </w:rPr>
          <w:fldChar w:fldCharType="separate"/>
        </w:r>
        <w:r>
          <w:rPr>
            <w:noProof/>
            <w:webHidden/>
          </w:rPr>
          <w:t>28</w:t>
        </w:r>
        <w:r w:rsidR="00D02F3F">
          <w:rPr>
            <w:noProof/>
            <w:webHidden/>
          </w:rPr>
          <w:fldChar w:fldCharType="end"/>
        </w:r>
      </w:hyperlink>
    </w:p>
    <w:p w14:paraId="6891A725" w14:textId="77777777" w:rsidR="00D02F3F" w:rsidRDefault="00166B21">
      <w:pPr>
        <w:pStyle w:val="TOC1"/>
        <w:rPr>
          <w:rFonts w:asciiTheme="minorHAnsi" w:hAnsiTheme="minorHAnsi"/>
          <w:noProof/>
        </w:rPr>
      </w:pPr>
      <w:hyperlink w:anchor="_Toc465600911" w:history="1">
        <w:r w:rsidR="00D02F3F" w:rsidRPr="0059583C">
          <w:rPr>
            <w:rStyle w:val="Hyperlink"/>
            <w:noProof/>
          </w:rPr>
          <w:t>5</w:t>
        </w:r>
        <w:r w:rsidR="00D02F3F">
          <w:rPr>
            <w:rFonts w:asciiTheme="minorHAnsi" w:hAnsiTheme="minorHAnsi"/>
            <w:noProof/>
          </w:rPr>
          <w:tab/>
        </w:r>
        <w:r w:rsidR="00D02F3F" w:rsidRPr="0059583C">
          <w:rPr>
            <w:rStyle w:val="Hyperlink"/>
            <w:noProof/>
          </w:rPr>
          <w:t>NPS-UDC implementation programme</w:t>
        </w:r>
        <w:r w:rsidR="00D02F3F">
          <w:rPr>
            <w:noProof/>
            <w:webHidden/>
          </w:rPr>
          <w:tab/>
        </w:r>
        <w:r w:rsidR="00D02F3F">
          <w:rPr>
            <w:noProof/>
            <w:webHidden/>
          </w:rPr>
          <w:fldChar w:fldCharType="begin"/>
        </w:r>
        <w:r w:rsidR="00D02F3F">
          <w:rPr>
            <w:noProof/>
            <w:webHidden/>
          </w:rPr>
          <w:instrText xml:space="preserve"> PAGEREF _Toc465600911 \h </w:instrText>
        </w:r>
        <w:r w:rsidR="00D02F3F">
          <w:rPr>
            <w:noProof/>
            <w:webHidden/>
          </w:rPr>
        </w:r>
        <w:r w:rsidR="00D02F3F">
          <w:rPr>
            <w:noProof/>
            <w:webHidden/>
          </w:rPr>
          <w:fldChar w:fldCharType="separate"/>
        </w:r>
        <w:r>
          <w:rPr>
            <w:noProof/>
            <w:webHidden/>
          </w:rPr>
          <w:t>30</w:t>
        </w:r>
        <w:r w:rsidR="00D02F3F">
          <w:rPr>
            <w:noProof/>
            <w:webHidden/>
          </w:rPr>
          <w:fldChar w:fldCharType="end"/>
        </w:r>
      </w:hyperlink>
    </w:p>
    <w:p w14:paraId="36C6372B" w14:textId="77777777" w:rsidR="00D02F3F" w:rsidRDefault="00166B21">
      <w:pPr>
        <w:pStyle w:val="TOC1"/>
        <w:rPr>
          <w:rFonts w:asciiTheme="minorHAnsi" w:hAnsiTheme="minorHAnsi"/>
          <w:noProof/>
        </w:rPr>
      </w:pPr>
      <w:hyperlink w:anchor="_Toc465600912" w:history="1">
        <w:r w:rsidR="00D02F3F" w:rsidRPr="0059583C">
          <w:rPr>
            <w:rStyle w:val="Hyperlink"/>
            <w:noProof/>
          </w:rPr>
          <w:t>References</w:t>
        </w:r>
        <w:r w:rsidR="00D02F3F">
          <w:rPr>
            <w:noProof/>
            <w:webHidden/>
          </w:rPr>
          <w:tab/>
        </w:r>
        <w:r w:rsidR="00D02F3F">
          <w:rPr>
            <w:noProof/>
            <w:webHidden/>
          </w:rPr>
          <w:fldChar w:fldCharType="begin"/>
        </w:r>
        <w:r w:rsidR="00D02F3F">
          <w:rPr>
            <w:noProof/>
            <w:webHidden/>
          </w:rPr>
          <w:instrText xml:space="preserve"> PAGEREF _Toc465600912 \h </w:instrText>
        </w:r>
        <w:r w:rsidR="00D02F3F">
          <w:rPr>
            <w:noProof/>
            <w:webHidden/>
          </w:rPr>
        </w:r>
        <w:r w:rsidR="00D02F3F">
          <w:rPr>
            <w:noProof/>
            <w:webHidden/>
          </w:rPr>
          <w:fldChar w:fldCharType="separate"/>
        </w:r>
        <w:r>
          <w:rPr>
            <w:noProof/>
            <w:webHidden/>
          </w:rPr>
          <w:t>32</w:t>
        </w:r>
        <w:r w:rsidR="00D02F3F">
          <w:rPr>
            <w:noProof/>
            <w:webHidden/>
          </w:rPr>
          <w:fldChar w:fldCharType="end"/>
        </w:r>
      </w:hyperlink>
    </w:p>
    <w:p w14:paraId="531DCE7A" w14:textId="77777777" w:rsidR="0080531E" w:rsidRPr="0089135C" w:rsidRDefault="00775F57" w:rsidP="002B4778">
      <w:pPr>
        <w:pStyle w:val="Glossary"/>
      </w:pPr>
      <w:r w:rsidRPr="0089135C">
        <w:rPr>
          <w:color w:val="0092CF"/>
        </w:rPr>
        <w:fldChar w:fldCharType="end"/>
      </w:r>
    </w:p>
    <w:p w14:paraId="398700DA" w14:textId="77777777" w:rsidR="00796A6F" w:rsidRPr="0089135C" w:rsidRDefault="00796A6F" w:rsidP="00EC1D3E">
      <w:pPr>
        <w:pStyle w:val="BodyText"/>
      </w:pPr>
      <w:r w:rsidRPr="0089135C">
        <w:br w:type="page"/>
      </w:r>
    </w:p>
    <w:p w14:paraId="0B387F91" w14:textId="77777777" w:rsidR="00532334" w:rsidRPr="0089135C" w:rsidRDefault="00532334" w:rsidP="008B68EC">
      <w:pPr>
        <w:pStyle w:val="Heading"/>
      </w:pPr>
      <w:r w:rsidRPr="0089135C">
        <w:lastRenderedPageBreak/>
        <w:t>Tables</w:t>
      </w:r>
    </w:p>
    <w:p w14:paraId="6C95FE4D" w14:textId="77777777" w:rsidR="00C92961" w:rsidRDefault="004943C2">
      <w:pPr>
        <w:pStyle w:val="TableofFigures"/>
        <w:tabs>
          <w:tab w:val="right" w:pos="8494"/>
        </w:tabs>
        <w:rPr>
          <w:rFonts w:asciiTheme="minorHAnsi" w:hAnsiTheme="minorHAnsi"/>
          <w:noProof/>
        </w:rPr>
      </w:pPr>
      <w:r w:rsidRPr="0089135C">
        <w:fldChar w:fldCharType="begin"/>
      </w:r>
      <w:r w:rsidRPr="0089135C">
        <w:instrText xml:space="preserve"> TOC \h \z \t "Table heading" \c </w:instrText>
      </w:r>
      <w:r w:rsidRPr="0089135C">
        <w:fldChar w:fldCharType="separate"/>
      </w:r>
      <w:hyperlink w:anchor="_Toc465600960" w:history="1">
        <w:r w:rsidR="00C92961" w:rsidRPr="006A1B01">
          <w:rPr>
            <w:rStyle w:val="Hyperlink"/>
            <w:noProof/>
          </w:rPr>
          <w:t>Table 1:</w:t>
        </w:r>
        <w:r w:rsidR="00C92961">
          <w:rPr>
            <w:rFonts w:asciiTheme="minorHAnsi" w:hAnsiTheme="minorHAnsi"/>
            <w:noProof/>
          </w:rPr>
          <w:tab/>
        </w:r>
        <w:r w:rsidR="00C92961" w:rsidRPr="006A1B01">
          <w:rPr>
            <w:rStyle w:val="Hyperlink"/>
            <w:noProof/>
          </w:rPr>
          <w:t>Which objectives and policies apply to which councils and when</w:t>
        </w:r>
        <w:r w:rsidR="00C92961">
          <w:rPr>
            <w:noProof/>
            <w:webHidden/>
          </w:rPr>
          <w:tab/>
        </w:r>
        <w:r w:rsidR="00C92961">
          <w:rPr>
            <w:noProof/>
            <w:webHidden/>
          </w:rPr>
          <w:fldChar w:fldCharType="begin"/>
        </w:r>
        <w:r w:rsidR="00C92961">
          <w:rPr>
            <w:noProof/>
            <w:webHidden/>
          </w:rPr>
          <w:instrText xml:space="preserve"> PAGEREF _Toc465600960 \h </w:instrText>
        </w:r>
        <w:r w:rsidR="00C92961">
          <w:rPr>
            <w:noProof/>
            <w:webHidden/>
          </w:rPr>
        </w:r>
        <w:r w:rsidR="00C92961">
          <w:rPr>
            <w:noProof/>
            <w:webHidden/>
          </w:rPr>
          <w:fldChar w:fldCharType="separate"/>
        </w:r>
        <w:r w:rsidR="00166B21">
          <w:rPr>
            <w:noProof/>
            <w:webHidden/>
          </w:rPr>
          <w:t>9</w:t>
        </w:r>
        <w:r w:rsidR="00C92961">
          <w:rPr>
            <w:noProof/>
            <w:webHidden/>
          </w:rPr>
          <w:fldChar w:fldCharType="end"/>
        </w:r>
      </w:hyperlink>
    </w:p>
    <w:p w14:paraId="5C0F73EC" w14:textId="77777777" w:rsidR="00532334" w:rsidRPr="0089135C" w:rsidRDefault="004943C2" w:rsidP="00D51469">
      <w:pPr>
        <w:pStyle w:val="BodyText"/>
      </w:pPr>
      <w:r w:rsidRPr="0089135C">
        <w:fldChar w:fldCharType="end"/>
      </w:r>
    </w:p>
    <w:p w14:paraId="57DEFDF9" w14:textId="77777777" w:rsidR="00532334" w:rsidRPr="0089135C" w:rsidRDefault="00532334" w:rsidP="004B5BDD"/>
    <w:p w14:paraId="20C2201C" w14:textId="77777777" w:rsidR="00532334" w:rsidRPr="0089135C" w:rsidRDefault="00B51610" w:rsidP="008B68EC">
      <w:pPr>
        <w:pStyle w:val="Heading"/>
      </w:pPr>
      <w:r w:rsidRPr="0089135C">
        <w:t>Figure</w:t>
      </w:r>
      <w:r w:rsidR="00532334" w:rsidRPr="0089135C">
        <w:t>s</w:t>
      </w:r>
    </w:p>
    <w:p w14:paraId="17E8195E" w14:textId="77777777" w:rsidR="00C92961" w:rsidRDefault="004943C2">
      <w:pPr>
        <w:pStyle w:val="TableofFigures"/>
        <w:tabs>
          <w:tab w:val="right" w:pos="8494"/>
        </w:tabs>
        <w:rPr>
          <w:rFonts w:asciiTheme="minorHAnsi" w:hAnsiTheme="minorHAnsi"/>
          <w:noProof/>
        </w:rPr>
      </w:pPr>
      <w:r w:rsidRPr="0089135C">
        <w:fldChar w:fldCharType="begin"/>
      </w:r>
      <w:r w:rsidRPr="0089135C">
        <w:instrText xml:space="preserve"> TOC \h \z \t "Figure heading" \c </w:instrText>
      </w:r>
      <w:r w:rsidRPr="0089135C">
        <w:fldChar w:fldCharType="separate"/>
      </w:r>
      <w:hyperlink w:anchor="_Toc465600966" w:history="1">
        <w:r w:rsidR="00C92961" w:rsidRPr="00563308">
          <w:rPr>
            <w:rStyle w:val="Hyperlink"/>
            <w:noProof/>
          </w:rPr>
          <w:t xml:space="preserve">Figure 1: </w:t>
        </w:r>
        <w:r w:rsidR="00C92961">
          <w:rPr>
            <w:rFonts w:asciiTheme="minorHAnsi" w:hAnsiTheme="minorHAnsi"/>
            <w:noProof/>
          </w:rPr>
          <w:tab/>
        </w:r>
        <w:r w:rsidR="00C92961" w:rsidRPr="00563308">
          <w:rPr>
            <w:rStyle w:val="Hyperlink"/>
            <w:noProof/>
          </w:rPr>
          <w:t>Feasible development capacity as a proportion of plan-enabled capacity</w:t>
        </w:r>
        <w:r w:rsidR="00C92961">
          <w:rPr>
            <w:noProof/>
            <w:webHidden/>
          </w:rPr>
          <w:tab/>
        </w:r>
        <w:r w:rsidR="00C92961">
          <w:rPr>
            <w:noProof/>
            <w:webHidden/>
          </w:rPr>
          <w:fldChar w:fldCharType="begin"/>
        </w:r>
        <w:r w:rsidR="00C92961">
          <w:rPr>
            <w:noProof/>
            <w:webHidden/>
          </w:rPr>
          <w:instrText xml:space="preserve"> PAGEREF _Toc465600966 \h </w:instrText>
        </w:r>
        <w:r w:rsidR="00C92961">
          <w:rPr>
            <w:noProof/>
            <w:webHidden/>
          </w:rPr>
        </w:r>
        <w:r w:rsidR="00C92961">
          <w:rPr>
            <w:noProof/>
            <w:webHidden/>
          </w:rPr>
          <w:fldChar w:fldCharType="separate"/>
        </w:r>
        <w:r w:rsidR="00166B21">
          <w:rPr>
            <w:noProof/>
            <w:webHidden/>
          </w:rPr>
          <w:t>15</w:t>
        </w:r>
        <w:r w:rsidR="00C92961">
          <w:rPr>
            <w:noProof/>
            <w:webHidden/>
          </w:rPr>
          <w:fldChar w:fldCharType="end"/>
        </w:r>
      </w:hyperlink>
    </w:p>
    <w:p w14:paraId="3E21FB8C" w14:textId="77777777" w:rsidR="00C92961" w:rsidRDefault="00166B21">
      <w:pPr>
        <w:pStyle w:val="TableofFigures"/>
        <w:tabs>
          <w:tab w:val="right" w:pos="8494"/>
        </w:tabs>
        <w:rPr>
          <w:rFonts w:asciiTheme="minorHAnsi" w:hAnsiTheme="minorHAnsi"/>
          <w:noProof/>
        </w:rPr>
      </w:pPr>
      <w:hyperlink w:anchor="_Toc465600967" w:history="1">
        <w:r w:rsidR="00C92961" w:rsidRPr="00563308">
          <w:rPr>
            <w:rStyle w:val="Hyperlink"/>
            <w:noProof/>
          </w:rPr>
          <w:t xml:space="preserve">Figure 2: </w:t>
        </w:r>
        <w:r w:rsidR="00C92961">
          <w:rPr>
            <w:rFonts w:asciiTheme="minorHAnsi" w:hAnsiTheme="minorHAnsi"/>
            <w:noProof/>
          </w:rPr>
          <w:tab/>
        </w:r>
        <w:r w:rsidR="00C92961" w:rsidRPr="00563308">
          <w:rPr>
            <w:rStyle w:val="Hyperlink"/>
            <w:noProof/>
          </w:rPr>
          <w:t>Take-up of development capacity</w:t>
        </w:r>
        <w:r w:rsidR="00C92961">
          <w:rPr>
            <w:noProof/>
            <w:webHidden/>
          </w:rPr>
          <w:tab/>
        </w:r>
        <w:r w:rsidR="00C92961">
          <w:rPr>
            <w:noProof/>
            <w:webHidden/>
          </w:rPr>
          <w:fldChar w:fldCharType="begin"/>
        </w:r>
        <w:r w:rsidR="00C92961">
          <w:rPr>
            <w:noProof/>
            <w:webHidden/>
          </w:rPr>
          <w:instrText xml:space="preserve"> PAGEREF _Toc465600967 \h </w:instrText>
        </w:r>
        <w:r w:rsidR="00C92961">
          <w:rPr>
            <w:noProof/>
            <w:webHidden/>
          </w:rPr>
        </w:r>
        <w:r w:rsidR="00C92961">
          <w:rPr>
            <w:noProof/>
            <w:webHidden/>
          </w:rPr>
          <w:fldChar w:fldCharType="separate"/>
        </w:r>
        <w:r>
          <w:rPr>
            <w:noProof/>
            <w:webHidden/>
          </w:rPr>
          <w:t>22</w:t>
        </w:r>
        <w:r w:rsidR="00C92961">
          <w:rPr>
            <w:noProof/>
            <w:webHidden/>
          </w:rPr>
          <w:fldChar w:fldCharType="end"/>
        </w:r>
      </w:hyperlink>
    </w:p>
    <w:p w14:paraId="38BBFFE1" w14:textId="77777777" w:rsidR="00C92961" w:rsidRDefault="00166B21">
      <w:pPr>
        <w:pStyle w:val="TableofFigures"/>
        <w:tabs>
          <w:tab w:val="right" w:pos="8494"/>
        </w:tabs>
        <w:rPr>
          <w:rFonts w:asciiTheme="minorHAnsi" w:hAnsiTheme="minorHAnsi"/>
          <w:noProof/>
        </w:rPr>
      </w:pPr>
      <w:hyperlink w:anchor="_Toc465600968" w:history="1">
        <w:r w:rsidR="00C92961" w:rsidRPr="00563308">
          <w:rPr>
            <w:rStyle w:val="Hyperlink"/>
            <w:noProof/>
          </w:rPr>
          <w:t xml:space="preserve">Figure 3: </w:t>
        </w:r>
        <w:r w:rsidR="00C92961">
          <w:rPr>
            <w:rFonts w:asciiTheme="minorHAnsi" w:hAnsiTheme="minorHAnsi"/>
            <w:noProof/>
          </w:rPr>
          <w:tab/>
        </w:r>
        <w:r w:rsidR="00C92961" w:rsidRPr="00563308">
          <w:rPr>
            <w:rStyle w:val="Hyperlink"/>
            <w:noProof/>
          </w:rPr>
          <w:t>Timeframes for implementation of the NPS-UDC</w:t>
        </w:r>
        <w:r w:rsidR="00C92961">
          <w:rPr>
            <w:noProof/>
            <w:webHidden/>
          </w:rPr>
          <w:tab/>
        </w:r>
        <w:r w:rsidR="00C92961">
          <w:rPr>
            <w:noProof/>
            <w:webHidden/>
          </w:rPr>
          <w:fldChar w:fldCharType="begin"/>
        </w:r>
        <w:r w:rsidR="00C92961">
          <w:rPr>
            <w:noProof/>
            <w:webHidden/>
          </w:rPr>
          <w:instrText xml:space="preserve"> PAGEREF _Toc465600968 \h </w:instrText>
        </w:r>
        <w:r w:rsidR="00C92961">
          <w:rPr>
            <w:noProof/>
            <w:webHidden/>
          </w:rPr>
        </w:r>
        <w:r w:rsidR="00C92961">
          <w:rPr>
            <w:noProof/>
            <w:webHidden/>
          </w:rPr>
          <w:fldChar w:fldCharType="separate"/>
        </w:r>
        <w:r>
          <w:rPr>
            <w:noProof/>
            <w:webHidden/>
          </w:rPr>
          <w:t>31</w:t>
        </w:r>
        <w:r w:rsidR="00C92961">
          <w:rPr>
            <w:noProof/>
            <w:webHidden/>
          </w:rPr>
          <w:fldChar w:fldCharType="end"/>
        </w:r>
      </w:hyperlink>
    </w:p>
    <w:p w14:paraId="44A88EC2" w14:textId="77777777" w:rsidR="008A2FF1" w:rsidRPr="0089135C" w:rsidRDefault="004943C2" w:rsidP="00D51469">
      <w:pPr>
        <w:pStyle w:val="BodyText"/>
      </w:pPr>
      <w:r w:rsidRPr="0089135C">
        <w:fldChar w:fldCharType="end"/>
      </w:r>
    </w:p>
    <w:p w14:paraId="11797FD9" w14:textId="77777777" w:rsidR="00796A6F" w:rsidRPr="0089135C" w:rsidRDefault="00796A6F" w:rsidP="00C33ECA">
      <w:bookmarkStart w:id="1" w:name="_Toc215561202"/>
      <w:r w:rsidRPr="0089135C">
        <w:br w:type="page"/>
      </w:r>
    </w:p>
    <w:p w14:paraId="7D2A535D" w14:textId="09003CC0" w:rsidR="0080531E" w:rsidRPr="0089135C" w:rsidRDefault="00A92833" w:rsidP="00243BC5">
      <w:pPr>
        <w:pStyle w:val="Heading1"/>
      </w:pPr>
      <w:bookmarkStart w:id="2" w:name="_Toc465349917"/>
      <w:bookmarkStart w:id="3" w:name="_Toc465600893"/>
      <w:bookmarkStart w:id="4" w:name="_Toc345760336"/>
      <w:bookmarkEnd w:id="1"/>
      <w:r>
        <w:rPr>
          <w:rStyle w:val="Heading1Char"/>
          <w:b/>
        </w:rPr>
        <w:lastRenderedPageBreak/>
        <w:t>1</w:t>
      </w:r>
      <w:r w:rsidR="00C33ECA" w:rsidRPr="0089135C">
        <w:rPr>
          <w:rStyle w:val="Heading1Char"/>
          <w:b/>
        </w:rPr>
        <w:tab/>
        <w:t>Introduction</w:t>
      </w:r>
      <w:bookmarkEnd w:id="2"/>
      <w:bookmarkEnd w:id="3"/>
    </w:p>
    <w:p w14:paraId="5BCD0514" w14:textId="77777777" w:rsidR="00A63861" w:rsidRPr="0089135C" w:rsidRDefault="00A63861" w:rsidP="00A63861">
      <w:pPr>
        <w:pStyle w:val="Heading2"/>
        <w:spacing w:before="120"/>
      </w:pPr>
      <w:bookmarkStart w:id="5" w:name="_Toc465349918"/>
      <w:bookmarkStart w:id="6" w:name="_Toc465600894"/>
      <w:r w:rsidRPr="0089135C">
        <w:t>Purpose and focus of this guide</w:t>
      </w:r>
      <w:bookmarkEnd w:id="5"/>
      <w:bookmarkEnd w:id="6"/>
      <w:r w:rsidRPr="0089135C">
        <w:t xml:space="preserve"> </w:t>
      </w:r>
    </w:p>
    <w:p w14:paraId="6348B87D" w14:textId="24EA98F9" w:rsidR="00A63861" w:rsidRPr="0089135C" w:rsidRDefault="00A63861" w:rsidP="00A63861">
      <w:pPr>
        <w:pStyle w:val="BodyText"/>
      </w:pPr>
      <w:r w:rsidRPr="0089135C">
        <w:t xml:space="preserve">This is the first in a series of guides to support local authorities </w:t>
      </w:r>
      <w:r w:rsidR="00A92833">
        <w:t xml:space="preserve">in </w:t>
      </w:r>
      <w:r w:rsidRPr="0089135C">
        <w:t>implement</w:t>
      </w:r>
      <w:r w:rsidR="00A92833">
        <w:t>ing</w:t>
      </w:r>
      <w:r w:rsidRPr="0089135C">
        <w:t xml:space="preserve"> the National Policy Statement on Urban Development Capacity (NPS-UDC).</w:t>
      </w:r>
      <w:r w:rsidR="00643625" w:rsidRPr="0089135C">
        <w:t xml:space="preserve"> </w:t>
      </w:r>
      <w:r w:rsidRPr="0089135C">
        <w:t>It provides a general overview of what the NPS-UDC requires and of selected terms and concepts. More detailed guidance will be developed with local authorities and other stakeholders throughout 2017 on how to best implement specific policies in the NPS-UDC.</w:t>
      </w:r>
    </w:p>
    <w:p w14:paraId="77DA86A6" w14:textId="35D64BF4" w:rsidR="00A63861" w:rsidRPr="0089135C" w:rsidRDefault="00A63861" w:rsidP="00A63861">
      <w:pPr>
        <w:pStyle w:val="BodyText"/>
      </w:pPr>
      <w:r w:rsidRPr="0089135C">
        <w:t>The main purpose of this introductory guide is to help decision-makers under the Resource Management Act</w:t>
      </w:r>
      <w:r w:rsidR="00A92833">
        <w:t xml:space="preserve"> 199</w:t>
      </w:r>
      <w:r w:rsidR="00447FD1">
        <w:t>1</w:t>
      </w:r>
      <w:r w:rsidRPr="0089135C">
        <w:t xml:space="preserve"> </w:t>
      </w:r>
      <w:r w:rsidR="00410AFE">
        <w:t>(</w:t>
      </w:r>
      <w:r w:rsidR="00447FD1" w:rsidRPr="0089135C">
        <w:t xml:space="preserve">RMA) </w:t>
      </w:r>
      <w:r w:rsidRPr="0089135C">
        <w:t>to understand the objectives and policies in the NPS-UDC so they can respond to these as intended. The guide provides a point of reference for council officers, elected members, planners, lawyers and the development community. It draws on the intended outcomes behind the NPS-UDC; however, it is not part of the NPS-UDC and does not have statutory weight.</w:t>
      </w:r>
      <w:r w:rsidR="00643625" w:rsidRPr="0089135C">
        <w:t xml:space="preserve"> </w:t>
      </w:r>
    </w:p>
    <w:p w14:paraId="156C7615" w14:textId="7CDFB3F2" w:rsidR="00A63861" w:rsidRPr="0089135C" w:rsidRDefault="00A63861" w:rsidP="00A63861">
      <w:pPr>
        <w:pStyle w:val="BodyText"/>
      </w:pPr>
      <w:r w:rsidRPr="0089135C">
        <w:t xml:space="preserve">The guide is organised into sections </w:t>
      </w:r>
      <w:r w:rsidR="003F3A26">
        <w:t>that</w:t>
      </w:r>
      <w:r w:rsidR="003F3A26" w:rsidRPr="0089135C">
        <w:t xml:space="preserve"> </w:t>
      </w:r>
      <w:r w:rsidRPr="0089135C">
        <w:t>correspond to where the NPS-UDC policies apply:</w:t>
      </w:r>
    </w:p>
    <w:p w14:paraId="7CFACD21" w14:textId="2D0734B7" w:rsidR="00A63861" w:rsidRPr="0089135C" w:rsidRDefault="003F3A26" w:rsidP="00A63861">
      <w:pPr>
        <w:pStyle w:val="Bullet"/>
      </w:pPr>
      <w:r>
        <w:t>a</w:t>
      </w:r>
      <w:r w:rsidR="00A63861" w:rsidRPr="0089135C">
        <w:t>ll councils</w:t>
      </w:r>
    </w:p>
    <w:p w14:paraId="3C9C7276" w14:textId="6828001E" w:rsidR="00A63861" w:rsidRPr="0089135C" w:rsidRDefault="003F3A26" w:rsidP="00A63861">
      <w:pPr>
        <w:pStyle w:val="Bullet"/>
      </w:pPr>
      <w:r>
        <w:t>m</w:t>
      </w:r>
      <w:r w:rsidR="00A63861" w:rsidRPr="0089135C">
        <w:t>edium</w:t>
      </w:r>
      <w:r w:rsidR="004508D3">
        <w:t>-</w:t>
      </w:r>
      <w:r w:rsidR="00A63861" w:rsidRPr="0089135C">
        <w:t>growth urban areas</w:t>
      </w:r>
    </w:p>
    <w:p w14:paraId="58DFDBED" w14:textId="576628DC" w:rsidR="00A63861" w:rsidRPr="0089135C" w:rsidRDefault="003F3A26" w:rsidP="00A63861">
      <w:pPr>
        <w:pStyle w:val="Bullet"/>
      </w:pPr>
      <w:proofErr w:type="gramStart"/>
      <w:r>
        <w:t>h</w:t>
      </w:r>
      <w:r w:rsidR="00A63861" w:rsidRPr="0089135C">
        <w:t>igh</w:t>
      </w:r>
      <w:r w:rsidR="004508D3">
        <w:t>-</w:t>
      </w:r>
      <w:r w:rsidR="00A63861" w:rsidRPr="0089135C">
        <w:t>growth</w:t>
      </w:r>
      <w:proofErr w:type="gramEnd"/>
      <w:r w:rsidR="00A63861" w:rsidRPr="0089135C">
        <w:t xml:space="preserve"> urban areas</w:t>
      </w:r>
      <w:r>
        <w:t>.</w:t>
      </w:r>
    </w:p>
    <w:p w14:paraId="1F0502BE" w14:textId="48E14168" w:rsidR="00A63861" w:rsidRPr="0089135C" w:rsidRDefault="003F3A26" w:rsidP="00A63861">
      <w:pPr>
        <w:pStyle w:val="BodyText"/>
      </w:pPr>
      <w:r>
        <w:t>The</w:t>
      </w:r>
      <w:r w:rsidRPr="0089135C">
        <w:t xml:space="preserve"> </w:t>
      </w:r>
      <w:r w:rsidR="00A63861" w:rsidRPr="0089135C">
        <w:t xml:space="preserve">final section outlines </w:t>
      </w:r>
      <w:r>
        <w:t xml:space="preserve">the </w:t>
      </w:r>
      <w:r w:rsidR="00A63861" w:rsidRPr="0089135C">
        <w:t xml:space="preserve">Government’s intentions to work with local authorities on implementation of the NPS-UDC. </w:t>
      </w:r>
    </w:p>
    <w:p w14:paraId="1E46FF3A" w14:textId="5ABD243D" w:rsidR="00A63861" w:rsidRPr="0089135C" w:rsidRDefault="00A63861" w:rsidP="00A63861">
      <w:pPr>
        <w:pStyle w:val="BodyText"/>
      </w:pPr>
      <w:r w:rsidRPr="0089135C">
        <w:t>This guide should be read with the NPS-UDC and other documents available on the M</w:t>
      </w:r>
      <w:r w:rsidR="00CF7760">
        <w:t xml:space="preserve">inistry </w:t>
      </w:r>
      <w:r w:rsidRPr="0089135C">
        <w:t>f</w:t>
      </w:r>
      <w:r w:rsidR="00CF7760">
        <w:t xml:space="preserve">or the </w:t>
      </w:r>
      <w:r w:rsidRPr="0089135C">
        <w:t>E</w:t>
      </w:r>
      <w:r w:rsidR="00CF7760">
        <w:t>nvironment</w:t>
      </w:r>
      <w:r w:rsidR="00384DD2">
        <w:t> </w:t>
      </w:r>
      <w:r w:rsidRPr="0089135C">
        <w:t>website.</w:t>
      </w:r>
    </w:p>
    <w:p w14:paraId="24BA237F" w14:textId="386C6B38" w:rsidR="00A63861" w:rsidRPr="0089135C" w:rsidRDefault="00A63861" w:rsidP="00A63861">
      <w:pPr>
        <w:pStyle w:val="BodyText"/>
      </w:pPr>
      <w:r w:rsidRPr="0089135C">
        <w:t>The intention is to update this guide following feedback on its clarity and usefulness.</w:t>
      </w:r>
    </w:p>
    <w:p w14:paraId="13F0874C" w14:textId="04970548" w:rsidR="00A63861" w:rsidRPr="0089135C" w:rsidRDefault="00CF7760" w:rsidP="00A63861">
      <w:pPr>
        <w:pStyle w:val="Heading2"/>
      </w:pPr>
      <w:bookmarkStart w:id="7" w:name="_Toc465349919"/>
      <w:bookmarkStart w:id="8" w:name="_Toc465600895"/>
      <w:r>
        <w:t>R</w:t>
      </w:r>
      <w:r w:rsidR="00A63861" w:rsidRPr="0089135C">
        <w:t>ole of a national policy statement</w:t>
      </w:r>
      <w:bookmarkEnd w:id="7"/>
      <w:bookmarkEnd w:id="8"/>
    </w:p>
    <w:p w14:paraId="0D831F04" w14:textId="7DA34465" w:rsidR="00A63861" w:rsidRPr="0089135C" w:rsidRDefault="00A63861" w:rsidP="00A63861">
      <w:pPr>
        <w:pStyle w:val="BodyText"/>
      </w:pPr>
      <w:r w:rsidRPr="0089135C">
        <w:t>A national policy statement provides direction to local authorities and other decision-makers under the RMA on matte</w:t>
      </w:r>
      <w:r w:rsidR="00676C9D">
        <w:t xml:space="preserve">rs of national significance </w:t>
      </w:r>
      <w:r w:rsidRPr="0089135C">
        <w:t>relevant to achieving the purpose of the RMA.</w:t>
      </w:r>
      <w:r w:rsidR="00643625" w:rsidRPr="0089135C">
        <w:t xml:space="preserve"> </w:t>
      </w:r>
      <w:r w:rsidRPr="0089135C">
        <w:t>A national policy statement sets objectives from a national perspective and identifies policies to achieve those objectives. These objectives and policies must then be recognised and responded to by decision-makers, such as local authorities, in their policy statements and plans prepared under the RMA.</w:t>
      </w:r>
      <w:r w:rsidR="00643625" w:rsidRPr="0089135C">
        <w:t xml:space="preserve"> </w:t>
      </w:r>
      <w:r w:rsidRPr="0089135C">
        <w:t xml:space="preserve">A national policy statement cannot direct decisions made under other legislation. </w:t>
      </w:r>
    </w:p>
    <w:p w14:paraId="7A499CF7" w14:textId="4663CB5F" w:rsidR="00A63861" w:rsidRPr="0089135C" w:rsidRDefault="00A63861" w:rsidP="00A63861">
      <w:pPr>
        <w:pStyle w:val="Heading2"/>
      </w:pPr>
      <w:bookmarkStart w:id="9" w:name="_Toc465349920"/>
      <w:bookmarkStart w:id="10" w:name="_Toc465600896"/>
      <w:r w:rsidRPr="0089135C">
        <w:t>National Policy Statement on Urban Development Capacity</w:t>
      </w:r>
      <w:bookmarkEnd w:id="9"/>
      <w:bookmarkEnd w:id="10"/>
      <w:r w:rsidRPr="0089135C">
        <w:t xml:space="preserve"> </w:t>
      </w:r>
    </w:p>
    <w:p w14:paraId="751798A1" w14:textId="31B997F2" w:rsidR="00A63861" w:rsidRPr="0089135C" w:rsidRDefault="00A63861" w:rsidP="00A63861">
      <w:pPr>
        <w:pStyle w:val="BodyText"/>
      </w:pPr>
      <w:r w:rsidRPr="0089135C">
        <w:t>In many of New Zealand’s growing urban areas, the supply of housing has not kept up with demand.</w:t>
      </w:r>
      <w:r w:rsidR="00643625" w:rsidRPr="0089135C">
        <w:t xml:space="preserve"> </w:t>
      </w:r>
      <w:r w:rsidRPr="0089135C">
        <w:t>This has contributed to high and rapidly increasing home prices as well as housing affordability challenges and overcrowding.</w:t>
      </w:r>
      <w:r w:rsidR="00643625" w:rsidRPr="0089135C">
        <w:t xml:space="preserve"> </w:t>
      </w:r>
      <w:r w:rsidR="00C40353">
        <w:t xml:space="preserve">Rapidly increasing house prices have national as well as local consequences. They drive inequality, put pressure on Government expenditure on housing assistance and inflate interest rates and exchange rates. </w:t>
      </w:r>
      <w:r w:rsidRPr="0089135C">
        <w:t xml:space="preserve">Local authority planning should provide enough opportunities for development to meet the housing and business needs </w:t>
      </w:r>
      <w:r w:rsidR="00D73228">
        <w:t xml:space="preserve">of </w:t>
      </w:r>
      <w:r w:rsidRPr="0089135C">
        <w:t xml:space="preserve">people and communities </w:t>
      </w:r>
      <w:r w:rsidR="00D73228">
        <w:t>–</w:t>
      </w:r>
      <w:r w:rsidRPr="0089135C">
        <w:t xml:space="preserve"> both current and future.</w:t>
      </w:r>
      <w:r w:rsidR="00643625" w:rsidRPr="0089135C">
        <w:t xml:space="preserve"> </w:t>
      </w:r>
      <w:r w:rsidRPr="0089135C">
        <w:t>To address this, the NPS-UDC directs decision-makers under the RMA to:</w:t>
      </w:r>
    </w:p>
    <w:p w14:paraId="25473DB8" w14:textId="77777777" w:rsidR="00A63861" w:rsidRPr="0089135C" w:rsidRDefault="00A63861" w:rsidP="00A63861">
      <w:pPr>
        <w:pStyle w:val="Bullet"/>
      </w:pPr>
      <w:r w:rsidRPr="0089135C">
        <w:lastRenderedPageBreak/>
        <w:t>put greater emphasis on enabling change and development</w:t>
      </w:r>
      <w:r w:rsidR="00643625" w:rsidRPr="0089135C">
        <w:t xml:space="preserve"> </w:t>
      </w:r>
      <w:r w:rsidRPr="0089135C">
        <w:t>when making decisions about urban development</w:t>
      </w:r>
    </w:p>
    <w:p w14:paraId="39177E9B" w14:textId="77777777" w:rsidR="00A63861" w:rsidRPr="0089135C" w:rsidRDefault="00A63861" w:rsidP="00A63861">
      <w:pPr>
        <w:pStyle w:val="Bullet"/>
      </w:pPr>
      <w:r w:rsidRPr="0089135C">
        <w:t>provide sufficient urban development capacity to support housing and business growth</w:t>
      </w:r>
    </w:p>
    <w:p w14:paraId="5560D414" w14:textId="77777777" w:rsidR="00A63861" w:rsidRPr="0089135C" w:rsidRDefault="00A63861" w:rsidP="00A63861">
      <w:pPr>
        <w:pStyle w:val="Bullet"/>
      </w:pPr>
      <w:proofErr w:type="gramStart"/>
      <w:r w:rsidRPr="0089135C">
        <w:t>ensure</w:t>
      </w:r>
      <w:proofErr w:type="gramEnd"/>
      <w:r w:rsidRPr="0089135C">
        <w:t xml:space="preserve"> that planning processes facilitate urban development.</w:t>
      </w:r>
    </w:p>
    <w:p w14:paraId="7EB4DFF3" w14:textId="1BBBB266" w:rsidR="00A63861" w:rsidRPr="0089135C" w:rsidRDefault="00A63861" w:rsidP="00A63861">
      <w:pPr>
        <w:pStyle w:val="BodyText"/>
      </w:pPr>
      <w:r w:rsidRPr="0089135C">
        <w:t>The NPS-UDC is part of a comprehensive, longer term programme of national direction under the RMA.</w:t>
      </w:r>
      <w:r w:rsidR="00643625" w:rsidRPr="0089135C">
        <w:t xml:space="preserve"> </w:t>
      </w:r>
      <w:r w:rsidR="00145073">
        <w:t xml:space="preserve">The Government’s </w:t>
      </w:r>
      <w:hyperlink r:id="rId19" w:history="1">
        <w:r w:rsidR="00145073" w:rsidRPr="00BB2DA4">
          <w:rPr>
            <w:rStyle w:val="Hyperlink"/>
            <w:i/>
          </w:rPr>
          <w:t>Forward Agenda</w:t>
        </w:r>
      </w:hyperlink>
      <w:r w:rsidR="00145073" w:rsidRPr="0089135C">
        <w:rPr>
          <w:i/>
        </w:rPr>
        <w:t xml:space="preserve"> </w:t>
      </w:r>
      <w:r w:rsidR="00145073">
        <w:t>provides an updated list of priorities for national direction and is available on the Ministry for the Environment’s website.</w:t>
      </w:r>
      <w:r w:rsidRPr="0089135C">
        <w:t xml:space="preserve"> Government understands that local authorities will be required to implement a range of national direction tools </w:t>
      </w:r>
      <w:r w:rsidR="00145073">
        <w:t>simultaneously</w:t>
      </w:r>
      <w:r w:rsidRPr="0089135C">
        <w:t>, and</w:t>
      </w:r>
      <w:r w:rsidR="006347F9">
        <w:t>, in</w:t>
      </w:r>
      <w:r w:rsidRPr="0089135C">
        <w:t xml:space="preserve"> recognising this</w:t>
      </w:r>
      <w:r w:rsidR="006347F9">
        <w:t>, it</w:t>
      </w:r>
      <w:r w:rsidRPr="0089135C">
        <w:t xml:space="preserve"> </w:t>
      </w:r>
      <w:r w:rsidR="00DA312C">
        <w:t>intends to support local</w:t>
      </w:r>
      <w:r w:rsidRPr="0089135C">
        <w:t xml:space="preserve"> authorities to implement them. </w:t>
      </w:r>
    </w:p>
    <w:p w14:paraId="7C006190" w14:textId="2A8306DD" w:rsidR="00A63861" w:rsidRPr="0089135C" w:rsidRDefault="00A63861" w:rsidP="00A63861">
      <w:pPr>
        <w:pStyle w:val="BodyText"/>
      </w:pPr>
      <w:r w:rsidRPr="0089135C">
        <w:t xml:space="preserve">The NPS-UDC </w:t>
      </w:r>
      <w:r w:rsidR="00BC4232">
        <w:t xml:space="preserve">is one of a number </w:t>
      </w:r>
      <w:r w:rsidR="00DA312C">
        <w:t xml:space="preserve">of </w:t>
      </w:r>
      <w:r w:rsidRPr="0089135C">
        <w:t>initiatives</w:t>
      </w:r>
      <w:r w:rsidR="00BC4232">
        <w:t xml:space="preserve"> designed</w:t>
      </w:r>
      <w:r w:rsidRPr="0089135C">
        <w:t xml:space="preserve"> to improve housing supply and affordability, including extending and amending the Housing Accords and Special Housing Areas Act 2013; amendments to the Building Act 2004 and the Construction Contracts Act 2002; as well as development of the future housing infrastructure fund and urban development legislation.</w:t>
      </w:r>
    </w:p>
    <w:p w14:paraId="35ABCDEB" w14:textId="77777777" w:rsidR="00B13C50" w:rsidRPr="0089135C" w:rsidRDefault="00B13C50" w:rsidP="00B13C50">
      <w:pPr>
        <w:pStyle w:val="Heading2"/>
      </w:pPr>
      <w:bookmarkStart w:id="11" w:name="_Toc465349921"/>
      <w:bookmarkStart w:id="12" w:name="_Toc465600897"/>
      <w:r w:rsidRPr="0089135C">
        <w:t>Overview of the requirements</w:t>
      </w:r>
      <w:bookmarkEnd w:id="11"/>
      <w:bookmarkEnd w:id="12"/>
    </w:p>
    <w:p w14:paraId="1B078CE9" w14:textId="7FAB0A79" w:rsidR="00B13C50" w:rsidRPr="0089135C" w:rsidRDefault="00B13C50" w:rsidP="00B13C50">
      <w:pPr>
        <w:pStyle w:val="BodyText"/>
      </w:pPr>
      <w:r w:rsidRPr="0089135C">
        <w:t xml:space="preserve">The NPS-UDC is made up of objectives and policies </w:t>
      </w:r>
      <w:r w:rsidR="00DB337E">
        <w:t xml:space="preserve">which are </w:t>
      </w:r>
      <w:r w:rsidRPr="0089135C">
        <w:t xml:space="preserve">grouped as follows: </w:t>
      </w:r>
    </w:p>
    <w:p w14:paraId="0BB586A3" w14:textId="77777777" w:rsidR="00B13C50" w:rsidRPr="0089135C" w:rsidRDefault="00B13C50" w:rsidP="00B13C50">
      <w:pPr>
        <w:pStyle w:val="Sub-lista"/>
        <w:ind w:left="397" w:hanging="397"/>
      </w:pPr>
      <w:r w:rsidRPr="0089135C">
        <w:t>outcomes for planning decisions</w:t>
      </w:r>
    </w:p>
    <w:p w14:paraId="4DFAD356" w14:textId="77777777" w:rsidR="00B13C50" w:rsidRPr="0089135C" w:rsidRDefault="00B13C50" w:rsidP="00B13C50">
      <w:pPr>
        <w:pStyle w:val="Sub-lista"/>
        <w:ind w:left="397" w:hanging="397"/>
      </w:pPr>
      <w:r w:rsidRPr="0089135C">
        <w:t>evidence and monitoring to support planning decisions</w:t>
      </w:r>
    </w:p>
    <w:p w14:paraId="2A8A65F5" w14:textId="77777777" w:rsidR="00B13C50" w:rsidRPr="0089135C" w:rsidRDefault="00B13C50" w:rsidP="00B13C50">
      <w:pPr>
        <w:pStyle w:val="Sub-lista"/>
        <w:ind w:left="397" w:hanging="397"/>
      </w:pPr>
      <w:r w:rsidRPr="0089135C">
        <w:t>responsive planning</w:t>
      </w:r>
    </w:p>
    <w:p w14:paraId="1A762812" w14:textId="77777777" w:rsidR="00B13C50" w:rsidRPr="0089135C" w:rsidRDefault="00B13C50" w:rsidP="00B13C50">
      <w:pPr>
        <w:pStyle w:val="Sub-lista"/>
        <w:ind w:left="397" w:hanging="397"/>
      </w:pPr>
      <w:proofErr w:type="gramStart"/>
      <w:r w:rsidRPr="0089135C">
        <w:t>coordinated</w:t>
      </w:r>
      <w:proofErr w:type="gramEnd"/>
      <w:r w:rsidRPr="0089135C">
        <w:t xml:space="preserve"> planning evidence and decisions.</w:t>
      </w:r>
    </w:p>
    <w:p w14:paraId="41EBF9A1" w14:textId="6BD5498D" w:rsidR="00B13C50" w:rsidRPr="0089135C" w:rsidRDefault="00B13C50" w:rsidP="00B13C50">
      <w:pPr>
        <w:pStyle w:val="BodyText"/>
      </w:pPr>
      <w:r w:rsidRPr="0089135C">
        <w:t>Policies in these four groups apply to different urban areas according to their size and population growth.</w:t>
      </w:r>
      <w:r w:rsidR="00643625" w:rsidRPr="0089135C">
        <w:t xml:space="preserve"> </w:t>
      </w:r>
      <w:r w:rsidRPr="0089135C">
        <w:t xml:space="preserve">The more challenging policies are targeted </w:t>
      </w:r>
      <w:r w:rsidR="00BC4232">
        <w:t>at</w:t>
      </w:r>
      <w:r w:rsidRPr="0089135C">
        <w:t xml:space="preserve"> local authorities experiencing higher levels of growth, and avoid imposing unnecessary costs on others.</w:t>
      </w:r>
      <w:r w:rsidR="00643625" w:rsidRPr="0089135C">
        <w:t xml:space="preserve"> </w:t>
      </w:r>
      <w:r w:rsidRPr="0089135C">
        <w:t xml:space="preserve">The following section explains how this targeted system works. </w:t>
      </w:r>
    </w:p>
    <w:p w14:paraId="14D46D15" w14:textId="77777777" w:rsidR="00B13C50" w:rsidRPr="0089135C" w:rsidRDefault="00B13C50" w:rsidP="00B13C50">
      <w:pPr>
        <w:pStyle w:val="Heading2"/>
      </w:pPr>
      <w:bookmarkStart w:id="13" w:name="_Toc465349922"/>
      <w:bookmarkStart w:id="14" w:name="_Toc465600898"/>
      <w:r w:rsidRPr="0089135C">
        <w:t>Which policies apply to my local authority and when?</w:t>
      </w:r>
      <w:bookmarkEnd w:id="13"/>
      <w:bookmarkEnd w:id="14"/>
    </w:p>
    <w:p w14:paraId="34697F11" w14:textId="77DCF8E2" w:rsidR="00B13C50" w:rsidRPr="0089135C" w:rsidRDefault="00B13C50" w:rsidP="00B13C50">
      <w:pPr>
        <w:pStyle w:val="BodyText"/>
      </w:pPr>
      <w:r w:rsidRPr="0089135C">
        <w:t>The NPS-UDC targets different policies to particular local authorities based on whether or not they have all or part of a high- or medium-growth urban area within their district or region</w:t>
      </w:r>
      <w:r w:rsidR="00C40353">
        <w:t xml:space="preserve">. </w:t>
      </w:r>
      <w:r w:rsidRPr="0089135C">
        <w:t xml:space="preserve">These </w:t>
      </w:r>
      <w:proofErr w:type="gramStart"/>
      <w:r w:rsidRPr="0089135C">
        <w:t>are</w:t>
      </w:r>
      <w:r w:rsidR="00C40353">
        <w:t>a</w:t>
      </w:r>
      <w:proofErr w:type="gramEnd"/>
      <w:r w:rsidR="00C40353">
        <w:t xml:space="preserve"> are</w:t>
      </w:r>
      <w:r w:rsidRPr="0089135C">
        <w:t xml:space="preserve"> defined </w:t>
      </w:r>
      <w:r w:rsidR="003007A5">
        <w:t>below.</w:t>
      </w:r>
    </w:p>
    <w:p w14:paraId="4E3C911B" w14:textId="12C3E302" w:rsidR="00920537" w:rsidRPr="0089135C" w:rsidRDefault="00920537" w:rsidP="00E41F32">
      <w:pPr>
        <w:pStyle w:val="Box"/>
        <w:keepNext/>
        <w:spacing w:after="0"/>
      </w:pPr>
      <w:r w:rsidRPr="0089135C">
        <w:t>A ‘high-growth urban area’ is any urban area (as defined by Statistics New Zealand in 2016) that:</w:t>
      </w:r>
    </w:p>
    <w:p w14:paraId="0497A229" w14:textId="77777777" w:rsidR="00920537" w:rsidRPr="0089135C" w:rsidRDefault="00920537" w:rsidP="00E41F32">
      <w:pPr>
        <w:pStyle w:val="Box"/>
        <w:keepNext/>
        <w:spacing w:after="0"/>
      </w:pPr>
      <w:proofErr w:type="gramStart"/>
      <w:r w:rsidRPr="0089135C">
        <w:t>has</w:t>
      </w:r>
      <w:proofErr w:type="gramEnd"/>
      <w:r w:rsidRPr="0089135C">
        <w:t xml:space="preserve"> either:</w:t>
      </w:r>
    </w:p>
    <w:p w14:paraId="4834C135" w14:textId="77777777" w:rsidR="00920537" w:rsidRPr="0089135C" w:rsidRDefault="00920537" w:rsidP="00E41F32">
      <w:pPr>
        <w:pStyle w:val="Boxbullet"/>
        <w:keepNext/>
        <w:spacing w:before="60" w:after="0"/>
      </w:pPr>
      <w:r w:rsidRPr="0089135C">
        <w:t>a resident population of over 30,000 people according to the most recent Statistics New Zealand urban area resident population estimates</w:t>
      </w:r>
    </w:p>
    <w:p w14:paraId="2AE4DE94" w14:textId="77777777" w:rsidR="00920537" w:rsidRPr="0089135C" w:rsidRDefault="00920537" w:rsidP="00ED24D3">
      <w:pPr>
        <w:pStyle w:val="Box"/>
        <w:keepNext/>
        <w:spacing w:after="0"/>
      </w:pPr>
      <w:proofErr w:type="gramStart"/>
      <w:r w:rsidRPr="0089135C">
        <w:t>or</w:t>
      </w:r>
      <w:proofErr w:type="gramEnd"/>
    </w:p>
    <w:p w14:paraId="293BA2D1" w14:textId="77777777" w:rsidR="00920537" w:rsidRPr="0089135C" w:rsidRDefault="00920537" w:rsidP="00E115FF">
      <w:pPr>
        <w:pStyle w:val="Boxbullet"/>
        <w:keepNext/>
        <w:spacing w:before="60" w:after="0"/>
      </w:pPr>
      <w:r w:rsidRPr="0089135C">
        <w:t xml:space="preserve">at any point in the year a combined resident population and visitor population of over 30,000 people, using Statistics New Zealand urban area resident population estimates </w:t>
      </w:r>
    </w:p>
    <w:p w14:paraId="6FE1F79A" w14:textId="77777777" w:rsidR="00920537" w:rsidRPr="0089135C" w:rsidRDefault="00605DCE" w:rsidP="003361EA">
      <w:pPr>
        <w:pStyle w:val="Box"/>
        <w:spacing w:after="0"/>
      </w:pPr>
      <w:proofErr w:type="gramStart"/>
      <w:r>
        <w:t>and</w:t>
      </w:r>
      <w:proofErr w:type="gramEnd"/>
    </w:p>
    <w:p w14:paraId="4AE4BA51" w14:textId="77777777" w:rsidR="00920537" w:rsidRPr="0089135C" w:rsidRDefault="00920537" w:rsidP="00ED24D3">
      <w:pPr>
        <w:pStyle w:val="Boxbullet"/>
        <w:spacing w:before="60" w:after="0"/>
      </w:pPr>
      <w:proofErr w:type="gramStart"/>
      <w:r w:rsidRPr="0089135C">
        <w:t>in</w:t>
      </w:r>
      <w:proofErr w:type="gramEnd"/>
      <w:r w:rsidRPr="0089135C">
        <w:t xml:space="preserve"> which the resident population of that urban area is projected to grow by more than 10% between 2013 to 2023, according to the most recent Statistics New Zealand medium urban area population projections.</w:t>
      </w:r>
    </w:p>
    <w:p w14:paraId="43CC9A81" w14:textId="6E5F6E5B" w:rsidR="00920537" w:rsidRPr="0089135C" w:rsidRDefault="00920537" w:rsidP="003361EA">
      <w:pPr>
        <w:pStyle w:val="Box"/>
        <w:spacing w:after="0"/>
      </w:pPr>
      <w:r w:rsidRPr="0089135C">
        <w:lastRenderedPageBreak/>
        <w:t xml:space="preserve">A ‘medium-growth urban area’ is any urban area (as defined by Statistics New Zealand in 2016) that: </w:t>
      </w:r>
    </w:p>
    <w:p w14:paraId="1B5021FB" w14:textId="77777777" w:rsidR="00920537" w:rsidRPr="0089135C" w:rsidRDefault="00920537" w:rsidP="00ED24D3">
      <w:pPr>
        <w:pStyle w:val="Boxbullet"/>
        <w:spacing w:before="60" w:after="0"/>
      </w:pPr>
      <w:r w:rsidRPr="0089135C">
        <w:t xml:space="preserve">has a resident population of over 30,000 people according to Statistics New Zealand urban area resident population estimates </w:t>
      </w:r>
    </w:p>
    <w:p w14:paraId="6C3448DD" w14:textId="77777777" w:rsidR="00920537" w:rsidRPr="0089135C" w:rsidRDefault="00920537" w:rsidP="003361EA">
      <w:pPr>
        <w:pStyle w:val="Box"/>
        <w:spacing w:after="0"/>
      </w:pPr>
      <w:proofErr w:type="gramStart"/>
      <w:r w:rsidRPr="0089135C">
        <w:t>and</w:t>
      </w:r>
      <w:proofErr w:type="gramEnd"/>
      <w:r w:rsidRPr="0089135C">
        <w:t xml:space="preserve"> </w:t>
      </w:r>
    </w:p>
    <w:p w14:paraId="2CDC2658" w14:textId="0607E3C0" w:rsidR="00920537" w:rsidRPr="0089135C" w:rsidRDefault="00920537" w:rsidP="00ED24D3">
      <w:pPr>
        <w:pStyle w:val="Boxbullet"/>
        <w:spacing w:before="60" w:after="0"/>
      </w:pPr>
      <w:proofErr w:type="gramStart"/>
      <w:r w:rsidRPr="0089135C">
        <w:t>in</w:t>
      </w:r>
      <w:proofErr w:type="gramEnd"/>
      <w:r w:rsidRPr="0089135C">
        <w:t xml:space="preserve"> which the resident population of that urban area is projected to grow by between 5% and 10% between 2013 to 2023, according to the most recent Statistics New Zealand medium urba</w:t>
      </w:r>
      <w:r w:rsidR="00BC4232">
        <w:t>n area population projections</w:t>
      </w:r>
      <w:r w:rsidRPr="0089135C">
        <w:t>.</w:t>
      </w:r>
    </w:p>
    <w:p w14:paraId="14B7D2B7" w14:textId="77777777" w:rsidR="00B13C50" w:rsidRPr="0089135C" w:rsidRDefault="00920537" w:rsidP="00920537">
      <w:pPr>
        <w:pStyle w:val="Box"/>
      </w:pPr>
      <w:r w:rsidRPr="0089135C">
        <w:t>These definitions are transitional definitions and will be reviewed no later than 31 December 2018.</w:t>
      </w:r>
    </w:p>
    <w:p w14:paraId="6B1B7AAA" w14:textId="3457065D" w:rsidR="007614BE" w:rsidRPr="0089135C" w:rsidRDefault="007614BE" w:rsidP="007614BE">
      <w:pPr>
        <w:pStyle w:val="BodyText"/>
        <w:spacing w:before="240"/>
      </w:pPr>
      <w:bookmarkStart w:id="15" w:name="_Toc214704940"/>
      <w:bookmarkStart w:id="16" w:name="_Toc215561205"/>
      <w:bookmarkStart w:id="17" w:name="_Toc345760349"/>
      <w:bookmarkStart w:id="18" w:name="_Toc174765997"/>
      <w:r w:rsidRPr="0089135C">
        <w:t>As well as targeting particular policies to particular local authorities, these definitions also indicate when neighbouring local authorities should work together. This is because the</w:t>
      </w:r>
      <w:r w:rsidR="00C40353">
        <w:t xml:space="preserve"> definitions</w:t>
      </w:r>
      <w:r w:rsidRPr="0089135C">
        <w:t xml:space="preserve"> use</w:t>
      </w:r>
      <w:r w:rsidR="00605DCE">
        <w:t> </w:t>
      </w:r>
      <w:r w:rsidRPr="0089135C">
        <w:t xml:space="preserve">Statistics New Zealand’s </w:t>
      </w:r>
      <w:r w:rsidR="006347F9">
        <w:t>urban area classification</w:t>
      </w:r>
      <w:r w:rsidRPr="0089135C">
        <w:t>, which are areas of contiguous settlement that approximate urban labour and housing markets, and often cross local authority boundaries.</w:t>
      </w:r>
      <w:r w:rsidR="00643625" w:rsidRPr="0089135C">
        <w:t xml:space="preserve"> </w:t>
      </w:r>
    </w:p>
    <w:p w14:paraId="183DB0D7" w14:textId="693CDA1A" w:rsidR="007614BE" w:rsidRPr="0089135C" w:rsidRDefault="007614BE" w:rsidP="007614BE">
      <w:pPr>
        <w:pStyle w:val="BodyText"/>
      </w:pPr>
      <w:r w:rsidRPr="0089135C">
        <w:t>To be clear</w:t>
      </w:r>
      <w:r w:rsidR="001E4035">
        <w:t>,</w:t>
      </w:r>
      <w:r w:rsidRPr="0089135C">
        <w:t xml:space="preserve"> however, the NPS-UDC policies should not just be applied to the area within the geographic boundaries of Statistics New Zealand’s urban area</w:t>
      </w:r>
      <w:r w:rsidR="001E4035">
        <w:t>s</w:t>
      </w:r>
      <w:r w:rsidRPr="0089135C">
        <w:t xml:space="preserve">. Local authorities </w:t>
      </w:r>
      <w:r w:rsidR="00592FE4">
        <w:t>can</w:t>
      </w:r>
      <w:r w:rsidRPr="0089135C">
        <w:t xml:space="preserve"> build on joint analysis and strategic planning (</w:t>
      </w:r>
      <w:r w:rsidR="001E4035">
        <w:t>which</w:t>
      </w:r>
      <w:r w:rsidR="001E4035" w:rsidRPr="0089135C">
        <w:t xml:space="preserve"> </w:t>
      </w:r>
      <w:r w:rsidRPr="0089135C">
        <w:t>many local authorities are already undertaking) that may cross local authority boundaries. Exist</w:t>
      </w:r>
      <w:r w:rsidR="000B78C6">
        <w:t>i</w:t>
      </w:r>
      <w:r w:rsidRPr="0089135C">
        <w:t xml:space="preserve">ng examples include the Greater Christchurch Urban Development Strategy, </w:t>
      </w:r>
      <w:proofErr w:type="spellStart"/>
      <w:r w:rsidRPr="0089135C">
        <w:t>Heretaunga</w:t>
      </w:r>
      <w:proofErr w:type="spellEnd"/>
      <w:r w:rsidRPr="0089135C">
        <w:t xml:space="preserve"> Plains Urban Development Strategy, </w:t>
      </w:r>
      <w:proofErr w:type="spellStart"/>
      <w:r w:rsidRPr="0089135C">
        <w:t>SmartGrowth</w:t>
      </w:r>
      <w:proofErr w:type="spellEnd"/>
      <w:r w:rsidRPr="0089135C">
        <w:t xml:space="preserve">, Future Proof, and Upper North Island Strategic Alliance. </w:t>
      </w:r>
    </w:p>
    <w:p w14:paraId="11B5DCEF" w14:textId="77777777" w:rsidR="007614BE" w:rsidRPr="0089135C" w:rsidRDefault="007614BE" w:rsidP="007614BE">
      <w:pPr>
        <w:pStyle w:val="Heading3"/>
      </w:pPr>
      <w:r w:rsidRPr="0089135C">
        <w:t>Statistics New Zealand review and revisions</w:t>
      </w:r>
    </w:p>
    <w:p w14:paraId="08E9727A" w14:textId="47FB6BB9" w:rsidR="007614BE" w:rsidRPr="0089135C" w:rsidRDefault="007614BE" w:rsidP="007614BE">
      <w:pPr>
        <w:pStyle w:val="BodyText"/>
      </w:pPr>
      <w:r w:rsidRPr="0089135C">
        <w:t>The high- and medium-growth urban area definitions are based on urban areas as defined by Statistics New Zealand in 2016. Statistics New Zealand is currently reviewing its urban</w:t>
      </w:r>
      <w:r w:rsidR="00CC425F">
        <w:t>–</w:t>
      </w:r>
      <w:r w:rsidRPr="0089135C">
        <w:t>rural classification and boundaries, and decisions on new urban areas are expected by the end of 2017, with maps published early in 2018. This urban</w:t>
      </w:r>
      <w:r w:rsidR="00CC425F">
        <w:t>–</w:t>
      </w:r>
      <w:r w:rsidRPr="0089135C">
        <w:t>rural classification review will not affect the NPS-UDC until the end of 2018, when government will also review the NPS-UDC high- and medium-growth urban area definitions.</w:t>
      </w:r>
      <w:r w:rsidR="00643625" w:rsidRPr="0089135C">
        <w:t xml:space="preserve"> </w:t>
      </w:r>
    </w:p>
    <w:p w14:paraId="7ED967E4" w14:textId="4AEBBD78" w:rsidR="007614BE" w:rsidRPr="0089135C" w:rsidRDefault="007614BE" w:rsidP="007614BE">
      <w:pPr>
        <w:pStyle w:val="BodyText"/>
      </w:pPr>
      <w:r w:rsidRPr="0089135C">
        <w:t xml:space="preserve">The high- and medium-growth urban area definitions in the NPS-UDC also use the most recent Statistics New Zealand population projections for the 2013 (base) </w:t>
      </w:r>
      <w:r w:rsidR="00CC425F">
        <w:t>to</w:t>
      </w:r>
      <w:r w:rsidR="00CC425F" w:rsidRPr="0089135C">
        <w:t xml:space="preserve"> </w:t>
      </w:r>
      <w:r w:rsidRPr="0089135C">
        <w:t xml:space="preserve">2023 period. Statistics New Zealand will be revising its urban area population projections by September 2017. </w:t>
      </w:r>
      <w:r w:rsidR="00C40353">
        <w:t>I</w:t>
      </w:r>
      <w:r w:rsidRPr="0089135C">
        <w:t>t is likely that some urban area</w:t>
      </w:r>
      <w:r w:rsidR="00C40353">
        <w:t>s will be newly defined as high- or medium-</w:t>
      </w:r>
      <w:r w:rsidRPr="0089135C">
        <w:t>growth</w:t>
      </w:r>
      <w:r w:rsidR="00C40353">
        <w:t xml:space="preserve"> with these revisions</w:t>
      </w:r>
      <w:r w:rsidRPr="0089135C">
        <w:t>.</w:t>
      </w:r>
      <w:r w:rsidRPr="0089135C">
        <w:rPr>
          <w:vertAlign w:val="superscript"/>
        </w:rPr>
        <w:footnoteReference w:id="1"/>
      </w:r>
      <w:r w:rsidRPr="0089135C">
        <w:t xml:space="preserve"> Government will notify the local authorities likely to be affected by this revision about this possibility in early 2017, and </w:t>
      </w:r>
      <w:r w:rsidR="0014262D">
        <w:t xml:space="preserve">will </w:t>
      </w:r>
      <w:r w:rsidRPr="0089135C">
        <w:t>invite them to participate in preparatory work to meet the relevant NPS-UDC policy requirements. Local authorities newly defined as high or medium growth will also have later timeframes to meet these requirements.</w:t>
      </w:r>
    </w:p>
    <w:p w14:paraId="75739128" w14:textId="2D2937C5" w:rsidR="007614BE" w:rsidRPr="0089135C" w:rsidRDefault="007614BE" w:rsidP="007614BE">
      <w:pPr>
        <w:pStyle w:val="BodyText"/>
      </w:pPr>
      <w:r w:rsidRPr="0089135C">
        <w:t xml:space="preserve">Table </w:t>
      </w:r>
      <w:r w:rsidR="0014262D">
        <w:t>1</w:t>
      </w:r>
      <w:r w:rsidR="0014262D" w:rsidRPr="0089135C">
        <w:t xml:space="preserve"> </w:t>
      </w:r>
      <w:proofErr w:type="gramStart"/>
      <w:r w:rsidRPr="0089135C">
        <w:t>sets</w:t>
      </w:r>
      <w:proofErr w:type="gramEnd"/>
      <w:r w:rsidRPr="0089135C">
        <w:t xml:space="preserve"> out the current high- and medium-growth urban areas and corresponding local authorities, the policies that apply to them and the timeframes for completing policy requirements. </w:t>
      </w:r>
    </w:p>
    <w:p w14:paraId="6D94AB22" w14:textId="77777777" w:rsidR="00B13C50" w:rsidRPr="0089135C" w:rsidRDefault="00B13C50" w:rsidP="00B13C50">
      <w:pPr>
        <w:pStyle w:val="BodyText"/>
      </w:pPr>
    </w:p>
    <w:bookmarkEnd w:id="15"/>
    <w:bookmarkEnd w:id="16"/>
    <w:bookmarkEnd w:id="17"/>
    <w:bookmarkEnd w:id="18"/>
    <w:p w14:paraId="7B761E13" w14:textId="77777777" w:rsidR="00A63861" w:rsidRPr="0089135C" w:rsidRDefault="00A63861" w:rsidP="00A63861">
      <w:pPr>
        <w:pStyle w:val="BodyText"/>
      </w:pPr>
    </w:p>
    <w:p w14:paraId="7D6CC04D" w14:textId="77777777" w:rsidR="00777E0D" w:rsidRPr="0089135C" w:rsidRDefault="00777E0D" w:rsidP="00805C3D">
      <w:pPr>
        <w:pStyle w:val="Tableheading"/>
        <w:sectPr w:rsidR="00777E0D" w:rsidRPr="0089135C" w:rsidSect="00475D30">
          <w:footerReference w:type="even" r:id="rId20"/>
          <w:footerReference w:type="default" r:id="rId21"/>
          <w:pgSz w:w="11907" w:h="16840" w:code="9"/>
          <w:pgMar w:top="1134" w:right="1418" w:bottom="1134" w:left="1418" w:header="567" w:footer="567" w:gutter="567"/>
          <w:cols w:space="720"/>
          <w:docGrid w:linePitch="299"/>
        </w:sectPr>
      </w:pPr>
    </w:p>
    <w:p w14:paraId="501A3E7C" w14:textId="77777777" w:rsidR="0003640E" w:rsidRPr="0089135C" w:rsidRDefault="00805C3D" w:rsidP="009B752E">
      <w:pPr>
        <w:pStyle w:val="Tableheading"/>
        <w:spacing w:before="0"/>
      </w:pPr>
      <w:bookmarkStart w:id="19" w:name="_Toc465600960"/>
      <w:r w:rsidRPr="0089135C">
        <w:lastRenderedPageBreak/>
        <w:t>Table 1:</w:t>
      </w:r>
      <w:r w:rsidRPr="0089135C">
        <w:tab/>
      </w:r>
      <w:r w:rsidR="00777E0D" w:rsidRPr="0089135C">
        <w:t>Which objectives and policies apply to which councils and when</w:t>
      </w:r>
      <w:bookmarkEnd w:id="19"/>
    </w:p>
    <w:tbl>
      <w:tblPr>
        <w:tblStyle w:val="TableGrid1"/>
        <w:tblW w:w="14515" w:type="dxa"/>
        <w:tblInd w:w="108"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ayout w:type="fixed"/>
        <w:tblLook w:val="04A0" w:firstRow="1" w:lastRow="0" w:firstColumn="1" w:lastColumn="0" w:noHBand="0" w:noVBand="1"/>
      </w:tblPr>
      <w:tblGrid>
        <w:gridCol w:w="1565"/>
        <w:gridCol w:w="5240"/>
        <w:gridCol w:w="5719"/>
        <w:gridCol w:w="1991"/>
      </w:tblGrid>
      <w:tr w:rsidR="009C7844" w:rsidRPr="0089135C" w14:paraId="1411BEA2" w14:textId="77777777" w:rsidTr="00A0085D">
        <w:trPr>
          <w:tblHeader/>
        </w:trPr>
        <w:tc>
          <w:tcPr>
            <w:tcW w:w="539" w:type="pct"/>
            <w:shd w:val="clear" w:color="auto" w:fill="1C556C"/>
            <w:vAlign w:val="center"/>
          </w:tcPr>
          <w:p w14:paraId="19DC0646" w14:textId="77777777" w:rsidR="009C7844" w:rsidRPr="0089135C" w:rsidRDefault="008A2E49" w:rsidP="00C561B3">
            <w:pPr>
              <w:pStyle w:val="TableTextbold"/>
              <w:spacing w:before="30" w:after="30"/>
              <w:rPr>
                <w:color w:val="FFFFFF" w:themeColor="background1"/>
              </w:rPr>
            </w:pPr>
            <w:r w:rsidRPr="0089135C">
              <w:rPr>
                <w:color w:val="FFFFFF" w:themeColor="background1"/>
              </w:rPr>
              <w:t>Area</w:t>
            </w:r>
          </w:p>
        </w:tc>
        <w:tc>
          <w:tcPr>
            <w:tcW w:w="1805" w:type="pct"/>
            <w:shd w:val="clear" w:color="auto" w:fill="1C556C"/>
            <w:vAlign w:val="center"/>
          </w:tcPr>
          <w:p w14:paraId="28E95C23" w14:textId="77777777" w:rsidR="009C7844" w:rsidRPr="0089135C" w:rsidRDefault="008A2E49" w:rsidP="00C561B3">
            <w:pPr>
              <w:pStyle w:val="TableTextbold"/>
              <w:spacing w:before="30" w:after="30"/>
              <w:rPr>
                <w:color w:val="FFFFFF" w:themeColor="background1"/>
              </w:rPr>
            </w:pPr>
            <w:r w:rsidRPr="0089135C">
              <w:rPr>
                <w:color w:val="FFFFFF" w:themeColor="background1"/>
              </w:rPr>
              <w:t>Councils</w:t>
            </w:r>
          </w:p>
        </w:tc>
        <w:tc>
          <w:tcPr>
            <w:tcW w:w="1970" w:type="pct"/>
            <w:shd w:val="clear" w:color="auto" w:fill="1C556C"/>
            <w:vAlign w:val="center"/>
          </w:tcPr>
          <w:p w14:paraId="1B8060BE" w14:textId="77777777" w:rsidR="009C7844" w:rsidRPr="0089135C" w:rsidRDefault="008A2E49" w:rsidP="00C561B3">
            <w:pPr>
              <w:pStyle w:val="TableTextbold"/>
              <w:spacing w:before="30" w:after="30"/>
              <w:rPr>
                <w:color w:val="FFFFFF" w:themeColor="background1"/>
              </w:rPr>
            </w:pPr>
            <w:r w:rsidRPr="0089135C">
              <w:rPr>
                <w:color w:val="FFFFFF" w:themeColor="background1"/>
              </w:rPr>
              <w:t>Objectives and policies</w:t>
            </w:r>
          </w:p>
        </w:tc>
        <w:tc>
          <w:tcPr>
            <w:tcW w:w="686" w:type="pct"/>
            <w:shd w:val="clear" w:color="auto" w:fill="1C556C"/>
          </w:tcPr>
          <w:p w14:paraId="270C0B14" w14:textId="77777777" w:rsidR="009C7844" w:rsidRPr="0089135C" w:rsidRDefault="008A2E49" w:rsidP="00C561B3">
            <w:pPr>
              <w:pStyle w:val="TableTextbold"/>
              <w:spacing w:before="30" w:after="30"/>
              <w:rPr>
                <w:color w:val="FFFFFF" w:themeColor="background1"/>
              </w:rPr>
            </w:pPr>
            <w:r w:rsidRPr="0089135C">
              <w:rPr>
                <w:color w:val="FFFFFF" w:themeColor="background1"/>
              </w:rPr>
              <w:t>Timeframes</w:t>
            </w:r>
          </w:p>
        </w:tc>
      </w:tr>
      <w:tr w:rsidR="009C7844" w:rsidRPr="0089135C" w14:paraId="12038640" w14:textId="77777777" w:rsidTr="00346CD7">
        <w:trPr>
          <w:trHeight w:val="330"/>
        </w:trPr>
        <w:tc>
          <w:tcPr>
            <w:tcW w:w="5000" w:type="pct"/>
            <w:gridSpan w:val="4"/>
          </w:tcPr>
          <w:p w14:paraId="07CB0174" w14:textId="77777777" w:rsidR="009C7844" w:rsidRPr="0089135C" w:rsidRDefault="009C7844" w:rsidP="00C561B3">
            <w:pPr>
              <w:pStyle w:val="TableTextbold"/>
              <w:spacing w:before="30" w:after="30"/>
            </w:pPr>
            <w:r w:rsidRPr="0089135C">
              <w:t>All councils</w:t>
            </w:r>
          </w:p>
        </w:tc>
      </w:tr>
      <w:tr w:rsidR="00B11B47" w:rsidRPr="0089135C" w14:paraId="553B8083" w14:textId="77777777" w:rsidTr="00A0085D">
        <w:trPr>
          <w:trHeight w:val="330"/>
        </w:trPr>
        <w:tc>
          <w:tcPr>
            <w:tcW w:w="539" w:type="pct"/>
          </w:tcPr>
          <w:p w14:paraId="2C420730" w14:textId="77777777" w:rsidR="009C7844" w:rsidRPr="0089135C" w:rsidRDefault="009C7844" w:rsidP="00C561B3">
            <w:pPr>
              <w:pStyle w:val="TableText"/>
              <w:spacing w:before="30" w:after="30"/>
            </w:pPr>
            <w:r w:rsidRPr="0089135C">
              <w:t>All</w:t>
            </w:r>
          </w:p>
        </w:tc>
        <w:tc>
          <w:tcPr>
            <w:tcW w:w="1805" w:type="pct"/>
          </w:tcPr>
          <w:p w14:paraId="7C1A9047" w14:textId="77777777" w:rsidR="009C7844" w:rsidRPr="0089135C" w:rsidRDefault="009C7844" w:rsidP="00C561B3">
            <w:pPr>
              <w:pStyle w:val="TableText"/>
              <w:spacing w:before="30" w:after="30"/>
            </w:pPr>
            <w:r w:rsidRPr="0089135C">
              <w:t>All councils</w:t>
            </w:r>
          </w:p>
        </w:tc>
        <w:tc>
          <w:tcPr>
            <w:tcW w:w="1970" w:type="pct"/>
            <w:shd w:val="clear" w:color="auto" w:fill="auto"/>
          </w:tcPr>
          <w:p w14:paraId="221DFDD0" w14:textId="77777777" w:rsidR="009C7844" w:rsidRPr="0089135C" w:rsidRDefault="009C7844" w:rsidP="00C561B3">
            <w:pPr>
              <w:pStyle w:val="TableText"/>
              <w:spacing w:before="30" w:after="30"/>
            </w:pPr>
            <w:r w:rsidRPr="0089135C">
              <w:t>All objectives</w:t>
            </w:r>
          </w:p>
          <w:p w14:paraId="739EDE84" w14:textId="77777777" w:rsidR="009C7844" w:rsidRPr="0089135C" w:rsidRDefault="009C7844" w:rsidP="00C561B3">
            <w:pPr>
              <w:pStyle w:val="TableText"/>
              <w:spacing w:before="30" w:after="30"/>
            </w:pPr>
            <w:r w:rsidRPr="00605DCE">
              <w:rPr>
                <w:i/>
              </w:rPr>
              <w:t>PA1</w:t>
            </w:r>
            <w:r w:rsidRPr="0089135C">
              <w:t>: Sufficient development capacity in the short, medium and long term</w:t>
            </w:r>
          </w:p>
          <w:p w14:paraId="30CB5282" w14:textId="77777777" w:rsidR="009C7844" w:rsidRPr="0089135C" w:rsidRDefault="009C7844" w:rsidP="00C561B3">
            <w:pPr>
              <w:pStyle w:val="TableText"/>
              <w:spacing w:before="30" w:after="30"/>
            </w:pPr>
            <w:r w:rsidRPr="00BD6C8E">
              <w:rPr>
                <w:i/>
              </w:rPr>
              <w:t>PA2</w:t>
            </w:r>
            <w:r w:rsidRPr="0089135C">
              <w:t>: Other infrastructure required to support urban development</w:t>
            </w:r>
          </w:p>
          <w:p w14:paraId="03291614" w14:textId="77777777" w:rsidR="009C7844" w:rsidRPr="0089135C" w:rsidRDefault="009C7844" w:rsidP="00C561B3">
            <w:pPr>
              <w:pStyle w:val="TableText"/>
              <w:spacing w:before="30" w:after="30"/>
            </w:pPr>
            <w:r w:rsidRPr="00BD6C8E">
              <w:rPr>
                <w:i/>
              </w:rPr>
              <w:t>PA3</w:t>
            </w:r>
            <w:r w:rsidRPr="0089135C">
              <w:t>: Provide choice; promote efficient use of land and infrastructure; limit adverse effects on competition</w:t>
            </w:r>
          </w:p>
          <w:p w14:paraId="5A40B05E" w14:textId="77777777" w:rsidR="009C7844" w:rsidRPr="0089135C" w:rsidRDefault="009C7844" w:rsidP="00C561B3">
            <w:pPr>
              <w:pStyle w:val="TableText"/>
              <w:spacing w:before="30" w:after="30"/>
            </w:pPr>
            <w:r w:rsidRPr="00BD6C8E">
              <w:rPr>
                <w:i/>
              </w:rPr>
              <w:t>PA4</w:t>
            </w:r>
            <w:r w:rsidRPr="0089135C">
              <w:t>: Take into account the benefits and costs of urban development at a national, interregional, regional, district and local scale</w:t>
            </w:r>
          </w:p>
        </w:tc>
        <w:tc>
          <w:tcPr>
            <w:tcW w:w="686" w:type="pct"/>
          </w:tcPr>
          <w:p w14:paraId="7EBADB57" w14:textId="77777777" w:rsidR="009C7844" w:rsidRPr="0089135C" w:rsidRDefault="009C7844" w:rsidP="00C561B3">
            <w:pPr>
              <w:pStyle w:val="TableText"/>
              <w:spacing w:before="30" w:after="30"/>
            </w:pPr>
            <w:r w:rsidRPr="0089135C">
              <w:t>Immediate and ongoing</w:t>
            </w:r>
          </w:p>
          <w:p w14:paraId="617D9D9A" w14:textId="77777777" w:rsidR="009C7844" w:rsidRPr="0089135C" w:rsidRDefault="009C7844" w:rsidP="00C561B3">
            <w:pPr>
              <w:pStyle w:val="TableText"/>
              <w:spacing w:before="30" w:after="30"/>
            </w:pPr>
            <w:r w:rsidRPr="0089135C">
              <w:t>Immediate and ongoing</w:t>
            </w:r>
          </w:p>
          <w:p w14:paraId="2B1406AC" w14:textId="77777777" w:rsidR="009C7844" w:rsidRPr="0089135C" w:rsidRDefault="009C7844" w:rsidP="00C561B3">
            <w:pPr>
              <w:pStyle w:val="TableText"/>
              <w:spacing w:before="30" w:after="30"/>
            </w:pPr>
            <w:r w:rsidRPr="0089135C">
              <w:t>Immediate and ongoing</w:t>
            </w:r>
          </w:p>
          <w:p w14:paraId="3A50B346" w14:textId="77777777" w:rsidR="009C7844" w:rsidRPr="0089135C" w:rsidRDefault="009C7844" w:rsidP="00C561B3">
            <w:pPr>
              <w:pStyle w:val="TableText"/>
              <w:spacing w:before="30" w:after="30"/>
            </w:pPr>
            <w:r w:rsidRPr="0089135C">
              <w:t>Immediate and ongoing</w:t>
            </w:r>
          </w:p>
          <w:p w14:paraId="44FA6683" w14:textId="77777777" w:rsidR="009C7844" w:rsidRPr="0089135C" w:rsidRDefault="008A2E49" w:rsidP="00C561B3">
            <w:pPr>
              <w:pStyle w:val="TableText"/>
              <w:spacing w:before="30" w:after="30"/>
            </w:pPr>
            <w:r w:rsidRPr="0089135C">
              <w:br/>
            </w:r>
            <w:r w:rsidR="009C7844" w:rsidRPr="0089135C">
              <w:t>Immediate and ongoing</w:t>
            </w:r>
          </w:p>
        </w:tc>
      </w:tr>
      <w:tr w:rsidR="009C7844" w:rsidRPr="0089135C" w14:paraId="22607141" w14:textId="77777777" w:rsidTr="00346CD7">
        <w:tc>
          <w:tcPr>
            <w:tcW w:w="5000" w:type="pct"/>
            <w:gridSpan w:val="4"/>
          </w:tcPr>
          <w:p w14:paraId="66BE0205" w14:textId="77777777" w:rsidR="009C7844" w:rsidRPr="0089135C" w:rsidRDefault="009C7844" w:rsidP="00C561B3">
            <w:pPr>
              <w:pStyle w:val="TableTextbold"/>
              <w:spacing w:before="30" w:after="30"/>
            </w:pPr>
            <w:r w:rsidRPr="0089135C">
              <w:t>Medium-growth urban areas (subject to change as population projections are revised)</w:t>
            </w:r>
          </w:p>
        </w:tc>
      </w:tr>
      <w:tr w:rsidR="00B11B47" w:rsidRPr="0089135C" w14:paraId="5EEA076E" w14:textId="77777777" w:rsidTr="00A0085D">
        <w:trPr>
          <w:trHeight w:val="307"/>
        </w:trPr>
        <w:tc>
          <w:tcPr>
            <w:tcW w:w="539" w:type="pct"/>
          </w:tcPr>
          <w:p w14:paraId="68E5929E" w14:textId="77777777" w:rsidR="009C7844" w:rsidRPr="0089135C" w:rsidRDefault="009C7844" w:rsidP="00C561B3">
            <w:pPr>
              <w:pStyle w:val="TableText"/>
              <w:spacing w:before="30" w:after="30"/>
            </w:pPr>
            <w:r w:rsidRPr="0089135C">
              <w:t>New Plymouth</w:t>
            </w:r>
          </w:p>
        </w:tc>
        <w:tc>
          <w:tcPr>
            <w:tcW w:w="1805" w:type="pct"/>
          </w:tcPr>
          <w:p w14:paraId="4A36A697" w14:textId="77777777" w:rsidR="009C7844" w:rsidRPr="0089135C" w:rsidRDefault="009C7844" w:rsidP="00C561B3">
            <w:pPr>
              <w:pStyle w:val="TableText"/>
              <w:spacing w:before="30" w:after="30"/>
            </w:pPr>
            <w:r w:rsidRPr="0089135C">
              <w:t>New Plymouth District, Taranaki Region</w:t>
            </w:r>
          </w:p>
        </w:tc>
        <w:tc>
          <w:tcPr>
            <w:tcW w:w="1970" w:type="pct"/>
            <w:vMerge w:val="restart"/>
            <w:shd w:val="clear" w:color="auto" w:fill="auto"/>
          </w:tcPr>
          <w:p w14:paraId="2DA1DDFA" w14:textId="77777777" w:rsidR="009C7844" w:rsidRPr="0089135C" w:rsidRDefault="009C7844" w:rsidP="00C561B3">
            <w:pPr>
              <w:pStyle w:val="TableText"/>
              <w:spacing w:before="30" w:after="30"/>
            </w:pPr>
            <w:r w:rsidRPr="0089135C">
              <w:t>As above plus:</w:t>
            </w:r>
          </w:p>
          <w:p w14:paraId="35CD819C" w14:textId="2C78BD26" w:rsidR="009C7844" w:rsidRPr="0089135C" w:rsidRDefault="009C7844" w:rsidP="00C561B3">
            <w:pPr>
              <w:pStyle w:val="TableText"/>
              <w:spacing w:before="30" w:after="30"/>
            </w:pPr>
            <w:r w:rsidRPr="00BD6C8E">
              <w:rPr>
                <w:i/>
              </w:rPr>
              <w:t>PC1</w:t>
            </w:r>
            <w:r w:rsidR="00D425BD">
              <w:rPr>
                <w:i/>
              </w:rPr>
              <w:t>–</w:t>
            </w:r>
            <w:r w:rsidRPr="00BD6C8E">
              <w:rPr>
                <w:i/>
              </w:rPr>
              <w:t>2</w:t>
            </w:r>
            <w:r w:rsidRPr="0089135C">
              <w:t>: Provide an additional margin of feasible development capacity</w:t>
            </w:r>
          </w:p>
          <w:p w14:paraId="27F20395" w14:textId="77777777" w:rsidR="009C7844" w:rsidRPr="0089135C" w:rsidRDefault="009C7844" w:rsidP="00C561B3">
            <w:pPr>
              <w:pStyle w:val="TableText"/>
              <w:spacing w:before="30" w:after="30"/>
            </w:pPr>
            <w:r w:rsidRPr="00BD6C8E">
              <w:rPr>
                <w:i/>
              </w:rPr>
              <w:t>PC3</w:t>
            </w:r>
            <w:r w:rsidRPr="0089135C">
              <w:t>: Respond when development capacity is insufficient</w:t>
            </w:r>
          </w:p>
          <w:p w14:paraId="0A8030AA" w14:textId="77777777" w:rsidR="009C7844" w:rsidRPr="0089135C" w:rsidRDefault="009C7844" w:rsidP="00C561B3">
            <w:pPr>
              <w:pStyle w:val="TableText"/>
              <w:spacing w:before="30" w:after="30"/>
            </w:pPr>
            <w:r w:rsidRPr="00BD6C8E">
              <w:rPr>
                <w:i/>
              </w:rPr>
              <w:t>PC4</w:t>
            </w:r>
            <w:r w:rsidRPr="0089135C">
              <w:t>: Use all practicable options to provide development capacity</w:t>
            </w:r>
          </w:p>
          <w:p w14:paraId="72D7B2CF" w14:textId="77777777" w:rsidR="009C7844" w:rsidRPr="0089135C" w:rsidRDefault="009C7844" w:rsidP="00C561B3">
            <w:pPr>
              <w:pStyle w:val="TableText"/>
              <w:spacing w:before="30" w:after="30"/>
            </w:pPr>
            <w:r w:rsidRPr="00BD6C8E">
              <w:rPr>
                <w:i/>
              </w:rPr>
              <w:t>PD1–2</w:t>
            </w:r>
            <w:r w:rsidRPr="0089135C">
              <w:t xml:space="preserve">: Work with other local authorities and infrastructure providers on housing and business assessment and to agree development capacity </w:t>
            </w:r>
          </w:p>
          <w:p w14:paraId="57F3B339" w14:textId="77777777" w:rsidR="009C7844" w:rsidRPr="0089135C" w:rsidRDefault="009C7844" w:rsidP="00C561B3">
            <w:pPr>
              <w:pStyle w:val="TableText"/>
              <w:spacing w:before="30" w:after="30"/>
            </w:pPr>
            <w:r w:rsidRPr="00BD6C8E">
              <w:rPr>
                <w:i/>
              </w:rPr>
              <w:t>PB6</w:t>
            </w:r>
            <w:r w:rsidRPr="0089135C">
              <w:t>:</w:t>
            </w:r>
            <w:r w:rsidR="00643625" w:rsidRPr="0089135C">
              <w:t xml:space="preserve"> </w:t>
            </w:r>
            <w:r w:rsidRPr="0089135C">
              <w:t>Monitor market indicators</w:t>
            </w:r>
          </w:p>
          <w:p w14:paraId="3B2F6DA5" w14:textId="77777777" w:rsidR="009C7844" w:rsidRPr="0089135C" w:rsidRDefault="009C7844" w:rsidP="00C561B3">
            <w:pPr>
              <w:pStyle w:val="TableText"/>
              <w:spacing w:before="30" w:after="30"/>
            </w:pPr>
            <w:r w:rsidRPr="00BD6C8E">
              <w:rPr>
                <w:i/>
              </w:rPr>
              <w:t>PB7</w:t>
            </w:r>
            <w:r w:rsidRPr="0089135C">
              <w:t>: Use price efficiency indicators</w:t>
            </w:r>
          </w:p>
          <w:p w14:paraId="258E27E9" w14:textId="1077D99A" w:rsidR="009C7844" w:rsidRPr="0089135C" w:rsidRDefault="009C7844" w:rsidP="00592FE4">
            <w:pPr>
              <w:pStyle w:val="TableText"/>
              <w:spacing w:before="30" w:after="30"/>
            </w:pPr>
            <w:r w:rsidRPr="00BD6C8E">
              <w:rPr>
                <w:i/>
              </w:rPr>
              <w:t>PB1</w:t>
            </w:r>
            <w:r w:rsidR="00D425BD">
              <w:rPr>
                <w:i/>
              </w:rPr>
              <w:t>–</w:t>
            </w:r>
            <w:r w:rsidRPr="00BD6C8E">
              <w:rPr>
                <w:i/>
              </w:rPr>
              <w:t>5</w:t>
            </w:r>
            <w:r w:rsidRPr="0089135C">
              <w:t xml:space="preserve">: </w:t>
            </w:r>
            <w:r w:rsidR="00592FE4">
              <w:t>Produce a h</w:t>
            </w:r>
            <w:r w:rsidRPr="0089135C">
              <w:t>ousing and business development capacity assessment</w:t>
            </w:r>
          </w:p>
        </w:tc>
        <w:tc>
          <w:tcPr>
            <w:tcW w:w="686" w:type="pct"/>
            <w:vMerge w:val="restart"/>
            <w:shd w:val="clear" w:color="auto" w:fill="FFFFFF" w:themeFill="background1"/>
          </w:tcPr>
          <w:p w14:paraId="599DEEBC" w14:textId="77777777" w:rsidR="009C7844" w:rsidRPr="0089135C" w:rsidRDefault="009C7844" w:rsidP="00C561B3">
            <w:pPr>
              <w:pStyle w:val="TableText"/>
              <w:spacing w:before="30" w:after="30"/>
            </w:pPr>
          </w:p>
          <w:p w14:paraId="1ADC7B04" w14:textId="77777777" w:rsidR="009C7844" w:rsidRPr="0089135C" w:rsidRDefault="009C7844" w:rsidP="00C561B3">
            <w:pPr>
              <w:pStyle w:val="TableText"/>
              <w:spacing w:before="30" w:after="30"/>
            </w:pPr>
            <w:r w:rsidRPr="0089135C">
              <w:t>Immediate and ongoing</w:t>
            </w:r>
          </w:p>
          <w:p w14:paraId="1767FE54" w14:textId="77777777" w:rsidR="009C7844" w:rsidRPr="0089135C" w:rsidRDefault="009C7844" w:rsidP="00C561B3">
            <w:pPr>
              <w:pStyle w:val="TableText"/>
              <w:spacing w:before="30" w:after="30"/>
            </w:pPr>
            <w:r w:rsidRPr="0089135C">
              <w:t>Immediate and ongoing</w:t>
            </w:r>
          </w:p>
          <w:p w14:paraId="0B94A6FF" w14:textId="77777777" w:rsidR="009C7844" w:rsidRPr="0089135C" w:rsidRDefault="009C7844" w:rsidP="00C561B3">
            <w:pPr>
              <w:pStyle w:val="TableText"/>
              <w:spacing w:before="30" w:after="30"/>
            </w:pPr>
            <w:r w:rsidRPr="0089135C">
              <w:t>Immediate and ongoing</w:t>
            </w:r>
          </w:p>
          <w:p w14:paraId="60D74D3E" w14:textId="77777777" w:rsidR="009C7844" w:rsidRPr="0089135C" w:rsidRDefault="009C7844" w:rsidP="00C561B3">
            <w:pPr>
              <w:pStyle w:val="TableText"/>
              <w:spacing w:before="30" w:after="30"/>
            </w:pPr>
            <w:r w:rsidRPr="0089135C">
              <w:t>Immediate and ongoing</w:t>
            </w:r>
          </w:p>
          <w:p w14:paraId="3EBB1DBD" w14:textId="77777777" w:rsidR="009C7844" w:rsidRPr="0089135C" w:rsidRDefault="008A2E49" w:rsidP="00C561B3">
            <w:pPr>
              <w:pStyle w:val="TableText"/>
              <w:spacing w:before="30" w:after="30"/>
            </w:pPr>
            <w:r w:rsidRPr="0089135C">
              <w:br/>
            </w:r>
            <w:r w:rsidR="009C7844" w:rsidRPr="0089135C">
              <w:t>1 June 2017</w:t>
            </w:r>
          </w:p>
          <w:p w14:paraId="2B70A9D0" w14:textId="77777777" w:rsidR="009C7844" w:rsidRPr="0089135C" w:rsidRDefault="009C7844" w:rsidP="00C561B3">
            <w:pPr>
              <w:pStyle w:val="TableText"/>
              <w:spacing w:before="30" w:after="30"/>
            </w:pPr>
            <w:r w:rsidRPr="0089135C">
              <w:t>31 December 2017</w:t>
            </w:r>
          </w:p>
          <w:p w14:paraId="1C2F5559" w14:textId="77777777" w:rsidR="009C7844" w:rsidRPr="0089135C" w:rsidRDefault="009C7844" w:rsidP="00C561B3">
            <w:pPr>
              <w:pStyle w:val="TableText"/>
              <w:spacing w:before="30" w:after="30"/>
            </w:pPr>
            <w:r w:rsidRPr="0089135C">
              <w:t>31 December 2018</w:t>
            </w:r>
          </w:p>
        </w:tc>
      </w:tr>
      <w:tr w:rsidR="00B11B47" w:rsidRPr="0089135C" w14:paraId="34A430E7" w14:textId="77777777" w:rsidTr="00A0085D">
        <w:trPr>
          <w:trHeight w:val="285"/>
        </w:trPr>
        <w:tc>
          <w:tcPr>
            <w:tcW w:w="539" w:type="pct"/>
          </w:tcPr>
          <w:p w14:paraId="532BE778" w14:textId="77777777" w:rsidR="009C7844" w:rsidRPr="0089135C" w:rsidRDefault="009C7844" w:rsidP="00C561B3">
            <w:pPr>
              <w:pStyle w:val="TableText"/>
              <w:spacing w:before="30" w:after="30"/>
            </w:pPr>
            <w:r w:rsidRPr="0089135C">
              <w:t>Nelson</w:t>
            </w:r>
          </w:p>
        </w:tc>
        <w:tc>
          <w:tcPr>
            <w:tcW w:w="1805" w:type="pct"/>
          </w:tcPr>
          <w:p w14:paraId="565BBEA2" w14:textId="77777777" w:rsidR="009C7844" w:rsidRPr="0089135C" w:rsidRDefault="009C7844" w:rsidP="00C561B3">
            <w:pPr>
              <w:pStyle w:val="TableText"/>
              <w:spacing w:before="30" w:after="30"/>
            </w:pPr>
            <w:r w:rsidRPr="0089135C">
              <w:t>Nelson City, Tasman District</w:t>
            </w:r>
          </w:p>
        </w:tc>
        <w:tc>
          <w:tcPr>
            <w:tcW w:w="1970" w:type="pct"/>
            <w:vMerge/>
            <w:shd w:val="clear" w:color="auto" w:fill="auto"/>
          </w:tcPr>
          <w:p w14:paraId="18AD371A" w14:textId="77777777" w:rsidR="009C7844" w:rsidRPr="0089135C" w:rsidRDefault="009C7844" w:rsidP="00C561B3">
            <w:pPr>
              <w:pStyle w:val="TableText"/>
              <w:spacing w:before="30" w:after="30"/>
            </w:pPr>
          </w:p>
        </w:tc>
        <w:tc>
          <w:tcPr>
            <w:tcW w:w="686" w:type="pct"/>
            <w:vMerge/>
            <w:shd w:val="clear" w:color="auto" w:fill="FFFFFF" w:themeFill="background1"/>
          </w:tcPr>
          <w:p w14:paraId="4827A9A6" w14:textId="77777777" w:rsidR="009C7844" w:rsidRPr="0089135C" w:rsidRDefault="009C7844" w:rsidP="00C561B3">
            <w:pPr>
              <w:pStyle w:val="TableText"/>
              <w:spacing w:before="30" w:after="30"/>
            </w:pPr>
          </w:p>
        </w:tc>
      </w:tr>
      <w:tr w:rsidR="00B11B47" w:rsidRPr="0089135C" w14:paraId="36FDE716" w14:textId="77777777" w:rsidTr="00A0085D">
        <w:trPr>
          <w:trHeight w:val="261"/>
        </w:trPr>
        <w:tc>
          <w:tcPr>
            <w:tcW w:w="539" w:type="pct"/>
          </w:tcPr>
          <w:p w14:paraId="19F4E177" w14:textId="77777777" w:rsidR="009C7844" w:rsidRPr="0089135C" w:rsidRDefault="009C7844" w:rsidP="00C561B3">
            <w:pPr>
              <w:pStyle w:val="TableText"/>
              <w:spacing w:before="30" w:after="30"/>
            </w:pPr>
            <w:proofErr w:type="spellStart"/>
            <w:r w:rsidRPr="0089135C">
              <w:t>Kapiti</w:t>
            </w:r>
            <w:proofErr w:type="spellEnd"/>
          </w:p>
        </w:tc>
        <w:tc>
          <w:tcPr>
            <w:tcW w:w="1805" w:type="pct"/>
          </w:tcPr>
          <w:p w14:paraId="627A5A03" w14:textId="77777777" w:rsidR="009C7844" w:rsidRPr="0089135C" w:rsidRDefault="009C7844" w:rsidP="00C561B3">
            <w:pPr>
              <w:pStyle w:val="TableText"/>
              <w:spacing w:before="30" w:after="30"/>
            </w:pPr>
            <w:proofErr w:type="spellStart"/>
            <w:r w:rsidRPr="0089135C">
              <w:t>Kapiti</w:t>
            </w:r>
            <w:proofErr w:type="spellEnd"/>
            <w:r w:rsidRPr="0089135C">
              <w:t xml:space="preserve"> Coast District, Greater Wellington Region </w:t>
            </w:r>
          </w:p>
        </w:tc>
        <w:tc>
          <w:tcPr>
            <w:tcW w:w="1970" w:type="pct"/>
            <w:vMerge/>
            <w:shd w:val="clear" w:color="auto" w:fill="auto"/>
          </w:tcPr>
          <w:p w14:paraId="0ADBFF62" w14:textId="77777777" w:rsidR="009C7844" w:rsidRPr="0089135C" w:rsidRDefault="009C7844" w:rsidP="00C561B3">
            <w:pPr>
              <w:pStyle w:val="TableText"/>
              <w:spacing w:before="30" w:after="30"/>
            </w:pPr>
          </w:p>
        </w:tc>
        <w:tc>
          <w:tcPr>
            <w:tcW w:w="686" w:type="pct"/>
            <w:vMerge/>
            <w:shd w:val="clear" w:color="auto" w:fill="FFFFFF" w:themeFill="background1"/>
          </w:tcPr>
          <w:p w14:paraId="34E1015C" w14:textId="77777777" w:rsidR="009C7844" w:rsidRPr="0089135C" w:rsidRDefault="009C7844" w:rsidP="00C561B3">
            <w:pPr>
              <w:pStyle w:val="TableText"/>
              <w:spacing w:before="30" w:after="30"/>
            </w:pPr>
          </w:p>
        </w:tc>
      </w:tr>
      <w:tr w:rsidR="00B11B47" w:rsidRPr="0089135C" w14:paraId="79059677" w14:textId="77777777" w:rsidTr="00A0085D">
        <w:trPr>
          <w:trHeight w:val="237"/>
        </w:trPr>
        <w:tc>
          <w:tcPr>
            <w:tcW w:w="539" w:type="pct"/>
          </w:tcPr>
          <w:p w14:paraId="45970777" w14:textId="77777777" w:rsidR="009C7844" w:rsidRPr="0089135C" w:rsidRDefault="009C7844" w:rsidP="00C561B3">
            <w:pPr>
              <w:pStyle w:val="TableText"/>
              <w:spacing w:before="30" w:after="30"/>
            </w:pPr>
            <w:r w:rsidRPr="0089135C">
              <w:t>Palmerston North</w:t>
            </w:r>
          </w:p>
        </w:tc>
        <w:tc>
          <w:tcPr>
            <w:tcW w:w="1805" w:type="pct"/>
          </w:tcPr>
          <w:p w14:paraId="4E063D37" w14:textId="0B72C3C4" w:rsidR="009C7844" w:rsidRPr="0089135C" w:rsidRDefault="009C7844" w:rsidP="00C561B3">
            <w:pPr>
              <w:pStyle w:val="TableText"/>
              <w:spacing w:before="30" w:after="30"/>
            </w:pPr>
            <w:r w:rsidRPr="0089135C">
              <w:t xml:space="preserve">Palmerston North City, Horizons </w:t>
            </w:r>
            <w:r w:rsidR="00EF4C42">
              <w:t>Region</w:t>
            </w:r>
          </w:p>
        </w:tc>
        <w:tc>
          <w:tcPr>
            <w:tcW w:w="1970" w:type="pct"/>
            <w:vMerge/>
            <w:shd w:val="clear" w:color="auto" w:fill="auto"/>
          </w:tcPr>
          <w:p w14:paraId="606750C7" w14:textId="77777777" w:rsidR="009C7844" w:rsidRPr="0089135C" w:rsidRDefault="009C7844" w:rsidP="00C561B3">
            <w:pPr>
              <w:pStyle w:val="TableText"/>
              <w:spacing w:before="30" w:after="30"/>
            </w:pPr>
          </w:p>
        </w:tc>
        <w:tc>
          <w:tcPr>
            <w:tcW w:w="686" w:type="pct"/>
            <w:vMerge/>
            <w:shd w:val="clear" w:color="auto" w:fill="FFFFFF" w:themeFill="background1"/>
          </w:tcPr>
          <w:p w14:paraId="7692CE69" w14:textId="77777777" w:rsidR="009C7844" w:rsidRPr="0089135C" w:rsidRDefault="009C7844" w:rsidP="00C561B3">
            <w:pPr>
              <w:pStyle w:val="TableText"/>
              <w:spacing w:before="30" w:after="30"/>
            </w:pPr>
          </w:p>
        </w:tc>
      </w:tr>
      <w:tr w:rsidR="00B11B47" w:rsidRPr="0089135C" w14:paraId="2F022C45" w14:textId="77777777" w:rsidTr="00A0085D">
        <w:trPr>
          <w:trHeight w:val="568"/>
        </w:trPr>
        <w:tc>
          <w:tcPr>
            <w:tcW w:w="539" w:type="pct"/>
          </w:tcPr>
          <w:p w14:paraId="666A4B0A" w14:textId="77777777" w:rsidR="009C7844" w:rsidRPr="0089135C" w:rsidRDefault="009C7844" w:rsidP="00C561B3">
            <w:pPr>
              <w:pStyle w:val="TableText"/>
              <w:spacing w:before="30" w:after="30"/>
            </w:pPr>
            <w:r w:rsidRPr="0089135C">
              <w:t>Wellington</w:t>
            </w:r>
          </w:p>
        </w:tc>
        <w:tc>
          <w:tcPr>
            <w:tcW w:w="1805" w:type="pct"/>
          </w:tcPr>
          <w:p w14:paraId="16CDA98F" w14:textId="77777777" w:rsidR="009C7844" w:rsidRPr="0089135C" w:rsidRDefault="009C7844" w:rsidP="00C561B3">
            <w:pPr>
              <w:pStyle w:val="TableText"/>
              <w:spacing w:before="30" w:after="30"/>
            </w:pPr>
            <w:r w:rsidRPr="0089135C">
              <w:t xml:space="preserve">Wellington City, </w:t>
            </w:r>
            <w:proofErr w:type="spellStart"/>
            <w:r w:rsidRPr="0089135C">
              <w:t>Porirua</w:t>
            </w:r>
            <w:proofErr w:type="spellEnd"/>
            <w:r w:rsidRPr="0089135C">
              <w:t xml:space="preserve"> City, Lower Hutt City, Upper Hutt City, Greater Wellington Region </w:t>
            </w:r>
          </w:p>
        </w:tc>
        <w:tc>
          <w:tcPr>
            <w:tcW w:w="1970" w:type="pct"/>
            <w:vMerge/>
            <w:shd w:val="clear" w:color="auto" w:fill="auto"/>
          </w:tcPr>
          <w:p w14:paraId="6AEE8E24" w14:textId="77777777" w:rsidR="009C7844" w:rsidRPr="0089135C" w:rsidRDefault="009C7844" w:rsidP="00C561B3">
            <w:pPr>
              <w:pStyle w:val="TableText"/>
              <w:spacing w:before="30" w:after="30"/>
            </w:pPr>
          </w:p>
        </w:tc>
        <w:tc>
          <w:tcPr>
            <w:tcW w:w="686" w:type="pct"/>
            <w:vMerge/>
            <w:shd w:val="clear" w:color="auto" w:fill="FFFFFF" w:themeFill="background1"/>
          </w:tcPr>
          <w:p w14:paraId="5CCFE7F3" w14:textId="77777777" w:rsidR="009C7844" w:rsidRPr="0089135C" w:rsidRDefault="009C7844" w:rsidP="00C561B3">
            <w:pPr>
              <w:pStyle w:val="TableText"/>
              <w:spacing w:before="30" w:after="30"/>
            </w:pPr>
          </w:p>
        </w:tc>
      </w:tr>
      <w:tr w:rsidR="009C7844" w:rsidRPr="0089135C" w14:paraId="3A42F996" w14:textId="77777777" w:rsidTr="00346CD7">
        <w:trPr>
          <w:trHeight w:val="330"/>
        </w:trPr>
        <w:tc>
          <w:tcPr>
            <w:tcW w:w="5000" w:type="pct"/>
            <w:gridSpan w:val="4"/>
          </w:tcPr>
          <w:p w14:paraId="0169287D" w14:textId="77777777" w:rsidR="009C7844" w:rsidRPr="0089135C" w:rsidRDefault="009C7844" w:rsidP="00C561B3">
            <w:pPr>
              <w:pStyle w:val="TableTextbold"/>
              <w:keepNext/>
              <w:spacing w:before="30" w:after="30"/>
            </w:pPr>
            <w:r w:rsidRPr="0089135C">
              <w:t>High-growth urban areas (subject to change as population projections are revised)</w:t>
            </w:r>
          </w:p>
        </w:tc>
      </w:tr>
      <w:tr w:rsidR="00B11B47" w:rsidRPr="0089135C" w14:paraId="3CD2CEEB" w14:textId="77777777" w:rsidTr="00A0085D">
        <w:trPr>
          <w:trHeight w:val="309"/>
        </w:trPr>
        <w:tc>
          <w:tcPr>
            <w:tcW w:w="539" w:type="pct"/>
          </w:tcPr>
          <w:p w14:paraId="366DAF7C" w14:textId="77777777" w:rsidR="009C7844" w:rsidRPr="0089135C" w:rsidRDefault="009C7844" w:rsidP="00C561B3">
            <w:pPr>
              <w:pStyle w:val="TableText"/>
              <w:keepNext/>
              <w:spacing w:before="30" w:after="30"/>
            </w:pPr>
            <w:r w:rsidRPr="0089135C">
              <w:t>Auckland</w:t>
            </w:r>
          </w:p>
        </w:tc>
        <w:tc>
          <w:tcPr>
            <w:tcW w:w="1805" w:type="pct"/>
          </w:tcPr>
          <w:p w14:paraId="28F1EBA2" w14:textId="77777777" w:rsidR="009C7844" w:rsidRPr="0089135C" w:rsidRDefault="009C7844" w:rsidP="00C561B3">
            <w:pPr>
              <w:pStyle w:val="TableText"/>
              <w:keepNext/>
              <w:spacing w:before="30" w:after="30"/>
            </w:pPr>
            <w:r w:rsidRPr="0089135C">
              <w:t>Auckland Council</w:t>
            </w:r>
          </w:p>
        </w:tc>
        <w:tc>
          <w:tcPr>
            <w:tcW w:w="1970" w:type="pct"/>
            <w:vMerge w:val="restart"/>
            <w:shd w:val="clear" w:color="auto" w:fill="auto"/>
          </w:tcPr>
          <w:p w14:paraId="63E9798B" w14:textId="6939E375" w:rsidR="009C7844" w:rsidRPr="0089135C" w:rsidRDefault="009C7844" w:rsidP="00C561B3">
            <w:pPr>
              <w:pStyle w:val="TableText"/>
              <w:spacing w:before="30" w:after="30"/>
            </w:pPr>
            <w:r w:rsidRPr="0089135C">
              <w:t>As above</w:t>
            </w:r>
            <w:r w:rsidR="00D425BD">
              <w:t>,</w:t>
            </w:r>
            <w:r w:rsidRPr="0089135C">
              <w:t xml:space="preserve"> plus:</w:t>
            </w:r>
          </w:p>
          <w:p w14:paraId="0EE8C595" w14:textId="77777777" w:rsidR="00A0085D" w:rsidRDefault="009C7844" w:rsidP="00A0085D">
            <w:pPr>
              <w:pStyle w:val="TableText"/>
              <w:spacing w:before="0" w:after="30"/>
            </w:pPr>
            <w:r w:rsidRPr="0089135C">
              <w:rPr>
                <w:i/>
              </w:rPr>
              <w:t>PD3–4:</w:t>
            </w:r>
            <w:r w:rsidRPr="0089135C">
              <w:t xml:space="preserve"> Work with neighbouring local authorities and infrastructure providers to agree minimum targets and future development strategy </w:t>
            </w:r>
          </w:p>
          <w:p w14:paraId="12F090D1" w14:textId="03A0ADFF" w:rsidR="009C7844" w:rsidRPr="0089135C" w:rsidRDefault="009C7844" w:rsidP="00C561B3">
            <w:pPr>
              <w:pStyle w:val="TableText"/>
              <w:spacing w:before="30" w:after="30"/>
            </w:pPr>
            <w:r w:rsidRPr="0089135C">
              <w:rPr>
                <w:i/>
              </w:rPr>
              <w:t>PB1</w:t>
            </w:r>
            <w:r w:rsidR="00D425BD">
              <w:rPr>
                <w:i/>
              </w:rPr>
              <w:t>–</w:t>
            </w:r>
            <w:r w:rsidRPr="0089135C">
              <w:rPr>
                <w:i/>
              </w:rPr>
              <w:t>5:</w:t>
            </w:r>
            <w:r w:rsidRPr="0089135C">
              <w:t xml:space="preserve"> </w:t>
            </w:r>
            <w:r w:rsidR="00592FE4">
              <w:t>Produce a h</w:t>
            </w:r>
            <w:r w:rsidRPr="0089135C">
              <w:t>ousing and business development capacity assessment</w:t>
            </w:r>
          </w:p>
          <w:p w14:paraId="31F0516E" w14:textId="240EF2AC" w:rsidR="009C7844" w:rsidRPr="0089135C" w:rsidRDefault="009C7844" w:rsidP="00C561B3">
            <w:pPr>
              <w:pStyle w:val="TableText"/>
              <w:spacing w:before="30" w:after="30"/>
            </w:pPr>
            <w:r w:rsidRPr="0089135C">
              <w:rPr>
                <w:i/>
              </w:rPr>
              <w:t>PC5–11:</w:t>
            </w:r>
            <w:r w:rsidRPr="0089135C">
              <w:t xml:space="preserve"> </w:t>
            </w:r>
            <w:r w:rsidR="00592FE4">
              <w:t>Set m</w:t>
            </w:r>
            <w:r w:rsidRPr="0089135C">
              <w:t>inimum targets</w:t>
            </w:r>
            <w:r w:rsidR="00592FE4">
              <w:t xml:space="preserve"> in plans</w:t>
            </w:r>
          </w:p>
          <w:p w14:paraId="6B70C8F1" w14:textId="77777777" w:rsidR="009C7844" w:rsidRPr="0089135C" w:rsidRDefault="009C7844" w:rsidP="00C561B3">
            <w:pPr>
              <w:pStyle w:val="TableText"/>
              <w:spacing w:before="30" w:after="30"/>
            </w:pPr>
            <w:r w:rsidRPr="0089135C">
              <w:rPr>
                <w:i/>
              </w:rPr>
              <w:t>PC12 – PC14:</w:t>
            </w:r>
            <w:r w:rsidR="00B11B47" w:rsidRPr="0089135C">
              <w:t xml:space="preserve"> Future development strategy</w:t>
            </w:r>
          </w:p>
        </w:tc>
        <w:tc>
          <w:tcPr>
            <w:tcW w:w="686" w:type="pct"/>
            <w:vMerge w:val="restart"/>
            <w:shd w:val="clear" w:color="auto" w:fill="auto"/>
          </w:tcPr>
          <w:p w14:paraId="60D9B98A" w14:textId="77777777" w:rsidR="009C7844" w:rsidRPr="0089135C" w:rsidRDefault="009C7844" w:rsidP="00C561B3">
            <w:pPr>
              <w:pStyle w:val="TableText"/>
              <w:spacing w:before="30" w:after="30"/>
            </w:pPr>
          </w:p>
          <w:p w14:paraId="1BAFC3DE" w14:textId="77777777" w:rsidR="009C7844" w:rsidRPr="0089135C" w:rsidRDefault="009C7844" w:rsidP="00C561B3">
            <w:pPr>
              <w:pStyle w:val="TableText"/>
              <w:spacing w:before="30" w:after="30"/>
            </w:pPr>
            <w:r w:rsidRPr="0089135C">
              <w:t xml:space="preserve">Immediate and ongoing </w:t>
            </w:r>
          </w:p>
          <w:p w14:paraId="40F9E23B" w14:textId="77777777" w:rsidR="009C7844" w:rsidRPr="0089135C" w:rsidRDefault="009C7844" w:rsidP="00C561B3">
            <w:pPr>
              <w:pStyle w:val="TableText"/>
              <w:spacing w:before="30" w:after="30"/>
            </w:pPr>
          </w:p>
          <w:p w14:paraId="4D68CF51" w14:textId="77777777" w:rsidR="009C7844" w:rsidRPr="0089135C" w:rsidRDefault="009C7844" w:rsidP="00C561B3">
            <w:pPr>
              <w:pStyle w:val="TableText"/>
              <w:spacing w:before="30" w:after="30"/>
            </w:pPr>
            <w:r w:rsidRPr="0089135C">
              <w:t>31 December 2017</w:t>
            </w:r>
          </w:p>
          <w:p w14:paraId="48E6471E" w14:textId="77777777" w:rsidR="009C7844" w:rsidRPr="0089135C" w:rsidRDefault="009C7844" w:rsidP="00C561B3">
            <w:pPr>
              <w:pStyle w:val="TableText"/>
              <w:spacing w:before="30" w:after="30"/>
            </w:pPr>
            <w:r w:rsidRPr="0089135C">
              <w:t>31 December 2018</w:t>
            </w:r>
          </w:p>
          <w:p w14:paraId="45432AEE" w14:textId="77777777" w:rsidR="009C7844" w:rsidRPr="0089135C" w:rsidRDefault="00B11B47" w:rsidP="00C561B3">
            <w:pPr>
              <w:pStyle w:val="TableText"/>
              <w:spacing w:before="30" w:after="30"/>
            </w:pPr>
            <w:r w:rsidRPr="0089135C">
              <w:t>31 December 2018</w:t>
            </w:r>
          </w:p>
        </w:tc>
      </w:tr>
      <w:tr w:rsidR="00B11B47" w:rsidRPr="0089135C" w14:paraId="51642488" w14:textId="77777777" w:rsidTr="00A0085D">
        <w:trPr>
          <w:trHeight w:val="331"/>
        </w:trPr>
        <w:tc>
          <w:tcPr>
            <w:tcW w:w="539" w:type="pct"/>
          </w:tcPr>
          <w:p w14:paraId="7E58DAC5" w14:textId="77777777" w:rsidR="009C7844" w:rsidRPr="0089135C" w:rsidRDefault="009C7844" w:rsidP="00C561B3">
            <w:pPr>
              <w:pStyle w:val="TableText"/>
              <w:keepNext/>
              <w:spacing w:before="30" w:after="30"/>
            </w:pPr>
            <w:r w:rsidRPr="0089135C">
              <w:t>Tauranga</w:t>
            </w:r>
          </w:p>
        </w:tc>
        <w:tc>
          <w:tcPr>
            <w:tcW w:w="1805" w:type="pct"/>
          </w:tcPr>
          <w:p w14:paraId="31CDA9C2" w14:textId="77777777" w:rsidR="009C7844" w:rsidRPr="0089135C" w:rsidRDefault="009C7844" w:rsidP="00C561B3">
            <w:pPr>
              <w:pStyle w:val="TableText"/>
              <w:keepNext/>
              <w:spacing w:before="30" w:after="30"/>
            </w:pPr>
            <w:r w:rsidRPr="0089135C">
              <w:t>Tauranga City, Western Bay of Plenty District, Bay of Plenty Region</w:t>
            </w:r>
          </w:p>
        </w:tc>
        <w:tc>
          <w:tcPr>
            <w:tcW w:w="1970" w:type="pct"/>
            <w:vMerge/>
            <w:shd w:val="clear" w:color="auto" w:fill="auto"/>
          </w:tcPr>
          <w:p w14:paraId="39F64A6C" w14:textId="77777777" w:rsidR="009C7844" w:rsidRPr="0089135C" w:rsidRDefault="009C7844" w:rsidP="00C561B3">
            <w:pPr>
              <w:pStyle w:val="TableText"/>
              <w:spacing w:before="30" w:after="30"/>
            </w:pPr>
          </w:p>
        </w:tc>
        <w:tc>
          <w:tcPr>
            <w:tcW w:w="686" w:type="pct"/>
            <w:vMerge/>
            <w:shd w:val="clear" w:color="auto" w:fill="auto"/>
          </w:tcPr>
          <w:p w14:paraId="3891EDFF" w14:textId="77777777" w:rsidR="009C7844" w:rsidRPr="0089135C" w:rsidRDefault="009C7844" w:rsidP="00C561B3">
            <w:pPr>
              <w:pStyle w:val="TableText"/>
              <w:spacing w:before="30" w:after="30"/>
            </w:pPr>
          </w:p>
        </w:tc>
      </w:tr>
      <w:tr w:rsidR="00B11B47" w:rsidRPr="0089135C" w14:paraId="461AB320" w14:textId="77777777" w:rsidTr="00A0085D">
        <w:trPr>
          <w:trHeight w:val="77"/>
        </w:trPr>
        <w:tc>
          <w:tcPr>
            <w:tcW w:w="539" w:type="pct"/>
          </w:tcPr>
          <w:p w14:paraId="09DA4788" w14:textId="77777777" w:rsidR="009C7844" w:rsidRPr="0089135C" w:rsidRDefault="009C7844" w:rsidP="00C561B3">
            <w:pPr>
              <w:pStyle w:val="TableText"/>
              <w:spacing w:before="30" w:after="30"/>
            </w:pPr>
            <w:r w:rsidRPr="0089135C">
              <w:t>Hamilton</w:t>
            </w:r>
          </w:p>
        </w:tc>
        <w:tc>
          <w:tcPr>
            <w:tcW w:w="1805" w:type="pct"/>
          </w:tcPr>
          <w:p w14:paraId="15F6E2E2" w14:textId="77777777" w:rsidR="009C7844" w:rsidRPr="0089135C" w:rsidRDefault="009C7844" w:rsidP="00C561B3">
            <w:pPr>
              <w:pStyle w:val="TableText"/>
              <w:spacing w:before="30" w:after="30"/>
            </w:pPr>
            <w:r w:rsidRPr="0089135C">
              <w:t xml:space="preserve">Hamilton City, </w:t>
            </w:r>
            <w:proofErr w:type="spellStart"/>
            <w:r w:rsidRPr="0089135C">
              <w:t>Waipa</w:t>
            </w:r>
            <w:proofErr w:type="spellEnd"/>
            <w:r w:rsidRPr="0089135C">
              <w:t xml:space="preserve"> District, Waikato District, Waikato Region</w:t>
            </w:r>
          </w:p>
        </w:tc>
        <w:tc>
          <w:tcPr>
            <w:tcW w:w="1970" w:type="pct"/>
            <w:vMerge/>
            <w:shd w:val="clear" w:color="auto" w:fill="auto"/>
          </w:tcPr>
          <w:p w14:paraId="3B6AAD9A" w14:textId="77777777" w:rsidR="009C7844" w:rsidRPr="0089135C" w:rsidRDefault="009C7844" w:rsidP="00C561B3">
            <w:pPr>
              <w:pStyle w:val="TableText"/>
              <w:spacing w:before="30" w:after="30"/>
            </w:pPr>
          </w:p>
        </w:tc>
        <w:tc>
          <w:tcPr>
            <w:tcW w:w="686" w:type="pct"/>
            <w:vMerge/>
            <w:shd w:val="clear" w:color="auto" w:fill="auto"/>
          </w:tcPr>
          <w:p w14:paraId="0692BAF3" w14:textId="77777777" w:rsidR="009C7844" w:rsidRPr="0089135C" w:rsidRDefault="009C7844" w:rsidP="00C561B3">
            <w:pPr>
              <w:pStyle w:val="TableText"/>
              <w:spacing w:before="30" w:after="30"/>
            </w:pPr>
          </w:p>
        </w:tc>
      </w:tr>
      <w:tr w:rsidR="00B11B47" w:rsidRPr="0089135C" w14:paraId="0D4A2979" w14:textId="77777777" w:rsidTr="00A0085D">
        <w:trPr>
          <w:trHeight w:val="331"/>
        </w:trPr>
        <w:tc>
          <w:tcPr>
            <w:tcW w:w="539" w:type="pct"/>
            <w:shd w:val="clear" w:color="auto" w:fill="FFFFFF" w:themeFill="background1"/>
          </w:tcPr>
          <w:p w14:paraId="0956AAF8" w14:textId="77777777" w:rsidR="009C7844" w:rsidRPr="0089135C" w:rsidRDefault="009C7844" w:rsidP="00C561B3">
            <w:pPr>
              <w:pStyle w:val="TableText"/>
              <w:spacing w:before="30" w:after="30"/>
            </w:pPr>
            <w:r w:rsidRPr="0089135C">
              <w:t>Queenstown</w:t>
            </w:r>
          </w:p>
        </w:tc>
        <w:tc>
          <w:tcPr>
            <w:tcW w:w="1805" w:type="pct"/>
            <w:shd w:val="clear" w:color="auto" w:fill="FFFFFF" w:themeFill="background1"/>
          </w:tcPr>
          <w:p w14:paraId="5CE9A57D" w14:textId="77777777" w:rsidR="009C7844" w:rsidRPr="0089135C" w:rsidRDefault="009C7844" w:rsidP="00C561B3">
            <w:pPr>
              <w:pStyle w:val="TableText"/>
              <w:spacing w:before="30" w:after="30"/>
            </w:pPr>
            <w:r w:rsidRPr="0089135C">
              <w:t>Queenstown Lakes District, Otago Region</w:t>
            </w:r>
          </w:p>
        </w:tc>
        <w:tc>
          <w:tcPr>
            <w:tcW w:w="1970" w:type="pct"/>
            <w:vMerge/>
            <w:shd w:val="clear" w:color="auto" w:fill="auto"/>
          </w:tcPr>
          <w:p w14:paraId="0A7E8B7F" w14:textId="77777777" w:rsidR="009C7844" w:rsidRPr="0089135C" w:rsidRDefault="009C7844" w:rsidP="00C561B3">
            <w:pPr>
              <w:pStyle w:val="TableText"/>
              <w:spacing w:before="30" w:after="30"/>
            </w:pPr>
          </w:p>
        </w:tc>
        <w:tc>
          <w:tcPr>
            <w:tcW w:w="686" w:type="pct"/>
            <w:vMerge/>
            <w:shd w:val="clear" w:color="auto" w:fill="auto"/>
          </w:tcPr>
          <w:p w14:paraId="33BA4DDF" w14:textId="77777777" w:rsidR="009C7844" w:rsidRPr="0089135C" w:rsidRDefault="009C7844" w:rsidP="00C561B3">
            <w:pPr>
              <w:pStyle w:val="TableText"/>
              <w:spacing w:before="30" w:after="30"/>
            </w:pPr>
          </w:p>
        </w:tc>
      </w:tr>
      <w:tr w:rsidR="00B11B47" w:rsidRPr="0089135C" w14:paraId="164EA32B" w14:textId="77777777" w:rsidTr="00A0085D">
        <w:trPr>
          <w:trHeight w:val="335"/>
        </w:trPr>
        <w:tc>
          <w:tcPr>
            <w:tcW w:w="539" w:type="pct"/>
          </w:tcPr>
          <w:p w14:paraId="7125C90B" w14:textId="77777777" w:rsidR="009C7844" w:rsidRPr="0089135C" w:rsidRDefault="009C7844" w:rsidP="00C561B3">
            <w:pPr>
              <w:pStyle w:val="TableText"/>
              <w:spacing w:before="30" w:after="30"/>
            </w:pPr>
            <w:r w:rsidRPr="0089135C">
              <w:t>Christchurch</w:t>
            </w:r>
          </w:p>
        </w:tc>
        <w:tc>
          <w:tcPr>
            <w:tcW w:w="1805" w:type="pct"/>
          </w:tcPr>
          <w:p w14:paraId="519E8CC7" w14:textId="77777777" w:rsidR="009C7844" w:rsidRPr="0089135C" w:rsidRDefault="009C7844" w:rsidP="00C561B3">
            <w:pPr>
              <w:pStyle w:val="TableText"/>
              <w:spacing w:before="30" w:after="30"/>
            </w:pPr>
            <w:r w:rsidRPr="0089135C">
              <w:t xml:space="preserve">Christchurch City, </w:t>
            </w:r>
            <w:proofErr w:type="spellStart"/>
            <w:r w:rsidRPr="0089135C">
              <w:t>Waimakariri</w:t>
            </w:r>
            <w:proofErr w:type="spellEnd"/>
            <w:r w:rsidRPr="0089135C">
              <w:t xml:space="preserve"> District, Selwyn District, Environment Canterbury Region</w:t>
            </w:r>
          </w:p>
        </w:tc>
        <w:tc>
          <w:tcPr>
            <w:tcW w:w="1970" w:type="pct"/>
            <w:vMerge/>
            <w:shd w:val="clear" w:color="auto" w:fill="auto"/>
          </w:tcPr>
          <w:p w14:paraId="4A8B89C8" w14:textId="77777777" w:rsidR="009C7844" w:rsidRPr="0089135C" w:rsidRDefault="009C7844" w:rsidP="00C561B3">
            <w:pPr>
              <w:pStyle w:val="TableText"/>
              <w:spacing w:before="30" w:after="30"/>
            </w:pPr>
          </w:p>
        </w:tc>
        <w:tc>
          <w:tcPr>
            <w:tcW w:w="686" w:type="pct"/>
            <w:vMerge/>
            <w:shd w:val="clear" w:color="auto" w:fill="auto"/>
          </w:tcPr>
          <w:p w14:paraId="66318F2D" w14:textId="77777777" w:rsidR="009C7844" w:rsidRPr="0089135C" w:rsidRDefault="009C7844" w:rsidP="00C561B3">
            <w:pPr>
              <w:pStyle w:val="TableText"/>
              <w:spacing w:before="30" w:after="30"/>
            </w:pPr>
          </w:p>
        </w:tc>
      </w:tr>
    </w:tbl>
    <w:p w14:paraId="61D658B9" w14:textId="77777777" w:rsidR="00777E0D" w:rsidRPr="00A0085D" w:rsidRDefault="00777E0D" w:rsidP="00A0085D">
      <w:pPr>
        <w:pStyle w:val="BodyText"/>
        <w:spacing w:before="0" w:after="0" w:line="240" w:lineRule="auto"/>
        <w:rPr>
          <w:sz w:val="18"/>
        </w:rPr>
      </w:pPr>
    </w:p>
    <w:p w14:paraId="7716A292" w14:textId="77777777" w:rsidR="00777E0D" w:rsidRPr="0089135C" w:rsidRDefault="00777E0D" w:rsidP="00D009D8">
      <w:pPr>
        <w:pStyle w:val="BodyText"/>
        <w:sectPr w:rsidR="00777E0D" w:rsidRPr="0089135C" w:rsidSect="00777E0D">
          <w:footerReference w:type="even" r:id="rId22"/>
          <w:footerReference w:type="default" r:id="rId23"/>
          <w:pgSz w:w="16840" w:h="11907" w:orient="landscape" w:code="9"/>
          <w:pgMar w:top="1418" w:right="1134" w:bottom="1418" w:left="1134" w:header="567" w:footer="567" w:gutter="567"/>
          <w:cols w:space="720"/>
          <w:docGrid w:linePitch="299"/>
        </w:sectPr>
      </w:pPr>
    </w:p>
    <w:p w14:paraId="3A67B46C" w14:textId="77777777" w:rsidR="00777E0D" w:rsidRPr="0089135C" w:rsidRDefault="005B432C" w:rsidP="005B432C">
      <w:pPr>
        <w:pStyle w:val="Heading1"/>
      </w:pPr>
      <w:bookmarkStart w:id="20" w:name="_Toc465600899"/>
      <w:r w:rsidRPr="0089135C">
        <w:lastRenderedPageBreak/>
        <w:t>2</w:t>
      </w:r>
      <w:r w:rsidRPr="0089135C">
        <w:tab/>
      </w:r>
      <w:bookmarkStart w:id="21" w:name="_Toc465349923"/>
      <w:r w:rsidRPr="0089135C">
        <w:t>Requirements of all local authorities</w:t>
      </w:r>
      <w:bookmarkEnd w:id="20"/>
      <w:bookmarkEnd w:id="21"/>
    </w:p>
    <w:p w14:paraId="378176F7" w14:textId="77777777" w:rsidR="004408AA" w:rsidRPr="0089135C" w:rsidRDefault="004408AA" w:rsidP="00424668">
      <w:pPr>
        <w:pStyle w:val="Heading2"/>
        <w:spacing w:before="240"/>
      </w:pPr>
      <w:bookmarkStart w:id="22" w:name="_Toc465600900"/>
      <w:bookmarkStart w:id="23" w:name="_Toc465349924"/>
      <w:r w:rsidRPr="0089135C">
        <w:t>Objectives</w:t>
      </w:r>
      <w:bookmarkEnd w:id="22"/>
    </w:p>
    <w:p w14:paraId="7CBDB280" w14:textId="349221CC" w:rsidR="004408AA" w:rsidRPr="0089135C" w:rsidRDefault="004408AA" w:rsidP="004408AA">
      <w:pPr>
        <w:pStyle w:val="BodyText"/>
      </w:pPr>
      <w:r w:rsidRPr="0089135C">
        <w:t>The objectives outline the high-level outcomes that the NPS-UDC policies aim to achieve.</w:t>
      </w:r>
      <w:r w:rsidR="00643625" w:rsidRPr="0089135C">
        <w:t xml:space="preserve"> </w:t>
      </w:r>
      <w:r w:rsidRPr="0089135C">
        <w:t>The objectives also relate directly to the national significance statement and to achieving the purpose of the Resource Management Act 1991 (RMA), particularly through enabling people and communities to provide for their social, economic, cultural and environmental wellbeing.</w:t>
      </w:r>
      <w:r w:rsidR="00643625" w:rsidRPr="0089135C">
        <w:t xml:space="preserve"> </w:t>
      </w:r>
      <w:r w:rsidRPr="0089135C">
        <w:t xml:space="preserve">For example, objective: </w:t>
      </w:r>
    </w:p>
    <w:p w14:paraId="1475D15D" w14:textId="351FD65F" w:rsidR="004408AA" w:rsidRPr="0089135C" w:rsidRDefault="004408AA" w:rsidP="004408AA">
      <w:pPr>
        <w:pStyle w:val="Bullet"/>
      </w:pPr>
      <w:r w:rsidRPr="0089135C">
        <w:t>OA1 explicitly recognises the need for urban environments that provide for social, economic, cultural and environmental wellbeing</w:t>
      </w:r>
    </w:p>
    <w:p w14:paraId="06ED8FD1" w14:textId="632C69F5" w:rsidR="004408AA" w:rsidRPr="0089135C" w:rsidRDefault="004408AA" w:rsidP="004408AA">
      <w:pPr>
        <w:pStyle w:val="Bullet"/>
      </w:pPr>
      <w:r w:rsidRPr="0089135C">
        <w:t>OA2 recognises that sufficien</w:t>
      </w:r>
      <w:r w:rsidR="00352A1C">
        <w:t>t opportunities for development</w:t>
      </w:r>
      <w:r w:rsidRPr="0089135C">
        <w:t xml:space="preserve"> for both housing and business are needed to provide for all aspects of people’s and communities’ wellbeing</w:t>
      </w:r>
    </w:p>
    <w:p w14:paraId="62B2ECC9" w14:textId="77777777" w:rsidR="004408AA" w:rsidRPr="0089135C" w:rsidRDefault="004408AA" w:rsidP="004408AA">
      <w:pPr>
        <w:pStyle w:val="Bullet"/>
      </w:pPr>
      <w:r w:rsidRPr="0089135C">
        <w:t>OA3 recognises that people’s and communities’ needs will change over time, and that urban environments need to change with them.</w:t>
      </w:r>
    </w:p>
    <w:p w14:paraId="08F483B2" w14:textId="77777777" w:rsidR="004408AA" w:rsidRPr="0089135C" w:rsidRDefault="004408AA" w:rsidP="004408AA">
      <w:pPr>
        <w:pStyle w:val="Heading2"/>
      </w:pPr>
      <w:bookmarkStart w:id="24" w:name="_Toc465600901"/>
      <w:r w:rsidRPr="0089135C">
        <w:t>Definitions</w:t>
      </w:r>
      <w:bookmarkEnd w:id="23"/>
      <w:bookmarkEnd w:id="24"/>
    </w:p>
    <w:p w14:paraId="276CFE2F" w14:textId="3229073A" w:rsidR="004408AA" w:rsidRPr="0089135C" w:rsidRDefault="004408AA" w:rsidP="004408AA">
      <w:pPr>
        <w:pStyle w:val="BodyText"/>
      </w:pPr>
      <w:r w:rsidRPr="0089135C">
        <w:t>The following explains key definitions of words used in objectives and policies throughout the NPS-UDC.</w:t>
      </w:r>
      <w:r w:rsidR="00643625" w:rsidRPr="0089135C">
        <w:t xml:space="preserve"> </w:t>
      </w:r>
      <w:r w:rsidRPr="0089135C">
        <w:t>The definitions apply to words used in the policies that apply to all local authorities and that only apply to medium</w:t>
      </w:r>
      <w:r w:rsidR="00EB6F33">
        <w:t>-</w:t>
      </w:r>
      <w:r w:rsidRPr="0089135C">
        <w:t xml:space="preserve"> and high</w:t>
      </w:r>
      <w:r w:rsidR="00EB6F33">
        <w:t>-</w:t>
      </w:r>
      <w:r w:rsidRPr="0089135C">
        <w:t xml:space="preserve">growth urban areas. </w:t>
      </w:r>
    </w:p>
    <w:p w14:paraId="1B602599" w14:textId="77777777" w:rsidR="004408AA" w:rsidRPr="0089135C" w:rsidRDefault="004408AA" w:rsidP="00A96ED8">
      <w:pPr>
        <w:pStyle w:val="Heading3"/>
        <w:spacing w:before="240" w:after="120"/>
      </w:pPr>
      <w:r w:rsidRPr="0089135C">
        <w:rPr>
          <w:rFonts w:eastAsiaTheme="minorEastAsia"/>
        </w:rPr>
        <w:t xml:space="preserve">Decision-maker </w:t>
      </w:r>
    </w:p>
    <w:p w14:paraId="528F0DDC" w14:textId="0365CA85" w:rsidR="004408AA" w:rsidRPr="0089135C" w:rsidRDefault="004408AA" w:rsidP="004408AA">
      <w:pPr>
        <w:pStyle w:val="Box"/>
      </w:pPr>
      <w:proofErr w:type="gramStart"/>
      <w:r w:rsidRPr="0089135C">
        <w:t>means</w:t>
      </w:r>
      <w:proofErr w:type="gramEnd"/>
      <w:r w:rsidRPr="0089135C">
        <w:t xml:space="preserve"> any person exercising functions and powers under the Act</w:t>
      </w:r>
      <w:r w:rsidR="003947E5">
        <w:t xml:space="preserve"> [RMA].</w:t>
      </w:r>
    </w:p>
    <w:p w14:paraId="5513A25D" w14:textId="77777777" w:rsidR="004408AA" w:rsidRPr="0089135C" w:rsidRDefault="004408AA" w:rsidP="0093242E">
      <w:pPr>
        <w:pStyle w:val="BodyText"/>
        <w:spacing w:before="240"/>
      </w:pPr>
      <w:r w:rsidRPr="0089135C">
        <w:t>The objectives in the NPS-UDC and policies PA3 and PA4 apply to decision-makers when they are making planning decisions that affect an urban environment.</w:t>
      </w:r>
      <w:r w:rsidR="00643625" w:rsidRPr="0089135C">
        <w:t xml:space="preserve"> </w:t>
      </w:r>
      <w:r w:rsidRPr="0089135C">
        <w:t>In this context, decision-makers would include elected officials and consenting officers, as well as other decision-makers such as independent hearings panels and the Environment Court.</w:t>
      </w:r>
    </w:p>
    <w:p w14:paraId="6D48A3C6" w14:textId="77777777" w:rsidR="004408AA" w:rsidRPr="0089135C" w:rsidRDefault="004408AA" w:rsidP="00A96ED8">
      <w:pPr>
        <w:pStyle w:val="Heading3"/>
        <w:spacing w:before="240" w:after="120"/>
        <w:rPr>
          <w:rFonts w:eastAsiaTheme="minorEastAsia"/>
        </w:rPr>
      </w:pPr>
      <w:r w:rsidRPr="0089135C">
        <w:rPr>
          <w:rFonts w:eastAsiaTheme="minorEastAsia"/>
        </w:rPr>
        <w:t>Demand</w:t>
      </w:r>
    </w:p>
    <w:p w14:paraId="16BFC28B" w14:textId="77777777" w:rsidR="004408AA" w:rsidRPr="0089135C" w:rsidRDefault="004408AA" w:rsidP="00BB47E6">
      <w:pPr>
        <w:pStyle w:val="Box"/>
        <w:spacing w:after="0"/>
      </w:pPr>
      <w:proofErr w:type="gramStart"/>
      <w:r w:rsidRPr="0089135C">
        <w:t>means</w:t>
      </w:r>
      <w:proofErr w:type="gramEnd"/>
      <w:r w:rsidRPr="0089135C">
        <w:t xml:space="preserve">: </w:t>
      </w:r>
    </w:p>
    <w:p w14:paraId="5596F947" w14:textId="77777777" w:rsidR="004408AA" w:rsidRPr="0089135C" w:rsidRDefault="004408AA" w:rsidP="00BB47E6">
      <w:pPr>
        <w:pStyle w:val="Box"/>
        <w:spacing w:after="0"/>
      </w:pPr>
      <w:r w:rsidRPr="0089135C">
        <w:t xml:space="preserve">In relation to housing, the demand for dwellings in an urban environment in the short, medium and long-term, including: </w:t>
      </w:r>
    </w:p>
    <w:p w14:paraId="1BE60E22" w14:textId="77777777" w:rsidR="004408AA" w:rsidRPr="0089135C" w:rsidRDefault="004408AA" w:rsidP="001D1C20">
      <w:pPr>
        <w:pStyle w:val="Box"/>
        <w:numPr>
          <w:ilvl w:val="0"/>
          <w:numId w:val="16"/>
        </w:numPr>
        <w:spacing w:before="60" w:after="0"/>
        <w:ind w:left="681" w:hanging="397"/>
      </w:pPr>
      <w:r w:rsidRPr="0089135C">
        <w:t>the total number of dwellings required to meet projected household growth and projected visitor accommodation growth;</w:t>
      </w:r>
      <w:r w:rsidR="00643625" w:rsidRPr="0089135C">
        <w:t xml:space="preserve"> </w:t>
      </w:r>
    </w:p>
    <w:p w14:paraId="63B8F30F" w14:textId="77777777" w:rsidR="004408AA" w:rsidRPr="0089135C" w:rsidRDefault="004408AA" w:rsidP="001D1C20">
      <w:pPr>
        <w:pStyle w:val="Box"/>
        <w:numPr>
          <w:ilvl w:val="0"/>
          <w:numId w:val="16"/>
        </w:numPr>
        <w:spacing w:before="60" w:after="0"/>
        <w:ind w:left="681" w:hanging="397"/>
      </w:pPr>
      <w:r w:rsidRPr="0089135C">
        <w:t xml:space="preserve">demand for different types of dwellings; </w:t>
      </w:r>
    </w:p>
    <w:p w14:paraId="495175F1" w14:textId="77777777" w:rsidR="004408AA" w:rsidRPr="0089135C" w:rsidRDefault="004408AA" w:rsidP="001D1C20">
      <w:pPr>
        <w:pStyle w:val="Box"/>
        <w:numPr>
          <w:ilvl w:val="0"/>
          <w:numId w:val="16"/>
        </w:numPr>
        <w:spacing w:before="60" w:after="0"/>
        <w:ind w:left="681" w:hanging="397"/>
      </w:pPr>
      <w:r w:rsidRPr="0089135C">
        <w:t>the demand for different locations within the urban environment; and</w:t>
      </w:r>
    </w:p>
    <w:p w14:paraId="5526832E" w14:textId="77777777" w:rsidR="004408AA" w:rsidRPr="0089135C" w:rsidRDefault="004408AA" w:rsidP="001D1C20">
      <w:pPr>
        <w:pStyle w:val="Box"/>
        <w:numPr>
          <w:ilvl w:val="0"/>
          <w:numId w:val="16"/>
        </w:numPr>
        <w:ind w:left="681" w:hanging="397"/>
      </w:pPr>
      <w:r w:rsidRPr="0089135C">
        <w:t>the demand for different price points</w:t>
      </w:r>
      <w:r w:rsidR="00643625" w:rsidRPr="0089135C">
        <w:t xml:space="preserve"> </w:t>
      </w:r>
    </w:p>
    <w:p w14:paraId="41835361" w14:textId="77777777" w:rsidR="004408AA" w:rsidRPr="0089135C" w:rsidRDefault="004408AA" w:rsidP="00A96ED8">
      <w:pPr>
        <w:pStyle w:val="Box"/>
        <w:spacing w:after="60"/>
      </w:pPr>
      <w:proofErr w:type="gramStart"/>
      <w:r w:rsidRPr="0089135C">
        <w:t>recognising</w:t>
      </w:r>
      <w:proofErr w:type="gramEnd"/>
      <w:r w:rsidRPr="0089135C">
        <w:t xml:space="preserve"> that people will trade off (b), (c) and (d) to meet their own needs and preferences.</w:t>
      </w:r>
      <w:r w:rsidR="00643625" w:rsidRPr="0089135C">
        <w:t xml:space="preserve"> </w:t>
      </w:r>
    </w:p>
    <w:p w14:paraId="662277A5" w14:textId="77777777" w:rsidR="004408AA" w:rsidRPr="0089135C" w:rsidRDefault="004408AA" w:rsidP="00BB47E6">
      <w:pPr>
        <w:pStyle w:val="Box"/>
        <w:spacing w:after="0"/>
      </w:pPr>
      <w:r w:rsidRPr="0089135C">
        <w:lastRenderedPageBreak/>
        <w:t xml:space="preserve">In relation to business land, the demand for floor area and lot size in an urban environment in the short, medium and long-term, including: </w:t>
      </w:r>
    </w:p>
    <w:p w14:paraId="5354D2C0" w14:textId="77777777" w:rsidR="004408AA" w:rsidRPr="0089135C" w:rsidRDefault="004408AA" w:rsidP="001D1C20">
      <w:pPr>
        <w:pStyle w:val="Box"/>
        <w:numPr>
          <w:ilvl w:val="0"/>
          <w:numId w:val="17"/>
        </w:numPr>
        <w:spacing w:before="60" w:after="0"/>
        <w:ind w:left="681" w:hanging="397"/>
      </w:pPr>
      <w:r w:rsidRPr="0089135C">
        <w:t>the quantum of floor area to meet forecast growth of different business activities;</w:t>
      </w:r>
    </w:p>
    <w:p w14:paraId="7825F979" w14:textId="77777777" w:rsidR="004408AA" w:rsidRPr="0089135C" w:rsidRDefault="004408AA" w:rsidP="001D1C20">
      <w:pPr>
        <w:pStyle w:val="Box"/>
        <w:numPr>
          <w:ilvl w:val="0"/>
          <w:numId w:val="17"/>
        </w:numPr>
        <w:spacing w:before="60" w:after="0"/>
        <w:ind w:left="681" w:hanging="397"/>
      </w:pPr>
      <w:r w:rsidRPr="0089135C">
        <w:t>the demands of both land extensive and intensive activities; and</w:t>
      </w:r>
    </w:p>
    <w:p w14:paraId="63E07C1C" w14:textId="77777777" w:rsidR="004408AA" w:rsidRPr="0089135C" w:rsidRDefault="004408AA" w:rsidP="001D1C20">
      <w:pPr>
        <w:pStyle w:val="Box"/>
        <w:numPr>
          <w:ilvl w:val="0"/>
          <w:numId w:val="17"/>
        </w:numPr>
        <w:spacing w:before="60"/>
        <w:ind w:left="681" w:hanging="397"/>
      </w:pPr>
      <w:proofErr w:type="gramStart"/>
      <w:r w:rsidRPr="0089135C">
        <w:t>the</w:t>
      </w:r>
      <w:proofErr w:type="gramEnd"/>
      <w:r w:rsidRPr="0089135C">
        <w:t xml:space="preserve"> demands of different types of business activities for different locations within the urban environment.</w:t>
      </w:r>
    </w:p>
    <w:p w14:paraId="36062067" w14:textId="77777777" w:rsidR="004408AA" w:rsidRPr="0089135C" w:rsidRDefault="004408AA" w:rsidP="00BB47E6">
      <w:pPr>
        <w:pStyle w:val="BodyText"/>
        <w:spacing w:before="240"/>
      </w:pPr>
      <w:r w:rsidRPr="0089135C">
        <w:t>The definition of ‘demand’ is core to the definition of sufficient development capacity, and in the policies requiring demand to be assessed as part of the evidence and monitoring to support planning decisions (PB1 and PB2).</w:t>
      </w:r>
    </w:p>
    <w:p w14:paraId="2415EE47" w14:textId="6CF15FD4" w:rsidR="004408AA" w:rsidRPr="0089135C" w:rsidRDefault="004408AA" w:rsidP="00BB47E6">
      <w:pPr>
        <w:pStyle w:val="BodyText"/>
      </w:pPr>
      <w:r w:rsidRPr="0089135C">
        <w:t>A</w:t>
      </w:r>
      <w:r w:rsidR="003A1B1F">
        <w:t>n</w:t>
      </w:r>
      <w:r w:rsidRPr="0089135C">
        <w:t xml:space="preserve"> </w:t>
      </w:r>
      <w:r w:rsidR="003A1B1F">
        <w:t>important</w:t>
      </w:r>
      <w:r w:rsidR="003A1B1F" w:rsidRPr="0089135C">
        <w:t xml:space="preserve"> </w:t>
      </w:r>
      <w:r w:rsidRPr="0089135C">
        <w:t xml:space="preserve">feature of the definition of ‘demand’ is that it emphasises both the total quantity of demand in a local area and </w:t>
      </w:r>
      <w:r w:rsidR="003A1B1F">
        <w:t xml:space="preserve">the </w:t>
      </w:r>
      <w:r w:rsidRPr="0089135C">
        <w:t>subsets of that demand (by location, type and price point).</w:t>
      </w:r>
      <w:r w:rsidR="003A1B1F">
        <w:t xml:space="preserve"> </w:t>
      </w:r>
      <w:r w:rsidRPr="0089135C">
        <w:t xml:space="preserve">It refers to the demands of different groups in a local community and </w:t>
      </w:r>
      <w:r w:rsidR="003A1B1F">
        <w:t xml:space="preserve">to </w:t>
      </w:r>
      <w:r w:rsidRPr="0089135C">
        <w:t>different business activities in a local economy.</w:t>
      </w:r>
      <w:r w:rsidR="00643625" w:rsidRPr="0089135C">
        <w:t xml:space="preserve"> </w:t>
      </w:r>
      <w:r w:rsidRPr="0089135C">
        <w:t xml:space="preserve">For example, there may be demand for townhouses and apartments as well as stand-alone houses of different sizes. </w:t>
      </w:r>
    </w:p>
    <w:p w14:paraId="7862F1FB" w14:textId="28F99E81" w:rsidR="004408AA" w:rsidRPr="0089135C" w:rsidRDefault="004408AA" w:rsidP="00BB47E6">
      <w:pPr>
        <w:pStyle w:val="BodyText"/>
      </w:pPr>
      <w:r w:rsidRPr="0089135C">
        <w:t>The definition of demand includes the demands of future generations and economic activities. This definition should be read along with the definitions of ‘short term’, ‘medium term’ and ‘long term’.</w:t>
      </w:r>
    </w:p>
    <w:p w14:paraId="06EA225F" w14:textId="0B429335" w:rsidR="004408AA" w:rsidRPr="0089135C" w:rsidRDefault="004408AA" w:rsidP="00BB47E6">
      <w:pPr>
        <w:pStyle w:val="BodyText"/>
      </w:pPr>
      <w:r w:rsidRPr="0089135C">
        <w:t>The demand for visitor accommodation may be included in the demand for housing and/or business land, recognising that this includes demand for holiday homes</w:t>
      </w:r>
      <w:r w:rsidR="00643625" w:rsidRPr="0089135C">
        <w:t xml:space="preserve"> </w:t>
      </w:r>
      <w:r w:rsidRPr="0089135C">
        <w:t>and hotels.</w:t>
      </w:r>
    </w:p>
    <w:p w14:paraId="5F355779" w14:textId="77777777" w:rsidR="004408AA" w:rsidRPr="0089135C" w:rsidRDefault="004408AA" w:rsidP="00BB47E6">
      <w:pPr>
        <w:pStyle w:val="BodyText"/>
      </w:pPr>
      <w:r w:rsidRPr="0089135C">
        <w:t>There is a dynamic relationship between demand, supply and price.</w:t>
      </w:r>
      <w:r w:rsidR="00643625" w:rsidRPr="0089135C">
        <w:t xml:space="preserve"> </w:t>
      </w:r>
      <w:r w:rsidRPr="0089135C">
        <w:t>Changes in one will result in changes in the others.</w:t>
      </w:r>
    </w:p>
    <w:p w14:paraId="1C69A94E" w14:textId="77777777" w:rsidR="00F47CEA" w:rsidRPr="0089135C" w:rsidRDefault="00F47CEA" w:rsidP="00A96ED8">
      <w:pPr>
        <w:pStyle w:val="Heading3"/>
        <w:spacing w:before="240" w:after="120"/>
        <w:rPr>
          <w:rFonts w:eastAsiaTheme="minorEastAsia"/>
        </w:rPr>
      </w:pPr>
      <w:r w:rsidRPr="0089135C">
        <w:rPr>
          <w:rFonts w:eastAsiaTheme="minorEastAsia"/>
        </w:rPr>
        <w:t>Development capacity</w:t>
      </w:r>
    </w:p>
    <w:p w14:paraId="1C90E1D7" w14:textId="77777777" w:rsidR="00F47CEA" w:rsidRPr="0089135C" w:rsidRDefault="00F47CEA" w:rsidP="00F47CEA">
      <w:pPr>
        <w:pStyle w:val="Box"/>
        <w:spacing w:after="0"/>
      </w:pPr>
      <w:proofErr w:type="gramStart"/>
      <w:r w:rsidRPr="0089135C">
        <w:t>means</w:t>
      </w:r>
      <w:proofErr w:type="gramEnd"/>
      <w:r w:rsidRPr="0089135C">
        <w:t xml:space="preserve"> in relation to housing and business land, the capacity of land intended for urban development based on: </w:t>
      </w:r>
    </w:p>
    <w:p w14:paraId="7D34BA09" w14:textId="77777777" w:rsidR="00F47CEA" w:rsidRPr="0089135C" w:rsidRDefault="00F47CEA" w:rsidP="001D1C20">
      <w:pPr>
        <w:pStyle w:val="Box"/>
        <w:numPr>
          <w:ilvl w:val="0"/>
          <w:numId w:val="18"/>
        </w:numPr>
        <w:spacing w:before="60" w:after="0"/>
        <w:ind w:left="681" w:hanging="397"/>
      </w:pPr>
      <w:r w:rsidRPr="0089135C">
        <w:t>the zoning, objectives, policies, rules and overlays that apply to the land, in the relevant proposed and operative regional policy statements, regional plans and district plans; and</w:t>
      </w:r>
    </w:p>
    <w:p w14:paraId="6AD1EFAA" w14:textId="77777777" w:rsidR="00F47CEA" w:rsidRPr="0089135C" w:rsidRDefault="00F47CEA" w:rsidP="001D1C20">
      <w:pPr>
        <w:pStyle w:val="Box"/>
        <w:numPr>
          <w:ilvl w:val="0"/>
          <w:numId w:val="18"/>
        </w:numPr>
        <w:spacing w:before="60"/>
        <w:ind w:left="681" w:hanging="397"/>
      </w:pPr>
      <w:proofErr w:type="gramStart"/>
      <w:r w:rsidRPr="0089135C">
        <w:t>the</w:t>
      </w:r>
      <w:proofErr w:type="gramEnd"/>
      <w:r w:rsidRPr="0089135C">
        <w:t xml:space="preserve"> provision of adequate development infrastructure to support the development of the land.</w:t>
      </w:r>
    </w:p>
    <w:p w14:paraId="12E44B77" w14:textId="02F638DD" w:rsidR="00F47CEA" w:rsidRPr="0089135C" w:rsidRDefault="00F47CEA" w:rsidP="00F47CEA">
      <w:pPr>
        <w:pStyle w:val="BodyText"/>
        <w:spacing w:before="240"/>
      </w:pPr>
      <w:r w:rsidRPr="0089135C">
        <w:t xml:space="preserve">The definition of development capacity includes opportunities to intensify development in existing urban environments as well as </w:t>
      </w:r>
      <w:proofErr w:type="gramStart"/>
      <w:r w:rsidRPr="0089135C">
        <w:t>greenfield</w:t>
      </w:r>
      <w:proofErr w:type="gramEnd"/>
      <w:r w:rsidRPr="0089135C">
        <w:t xml:space="preserve"> development. </w:t>
      </w:r>
    </w:p>
    <w:p w14:paraId="5B2FCDB3" w14:textId="4D8E9584" w:rsidR="00F47CEA" w:rsidRPr="0089135C" w:rsidRDefault="00F47CEA" w:rsidP="00F47CEA">
      <w:pPr>
        <w:pStyle w:val="BodyText"/>
      </w:pPr>
      <w:r w:rsidRPr="0089135C">
        <w:t xml:space="preserve">The definition refers to the capacity for development allowed in plans </w:t>
      </w:r>
      <w:r w:rsidRPr="00276CCF">
        <w:t>where this is, or will be, also supported by local authority-controlled infrastructure</w:t>
      </w:r>
      <w:r w:rsidRPr="00E028E6">
        <w:t>.</w:t>
      </w:r>
      <w:r w:rsidR="00643625" w:rsidRPr="00E028E6">
        <w:t xml:space="preserve"> </w:t>
      </w:r>
      <w:r w:rsidRPr="0089135C">
        <w:t xml:space="preserve">The intended effect of this is to direct land use planning under the RMA to be coordinated with infrastructure planning under other legislation. </w:t>
      </w:r>
    </w:p>
    <w:p w14:paraId="53F33214" w14:textId="77777777" w:rsidR="00F47CEA" w:rsidRPr="0089135C" w:rsidRDefault="00F47CEA" w:rsidP="00F47CEA">
      <w:pPr>
        <w:pStyle w:val="BodyText"/>
      </w:pPr>
      <w:r w:rsidRPr="0089135C">
        <w:t xml:space="preserve">This definition should be read with the definitions of ‘development infrastructure’, ‘other infrastructure’, ‘feasible’, ‘sufficient’, and policies that require local authorities to provide sufficient development capacity (PA1, PC1, PC3), which are at the core of the NPS-UDC. </w:t>
      </w:r>
    </w:p>
    <w:p w14:paraId="33D5123E" w14:textId="1DDADE2F" w:rsidR="00F47CEA" w:rsidRPr="0089135C" w:rsidRDefault="00F47CEA" w:rsidP="00F47CEA">
      <w:pPr>
        <w:pStyle w:val="BodyText"/>
      </w:pPr>
      <w:r w:rsidRPr="0089135C">
        <w:t>These definitions and policies are ‘additive’. Sufficient development capacity is that which is enabled in resource management plans, supported with development</w:t>
      </w:r>
      <w:r w:rsidRPr="0089135C">
        <w:rPr>
          <w:i/>
        </w:rPr>
        <w:t xml:space="preserve"> </w:t>
      </w:r>
      <w:r w:rsidRPr="0089135C">
        <w:t xml:space="preserve">infrastructure, and meets projected demand. Local authorities must also provide sufficient development capacity that is </w:t>
      </w:r>
      <w:r w:rsidR="00276CCF">
        <w:t>‘</w:t>
      </w:r>
      <w:r w:rsidRPr="00276CCF">
        <w:t>commercially</w:t>
      </w:r>
      <w:r w:rsidRPr="00BB7895">
        <w:t xml:space="preserve"> </w:t>
      </w:r>
      <w:r w:rsidR="00276CCF" w:rsidRPr="00276CCF">
        <w:t>feasible</w:t>
      </w:r>
      <w:r w:rsidR="00276CCF">
        <w:t>’</w:t>
      </w:r>
      <w:r w:rsidR="00276CCF" w:rsidRPr="0089135C">
        <w:t xml:space="preserve"> to</w:t>
      </w:r>
      <w:r w:rsidRPr="0089135C">
        <w:t xml:space="preserve"> develop, and to satisfy themselves about the availability of other infrastructure that they </w:t>
      </w:r>
      <w:r w:rsidRPr="0089135C">
        <w:lastRenderedPageBreak/>
        <w:t>do not control. Finally, ‘high growth’ local authorities must also provide a margin of feasible development capacity over and above projected demand.</w:t>
      </w:r>
    </w:p>
    <w:p w14:paraId="10299A5C" w14:textId="77777777" w:rsidR="00F47CEA" w:rsidRPr="0089135C" w:rsidRDefault="00F47CEA" w:rsidP="00F47CEA">
      <w:pPr>
        <w:pStyle w:val="Heading3"/>
        <w:spacing w:after="120"/>
        <w:rPr>
          <w:rFonts w:eastAsiaTheme="minorEastAsia"/>
        </w:rPr>
      </w:pPr>
      <w:r w:rsidRPr="0089135C">
        <w:rPr>
          <w:rFonts w:eastAsiaTheme="minorEastAsia"/>
        </w:rPr>
        <w:t xml:space="preserve">Development infrastructure </w:t>
      </w:r>
    </w:p>
    <w:p w14:paraId="271379FD" w14:textId="0C7ED603" w:rsidR="00F47CEA" w:rsidRPr="0089135C" w:rsidRDefault="00F47CEA" w:rsidP="00F47CEA">
      <w:pPr>
        <w:pStyle w:val="Box"/>
      </w:pPr>
      <w:proofErr w:type="gramStart"/>
      <w:r w:rsidRPr="0089135C">
        <w:t>means</w:t>
      </w:r>
      <w:proofErr w:type="gramEnd"/>
      <w:r w:rsidRPr="0089135C">
        <w:t xml:space="preserve"> network infrastructure for water supply, wastewater, </w:t>
      </w:r>
      <w:proofErr w:type="spellStart"/>
      <w:r w:rsidRPr="0089135C">
        <w:t>stormwater</w:t>
      </w:r>
      <w:proofErr w:type="spellEnd"/>
      <w:r w:rsidRPr="0089135C">
        <w:t xml:space="preserve"> and land transport as defined in the Land Transport Management Act 200</w:t>
      </w:r>
      <w:r w:rsidR="00276CCF">
        <w:t>3</w:t>
      </w:r>
      <w:r w:rsidRPr="0089135C">
        <w:t xml:space="preserve"> to the extent that it is controlled by local authorities</w:t>
      </w:r>
      <w:r w:rsidR="00663318">
        <w:t>.</w:t>
      </w:r>
    </w:p>
    <w:p w14:paraId="313BAC16" w14:textId="78E4F340" w:rsidR="00F47CEA" w:rsidRPr="0089135C" w:rsidRDefault="00F47CEA" w:rsidP="00F47CEA">
      <w:pPr>
        <w:pStyle w:val="BodyText"/>
        <w:spacing w:before="240"/>
      </w:pPr>
      <w:r w:rsidRPr="0089135C">
        <w:t>The definition of ‘development infrastructure’ is included in the definition of ‘development capacity’ and in policies that require local authorities to provide sufficient development capacity.</w:t>
      </w:r>
      <w:r w:rsidR="00643625" w:rsidRPr="0089135C">
        <w:t xml:space="preserve"> </w:t>
      </w:r>
    </w:p>
    <w:p w14:paraId="5945A547" w14:textId="77777777" w:rsidR="00F47CEA" w:rsidRPr="0089135C" w:rsidRDefault="00F47CEA" w:rsidP="00F47CEA">
      <w:pPr>
        <w:pStyle w:val="BodyText"/>
      </w:pPr>
      <w:r w:rsidRPr="0089135C">
        <w:t>The definition of ‘development infrastructure’ is used in policies requiring local authorities to:</w:t>
      </w:r>
    </w:p>
    <w:p w14:paraId="5FE2741A" w14:textId="77777777" w:rsidR="00F47CEA" w:rsidRPr="0089135C" w:rsidRDefault="00F47CEA" w:rsidP="00F47CEA">
      <w:pPr>
        <w:pStyle w:val="Bullet"/>
      </w:pPr>
      <w:r w:rsidRPr="0089135C">
        <w:t>have regard to promoting the efficient use of urban land and infrastructure (PA3b)</w:t>
      </w:r>
    </w:p>
    <w:p w14:paraId="0D8CE516" w14:textId="77777777" w:rsidR="00F47CEA" w:rsidRPr="0089135C" w:rsidRDefault="00F47CEA" w:rsidP="00F47CEA">
      <w:pPr>
        <w:pStyle w:val="Bullet"/>
      </w:pPr>
      <w:r w:rsidRPr="0089135C">
        <w:t>produce a housing and business development capacity assessment that assesses the actual and likely availability of infrastructure (PB3b)</w:t>
      </w:r>
    </w:p>
    <w:p w14:paraId="713D3616" w14:textId="77777777" w:rsidR="00F47CEA" w:rsidRPr="0089135C" w:rsidRDefault="00F47CEA" w:rsidP="00F47CEA">
      <w:pPr>
        <w:pStyle w:val="Bullet"/>
      </w:pPr>
      <w:r w:rsidRPr="0089135C">
        <w:t>seek and use the input of infrastructure providers in this assessment (PB5)</w:t>
      </w:r>
    </w:p>
    <w:p w14:paraId="5450D391" w14:textId="77777777" w:rsidR="00F47CEA" w:rsidRPr="0089135C" w:rsidRDefault="00F47CEA" w:rsidP="00F47CEA">
      <w:pPr>
        <w:pStyle w:val="Bullet"/>
      </w:pPr>
      <w:proofErr w:type="gramStart"/>
      <w:r w:rsidRPr="0089135C">
        <w:t>work</w:t>
      </w:r>
      <w:proofErr w:type="gramEnd"/>
      <w:r w:rsidRPr="0089135C">
        <w:t xml:space="preserve"> with providers of other infrastructure to prepare a future development strategy (PD3b).</w:t>
      </w:r>
    </w:p>
    <w:p w14:paraId="3BD138F8" w14:textId="15D6A45F" w:rsidR="00F47CEA" w:rsidRPr="0089135C" w:rsidRDefault="00F47CEA" w:rsidP="00F47CEA">
      <w:pPr>
        <w:pStyle w:val="BodyText"/>
      </w:pPr>
      <w:r w:rsidRPr="0089135C">
        <w:t>Development infrastructure means infrastructure that is usually, but not necessarily</w:t>
      </w:r>
      <w:r w:rsidR="00E157E8">
        <w:t>,</w:t>
      </w:r>
      <w:r w:rsidRPr="0089135C">
        <w:t xml:space="preserve"> funded and/or provided by the local authority or a council-controlled organisation.</w:t>
      </w:r>
      <w:r w:rsidR="00643625" w:rsidRPr="0089135C">
        <w:t xml:space="preserve"> </w:t>
      </w:r>
      <w:r w:rsidRPr="0089135C">
        <w:t>It includes locally controlled transport infrastructure that is part funded by the New Zealand Transport Agency.</w:t>
      </w:r>
      <w:r w:rsidR="00643625" w:rsidRPr="0089135C">
        <w:t xml:space="preserve"> </w:t>
      </w:r>
      <w:r w:rsidRPr="0089135C">
        <w:t xml:space="preserve">Development infrastructure can also include network infrastructure for water, wastewater and </w:t>
      </w:r>
      <w:proofErr w:type="spellStart"/>
      <w:r w:rsidRPr="0089135C">
        <w:t>stormwater</w:t>
      </w:r>
      <w:proofErr w:type="spellEnd"/>
      <w:r w:rsidRPr="0089135C">
        <w:t xml:space="preserve"> installed by a developer by agreement with the relevant local authority. </w:t>
      </w:r>
    </w:p>
    <w:p w14:paraId="64834D05" w14:textId="4F744221" w:rsidR="00F47CEA" w:rsidRPr="0089135C" w:rsidRDefault="00F47CEA" w:rsidP="00F47CEA">
      <w:pPr>
        <w:pStyle w:val="BodyText"/>
      </w:pPr>
      <w:r w:rsidRPr="0089135C">
        <w:t xml:space="preserve">The definition of ‘development infrastructure’ is intentionally different </w:t>
      </w:r>
      <w:r w:rsidR="002112E1">
        <w:t>from</w:t>
      </w:r>
      <w:r w:rsidR="002112E1" w:rsidRPr="0089135C">
        <w:t xml:space="preserve"> </w:t>
      </w:r>
      <w:r w:rsidRPr="0089135C">
        <w:t>the definitions of ‘infrastructure’ in the RMA and the Local Government Act 2002</w:t>
      </w:r>
      <w:r w:rsidR="002B506D">
        <w:t xml:space="preserve"> (LGA)</w:t>
      </w:r>
      <w:r w:rsidRPr="0089135C">
        <w:t xml:space="preserve">. The narrow definition of infrastructure to that which local authorities </w:t>
      </w:r>
      <w:r w:rsidR="005F15E3" w:rsidRPr="0089135C">
        <w:t>control</w:t>
      </w:r>
      <w:r w:rsidRPr="0089135C">
        <w:t xml:space="preserve"> is used to ensure that local authorities can</w:t>
      </w:r>
      <w:r w:rsidR="001E0686">
        <w:t> </w:t>
      </w:r>
      <w:r w:rsidRPr="0089135C">
        <w:t>comply.</w:t>
      </w:r>
      <w:r w:rsidR="00643625" w:rsidRPr="0089135C">
        <w:t xml:space="preserve"> </w:t>
      </w:r>
    </w:p>
    <w:p w14:paraId="1C2EAB3C" w14:textId="77777777" w:rsidR="00FB22A1" w:rsidRPr="0089135C" w:rsidRDefault="00FB22A1" w:rsidP="00FB22A1">
      <w:pPr>
        <w:pStyle w:val="Heading3"/>
        <w:spacing w:after="120"/>
        <w:rPr>
          <w:rFonts w:eastAsiaTheme="minorEastAsia"/>
        </w:rPr>
      </w:pPr>
      <w:r w:rsidRPr="0089135C">
        <w:rPr>
          <w:rFonts w:eastAsiaTheme="minorEastAsia"/>
        </w:rPr>
        <w:t>Other infrastructure</w:t>
      </w:r>
    </w:p>
    <w:p w14:paraId="456BDE49" w14:textId="77777777" w:rsidR="00FB22A1" w:rsidRPr="0089135C" w:rsidRDefault="00FB22A1" w:rsidP="00FB22A1">
      <w:pPr>
        <w:pStyle w:val="Box"/>
        <w:spacing w:after="0"/>
      </w:pPr>
      <w:proofErr w:type="gramStart"/>
      <w:r w:rsidRPr="0089135C">
        <w:t>means</w:t>
      </w:r>
      <w:proofErr w:type="gramEnd"/>
      <w:r w:rsidRPr="0089135C">
        <w:t>:</w:t>
      </w:r>
    </w:p>
    <w:p w14:paraId="563B66EB" w14:textId="77777777" w:rsidR="00FB22A1" w:rsidRPr="0089135C" w:rsidRDefault="00FB22A1" w:rsidP="001D1C20">
      <w:pPr>
        <w:pStyle w:val="Box"/>
        <w:numPr>
          <w:ilvl w:val="0"/>
          <w:numId w:val="19"/>
        </w:numPr>
        <w:spacing w:before="60" w:after="0"/>
        <w:ind w:left="681" w:hanging="397"/>
      </w:pPr>
      <w:r w:rsidRPr="0089135C">
        <w:t>open space;</w:t>
      </w:r>
    </w:p>
    <w:p w14:paraId="3FE81B64" w14:textId="77777777" w:rsidR="00FB22A1" w:rsidRPr="0089135C" w:rsidRDefault="00FB22A1" w:rsidP="001D1C20">
      <w:pPr>
        <w:pStyle w:val="Box"/>
        <w:numPr>
          <w:ilvl w:val="0"/>
          <w:numId w:val="19"/>
        </w:numPr>
        <w:spacing w:before="60" w:after="0"/>
        <w:ind w:left="681" w:hanging="397"/>
      </w:pPr>
      <w:r w:rsidRPr="0089135C">
        <w:t>community infrastructure as defined in the Local Government Act 2002;</w:t>
      </w:r>
    </w:p>
    <w:p w14:paraId="466F92E2" w14:textId="3B27622D" w:rsidR="00FB22A1" w:rsidRPr="0089135C" w:rsidRDefault="00FB22A1" w:rsidP="001D1C20">
      <w:pPr>
        <w:pStyle w:val="Box"/>
        <w:numPr>
          <w:ilvl w:val="0"/>
          <w:numId w:val="19"/>
        </w:numPr>
        <w:spacing w:before="60" w:after="0"/>
        <w:ind w:left="681" w:hanging="397"/>
      </w:pPr>
      <w:r w:rsidRPr="0089135C">
        <w:t>land transport as defined in the Land Transport Management Act 200</w:t>
      </w:r>
      <w:r w:rsidR="00276CCF">
        <w:t>3</w:t>
      </w:r>
      <w:r w:rsidRPr="0089135C">
        <w:t>, that is not controlled by local authorities;</w:t>
      </w:r>
    </w:p>
    <w:p w14:paraId="4162D3D9" w14:textId="77777777" w:rsidR="00FB22A1" w:rsidRPr="0089135C" w:rsidRDefault="00FB22A1" w:rsidP="001D1C20">
      <w:pPr>
        <w:pStyle w:val="Box"/>
        <w:numPr>
          <w:ilvl w:val="0"/>
          <w:numId w:val="19"/>
        </w:numPr>
        <w:spacing w:before="60" w:after="0"/>
        <w:ind w:left="681" w:hanging="397"/>
      </w:pPr>
      <w:r w:rsidRPr="0089135C">
        <w:t>social infrastructure such as schools and healthcare;</w:t>
      </w:r>
    </w:p>
    <w:p w14:paraId="07660D51" w14:textId="77777777" w:rsidR="00FB22A1" w:rsidRPr="0089135C" w:rsidRDefault="00FB22A1" w:rsidP="001D1C20">
      <w:pPr>
        <w:pStyle w:val="Box"/>
        <w:numPr>
          <w:ilvl w:val="0"/>
          <w:numId w:val="19"/>
        </w:numPr>
        <w:spacing w:before="60" w:after="0"/>
        <w:ind w:left="681" w:hanging="397"/>
      </w:pPr>
      <w:r w:rsidRPr="0089135C">
        <w:t xml:space="preserve">telecommunications as defined in the Telecommunications Act 2001; </w:t>
      </w:r>
    </w:p>
    <w:p w14:paraId="71199BF6" w14:textId="77777777" w:rsidR="00FB22A1" w:rsidRPr="0089135C" w:rsidRDefault="00FB22A1" w:rsidP="001D1C20">
      <w:pPr>
        <w:pStyle w:val="Box"/>
        <w:numPr>
          <w:ilvl w:val="0"/>
          <w:numId w:val="19"/>
        </w:numPr>
        <w:spacing w:before="60" w:after="0"/>
        <w:ind w:left="681" w:hanging="397"/>
      </w:pPr>
      <w:r w:rsidRPr="0089135C">
        <w:t>energy; and</w:t>
      </w:r>
    </w:p>
    <w:p w14:paraId="7E812DC4" w14:textId="130E09F8" w:rsidR="00FB22A1" w:rsidRPr="0089135C" w:rsidRDefault="00FB22A1" w:rsidP="001D1C20">
      <w:pPr>
        <w:pStyle w:val="Box"/>
        <w:numPr>
          <w:ilvl w:val="0"/>
          <w:numId w:val="19"/>
        </w:numPr>
        <w:spacing w:before="60"/>
        <w:ind w:left="681" w:hanging="397"/>
      </w:pPr>
      <w:proofErr w:type="gramStart"/>
      <w:r w:rsidRPr="0089135C">
        <w:t>other</w:t>
      </w:r>
      <w:proofErr w:type="gramEnd"/>
      <w:r w:rsidRPr="0089135C">
        <w:t xml:space="preserve"> infrastructure not controlled by local authorities</w:t>
      </w:r>
      <w:r w:rsidR="00F338FE">
        <w:t>.</w:t>
      </w:r>
    </w:p>
    <w:p w14:paraId="3CC5ACB8" w14:textId="70EE3B64" w:rsidR="00FB22A1" w:rsidRPr="0089135C" w:rsidRDefault="00FB22A1" w:rsidP="00FB22A1">
      <w:pPr>
        <w:pStyle w:val="BodyText"/>
        <w:spacing w:before="240"/>
      </w:pPr>
      <w:r w:rsidRPr="0089135C">
        <w:t>Infrastructure other than ‘development infrastructure’ also supports development capacity. Recognising this, the NPS-UDC includes a definition of ‘other infrastructure’, which is a non-exclusive list that includes parks, reserves and community facilities that local authorities might control.</w:t>
      </w:r>
      <w:r w:rsidR="00643625" w:rsidRPr="0089135C">
        <w:t xml:space="preserve"> </w:t>
      </w:r>
      <w:r w:rsidRPr="0089135C">
        <w:t xml:space="preserve">It also </w:t>
      </w:r>
      <w:r w:rsidRPr="0089135C">
        <w:lastRenderedPageBreak/>
        <w:t>includes other infrastructure that they do not control (for example, transport infrastructure that might be installed by a developer by agreement with the relevant local authority, and infrastructure controlled by the New Zealand Transport Agency, Ministry of Education and other infrastructure providers).</w:t>
      </w:r>
      <w:r w:rsidR="006B6788">
        <w:t xml:space="preserve"> </w:t>
      </w:r>
      <w:r w:rsidRPr="0089135C">
        <w:t>The definition is used in policies that require local authorities to:</w:t>
      </w:r>
    </w:p>
    <w:p w14:paraId="067FD3B5" w14:textId="77777777" w:rsidR="00FB22A1" w:rsidRPr="0089135C" w:rsidRDefault="00FB22A1" w:rsidP="00FB22A1">
      <w:pPr>
        <w:pStyle w:val="Bullet"/>
      </w:pPr>
      <w:r w:rsidRPr="0089135C">
        <w:t>satisfy themselves that other infrastructure required to support urban development is likely to be available (PA2)</w:t>
      </w:r>
    </w:p>
    <w:p w14:paraId="70E97774" w14:textId="77777777" w:rsidR="00FB22A1" w:rsidRPr="0089135C" w:rsidRDefault="00FB22A1" w:rsidP="00FB22A1">
      <w:pPr>
        <w:pStyle w:val="Bullet"/>
      </w:pPr>
      <w:r w:rsidRPr="0089135C">
        <w:t>have regard to promoting the efficient use of urban land and infrastructure (PA3b)</w:t>
      </w:r>
    </w:p>
    <w:p w14:paraId="47989FE4" w14:textId="77777777" w:rsidR="00FB22A1" w:rsidRPr="0089135C" w:rsidRDefault="00FB22A1" w:rsidP="00FB22A1">
      <w:pPr>
        <w:pStyle w:val="Bullet"/>
      </w:pPr>
      <w:r w:rsidRPr="0089135C">
        <w:t>produce a housing and business development capacity assessment that assesses the actual and likely availability of infrastructure (PB3b)</w:t>
      </w:r>
    </w:p>
    <w:p w14:paraId="453AC652" w14:textId="77777777" w:rsidR="00FB22A1" w:rsidRPr="0089135C" w:rsidRDefault="00FB22A1" w:rsidP="00FB22A1">
      <w:pPr>
        <w:pStyle w:val="Bullet"/>
      </w:pPr>
      <w:r w:rsidRPr="0089135C">
        <w:t>seek and use the input of infrastructure providers in this assessment (PB5)</w:t>
      </w:r>
    </w:p>
    <w:p w14:paraId="7AD6FF1E" w14:textId="77777777" w:rsidR="00FB22A1" w:rsidRPr="0089135C" w:rsidRDefault="00FB22A1" w:rsidP="00FB22A1">
      <w:pPr>
        <w:pStyle w:val="Bullet"/>
      </w:pPr>
      <w:proofErr w:type="gramStart"/>
      <w:r w:rsidRPr="0089135C">
        <w:t>work</w:t>
      </w:r>
      <w:proofErr w:type="gramEnd"/>
      <w:r w:rsidRPr="0089135C">
        <w:t xml:space="preserve"> with providers of other infrastructure to prepare a future development strategy (PD3b).</w:t>
      </w:r>
    </w:p>
    <w:p w14:paraId="14F973A9" w14:textId="77777777" w:rsidR="005B75BE" w:rsidRDefault="005B75BE">
      <w:pPr>
        <w:spacing w:before="0" w:after="200" w:line="276" w:lineRule="auto"/>
        <w:jc w:val="left"/>
        <w:rPr>
          <w:rFonts w:eastAsiaTheme="majorEastAsia" w:cstheme="majorBidi"/>
          <w:b/>
          <w:bCs/>
          <w:color w:val="0F7B7D"/>
          <w:sz w:val="36"/>
          <w:szCs w:val="26"/>
        </w:rPr>
      </w:pPr>
      <w:bookmarkStart w:id="25" w:name="_Toc459821704"/>
      <w:bookmarkStart w:id="26" w:name="_Toc465349926"/>
      <w:bookmarkStart w:id="27" w:name="_Toc465600902"/>
      <w:r>
        <w:br w:type="page"/>
      </w:r>
    </w:p>
    <w:p w14:paraId="34262B0D" w14:textId="2A3D83E3" w:rsidR="00E2490C" w:rsidRDefault="00E2490C" w:rsidP="00FB22A1">
      <w:pPr>
        <w:pStyle w:val="Heading2"/>
      </w:pPr>
      <w:r>
        <w:lastRenderedPageBreak/>
        <w:t>Policies</w:t>
      </w:r>
    </w:p>
    <w:p w14:paraId="46D91555" w14:textId="77777777" w:rsidR="00E2490C" w:rsidRPr="0089135C" w:rsidRDefault="00E2490C" w:rsidP="00E2490C">
      <w:pPr>
        <w:pStyle w:val="BodyText"/>
      </w:pPr>
      <w:r w:rsidRPr="0089135C">
        <w:t>This section provides guidance on particular policies that apply to all local authorities.</w:t>
      </w:r>
    </w:p>
    <w:p w14:paraId="25061F1B" w14:textId="405A02D8" w:rsidR="00FB22A1" w:rsidRPr="0089135C" w:rsidRDefault="00E2490C" w:rsidP="00FB22A1">
      <w:pPr>
        <w:pStyle w:val="Heading2"/>
      </w:pPr>
      <w:r>
        <w:t>O</w:t>
      </w:r>
      <w:r w:rsidR="00FB22A1" w:rsidRPr="0089135C">
        <w:t xml:space="preserve">utcomes for </w:t>
      </w:r>
      <w:bookmarkEnd w:id="25"/>
      <w:r w:rsidR="00FB22A1" w:rsidRPr="0089135C">
        <w:t>planning decisions</w:t>
      </w:r>
      <w:bookmarkEnd w:id="26"/>
      <w:bookmarkEnd w:id="27"/>
      <w:r w:rsidR="00FB22A1" w:rsidRPr="0089135C">
        <w:t xml:space="preserve"> </w:t>
      </w:r>
    </w:p>
    <w:p w14:paraId="7FF3D5F7" w14:textId="5EFC8D7C" w:rsidR="006E0C80" w:rsidRPr="0089135C" w:rsidRDefault="006E0C80" w:rsidP="00BA5491">
      <w:pPr>
        <w:pStyle w:val="Heading3"/>
        <w:spacing w:after="240"/>
      </w:pPr>
      <w:r w:rsidRPr="0089135C">
        <w:t>Policies PA1 and PA2 (</w:t>
      </w:r>
      <w:r w:rsidR="00E633CB">
        <w:t>D</w:t>
      </w:r>
      <w:r w:rsidRPr="0089135C">
        <w:t>evelopment capacity, infrastructure and feasibility)</w:t>
      </w:r>
    </w:p>
    <w:tbl>
      <w:tblPr>
        <w:tblStyle w:val="TableGrid"/>
        <w:tblW w:w="8562" w:type="dxa"/>
        <w:tblInd w:w="108" w:type="dxa"/>
        <w:tblBorders>
          <w:top w:val="single" w:sz="4" w:space="0" w:color="D2DDE2"/>
          <w:left w:val="single" w:sz="4" w:space="0" w:color="D2DDE2"/>
          <w:bottom w:val="single" w:sz="4" w:space="0" w:color="D2DDE2"/>
          <w:right w:val="single" w:sz="4" w:space="0" w:color="D2DDE2"/>
          <w:insideH w:val="single" w:sz="4" w:space="0" w:color="D2DDE2"/>
          <w:insideV w:val="single" w:sz="4" w:space="0" w:color="D2DDE2"/>
        </w:tblBorders>
        <w:shd w:val="clear" w:color="auto" w:fill="D2DDE2"/>
        <w:tblLook w:val="04A0" w:firstRow="1" w:lastRow="0" w:firstColumn="1" w:lastColumn="0" w:noHBand="0" w:noVBand="1"/>
      </w:tblPr>
      <w:tblGrid>
        <w:gridCol w:w="8562"/>
      </w:tblGrid>
      <w:tr w:rsidR="00F2229F" w:rsidRPr="0089135C" w14:paraId="0A518F90" w14:textId="77777777" w:rsidTr="00D03833">
        <w:tc>
          <w:tcPr>
            <w:tcW w:w="8562" w:type="dxa"/>
            <w:shd w:val="clear" w:color="auto" w:fill="D2DDE2"/>
          </w:tcPr>
          <w:p w14:paraId="486459EB" w14:textId="77777777" w:rsidR="00F2229F" w:rsidRPr="0089135C" w:rsidRDefault="00F2229F" w:rsidP="00887F8B">
            <w:pPr>
              <w:pStyle w:val="BodyText"/>
              <w:spacing w:before="240" w:after="240"/>
              <w:ind w:left="284" w:right="284"/>
              <w:rPr>
                <w:color w:val="1C556C"/>
              </w:rPr>
            </w:pPr>
            <w:r w:rsidRPr="0089135C">
              <w:rPr>
                <w:color w:val="1C556C"/>
              </w:rPr>
              <w:t>PA1: Local authorities shall ensure that at any one time there is sufficient housing and business land development capacity according to the table below:</w:t>
            </w:r>
          </w:p>
          <w:tbl>
            <w:tblPr>
              <w:tblStyle w:val="TableGrid"/>
              <w:tblW w:w="0" w:type="auto"/>
              <w:tblInd w:w="284" w:type="dxa"/>
              <w:tblBorders>
                <w:top w:val="single" w:sz="4" w:space="0" w:color="1C556C"/>
                <w:left w:val="single" w:sz="4" w:space="0" w:color="1C556C"/>
                <w:bottom w:val="single" w:sz="4" w:space="0" w:color="1C556C"/>
                <w:right w:val="single" w:sz="4" w:space="0" w:color="1C556C"/>
                <w:insideH w:val="single" w:sz="4" w:space="0" w:color="1C556C"/>
                <w:insideV w:val="single" w:sz="4" w:space="0" w:color="1C556C"/>
              </w:tblBorders>
              <w:tblLook w:val="04A0" w:firstRow="1" w:lastRow="0" w:firstColumn="1" w:lastColumn="0" w:noHBand="0" w:noVBand="1"/>
            </w:tblPr>
            <w:tblGrid>
              <w:gridCol w:w="1471"/>
              <w:gridCol w:w="6354"/>
            </w:tblGrid>
            <w:tr w:rsidR="00887F8B" w:rsidRPr="0089135C" w14:paraId="2F28DE76" w14:textId="77777777" w:rsidTr="00887F8B">
              <w:tc>
                <w:tcPr>
                  <w:tcW w:w="1471" w:type="dxa"/>
                </w:tcPr>
                <w:p w14:paraId="4CDA6982" w14:textId="77777777" w:rsidR="00450045" w:rsidRPr="0089135C" w:rsidRDefault="00450045" w:rsidP="00450045">
                  <w:pPr>
                    <w:pStyle w:val="TableText"/>
                    <w:rPr>
                      <w:color w:val="1C556C"/>
                      <w:sz w:val="20"/>
                    </w:rPr>
                  </w:pPr>
                  <w:r w:rsidRPr="0089135C">
                    <w:rPr>
                      <w:color w:val="1C556C"/>
                      <w:sz w:val="20"/>
                    </w:rPr>
                    <w:t>Short term</w:t>
                  </w:r>
                </w:p>
              </w:tc>
              <w:tc>
                <w:tcPr>
                  <w:tcW w:w="6354" w:type="dxa"/>
                </w:tcPr>
                <w:p w14:paraId="720E7199" w14:textId="77777777" w:rsidR="00450045" w:rsidRPr="0089135C" w:rsidRDefault="00450045" w:rsidP="00450045">
                  <w:pPr>
                    <w:pStyle w:val="TableText"/>
                    <w:rPr>
                      <w:color w:val="1C556C"/>
                      <w:sz w:val="20"/>
                    </w:rPr>
                  </w:pPr>
                  <w:r w:rsidRPr="0089135C">
                    <w:rPr>
                      <w:color w:val="1C556C"/>
                      <w:sz w:val="20"/>
                    </w:rPr>
                    <w:t>Development capacity must be feasible, zoned and serviced with development infrastructure.</w:t>
                  </w:r>
                </w:p>
              </w:tc>
            </w:tr>
            <w:tr w:rsidR="00887F8B" w:rsidRPr="0089135C" w14:paraId="3BB7C9F9" w14:textId="77777777" w:rsidTr="00887F8B">
              <w:tc>
                <w:tcPr>
                  <w:tcW w:w="1471" w:type="dxa"/>
                </w:tcPr>
                <w:p w14:paraId="4DEB33A7" w14:textId="77777777" w:rsidR="00450045" w:rsidRPr="0089135C" w:rsidRDefault="00450045" w:rsidP="00450045">
                  <w:pPr>
                    <w:pStyle w:val="TableText"/>
                    <w:rPr>
                      <w:color w:val="1C556C"/>
                      <w:sz w:val="20"/>
                    </w:rPr>
                  </w:pPr>
                  <w:r w:rsidRPr="0089135C">
                    <w:rPr>
                      <w:color w:val="1C556C"/>
                      <w:sz w:val="20"/>
                    </w:rPr>
                    <w:t>Medium term</w:t>
                  </w:r>
                </w:p>
              </w:tc>
              <w:tc>
                <w:tcPr>
                  <w:tcW w:w="6354" w:type="dxa"/>
                </w:tcPr>
                <w:p w14:paraId="53295EE4" w14:textId="77777777" w:rsidR="00450045" w:rsidRPr="0089135C" w:rsidRDefault="00450045" w:rsidP="00450045">
                  <w:pPr>
                    <w:pStyle w:val="TableText"/>
                    <w:rPr>
                      <w:color w:val="1C556C"/>
                      <w:sz w:val="20"/>
                    </w:rPr>
                  </w:pPr>
                  <w:r w:rsidRPr="0089135C">
                    <w:rPr>
                      <w:color w:val="1C556C"/>
                      <w:sz w:val="20"/>
                    </w:rPr>
                    <w:t>Development capacity must be feasible, zoned and either:</w:t>
                  </w:r>
                </w:p>
                <w:p w14:paraId="752A26C5" w14:textId="77777777" w:rsidR="00450045" w:rsidRPr="0089135C" w:rsidRDefault="00450045" w:rsidP="00450045">
                  <w:pPr>
                    <w:pStyle w:val="TableText"/>
                    <w:rPr>
                      <w:color w:val="1C556C"/>
                      <w:sz w:val="20"/>
                    </w:rPr>
                  </w:pPr>
                  <w:r w:rsidRPr="0089135C">
                    <w:rPr>
                      <w:color w:val="1C556C"/>
                      <w:sz w:val="20"/>
                    </w:rPr>
                    <w:t>Serviced with development infrastructure, or</w:t>
                  </w:r>
                </w:p>
                <w:p w14:paraId="6D1E3A84" w14:textId="2C8F8E0C" w:rsidR="00450045" w:rsidRPr="0089135C" w:rsidRDefault="00450045" w:rsidP="00450045">
                  <w:pPr>
                    <w:pStyle w:val="TableText"/>
                    <w:rPr>
                      <w:color w:val="1C556C"/>
                      <w:sz w:val="20"/>
                    </w:rPr>
                  </w:pPr>
                  <w:r w:rsidRPr="0089135C">
                    <w:rPr>
                      <w:color w:val="1C556C"/>
                      <w:sz w:val="20"/>
                    </w:rPr>
                    <w:t>The funding for the development infrastructure required to service that development capacity must be identified in a Long Term Plan required under the Local Government Act 2002</w:t>
                  </w:r>
                  <w:r w:rsidR="00702146">
                    <w:rPr>
                      <w:color w:val="1C556C"/>
                      <w:sz w:val="20"/>
                    </w:rPr>
                    <w:t>.</w:t>
                  </w:r>
                </w:p>
              </w:tc>
            </w:tr>
            <w:tr w:rsidR="00887F8B" w:rsidRPr="0089135C" w14:paraId="780E7C79" w14:textId="77777777" w:rsidTr="00887F8B">
              <w:tc>
                <w:tcPr>
                  <w:tcW w:w="1471" w:type="dxa"/>
                </w:tcPr>
                <w:p w14:paraId="14CC1E37" w14:textId="77777777" w:rsidR="00450045" w:rsidRPr="0089135C" w:rsidRDefault="00450045" w:rsidP="00450045">
                  <w:pPr>
                    <w:pStyle w:val="TableText"/>
                    <w:rPr>
                      <w:color w:val="1C556C"/>
                      <w:sz w:val="20"/>
                    </w:rPr>
                  </w:pPr>
                  <w:r w:rsidRPr="0089135C">
                    <w:rPr>
                      <w:color w:val="1C556C"/>
                      <w:sz w:val="20"/>
                    </w:rPr>
                    <w:t>Long term</w:t>
                  </w:r>
                </w:p>
              </w:tc>
              <w:tc>
                <w:tcPr>
                  <w:tcW w:w="6354" w:type="dxa"/>
                </w:tcPr>
                <w:p w14:paraId="75AFE5C4" w14:textId="77777777" w:rsidR="00450045" w:rsidRPr="0089135C" w:rsidRDefault="00450045" w:rsidP="00450045">
                  <w:pPr>
                    <w:pStyle w:val="TableText"/>
                    <w:rPr>
                      <w:color w:val="1C556C"/>
                      <w:sz w:val="20"/>
                    </w:rPr>
                  </w:pPr>
                  <w:r w:rsidRPr="0089135C">
                    <w:rPr>
                      <w:color w:val="1C556C"/>
                      <w:sz w:val="20"/>
                    </w:rPr>
                    <w:t>Development capacity must be feasible, identified in relevant plans and strategies, and the development infrastructure required to service it must be identified in the relevant Infrastructure Strategy required under the Local Government Act 2002.</w:t>
                  </w:r>
                </w:p>
              </w:tc>
            </w:tr>
          </w:tbl>
          <w:p w14:paraId="5ECA19ED" w14:textId="77777777" w:rsidR="00F2229F" w:rsidRPr="0089135C" w:rsidRDefault="00450045" w:rsidP="00887F8B">
            <w:pPr>
              <w:pStyle w:val="TableText"/>
              <w:spacing w:before="240" w:after="240"/>
              <w:ind w:left="284" w:right="284"/>
              <w:rPr>
                <w:color w:val="1C556C"/>
                <w:sz w:val="20"/>
              </w:rPr>
            </w:pPr>
            <w:r w:rsidRPr="0089135C">
              <w:rPr>
                <w:color w:val="1C556C"/>
                <w:sz w:val="20"/>
              </w:rPr>
              <w:t>PA2: Local authorities shall satisfy themselves that other infrastructure required to support urban development are likely to be available.</w:t>
            </w:r>
          </w:p>
        </w:tc>
      </w:tr>
    </w:tbl>
    <w:p w14:paraId="75FD4174" w14:textId="77777777" w:rsidR="00D03833" w:rsidRPr="0089135C" w:rsidRDefault="00D03833" w:rsidP="000E01DC">
      <w:pPr>
        <w:pStyle w:val="BodyText"/>
        <w:spacing w:before="320"/>
      </w:pPr>
      <w:r w:rsidRPr="0089135C">
        <w:t>PA1 is the central policy of the NPS-UDC, stating that local authorities must ensure there is sufficient, feasible development capacity at any one time.</w:t>
      </w:r>
      <w:r w:rsidR="00643625" w:rsidRPr="0089135C">
        <w:t xml:space="preserve"> </w:t>
      </w:r>
    </w:p>
    <w:p w14:paraId="0FC4FD8C" w14:textId="19CCC350" w:rsidR="00D03833" w:rsidRPr="0089135C" w:rsidRDefault="00D03833" w:rsidP="00D03833">
      <w:pPr>
        <w:pStyle w:val="BodyText"/>
      </w:pPr>
      <w:r w:rsidRPr="0089135C">
        <w:t>This policy does not direct local authorities as to how or where this development capacity should be provided.</w:t>
      </w:r>
      <w:r w:rsidR="00643625" w:rsidRPr="0089135C">
        <w:t xml:space="preserve"> </w:t>
      </w:r>
      <w:r w:rsidRPr="0089135C">
        <w:t xml:space="preserve">It does, however, set out the expectations for the provision of development capacity in the short, medium and long term (periods of three years, </w:t>
      </w:r>
      <w:r w:rsidR="00A62858">
        <w:t>10</w:t>
      </w:r>
      <w:r w:rsidR="00A62858" w:rsidRPr="0089135C">
        <w:t xml:space="preserve"> </w:t>
      </w:r>
      <w:r w:rsidRPr="0089135C">
        <w:t xml:space="preserve">years and 30 years). The expectations for these periods vary to accommodate decreasing certainty over time and the long lead times required to provide network infrastructure. </w:t>
      </w:r>
    </w:p>
    <w:p w14:paraId="133FA7D3" w14:textId="77777777" w:rsidR="00D03833" w:rsidRPr="0089135C" w:rsidRDefault="00D03833" w:rsidP="00D03833">
      <w:pPr>
        <w:pStyle w:val="Heading4"/>
        <w:rPr>
          <w:lang w:eastAsia="en-US"/>
        </w:rPr>
      </w:pPr>
      <w:r w:rsidRPr="0089135C">
        <w:rPr>
          <w:lang w:eastAsia="en-US"/>
        </w:rPr>
        <w:t>Provision of ‘development infrastructure’</w:t>
      </w:r>
    </w:p>
    <w:p w14:paraId="0C15F377" w14:textId="2AB8A3C6" w:rsidR="00D03833" w:rsidRPr="0089135C" w:rsidRDefault="00D03833" w:rsidP="00D03833">
      <w:pPr>
        <w:pStyle w:val="BodyText"/>
      </w:pPr>
      <w:r w:rsidRPr="0089135C">
        <w:t xml:space="preserve">Local authorities must ensure that development capacity specified in </w:t>
      </w:r>
      <w:r w:rsidR="00A62858">
        <w:t>r</w:t>
      </w:r>
      <w:r w:rsidRPr="0089135C">
        <w:t xml:space="preserve">esource </w:t>
      </w:r>
      <w:r w:rsidR="00A62858">
        <w:t>m</w:t>
      </w:r>
      <w:r w:rsidRPr="0089135C">
        <w:t xml:space="preserve">anagement plans as available in the short term is supported with development infrastructure that is actually in place. Over the medium term, development capacity must have development infrastructure either in place or identified in a </w:t>
      </w:r>
      <w:r w:rsidR="002B506D">
        <w:t>10</w:t>
      </w:r>
      <w:r w:rsidRPr="0089135C">
        <w:t>-year long-term plan under the LGA.</w:t>
      </w:r>
      <w:r w:rsidR="00643625" w:rsidRPr="0089135C">
        <w:t xml:space="preserve"> </w:t>
      </w:r>
      <w:r w:rsidRPr="0089135C">
        <w:t xml:space="preserve">In the long term, development capacity can be </w:t>
      </w:r>
      <w:r w:rsidR="000408B3">
        <w:t>‘</w:t>
      </w:r>
      <w:r w:rsidRPr="0089135C">
        <w:t>future zoned</w:t>
      </w:r>
      <w:r w:rsidR="000408B3">
        <w:t>’</w:t>
      </w:r>
      <w:r w:rsidRPr="0089135C">
        <w:t xml:space="preserve"> and supported by infrastructure that is identified in a 30-year infrastructure plan under the LGA. </w:t>
      </w:r>
    </w:p>
    <w:p w14:paraId="4129DD58" w14:textId="086FBC66" w:rsidR="00D03833" w:rsidRPr="0089135C" w:rsidRDefault="00D03833" w:rsidP="00D03833">
      <w:pPr>
        <w:pStyle w:val="BodyText"/>
      </w:pPr>
      <w:r w:rsidRPr="0089135C">
        <w:t xml:space="preserve">Some of this development infrastructure might be installed or financed privately by agreement with the local authority. The possibility of some private provision of development infrastructure can also </w:t>
      </w:r>
      <w:r w:rsidRPr="0089135C">
        <w:lastRenderedPageBreak/>
        <w:t>be incorporated in the 30-year infrastructure strategy, which is included in local authority long</w:t>
      </w:r>
      <w:r w:rsidR="00FA57A1">
        <w:t>-</w:t>
      </w:r>
      <w:r w:rsidRPr="0089135C">
        <w:t>term plans under the LGA.</w:t>
      </w:r>
      <w:r w:rsidRPr="0089135C">
        <w:rPr>
          <w:rStyle w:val="FootnoteReference"/>
        </w:rPr>
        <w:footnoteReference w:id="2"/>
      </w:r>
      <w:r w:rsidRPr="0089135C">
        <w:t xml:space="preserve"> </w:t>
      </w:r>
    </w:p>
    <w:p w14:paraId="7E1D4CE3" w14:textId="77777777" w:rsidR="0057029A" w:rsidRPr="0089135C" w:rsidRDefault="0057029A" w:rsidP="0057029A">
      <w:pPr>
        <w:pStyle w:val="Heading4"/>
      </w:pPr>
      <w:r w:rsidRPr="0089135C">
        <w:t>Provision of ‘other infrastructure’</w:t>
      </w:r>
    </w:p>
    <w:p w14:paraId="451B8B16" w14:textId="77777777" w:rsidR="0057029A" w:rsidRPr="0089135C" w:rsidRDefault="0057029A" w:rsidP="0057029A">
      <w:pPr>
        <w:pStyle w:val="BodyText"/>
      </w:pPr>
      <w:r w:rsidRPr="0089135C">
        <w:t>Policy PA2 recognises that urban environments need to be serviced by more than just development infrastructure. The policy requires local authorities to “satisfy themselves” that other infrastructure is likely to be available.</w:t>
      </w:r>
      <w:r w:rsidR="00643625" w:rsidRPr="0089135C">
        <w:t xml:space="preserve"> </w:t>
      </w:r>
      <w:r w:rsidRPr="0089135C">
        <w:t>This does not make local authorities accountable for the provision of infrastructure outside their control; rather it requires local authorities to be informed about the likely availability of such infrastructure when they make resource management decisions about where to provide development capacity. To do this, local authorities should consult with providers of other infrastructure and make sure that there are no significant barriers that would mean necessary other infrastructure will almost certainly not be available.</w:t>
      </w:r>
    </w:p>
    <w:p w14:paraId="4CB3B71D" w14:textId="77777777" w:rsidR="0057029A" w:rsidRPr="0089135C" w:rsidRDefault="0057029A" w:rsidP="0057029A">
      <w:pPr>
        <w:pStyle w:val="Heading4"/>
      </w:pPr>
      <w:r w:rsidRPr="0089135C">
        <w:t>Feasible development capacity</w:t>
      </w:r>
    </w:p>
    <w:p w14:paraId="2584B17F" w14:textId="419B43E3" w:rsidR="0057029A" w:rsidRPr="0089135C" w:rsidRDefault="0057029A" w:rsidP="0057029A">
      <w:pPr>
        <w:pStyle w:val="BodyText"/>
      </w:pPr>
      <w:r w:rsidRPr="0089135C">
        <w:t>Policy PA1 directs local authorities to provide development capacity that is feasible in the short, medium and long term. Development capacity is feasible if it is commercially viable to be developed.</w:t>
      </w:r>
      <w:r w:rsidR="00643625" w:rsidRPr="0089135C">
        <w:t xml:space="preserve"> </w:t>
      </w:r>
      <w:r w:rsidRPr="0089135C">
        <w:t xml:space="preserve">This can be calculated by considering the current likely costs, revenue and yield from </w:t>
      </w:r>
      <w:r w:rsidR="004332A8">
        <w:t xml:space="preserve">any </w:t>
      </w:r>
      <w:r w:rsidRPr="0089135C">
        <w:t>develop</w:t>
      </w:r>
      <w:r w:rsidR="004332A8">
        <w:t>ment</w:t>
      </w:r>
      <w:r w:rsidRPr="0089135C">
        <w:t>. Figure 1</w:t>
      </w:r>
      <w:r w:rsidRPr="0089135C">
        <w:rPr>
          <w:rStyle w:val="FootnoteReference"/>
        </w:rPr>
        <w:footnoteReference w:id="3"/>
      </w:r>
      <w:r w:rsidRPr="0089135C">
        <w:t xml:space="preserve"> shows the relationship between development capacity enabled in a plan, development infrastructure that is in place, and development that might be considered commercially feasible to</w:t>
      </w:r>
      <w:r w:rsidR="00986E59">
        <w:t> </w:t>
      </w:r>
      <w:r w:rsidRPr="0089135C">
        <w:t xml:space="preserve">develop. </w:t>
      </w:r>
    </w:p>
    <w:p w14:paraId="6E9A266E" w14:textId="77777777" w:rsidR="0057029A" w:rsidRPr="0089135C" w:rsidRDefault="0057029A" w:rsidP="0057029A">
      <w:pPr>
        <w:pStyle w:val="Figureheading"/>
      </w:pPr>
      <w:bookmarkStart w:id="28" w:name="_Toc465600966"/>
      <w:r w:rsidRPr="0089135C">
        <w:t xml:space="preserve">Figure 1: </w:t>
      </w:r>
      <w:r w:rsidR="00C52BB8" w:rsidRPr="0089135C">
        <w:tab/>
      </w:r>
      <w:r w:rsidRPr="0089135C">
        <w:t>Feasible development capacity as a proportion of plan-enabled capacity</w:t>
      </w:r>
      <w:bookmarkEnd w:id="28"/>
    </w:p>
    <w:p w14:paraId="2AC14D3D" w14:textId="77777777" w:rsidR="0057029A" w:rsidRPr="0089135C" w:rsidRDefault="0057029A" w:rsidP="0057029A">
      <w:pPr>
        <w:pStyle w:val="BodyText"/>
        <w:jc w:val="center"/>
        <w:rPr>
          <w:sz w:val="20"/>
        </w:rPr>
      </w:pPr>
      <w:r w:rsidRPr="0089135C">
        <w:rPr>
          <w:noProof/>
        </w:rPr>
        <w:drawing>
          <wp:inline distT="0" distB="0" distL="0" distR="0" wp14:anchorId="7F37F7DD" wp14:editId="668A34C0">
            <wp:extent cx="3218738" cy="296971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19281" cy="2970215"/>
                    </a:xfrm>
                    <a:prstGeom prst="rect">
                      <a:avLst/>
                    </a:prstGeom>
                    <a:noFill/>
                  </pic:spPr>
                </pic:pic>
              </a:graphicData>
            </a:graphic>
          </wp:inline>
        </w:drawing>
      </w:r>
    </w:p>
    <w:p w14:paraId="45685A0B" w14:textId="77777777" w:rsidR="001C4AAC" w:rsidRDefault="001C4AAC">
      <w:pPr>
        <w:spacing w:before="0" w:after="200" w:line="276" w:lineRule="auto"/>
        <w:jc w:val="left"/>
      </w:pPr>
      <w:r>
        <w:br w:type="page"/>
      </w:r>
    </w:p>
    <w:p w14:paraId="54BCD9A0" w14:textId="4943B44A" w:rsidR="0057029A" w:rsidRPr="0089135C" w:rsidRDefault="0057029A" w:rsidP="0057029A">
      <w:pPr>
        <w:pStyle w:val="BodyText"/>
      </w:pPr>
      <w:r w:rsidRPr="0089135C">
        <w:lastRenderedPageBreak/>
        <w:t>These three things ov</w:t>
      </w:r>
      <w:r w:rsidR="001C4AAC">
        <w:t>erlap but they are not the same. P</w:t>
      </w:r>
      <w:r w:rsidRPr="0089135C">
        <w:t>lans and demand are never perfectly aligned:</w:t>
      </w:r>
    </w:p>
    <w:p w14:paraId="116274A3" w14:textId="77777777" w:rsidR="001C4AAC" w:rsidRDefault="006D0C3A" w:rsidP="006D0C3A">
      <w:pPr>
        <w:pStyle w:val="Bullet"/>
        <w:rPr>
          <w:rFonts w:eastAsiaTheme="minorEastAsia"/>
        </w:rPr>
      </w:pPr>
      <w:r w:rsidRPr="0089135C">
        <w:rPr>
          <w:rFonts w:eastAsiaTheme="minorEastAsia"/>
        </w:rPr>
        <w:t>Some plan-enabled development capacity may not yet be supported by infrastructure that is in place.</w:t>
      </w:r>
      <w:r w:rsidR="00643625" w:rsidRPr="0089135C">
        <w:rPr>
          <w:rFonts w:eastAsiaTheme="minorEastAsia"/>
        </w:rPr>
        <w:t xml:space="preserve"> </w:t>
      </w:r>
      <w:r w:rsidRPr="0089135C">
        <w:rPr>
          <w:rFonts w:eastAsiaTheme="minorEastAsia"/>
        </w:rPr>
        <w:t>However, this infrastructure should be identified in a council’s long</w:t>
      </w:r>
      <w:r w:rsidR="004D2A24">
        <w:rPr>
          <w:rFonts w:eastAsiaTheme="minorEastAsia"/>
        </w:rPr>
        <w:t>-</w:t>
      </w:r>
      <w:r w:rsidRPr="0089135C">
        <w:rPr>
          <w:rFonts w:eastAsiaTheme="minorEastAsia"/>
        </w:rPr>
        <w:t xml:space="preserve">term plan and be in place within a </w:t>
      </w:r>
      <w:r w:rsidR="004D2A24">
        <w:rPr>
          <w:rFonts w:eastAsiaTheme="minorEastAsia"/>
        </w:rPr>
        <w:t>10-</w:t>
      </w:r>
      <w:r w:rsidRPr="0089135C">
        <w:rPr>
          <w:rFonts w:eastAsiaTheme="minorEastAsia"/>
        </w:rPr>
        <w:t>year period.</w:t>
      </w:r>
      <w:r w:rsidR="00643625" w:rsidRPr="0089135C">
        <w:rPr>
          <w:rFonts w:eastAsiaTheme="minorEastAsia"/>
        </w:rPr>
        <w:t xml:space="preserve"> </w:t>
      </w:r>
    </w:p>
    <w:p w14:paraId="6BF5BF5D" w14:textId="09214AC3" w:rsidR="006D0C3A" w:rsidRPr="0089135C" w:rsidRDefault="006D0C3A" w:rsidP="006D0C3A">
      <w:pPr>
        <w:pStyle w:val="Bullet"/>
        <w:rPr>
          <w:rFonts w:eastAsiaTheme="minorEastAsia"/>
        </w:rPr>
      </w:pPr>
      <w:r w:rsidRPr="0089135C">
        <w:rPr>
          <w:rFonts w:eastAsiaTheme="minorEastAsia"/>
        </w:rPr>
        <w:t>On the other hand, in some parts of an urban area the infrastructure that is in place may have spare capacity that could support more development (</w:t>
      </w:r>
      <w:proofErr w:type="spellStart"/>
      <w:r w:rsidRPr="0089135C">
        <w:rPr>
          <w:rFonts w:eastAsiaTheme="minorEastAsia"/>
        </w:rPr>
        <w:t>ie</w:t>
      </w:r>
      <w:proofErr w:type="spellEnd"/>
      <w:r w:rsidR="00D65B2B">
        <w:rPr>
          <w:rFonts w:eastAsiaTheme="minorEastAsia"/>
        </w:rPr>
        <w:t>,</w:t>
      </w:r>
      <w:r w:rsidR="00265CE9">
        <w:rPr>
          <w:rFonts w:eastAsiaTheme="minorEastAsia"/>
        </w:rPr>
        <w:t> </w:t>
      </w:r>
      <w:r w:rsidRPr="0089135C">
        <w:rPr>
          <w:rFonts w:eastAsiaTheme="minorEastAsia"/>
        </w:rPr>
        <w:t xml:space="preserve">greater densities or heights) than the plan allows. </w:t>
      </w:r>
    </w:p>
    <w:p w14:paraId="5D3DE17F" w14:textId="77777777" w:rsidR="001C4AAC" w:rsidRDefault="006D0C3A" w:rsidP="006D0C3A">
      <w:pPr>
        <w:pStyle w:val="Bullet"/>
        <w:rPr>
          <w:rFonts w:eastAsiaTheme="minorEastAsia"/>
        </w:rPr>
      </w:pPr>
      <w:r w:rsidRPr="0089135C">
        <w:rPr>
          <w:rFonts w:eastAsiaTheme="minorEastAsia"/>
        </w:rPr>
        <w:t>It is unlikely that all the development capacity provided by a plan would be considered commercially feasible at a particular point in time.</w:t>
      </w:r>
      <w:r w:rsidR="00643625" w:rsidRPr="0089135C">
        <w:rPr>
          <w:rFonts w:eastAsiaTheme="minorEastAsia"/>
        </w:rPr>
        <w:t xml:space="preserve"> </w:t>
      </w:r>
      <w:r w:rsidRPr="0089135C">
        <w:rPr>
          <w:rFonts w:eastAsiaTheme="minorEastAsia"/>
        </w:rPr>
        <w:t>For example, some capacity might be in locations where demand is lower, or for apartments at a height for which there is not currently a market.</w:t>
      </w:r>
      <w:r w:rsidR="00643625" w:rsidRPr="0089135C">
        <w:rPr>
          <w:rFonts w:eastAsiaTheme="minorEastAsia"/>
        </w:rPr>
        <w:t xml:space="preserve"> </w:t>
      </w:r>
    </w:p>
    <w:p w14:paraId="4DBB56BC" w14:textId="2A00A9FE" w:rsidR="006D0C3A" w:rsidRPr="0089135C" w:rsidRDefault="006D0C3A" w:rsidP="006D0C3A">
      <w:pPr>
        <w:pStyle w:val="Bullet"/>
        <w:rPr>
          <w:rFonts w:eastAsiaTheme="minorEastAsia"/>
        </w:rPr>
      </w:pPr>
      <w:r w:rsidRPr="0089135C">
        <w:rPr>
          <w:rFonts w:eastAsiaTheme="minorEastAsia"/>
        </w:rPr>
        <w:t xml:space="preserve">Conversely, some commercially viable development will fall outside of what the plan allows, where it is judged as not being in the public interest. </w:t>
      </w:r>
    </w:p>
    <w:p w14:paraId="26FB3F31" w14:textId="77777777" w:rsidR="006D0C3A" w:rsidRPr="0089135C" w:rsidRDefault="006D0C3A" w:rsidP="006D0C3A">
      <w:pPr>
        <w:pStyle w:val="BodyText"/>
      </w:pPr>
      <w:r w:rsidRPr="0089135C">
        <w:t xml:space="preserve">How feasibility is calculated for housing or business land will be different, and how feasibility is calculated in different areas may be different depending on the local situation. </w:t>
      </w:r>
    </w:p>
    <w:p w14:paraId="0FB40CED" w14:textId="77777777" w:rsidR="006D0C3A" w:rsidRPr="0089135C" w:rsidRDefault="006D0C3A" w:rsidP="006D0C3A">
      <w:pPr>
        <w:pStyle w:val="BodyText"/>
        <w:rPr>
          <w:b/>
          <w:i/>
        </w:rPr>
      </w:pPr>
      <w:r w:rsidRPr="0089135C">
        <w:rPr>
          <w:b/>
          <w:i/>
        </w:rPr>
        <w:t xml:space="preserve">Information about how to assess the feasibility of development will come as part of further guidance on the housing and business assessment, during the first half of 2017. </w:t>
      </w:r>
    </w:p>
    <w:p w14:paraId="09609693" w14:textId="2457F4B9" w:rsidR="00E150E9" w:rsidRPr="0089135C" w:rsidRDefault="00E150E9" w:rsidP="00265CE9">
      <w:pPr>
        <w:pStyle w:val="Heading3"/>
        <w:spacing w:after="120"/>
      </w:pPr>
      <w:r w:rsidRPr="0089135C">
        <w:t>Policy PA3</w:t>
      </w:r>
      <w:r w:rsidR="00052626">
        <w:t>c</w:t>
      </w:r>
      <w:r w:rsidRPr="0089135C">
        <w:t xml:space="preserve"> (</w:t>
      </w:r>
      <w:r w:rsidR="00265CE9">
        <w:t>C</w:t>
      </w:r>
      <w:r w:rsidRPr="0089135C">
        <w:t>ompetitive operation of land and development markets)</w:t>
      </w:r>
    </w:p>
    <w:p w14:paraId="597D3AE6" w14:textId="77777777" w:rsidR="00E150E9" w:rsidRPr="0089135C" w:rsidRDefault="00E150E9" w:rsidP="00E150E9">
      <w:pPr>
        <w:pStyle w:val="Box"/>
        <w:spacing w:after="0"/>
      </w:pPr>
      <w:r w:rsidRPr="0089135C">
        <w:t>PA3: When making planning decisions that affect the way and the rate at which development capacity is provided, decision-makers shall provide for the social, economic, cultural and environmental wellbeing of people and communities and future generations, whilst having particular regard to:</w:t>
      </w:r>
    </w:p>
    <w:p w14:paraId="34497DEB" w14:textId="77777777" w:rsidR="00E150E9" w:rsidRPr="0089135C" w:rsidRDefault="004E3445" w:rsidP="00F776D1">
      <w:pPr>
        <w:pStyle w:val="Box"/>
        <w:spacing w:before="80"/>
        <w:ind w:left="681" w:hanging="397"/>
      </w:pPr>
      <w:r>
        <w:t>c)</w:t>
      </w:r>
      <w:r>
        <w:tab/>
      </w:r>
      <w:r w:rsidR="00E150E9" w:rsidRPr="0089135C">
        <w:t xml:space="preserve">Limiting as much as possible adverse impacts on the competitive operation of land and development markets. </w:t>
      </w:r>
    </w:p>
    <w:p w14:paraId="02707D96" w14:textId="5D54309A" w:rsidR="00E150E9" w:rsidRPr="0089135C" w:rsidRDefault="00E150E9" w:rsidP="00E150E9">
      <w:pPr>
        <w:pStyle w:val="BodyText"/>
        <w:spacing w:before="240"/>
      </w:pPr>
      <w:r w:rsidRPr="0089135C">
        <w:t>Enabling land and development markets to be more competitive is important because this should put downward pressure on prices and costs. A more competitive environment should also produce higher quality and greater choices in products and services, and encourage innovation and change. Competition is part of a well-functioning market that can help ensure the full range of needs in a community can be met.</w:t>
      </w:r>
    </w:p>
    <w:p w14:paraId="308E9578" w14:textId="43FE1361" w:rsidR="00E150E9" w:rsidRPr="0089135C" w:rsidRDefault="00E150E9" w:rsidP="00E150E9">
      <w:pPr>
        <w:pStyle w:val="BodyText"/>
      </w:pPr>
      <w:r w:rsidRPr="0089135C">
        <w:t xml:space="preserve">Various factors affect </w:t>
      </w:r>
      <w:r w:rsidR="005F15E3">
        <w:t>the competitiveness of</w:t>
      </w:r>
      <w:r w:rsidRPr="0089135C">
        <w:t xml:space="preserve"> land and development markets, including for example how many landowners there are.</w:t>
      </w:r>
      <w:r w:rsidR="00643625" w:rsidRPr="0089135C">
        <w:t xml:space="preserve"> </w:t>
      </w:r>
      <w:r w:rsidRPr="0089135C">
        <w:t>However, planning</w:t>
      </w:r>
      <w:r w:rsidRPr="0089135C">
        <w:rPr>
          <w:rFonts w:ascii="Arial" w:hAnsi="Arial" w:cs="Arial"/>
        </w:rPr>
        <w:t xml:space="preserve"> </w:t>
      </w:r>
      <w:r w:rsidRPr="0089135C">
        <w:t>and public infrastructure provision can have a significant impact. For example, regulations may overly constrain development opportunities and therefore the number of developers that can take them up.</w:t>
      </w:r>
    </w:p>
    <w:p w14:paraId="6908FC5A" w14:textId="0BE40EB4" w:rsidR="00E150E9" w:rsidRPr="0089135C" w:rsidRDefault="00E150E9" w:rsidP="00E150E9">
      <w:pPr>
        <w:pStyle w:val="BodyText"/>
      </w:pPr>
      <w:r w:rsidRPr="0089135C">
        <w:t>Local authorities could give effect to policy PA3</w:t>
      </w:r>
      <w:r w:rsidR="00276CCF">
        <w:t>c</w:t>
      </w:r>
      <w:r w:rsidRPr="0089135C">
        <w:t xml:space="preserve"> by:</w:t>
      </w:r>
    </w:p>
    <w:p w14:paraId="18C5FEC9" w14:textId="01B2D0C2" w:rsidR="00E150E9" w:rsidRPr="0089135C" w:rsidRDefault="005D6313" w:rsidP="00E150E9">
      <w:pPr>
        <w:pStyle w:val="Bullet"/>
      </w:pPr>
      <w:r>
        <w:t>u</w:t>
      </w:r>
      <w:r w:rsidR="00E150E9" w:rsidRPr="0089135C">
        <w:t>sing non-regulatory approaches to achieving some outcomes, so that the cumulative effect of regulations leaves plenty of scope for development in a range of locations</w:t>
      </w:r>
    </w:p>
    <w:p w14:paraId="7ECC22AF" w14:textId="36B0B662" w:rsidR="00E150E9" w:rsidRPr="0089135C" w:rsidRDefault="005D6313" w:rsidP="00E150E9">
      <w:pPr>
        <w:pStyle w:val="Bullet"/>
      </w:pPr>
      <w:r>
        <w:t>m</w:t>
      </w:r>
      <w:r w:rsidR="00E150E9" w:rsidRPr="0089135C">
        <w:t>inimising uncertainty about the impact of regulations on development opportunities, by keeping regulations simple and unambiguous and undertaking plan changes quickly</w:t>
      </w:r>
    </w:p>
    <w:p w14:paraId="785B8038" w14:textId="3451A186" w:rsidR="00E150E9" w:rsidRPr="0089135C" w:rsidRDefault="00624FA8" w:rsidP="00E150E9">
      <w:pPr>
        <w:pStyle w:val="Bullet"/>
      </w:pPr>
      <w:proofErr w:type="gramStart"/>
      <w:r>
        <w:t>e</w:t>
      </w:r>
      <w:r w:rsidR="00E150E9" w:rsidRPr="0089135C">
        <w:t>nsuring</w:t>
      </w:r>
      <w:proofErr w:type="gramEnd"/>
      <w:r w:rsidR="00E150E9" w:rsidRPr="0089135C">
        <w:t xml:space="preserve"> consenting processes are clear, coordinated and speedy, to keep the additional costs of doing development to a minimum.</w:t>
      </w:r>
    </w:p>
    <w:p w14:paraId="6952CCDE" w14:textId="66F645A4" w:rsidR="00E150E9" w:rsidRPr="0089135C" w:rsidRDefault="00E150E9" w:rsidP="00E150E9">
      <w:pPr>
        <w:pStyle w:val="BodyText"/>
      </w:pPr>
      <w:r w:rsidRPr="0089135C">
        <w:lastRenderedPageBreak/>
        <w:t xml:space="preserve">Policy PB7 requires high- and medium-growth local authorities to monitor indicators of price efficiency (see page </w:t>
      </w:r>
      <w:r w:rsidR="00276CCF">
        <w:t>2</w:t>
      </w:r>
      <w:r w:rsidR="009D227D">
        <w:t>1</w:t>
      </w:r>
      <w:r w:rsidRPr="0089135C">
        <w:t>).</w:t>
      </w:r>
      <w:r w:rsidR="00643625" w:rsidRPr="0089135C">
        <w:t xml:space="preserve"> </w:t>
      </w:r>
      <w:r w:rsidRPr="0089135C">
        <w:t>These indicators will provide information about how competitive the local land and development markets are, and how planning might be affecting this.</w:t>
      </w:r>
    </w:p>
    <w:p w14:paraId="288A497A" w14:textId="053A39AC" w:rsidR="00E150E9" w:rsidRPr="0089135C" w:rsidRDefault="00E150E9" w:rsidP="00E150E9">
      <w:pPr>
        <w:pStyle w:val="BodyText"/>
        <w:rPr>
          <w:b/>
          <w:i/>
        </w:rPr>
      </w:pPr>
      <w:r w:rsidRPr="0089135C">
        <w:rPr>
          <w:b/>
          <w:i/>
        </w:rPr>
        <w:t xml:space="preserve">Further guidance will be provided </w:t>
      </w:r>
      <w:r w:rsidR="005F15E3">
        <w:rPr>
          <w:b/>
          <w:i/>
        </w:rPr>
        <w:t>in 2017</w:t>
      </w:r>
      <w:r w:rsidRPr="0089135C">
        <w:rPr>
          <w:b/>
          <w:i/>
        </w:rPr>
        <w:t>about how to give effect to policy PA3C as part of work on more enabling and responsive plans that provide sufficient development capacity.</w:t>
      </w:r>
    </w:p>
    <w:p w14:paraId="5C318537" w14:textId="6D50C3B2" w:rsidR="009476EC" w:rsidRPr="0089135C" w:rsidRDefault="009476EC" w:rsidP="00B22228">
      <w:pPr>
        <w:pStyle w:val="Heading3"/>
        <w:spacing w:after="120"/>
      </w:pPr>
      <w:r w:rsidRPr="0089135C">
        <w:t>Policy PA4b (</w:t>
      </w:r>
      <w:r w:rsidR="0074388F">
        <w:t>N</w:t>
      </w:r>
      <w:r w:rsidRPr="0089135C">
        <w:t>ational costs and benefits of urban development)</w:t>
      </w:r>
    </w:p>
    <w:p w14:paraId="72D07C26" w14:textId="77777777" w:rsidR="009476EC" w:rsidRPr="0089135C" w:rsidRDefault="009476EC" w:rsidP="009476EC">
      <w:pPr>
        <w:pStyle w:val="Box"/>
        <w:spacing w:after="0"/>
      </w:pPr>
      <w:bookmarkStart w:id="29" w:name="_Ref459802401"/>
      <w:r w:rsidRPr="0089135C">
        <w:t>PA1: When considering the effects of urban development, decision-makers shall take into account:</w:t>
      </w:r>
      <w:bookmarkEnd w:id="29"/>
    </w:p>
    <w:p w14:paraId="4337B098" w14:textId="77777777" w:rsidR="009476EC" w:rsidRPr="0089135C" w:rsidRDefault="009476EC" w:rsidP="00F776D1">
      <w:pPr>
        <w:pStyle w:val="Box"/>
        <w:spacing w:before="80"/>
        <w:ind w:left="681" w:hanging="397"/>
      </w:pPr>
      <w:r w:rsidRPr="0089135C">
        <w:t xml:space="preserve">b) </w:t>
      </w:r>
      <w:r w:rsidRPr="0089135C">
        <w:tab/>
        <w:t xml:space="preserve">The benefits and costs of urban development at a national, inter-regional, regional and district scale, as well as the local effects. </w:t>
      </w:r>
    </w:p>
    <w:p w14:paraId="3FCAA44D" w14:textId="77777777" w:rsidR="000C66D2" w:rsidRPr="0089135C" w:rsidRDefault="009476EC" w:rsidP="000C66D2">
      <w:pPr>
        <w:pStyle w:val="BodyText"/>
      </w:pPr>
      <w:r w:rsidRPr="0089135C">
        <w:t>PA4b directs decision-makers to take into account national and interregional benefits and costs (as well as those at the regional, district and local level) when considering the effects of urban development.</w:t>
      </w:r>
      <w:r w:rsidR="000C66D2" w:rsidRPr="000C66D2">
        <w:t xml:space="preserve"> </w:t>
      </w:r>
      <w:r w:rsidR="000C66D2" w:rsidRPr="0089135C">
        <w:t>This policy reflects the impacts of local urban planning decisions on neighbouring areas, and on New</w:t>
      </w:r>
      <w:r w:rsidR="000C66D2">
        <w:t> </w:t>
      </w:r>
      <w:r w:rsidR="000C66D2" w:rsidRPr="0089135C">
        <w:t xml:space="preserve">Zealand as a whole. </w:t>
      </w:r>
    </w:p>
    <w:p w14:paraId="22F1E1D7" w14:textId="7E5AFC40" w:rsidR="000C66D2" w:rsidRPr="0089135C" w:rsidRDefault="000C66D2" w:rsidP="000C66D2">
      <w:pPr>
        <w:pStyle w:val="BodyText"/>
      </w:pPr>
      <w:r>
        <w:t>Decision-makers could give effect to this policy via section 32 evaluation reports accompanying significant planning decisions.  These reports should consider t</w:t>
      </w:r>
      <w:r w:rsidRPr="0089135C">
        <w:t xml:space="preserve">he national </w:t>
      </w:r>
      <w:r>
        <w:t>impacts of these decisions such as:</w:t>
      </w:r>
    </w:p>
    <w:p w14:paraId="3471A775" w14:textId="77777777" w:rsidR="000C66D2" w:rsidRPr="0089135C" w:rsidRDefault="000C66D2" w:rsidP="000C66D2">
      <w:pPr>
        <w:pStyle w:val="Bullet"/>
      </w:pPr>
      <w:r w:rsidRPr="0089135C">
        <w:t>the fiscal cost of increasing welfare expenditure for those who cannot afford increasingly high rents and house prices</w:t>
      </w:r>
    </w:p>
    <w:p w14:paraId="07320FBF" w14:textId="77777777" w:rsidR="000C66D2" w:rsidRPr="0089135C" w:rsidRDefault="000C66D2" w:rsidP="000C66D2">
      <w:pPr>
        <w:pStyle w:val="Bullet"/>
      </w:pPr>
      <w:r w:rsidRPr="0089135C">
        <w:t>loss of productivity, as workers and business people migrate away from areas with high house prices and rents</w:t>
      </w:r>
    </w:p>
    <w:p w14:paraId="2692B681" w14:textId="77777777" w:rsidR="000C66D2" w:rsidRPr="0089135C" w:rsidRDefault="000C66D2" w:rsidP="000C66D2">
      <w:pPr>
        <w:pStyle w:val="Bullet"/>
      </w:pPr>
      <w:r w:rsidRPr="0089135C">
        <w:t>housing investment crowding out investment in other economic activities and pushing up interest rates and the exchange rate</w:t>
      </w:r>
    </w:p>
    <w:p w14:paraId="65703B78" w14:textId="77777777" w:rsidR="000C66D2" w:rsidRPr="0089135C" w:rsidRDefault="000C66D2" w:rsidP="000C66D2">
      <w:pPr>
        <w:pStyle w:val="Bullet"/>
      </w:pPr>
      <w:proofErr w:type="gramStart"/>
      <w:r w:rsidRPr="0089135C">
        <w:t>increased</w:t>
      </w:r>
      <w:proofErr w:type="gramEnd"/>
      <w:r w:rsidRPr="0089135C">
        <w:t xml:space="preserve"> house price volatility and reduced macro-economic stability.</w:t>
      </w:r>
    </w:p>
    <w:p w14:paraId="21958BF9" w14:textId="02BC193F" w:rsidR="000C66D2" w:rsidRPr="0089135C" w:rsidRDefault="000C66D2" w:rsidP="000C66D2">
      <w:pPr>
        <w:pStyle w:val="BodyText"/>
      </w:pPr>
      <w:r w:rsidRPr="0089135C">
        <w:t>Decision-makers assessing the effects of smaller urban planning decisions should consider the cumulative national impact of such decisions.</w:t>
      </w:r>
    </w:p>
    <w:p w14:paraId="6C739588" w14:textId="77777777" w:rsidR="000F0A6A" w:rsidRPr="0089135C" w:rsidRDefault="000F0A6A">
      <w:pPr>
        <w:spacing w:before="0" w:after="200" w:line="276" w:lineRule="auto"/>
        <w:jc w:val="left"/>
      </w:pPr>
      <w:r w:rsidRPr="0089135C">
        <w:br w:type="page"/>
      </w:r>
    </w:p>
    <w:p w14:paraId="293C8396" w14:textId="5C6BC207" w:rsidR="006E0C80" w:rsidRPr="0089135C" w:rsidRDefault="00E61FB6" w:rsidP="00E61FB6">
      <w:pPr>
        <w:pStyle w:val="Heading1"/>
      </w:pPr>
      <w:bookmarkStart w:id="30" w:name="_Toc465349927"/>
      <w:bookmarkStart w:id="31" w:name="_Toc465600903"/>
      <w:r w:rsidRPr="0089135C">
        <w:lastRenderedPageBreak/>
        <w:t>3</w:t>
      </w:r>
      <w:r w:rsidRPr="0089135C">
        <w:tab/>
        <w:t>Requirements of medium</w:t>
      </w:r>
      <w:r w:rsidR="002674D1">
        <w:t>-</w:t>
      </w:r>
      <w:r w:rsidRPr="0089135C">
        <w:t xml:space="preserve"> and high</w:t>
      </w:r>
      <w:r w:rsidR="002674D1">
        <w:t>-</w:t>
      </w:r>
      <w:r w:rsidRPr="0089135C">
        <w:t>growth urban areas</w:t>
      </w:r>
      <w:bookmarkEnd w:id="30"/>
      <w:bookmarkEnd w:id="31"/>
    </w:p>
    <w:p w14:paraId="1190CAAA" w14:textId="41A5CC5F" w:rsidR="00E61FB6" w:rsidRPr="0089135C" w:rsidRDefault="00E61FB6" w:rsidP="00E61FB6">
      <w:pPr>
        <w:pStyle w:val="BodyText"/>
      </w:pPr>
      <w:r w:rsidRPr="0089135C">
        <w:t>Local authorities that have all or part of a medium</w:t>
      </w:r>
      <w:r w:rsidR="00FC13B1">
        <w:t>-</w:t>
      </w:r>
      <w:r w:rsidRPr="0089135C">
        <w:t xml:space="preserve"> or high</w:t>
      </w:r>
      <w:r w:rsidR="00FC13B1">
        <w:t>-</w:t>
      </w:r>
      <w:r w:rsidRPr="0089135C">
        <w:t>growth urban area in their district or region must give effect to policies PB1</w:t>
      </w:r>
      <w:r w:rsidR="00FC13B1">
        <w:t>–PB</w:t>
      </w:r>
      <w:r w:rsidRPr="0089135C">
        <w:t>7, PC1</w:t>
      </w:r>
      <w:r w:rsidR="00FC13B1">
        <w:t>–PC</w:t>
      </w:r>
      <w:r w:rsidRPr="0089135C">
        <w:t>4 and PD1</w:t>
      </w:r>
      <w:r w:rsidR="00FC13B1">
        <w:t>–PD</w:t>
      </w:r>
      <w:r w:rsidRPr="0089135C">
        <w:t>2, in addition to the objectives and policies that apply to all local authorities.</w:t>
      </w:r>
      <w:r w:rsidR="00643625" w:rsidRPr="0089135C">
        <w:t xml:space="preserve"> </w:t>
      </w:r>
    </w:p>
    <w:p w14:paraId="7ABBA5EF" w14:textId="109E3919" w:rsidR="00E61FB6" w:rsidRPr="0089135C" w:rsidRDefault="00E61FB6" w:rsidP="00E61FB6">
      <w:pPr>
        <w:pStyle w:val="Heading2"/>
      </w:pPr>
      <w:bookmarkStart w:id="32" w:name="_Toc465349928"/>
      <w:bookmarkStart w:id="33" w:name="_Toc465600904"/>
      <w:r w:rsidRPr="0089135C">
        <w:t>Policies PB1</w:t>
      </w:r>
      <w:r w:rsidR="0094683E">
        <w:t>–PB</w:t>
      </w:r>
      <w:r w:rsidRPr="0089135C">
        <w:t>7: Evidence and monitoring to support planning</w:t>
      </w:r>
      <w:r w:rsidR="004E3445">
        <w:t> </w:t>
      </w:r>
      <w:r w:rsidRPr="0089135C">
        <w:t>decisions</w:t>
      </w:r>
      <w:bookmarkEnd w:id="32"/>
      <w:bookmarkEnd w:id="33"/>
    </w:p>
    <w:p w14:paraId="0BD9BB49" w14:textId="77777777" w:rsidR="00E61FB6" w:rsidRPr="0089135C" w:rsidRDefault="00E61FB6" w:rsidP="00E61FB6">
      <w:pPr>
        <w:pStyle w:val="BodyText"/>
      </w:pPr>
      <w:r w:rsidRPr="0089135C">
        <w:t>The NPS-UDC requires high- and medium-growth local authorities to prepare comprehensive housing and business development capacity assessments every three years, and to monitor market indicators on a frequent basis.</w:t>
      </w:r>
    </w:p>
    <w:p w14:paraId="3AF2A3EE" w14:textId="21012CBB" w:rsidR="00E61FB6" w:rsidRPr="0089135C" w:rsidRDefault="00E61FB6" w:rsidP="00E61FB6">
      <w:pPr>
        <w:pStyle w:val="BodyText"/>
      </w:pPr>
      <w:r w:rsidRPr="0089135C">
        <w:t>This is to ensure that local authorities have a quality base of information on which to make decisions that affect development capacity and</w:t>
      </w:r>
      <w:r w:rsidR="00E65FF9">
        <w:t>,</w:t>
      </w:r>
      <w:r w:rsidRPr="0089135C">
        <w:t xml:space="preserve"> ultimately</w:t>
      </w:r>
      <w:r w:rsidR="00E65FF9">
        <w:t>,</w:t>
      </w:r>
      <w:r w:rsidRPr="0089135C">
        <w:t xml:space="preserve"> the supply and price of housing and business space.</w:t>
      </w:r>
    </w:p>
    <w:p w14:paraId="0987B516" w14:textId="7624502A" w:rsidR="00E61FB6" w:rsidRPr="0089135C" w:rsidRDefault="00E61FB6" w:rsidP="00E61FB6">
      <w:pPr>
        <w:pStyle w:val="BodyText"/>
      </w:pPr>
      <w:r w:rsidRPr="0089135C">
        <w:t>The NPS-UDC specifies what should be included in the housing and business assessments, as well as some of the market indicators that must be monitored.</w:t>
      </w:r>
      <w:r w:rsidR="00643625" w:rsidRPr="0089135C">
        <w:t xml:space="preserve"> </w:t>
      </w:r>
      <w:r w:rsidR="00AE7410">
        <w:t>H</w:t>
      </w:r>
      <w:r w:rsidR="00AE7410" w:rsidRPr="0089135C">
        <w:t>oweve</w:t>
      </w:r>
      <w:r w:rsidR="00AE7410">
        <w:t>r, i</w:t>
      </w:r>
      <w:r w:rsidRPr="0089135C">
        <w:t>t does not spell out how to do</w:t>
      </w:r>
      <w:r w:rsidR="00AE7410">
        <w:t xml:space="preserve"> the assessments or monitoring.</w:t>
      </w:r>
      <w:r w:rsidRPr="0089135C">
        <w:t xml:space="preserve"> </w:t>
      </w:r>
    </w:p>
    <w:p w14:paraId="054D2069" w14:textId="62497DEE" w:rsidR="00E61FB6" w:rsidRPr="0089135C" w:rsidRDefault="00E61FB6" w:rsidP="009F72AA">
      <w:pPr>
        <w:pStyle w:val="Heading3"/>
        <w:spacing w:after="120"/>
      </w:pPr>
      <w:r w:rsidRPr="0089135C">
        <w:t>Policies PB1–</w:t>
      </w:r>
      <w:r w:rsidR="008661F6">
        <w:t>PB</w:t>
      </w:r>
      <w:r w:rsidRPr="0089135C">
        <w:t>5 (Housing and business development capacity assessment)</w:t>
      </w:r>
    </w:p>
    <w:p w14:paraId="7AE10B45" w14:textId="77777777" w:rsidR="009F72AA" w:rsidRPr="0089135C" w:rsidRDefault="009F72AA" w:rsidP="009F72AA">
      <w:pPr>
        <w:pStyle w:val="Box"/>
        <w:spacing w:after="0"/>
      </w:pPr>
      <w:r w:rsidRPr="0089135C">
        <w:t xml:space="preserve">Policies PB1 to PB7 apply to all local authorities that have part, or all, of either a medium-growth urban area or high-growth urban area within their district or region. </w:t>
      </w:r>
    </w:p>
    <w:p w14:paraId="267A5FF0" w14:textId="77777777" w:rsidR="009F72AA" w:rsidRPr="0089135C" w:rsidRDefault="009F72AA" w:rsidP="009F72AA">
      <w:pPr>
        <w:pStyle w:val="Box"/>
        <w:spacing w:after="0"/>
      </w:pPr>
      <w:r w:rsidRPr="0089135C">
        <w:t>The application of these policies is not restricted to the boundaries of the urban area.</w:t>
      </w:r>
    </w:p>
    <w:p w14:paraId="3FBF360E" w14:textId="77777777" w:rsidR="009F72AA" w:rsidRPr="0089135C" w:rsidRDefault="009F72AA" w:rsidP="009F72AA">
      <w:pPr>
        <w:pStyle w:val="Box"/>
        <w:spacing w:after="0"/>
      </w:pPr>
      <w:bookmarkStart w:id="34" w:name="_Ref459803053"/>
      <w:r w:rsidRPr="0089135C">
        <w:t>PB1: Local authorities shall, on at least a three-yearly basis, carry out a housing and business development capacity assessment that:</w:t>
      </w:r>
      <w:bookmarkEnd w:id="34"/>
    </w:p>
    <w:p w14:paraId="258995F2" w14:textId="387105E1" w:rsidR="009F72AA" w:rsidRPr="0089135C" w:rsidRDefault="006550B8" w:rsidP="00F776D1">
      <w:pPr>
        <w:pStyle w:val="Box"/>
        <w:spacing w:before="60" w:after="0"/>
        <w:ind w:left="681" w:hanging="397"/>
      </w:pPr>
      <w:r w:rsidRPr="0089135C">
        <w:t>a)</w:t>
      </w:r>
      <w:r w:rsidRPr="0089135C">
        <w:tab/>
      </w:r>
      <w:r w:rsidR="009F72AA" w:rsidRPr="0089135C">
        <w:t>Estimates the demand for dwellings, including the demand for different types of dwellings, locations and price points, and the supply of development capacity to meet that demand, in the short, medium and long-terms; and</w:t>
      </w:r>
    </w:p>
    <w:p w14:paraId="2A4A3D1B" w14:textId="77777777" w:rsidR="009F72AA" w:rsidRPr="0089135C" w:rsidRDefault="006550B8" w:rsidP="00F776D1">
      <w:pPr>
        <w:pStyle w:val="Box"/>
        <w:spacing w:before="60" w:after="0"/>
        <w:ind w:left="681" w:hanging="397"/>
      </w:pPr>
      <w:r w:rsidRPr="0089135C">
        <w:t>b)</w:t>
      </w:r>
      <w:r w:rsidRPr="0089135C">
        <w:tab/>
      </w:r>
      <w:r w:rsidR="009F72AA" w:rsidRPr="0089135C">
        <w:t>Estimates the demand for the different types and locations of business land and floor area for</w:t>
      </w:r>
      <w:r w:rsidR="00643625" w:rsidRPr="0089135C">
        <w:t xml:space="preserve"> </w:t>
      </w:r>
      <w:r w:rsidR="009F72AA" w:rsidRPr="0089135C">
        <w:t>businesses, and the supply of development capacity to meet that demand, in the short, medium and long-terms; and</w:t>
      </w:r>
    </w:p>
    <w:p w14:paraId="7D1706A0" w14:textId="77777777" w:rsidR="009F72AA" w:rsidRPr="0089135C" w:rsidRDefault="006550B8" w:rsidP="00F776D1">
      <w:pPr>
        <w:pStyle w:val="Box"/>
        <w:spacing w:before="60" w:after="0"/>
        <w:ind w:left="681" w:hanging="397"/>
      </w:pPr>
      <w:r w:rsidRPr="0089135C">
        <w:t>c)</w:t>
      </w:r>
      <w:r w:rsidRPr="0089135C">
        <w:tab/>
      </w:r>
      <w:r w:rsidR="009F72AA" w:rsidRPr="0089135C">
        <w:t xml:space="preserve">Assesses interactions between housing and business activities, and their impacts on each other. </w:t>
      </w:r>
    </w:p>
    <w:p w14:paraId="776635D0" w14:textId="4D836C27" w:rsidR="009F72AA" w:rsidRPr="0089135C" w:rsidRDefault="009F72AA" w:rsidP="006550B8">
      <w:pPr>
        <w:pStyle w:val="Box"/>
        <w:keepNext/>
        <w:spacing w:after="0"/>
      </w:pPr>
      <w:r w:rsidRPr="0089135C">
        <w:t>Local authorities are encouraged to publish the assessment under policy PB1</w:t>
      </w:r>
      <w:r w:rsidR="002503DC">
        <w:t>.</w:t>
      </w:r>
      <w:r w:rsidRPr="0089135C">
        <w:t xml:space="preserve"> </w:t>
      </w:r>
    </w:p>
    <w:p w14:paraId="272B58FC" w14:textId="77777777" w:rsidR="009F72AA" w:rsidRPr="0089135C" w:rsidRDefault="009F72AA" w:rsidP="009F72AA">
      <w:pPr>
        <w:pStyle w:val="Box"/>
        <w:spacing w:after="0"/>
      </w:pPr>
      <w:r w:rsidRPr="0089135C">
        <w:t>PB2: The assessment under policy PB1 shall use information about demand including:</w:t>
      </w:r>
    </w:p>
    <w:p w14:paraId="45018F18" w14:textId="77777777" w:rsidR="009F72AA" w:rsidRPr="0089135C" w:rsidRDefault="006550B8" w:rsidP="00F776D1">
      <w:pPr>
        <w:pStyle w:val="Box"/>
        <w:spacing w:before="60" w:after="0"/>
        <w:ind w:left="681" w:hanging="397"/>
      </w:pPr>
      <w:r w:rsidRPr="0089135C">
        <w:t>a)</w:t>
      </w:r>
      <w:r w:rsidRPr="0089135C">
        <w:tab/>
      </w:r>
      <w:r w:rsidR="009F72AA" w:rsidRPr="0089135C">
        <w:t>Demographic change using, as a starting point, the most recent Statistics New Zealand population projections;</w:t>
      </w:r>
    </w:p>
    <w:p w14:paraId="67DB537F" w14:textId="77777777" w:rsidR="009F72AA" w:rsidRPr="0089135C" w:rsidRDefault="006550B8" w:rsidP="00F776D1">
      <w:pPr>
        <w:pStyle w:val="Box"/>
        <w:spacing w:before="60" w:after="0"/>
        <w:ind w:left="681" w:hanging="397"/>
      </w:pPr>
      <w:r w:rsidRPr="0089135C">
        <w:t>b)</w:t>
      </w:r>
      <w:r w:rsidRPr="0089135C">
        <w:tab/>
      </w:r>
      <w:r w:rsidR="009F72AA" w:rsidRPr="0089135C">
        <w:t>Future changes in the business activities of the local economy and the impacts that this might have on demand for housing and business land; and</w:t>
      </w:r>
    </w:p>
    <w:p w14:paraId="641F2FC9" w14:textId="77777777" w:rsidR="009F72AA" w:rsidRPr="0089135C" w:rsidRDefault="006550B8" w:rsidP="00F776D1">
      <w:pPr>
        <w:pStyle w:val="Box"/>
        <w:spacing w:before="60"/>
        <w:ind w:left="681" w:hanging="397"/>
      </w:pPr>
      <w:r w:rsidRPr="0089135C">
        <w:t>c)</w:t>
      </w:r>
      <w:r w:rsidRPr="0089135C">
        <w:tab/>
      </w:r>
      <w:r w:rsidR="009F72AA" w:rsidRPr="0089135C">
        <w:t xml:space="preserve">Market indicators monitored under PB6 and PB7. </w:t>
      </w:r>
    </w:p>
    <w:p w14:paraId="1B792D81" w14:textId="77777777" w:rsidR="009F72AA" w:rsidRPr="0089135C" w:rsidRDefault="009F72AA" w:rsidP="009F72AA">
      <w:pPr>
        <w:pStyle w:val="Box"/>
        <w:spacing w:after="0"/>
      </w:pPr>
      <w:r w:rsidRPr="0089135C">
        <w:lastRenderedPageBreak/>
        <w:t>PB3: The assessment under policy PB1 shall estimate the sufficiency of development capacity provided by the relevant local authority plans and proposed and operative regional policy statements, and Long Term Plans and Infrastructure Strategies prepared under the Local Government Act 2002, including:</w:t>
      </w:r>
    </w:p>
    <w:p w14:paraId="12D36E88" w14:textId="4AD14471" w:rsidR="009F72AA" w:rsidRPr="0089135C" w:rsidRDefault="00334F6E" w:rsidP="00F776D1">
      <w:pPr>
        <w:pStyle w:val="Box"/>
        <w:spacing w:before="60" w:after="0"/>
        <w:ind w:left="681" w:hanging="397"/>
      </w:pPr>
      <w:r w:rsidRPr="0089135C">
        <w:t>a)</w:t>
      </w:r>
      <w:r w:rsidRPr="0089135C">
        <w:tab/>
      </w:r>
      <w:r w:rsidR="009F72AA" w:rsidRPr="0089135C">
        <w:t>The cumulative effect of all zoning, objectives, policies, rules and overlays and existing designations in plans, and the effect this will have on opportunities for development being taken</w:t>
      </w:r>
      <w:r w:rsidR="002503DC">
        <w:t> </w:t>
      </w:r>
      <w:r w:rsidR="009F72AA" w:rsidRPr="0089135C">
        <w:t>up;</w:t>
      </w:r>
    </w:p>
    <w:p w14:paraId="54440184" w14:textId="77777777" w:rsidR="009F72AA" w:rsidRPr="0089135C" w:rsidRDefault="00334F6E" w:rsidP="00F776D1">
      <w:pPr>
        <w:pStyle w:val="Box"/>
        <w:spacing w:before="60" w:after="0"/>
        <w:ind w:left="681" w:hanging="397"/>
      </w:pPr>
      <w:r w:rsidRPr="0089135C">
        <w:t>b)</w:t>
      </w:r>
      <w:r w:rsidRPr="0089135C">
        <w:tab/>
      </w:r>
      <w:r w:rsidR="009F72AA" w:rsidRPr="0089135C">
        <w:t>The actual and likely availability of development infrastructure and other infrastructure in the short, medium and long term as set out under PA1;</w:t>
      </w:r>
    </w:p>
    <w:p w14:paraId="4FFB01F0" w14:textId="77777777" w:rsidR="009F72AA" w:rsidRPr="0089135C" w:rsidRDefault="00334F6E" w:rsidP="00F776D1">
      <w:pPr>
        <w:pStyle w:val="Box"/>
        <w:spacing w:before="60" w:after="0"/>
        <w:ind w:left="681" w:hanging="397"/>
      </w:pPr>
      <w:r w:rsidRPr="0089135C">
        <w:t>c)</w:t>
      </w:r>
      <w:r w:rsidRPr="0089135C">
        <w:tab/>
      </w:r>
      <w:r w:rsidR="009F72AA" w:rsidRPr="0089135C">
        <w:t xml:space="preserve">The current feasibility of development capacity; </w:t>
      </w:r>
    </w:p>
    <w:p w14:paraId="6B863DFC" w14:textId="77777777" w:rsidR="009F72AA" w:rsidRPr="0089135C" w:rsidRDefault="00334F6E" w:rsidP="00F776D1">
      <w:pPr>
        <w:pStyle w:val="Box"/>
        <w:spacing w:before="60" w:after="0"/>
        <w:ind w:left="681" w:hanging="397"/>
      </w:pPr>
      <w:r w:rsidRPr="0089135C">
        <w:t>d)</w:t>
      </w:r>
      <w:r w:rsidRPr="0089135C">
        <w:tab/>
      </w:r>
      <w:r w:rsidR="009F72AA" w:rsidRPr="0089135C">
        <w:t>The rate of take up of development capacity, observed over the past 10 years and estimated for the future; and</w:t>
      </w:r>
    </w:p>
    <w:p w14:paraId="1804D8AC" w14:textId="77777777" w:rsidR="009F72AA" w:rsidRPr="0089135C" w:rsidRDefault="00334F6E" w:rsidP="00F776D1">
      <w:pPr>
        <w:pStyle w:val="Box"/>
        <w:spacing w:before="60"/>
        <w:ind w:left="681" w:hanging="397"/>
      </w:pPr>
      <w:r w:rsidRPr="0089135C">
        <w:t>e)</w:t>
      </w:r>
      <w:r w:rsidRPr="0089135C">
        <w:tab/>
      </w:r>
      <w:r w:rsidR="009F72AA" w:rsidRPr="0089135C">
        <w:t>The market’s response to planning decisions, obtained through monitoring under policies PB6 and</w:t>
      </w:r>
      <w:r w:rsidR="00F776D1">
        <w:t> </w:t>
      </w:r>
      <w:r w:rsidR="009F72AA" w:rsidRPr="0089135C">
        <w:t>PB7.</w:t>
      </w:r>
    </w:p>
    <w:p w14:paraId="0CF8F629" w14:textId="77777777" w:rsidR="009F72AA" w:rsidRPr="0089135C" w:rsidRDefault="009F72AA" w:rsidP="009F72AA">
      <w:pPr>
        <w:pStyle w:val="Box"/>
        <w:spacing w:after="0"/>
      </w:pPr>
      <w:r w:rsidRPr="0089135C">
        <w:t>PB4: The assessment under policy PB1 shall estimate the additional development capacity needed if any of the factors in PB3 indicate that the supply of development capacity is not likely to meet demand in the short, medium or long term.</w:t>
      </w:r>
    </w:p>
    <w:p w14:paraId="460834CC" w14:textId="77777777" w:rsidR="009F72AA" w:rsidRPr="0089135C" w:rsidRDefault="009F72AA" w:rsidP="009F72AA">
      <w:pPr>
        <w:pStyle w:val="Box"/>
      </w:pPr>
      <w:bookmarkStart w:id="35" w:name="_Ref459808496"/>
      <w:r w:rsidRPr="0089135C">
        <w:t xml:space="preserve">PB5: In carrying out the assessment under policy PB1, local authorities shall seek and use the input of iwi authorities, the property development sector, significant land owners, social housing providers, requiring authorities, and the providers of development infrastructure and other infrastructure. </w:t>
      </w:r>
    </w:p>
    <w:bookmarkEnd w:id="35"/>
    <w:p w14:paraId="43DE4EE6" w14:textId="451DC1B3" w:rsidR="00334F6E" w:rsidRPr="0089135C" w:rsidRDefault="00334F6E" w:rsidP="00334F6E">
      <w:pPr>
        <w:pStyle w:val="BodyText"/>
        <w:spacing w:before="240"/>
      </w:pPr>
      <w:r w:rsidRPr="0089135C">
        <w:t>Policies PB1–</w:t>
      </w:r>
      <w:r w:rsidR="002503DC">
        <w:t>PB</w:t>
      </w:r>
      <w:r w:rsidRPr="0089135C">
        <w:t xml:space="preserve">5 </w:t>
      </w:r>
      <w:proofErr w:type="gramStart"/>
      <w:r w:rsidRPr="0089135C">
        <w:t>spell</w:t>
      </w:r>
      <w:proofErr w:type="gramEnd"/>
      <w:r w:rsidRPr="0089135C">
        <w:t xml:space="preserve"> out what the housing and business development capacity assessments should cover and what data they should draw on.</w:t>
      </w:r>
      <w:r w:rsidR="00643625" w:rsidRPr="0089135C">
        <w:t xml:space="preserve"> </w:t>
      </w:r>
    </w:p>
    <w:p w14:paraId="4285B0C3" w14:textId="219CB99C" w:rsidR="00334F6E" w:rsidRPr="0089135C" w:rsidRDefault="00334F6E" w:rsidP="00334F6E">
      <w:pPr>
        <w:pStyle w:val="BodyText"/>
      </w:pPr>
      <w:r w:rsidRPr="0089135C">
        <w:t xml:space="preserve">These assessments will build on information that local authorities already gather </w:t>
      </w:r>
      <w:r w:rsidR="00AC5F71">
        <w:t xml:space="preserve">both </w:t>
      </w:r>
      <w:r w:rsidRPr="0089135C">
        <w:t>independently and in joint processes.</w:t>
      </w:r>
      <w:r w:rsidR="00643625" w:rsidRPr="0089135C">
        <w:t xml:space="preserve"> </w:t>
      </w:r>
      <w:r w:rsidRPr="0089135C">
        <w:t xml:space="preserve">This is summarised in a report prepared for the NPS-UDC, </w:t>
      </w:r>
      <w:hyperlink r:id="rId25" w:history="1">
        <w:r w:rsidRPr="009670C9">
          <w:rPr>
            <w:rStyle w:val="Hyperlink"/>
            <w:i/>
          </w:rPr>
          <w:t xml:space="preserve">How </w:t>
        </w:r>
        <w:r w:rsidR="00F60789" w:rsidRPr="009670C9">
          <w:rPr>
            <w:rStyle w:val="Hyperlink"/>
            <w:i/>
          </w:rPr>
          <w:t>Councils Estimate D</w:t>
        </w:r>
        <w:r w:rsidRPr="009670C9">
          <w:rPr>
            <w:rStyle w:val="Hyperlink"/>
            <w:i/>
          </w:rPr>
          <w:t xml:space="preserve">emand and </w:t>
        </w:r>
        <w:r w:rsidR="00F60789" w:rsidRPr="009670C9">
          <w:rPr>
            <w:rStyle w:val="Hyperlink"/>
            <w:i/>
          </w:rPr>
          <w:t>Supply</w:t>
        </w:r>
        <w:r w:rsidRPr="009670C9">
          <w:rPr>
            <w:rStyle w:val="Hyperlink"/>
            <w:i/>
          </w:rPr>
          <w:t xml:space="preserve"> of </w:t>
        </w:r>
        <w:r w:rsidR="00F60789" w:rsidRPr="009670C9">
          <w:rPr>
            <w:rStyle w:val="Hyperlink"/>
            <w:i/>
          </w:rPr>
          <w:t xml:space="preserve">Development Capacity </w:t>
        </w:r>
        <w:r w:rsidRPr="009670C9">
          <w:rPr>
            <w:rStyle w:val="Hyperlink"/>
            <w:i/>
          </w:rPr>
          <w:t xml:space="preserve">for </w:t>
        </w:r>
        <w:r w:rsidR="00F60789" w:rsidRPr="009670C9">
          <w:rPr>
            <w:rStyle w:val="Hyperlink"/>
            <w:i/>
          </w:rPr>
          <w:t>Housing</w:t>
        </w:r>
        <w:r w:rsidRPr="009670C9">
          <w:rPr>
            <w:rStyle w:val="Hyperlink"/>
            <w:i/>
          </w:rPr>
          <w:t xml:space="preserve"> and </w:t>
        </w:r>
        <w:r w:rsidR="00F60789" w:rsidRPr="009670C9">
          <w:rPr>
            <w:rStyle w:val="Hyperlink"/>
            <w:i/>
          </w:rPr>
          <w:t>B</w:t>
        </w:r>
        <w:r w:rsidRPr="009670C9">
          <w:rPr>
            <w:rStyle w:val="Hyperlink"/>
            <w:i/>
          </w:rPr>
          <w:t>usiness</w:t>
        </w:r>
      </w:hyperlink>
      <w:r w:rsidRPr="0089135C">
        <w:t xml:space="preserve"> (Ministry for the Environment and Ministry for Business, Innovation and Employment</w:t>
      </w:r>
      <w:r w:rsidR="00AC5F71">
        <w:t>,</w:t>
      </w:r>
      <w:r w:rsidRPr="0089135C">
        <w:t xml:space="preserve"> 2016). This report identifies considerable variability in the work currently undertaken by local authorities.</w:t>
      </w:r>
      <w:r w:rsidR="00643625" w:rsidRPr="0089135C">
        <w:t xml:space="preserve"> </w:t>
      </w:r>
      <w:r w:rsidRPr="0089135C">
        <w:t xml:space="preserve">There are opportunities to share best </w:t>
      </w:r>
      <w:proofErr w:type="gramStart"/>
      <w:r w:rsidRPr="0089135C">
        <w:t>practice,</w:t>
      </w:r>
      <w:proofErr w:type="gramEnd"/>
      <w:r w:rsidRPr="0089135C">
        <w:t xml:space="preserve"> and also some consistent gaps across the board about aspects of the housing market and about business land. </w:t>
      </w:r>
    </w:p>
    <w:p w14:paraId="1DDAEF33" w14:textId="14895763" w:rsidR="00334F6E" w:rsidRPr="0089135C" w:rsidRDefault="00334F6E" w:rsidP="00334F6E">
      <w:pPr>
        <w:pStyle w:val="BodyText"/>
      </w:pPr>
      <w:r w:rsidRPr="0089135C">
        <w:t>PB1</w:t>
      </w:r>
      <w:r w:rsidR="0049097E">
        <w:t>c</w:t>
      </w:r>
      <w:r w:rsidRPr="0089135C">
        <w:t xml:space="preserve"> requires that the housing and business development capacity assessment include</w:t>
      </w:r>
      <w:r w:rsidR="008932DB">
        <w:t>s</w:t>
      </w:r>
      <w:r w:rsidRPr="0089135C">
        <w:t xml:space="preserve"> information about the interactions between housing and business activities, and their impacts on each other. This should inform planning decisions about:</w:t>
      </w:r>
    </w:p>
    <w:p w14:paraId="73174081" w14:textId="77777777" w:rsidR="00334F6E" w:rsidRPr="0089135C" w:rsidRDefault="00334F6E" w:rsidP="00D7151C">
      <w:pPr>
        <w:pStyle w:val="Bullet"/>
        <w:keepNext/>
      </w:pPr>
      <w:r w:rsidRPr="0089135C">
        <w:t xml:space="preserve">appropriate shares of land zoned for business relative to housing </w:t>
      </w:r>
    </w:p>
    <w:p w14:paraId="5E1291EB" w14:textId="77777777" w:rsidR="00334F6E" w:rsidRPr="0089135C" w:rsidRDefault="00334F6E" w:rsidP="00334F6E">
      <w:pPr>
        <w:pStyle w:val="Bullet"/>
      </w:pPr>
      <w:r w:rsidRPr="0089135C">
        <w:t>location of different types of business land relative to housing</w:t>
      </w:r>
    </w:p>
    <w:p w14:paraId="0974C45C" w14:textId="77777777" w:rsidR="00334F6E" w:rsidRPr="0089135C" w:rsidRDefault="00334F6E" w:rsidP="00334F6E">
      <w:pPr>
        <w:pStyle w:val="Bullet"/>
      </w:pPr>
      <w:r w:rsidRPr="0089135C">
        <w:t>managing the negative effects that different activities might have on each other</w:t>
      </w:r>
    </w:p>
    <w:p w14:paraId="5F9DA4AF" w14:textId="77777777" w:rsidR="00334F6E" w:rsidRPr="0089135C" w:rsidRDefault="00334F6E" w:rsidP="00334F6E">
      <w:pPr>
        <w:pStyle w:val="Bullet"/>
      </w:pPr>
      <w:r w:rsidRPr="0089135C">
        <w:t>managing reverse sensitivity</w:t>
      </w:r>
    </w:p>
    <w:p w14:paraId="3DC3AE4F" w14:textId="77777777" w:rsidR="00334F6E" w:rsidRPr="0089135C" w:rsidRDefault="00334F6E" w:rsidP="00334F6E">
      <w:pPr>
        <w:pStyle w:val="Bullet"/>
      </w:pPr>
      <w:proofErr w:type="gramStart"/>
      <w:r w:rsidRPr="0089135C">
        <w:t>how</w:t>
      </w:r>
      <w:proofErr w:type="gramEnd"/>
      <w:r w:rsidRPr="0089135C">
        <w:t xml:space="preserve"> to respond to and facilitate spatial change associated with economic development.</w:t>
      </w:r>
    </w:p>
    <w:p w14:paraId="1702D349" w14:textId="77777777" w:rsidR="00334F6E" w:rsidRPr="0089135C" w:rsidRDefault="00334F6E" w:rsidP="00334F6E">
      <w:pPr>
        <w:pStyle w:val="BodyText"/>
        <w:rPr>
          <w:b/>
          <w:i/>
        </w:rPr>
      </w:pPr>
      <w:r w:rsidRPr="0089135C">
        <w:rPr>
          <w:b/>
          <w:i/>
        </w:rPr>
        <w:t xml:space="preserve">Government will establish a technical advisory group at the end of 2016 to oversee the development of guidance on components of the housing and business development assessment. This group will include local authority officers, Statistics New Zealand, and individuals with development expertise. The guidance will outline best practice approaches to assessing demand, </w:t>
      </w:r>
      <w:r w:rsidRPr="0089135C">
        <w:rPr>
          <w:b/>
          <w:i/>
        </w:rPr>
        <w:lastRenderedPageBreak/>
        <w:t>commercial feasibility, and take-up of development capacity, and business land. This guidance will be released in modules during 2017.</w:t>
      </w:r>
    </w:p>
    <w:p w14:paraId="62704F0A" w14:textId="77777777" w:rsidR="00334F6E" w:rsidRPr="0089135C" w:rsidRDefault="00334F6E" w:rsidP="00334F6E">
      <w:pPr>
        <w:pStyle w:val="BodyText"/>
      </w:pPr>
      <w:r w:rsidRPr="0089135C">
        <w:t xml:space="preserve">High-growth urban areas are required to complete their housing and business development capacity assessment by the end of 2017, and medium-growth urban areas by the end of 2018. </w:t>
      </w:r>
    </w:p>
    <w:p w14:paraId="09952354" w14:textId="77777777" w:rsidR="00334F6E" w:rsidRPr="0089135C" w:rsidRDefault="00334F6E" w:rsidP="00334F6E">
      <w:pPr>
        <w:pStyle w:val="BodyText"/>
      </w:pPr>
      <w:r w:rsidRPr="0089135C">
        <w:t xml:space="preserve">Policy PD1 strongly encourages local authorities that share jurisdiction over an urban area to prepare a joint housing and business development capacity assessment. The geographic focus of the assessment need not be restricted to the boundaries of Statistics New Zealand’s urban area. </w:t>
      </w:r>
    </w:p>
    <w:p w14:paraId="3979082F" w14:textId="1921520D" w:rsidR="00334F6E" w:rsidRPr="0089135C" w:rsidRDefault="00A75C84" w:rsidP="0098559D">
      <w:pPr>
        <w:pStyle w:val="Heading3"/>
        <w:spacing w:after="120"/>
      </w:pPr>
      <w:r>
        <w:t xml:space="preserve">Policies </w:t>
      </w:r>
      <w:r w:rsidR="00334F6E" w:rsidRPr="0089135C">
        <w:t>PB6–</w:t>
      </w:r>
      <w:r w:rsidR="002970F3">
        <w:t>PB</w:t>
      </w:r>
      <w:r w:rsidR="00334F6E" w:rsidRPr="0089135C">
        <w:t>7 (Monitoring market indicators)</w:t>
      </w:r>
    </w:p>
    <w:p w14:paraId="733BD587" w14:textId="77777777" w:rsidR="0098559D" w:rsidRPr="0089135C" w:rsidRDefault="0098559D" w:rsidP="0098559D">
      <w:pPr>
        <w:pStyle w:val="Box"/>
        <w:spacing w:after="0"/>
      </w:pPr>
      <w:bookmarkStart w:id="36" w:name="_Ref459809210"/>
      <w:r w:rsidRPr="0089135C">
        <w:t>PB6: To ensure that local authorities are well-informed about demand for housing and business development capacity, urban development activity and outcomes, local authorities shall monitor a range of indicators on a quarterly basis including:</w:t>
      </w:r>
      <w:bookmarkEnd w:id="36"/>
    </w:p>
    <w:p w14:paraId="597B8FCE" w14:textId="77777777" w:rsidR="0098559D" w:rsidRPr="0089135C" w:rsidRDefault="0098559D" w:rsidP="00D7151C">
      <w:pPr>
        <w:pStyle w:val="Box"/>
        <w:spacing w:before="60" w:after="0"/>
        <w:ind w:left="681" w:hanging="397"/>
      </w:pPr>
      <w:r w:rsidRPr="0089135C">
        <w:t>a)</w:t>
      </w:r>
      <w:r w:rsidRPr="0089135C">
        <w:tab/>
        <w:t>Prices and rents for housing, residential land and business land by location and type; and changes in these prices and rents over time;</w:t>
      </w:r>
    </w:p>
    <w:p w14:paraId="7448C419" w14:textId="77777777" w:rsidR="0098559D" w:rsidRPr="0089135C" w:rsidRDefault="0098559D" w:rsidP="00D7151C">
      <w:pPr>
        <w:pStyle w:val="Box"/>
        <w:spacing w:before="60" w:after="0"/>
        <w:ind w:left="681" w:hanging="397"/>
      </w:pPr>
      <w:r w:rsidRPr="0089135C">
        <w:t>b)</w:t>
      </w:r>
      <w:r w:rsidRPr="0089135C">
        <w:tab/>
        <w:t>The number of resource consents and building consents granted for urban development relative to the growth in population; and</w:t>
      </w:r>
    </w:p>
    <w:p w14:paraId="2697F35C" w14:textId="64CC9C6C" w:rsidR="0098559D" w:rsidRPr="0089135C" w:rsidRDefault="0098559D" w:rsidP="00D7151C">
      <w:pPr>
        <w:pStyle w:val="Box"/>
        <w:spacing w:before="60"/>
        <w:ind w:left="681" w:hanging="397"/>
      </w:pPr>
      <w:r w:rsidRPr="0089135C">
        <w:t>c)</w:t>
      </w:r>
      <w:r w:rsidRPr="0089135C">
        <w:tab/>
        <w:t>Indicators of housing affordability</w:t>
      </w:r>
      <w:r w:rsidR="002970F3">
        <w:t>.</w:t>
      </w:r>
    </w:p>
    <w:p w14:paraId="2E5FE910" w14:textId="77777777" w:rsidR="0098559D" w:rsidRPr="0089135C" w:rsidRDefault="0098559D" w:rsidP="0098559D">
      <w:pPr>
        <w:pStyle w:val="Box"/>
      </w:pPr>
      <w:r w:rsidRPr="0089135C">
        <w:t>PB7: Local authorities shall use information provided by indicators of price efficiency in their land and development market, such as price differentials between zones, to understand how well the market is</w:t>
      </w:r>
      <w:r w:rsidR="00584FCD" w:rsidRPr="0089135C">
        <w:t> </w:t>
      </w:r>
      <w:r w:rsidRPr="0089135C">
        <w:t>functioning and how planning may affect this, and when additional development capacity might be</w:t>
      </w:r>
      <w:r w:rsidR="00584FCD" w:rsidRPr="0089135C">
        <w:t> </w:t>
      </w:r>
      <w:r w:rsidRPr="0089135C">
        <w:t>needed.</w:t>
      </w:r>
    </w:p>
    <w:p w14:paraId="307CE015" w14:textId="3E413EB2" w:rsidR="00945F41" w:rsidRPr="0089135C" w:rsidRDefault="00945F41" w:rsidP="00945F41">
      <w:pPr>
        <w:pStyle w:val="BodyText"/>
        <w:spacing w:before="240"/>
      </w:pPr>
      <w:r w:rsidRPr="0089135C">
        <w:t xml:space="preserve">The </w:t>
      </w:r>
      <w:r w:rsidR="005F15E3">
        <w:t xml:space="preserve">Productivity Commission report </w:t>
      </w:r>
      <w:r w:rsidRPr="0089135C">
        <w:rPr>
          <w:i/>
        </w:rPr>
        <w:t>Using Land for Housing</w:t>
      </w:r>
      <w:r w:rsidRPr="0089135C">
        <w:t xml:space="preserve"> notes that “the planning system is not responsive to price signals that provide information about the location and type of housing that people demand, and about the available supply”</w:t>
      </w:r>
      <w:r w:rsidR="002A7A85">
        <w:t xml:space="preserve"> </w:t>
      </w:r>
      <w:r w:rsidR="002A7A85" w:rsidRPr="0089135C">
        <w:t>(Productivity Commission, 2015</w:t>
      </w:r>
      <w:r w:rsidR="002A7A85">
        <w:t>, p 324</w:t>
      </w:r>
      <w:r w:rsidR="002A7A85" w:rsidRPr="0089135C">
        <w:t>)</w:t>
      </w:r>
      <w:r w:rsidRPr="0089135C">
        <w:t>.</w:t>
      </w:r>
    </w:p>
    <w:p w14:paraId="41AD543B" w14:textId="77777777" w:rsidR="00945F41" w:rsidRPr="0089135C" w:rsidRDefault="00945F41" w:rsidP="00945F41">
      <w:pPr>
        <w:pStyle w:val="BodyText"/>
      </w:pPr>
      <w:r w:rsidRPr="0089135C">
        <w:t>To address this, PB6 directs high- and medium-growth local authorities to monitor prices and rents, consents relative to population growth, and indicators of housing affordability. These indicators should provide information about:</w:t>
      </w:r>
    </w:p>
    <w:p w14:paraId="318523AA" w14:textId="09C77F82" w:rsidR="00945F41" w:rsidRPr="0089135C" w:rsidRDefault="00945F41" w:rsidP="00945F41">
      <w:pPr>
        <w:pStyle w:val="Bullet"/>
      </w:pPr>
      <w:r w:rsidRPr="0089135C">
        <w:t>relative demand for different types of homes and business space</w:t>
      </w:r>
      <w:r w:rsidR="0093220D">
        <w:t>s</w:t>
      </w:r>
      <w:r w:rsidRPr="0089135C">
        <w:t xml:space="preserve"> in different locations, and the commercial feasibility of development </w:t>
      </w:r>
    </w:p>
    <w:p w14:paraId="5BB60E7E" w14:textId="02F6DFF2" w:rsidR="00945F41" w:rsidRPr="0089135C" w:rsidRDefault="00945F41" w:rsidP="00945F41">
      <w:pPr>
        <w:pStyle w:val="Bullet"/>
      </w:pPr>
      <w:r w:rsidRPr="0089135C">
        <w:t>supply</w:t>
      </w:r>
      <w:r w:rsidR="0093220D">
        <w:t>–</w:t>
      </w:r>
      <w:r w:rsidRPr="0089135C">
        <w:t>demand imbalances</w:t>
      </w:r>
    </w:p>
    <w:p w14:paraId="7256DA87" w14:textId="77777777" w:rsidR="00945F41" w:rsidRPr="0089135C" w:rsidRDefault="00945F41" w:rsidP="00945F41">
      <w:pPr>
        <w:pStyle w:val="Bullet"/>
      </w:pPr>
      <w:proofErr w:type="gramStart"/>
      <w:r w:rsidRPr="0089135C">
        <w:t>the</w:t>
      </w:r>
      <w:proofErr w:type="gramEnd"/>
      <w:r w:rsidRPr="0089135C">
        <w:t xml:space="preserve"> social and economic consequences of increasing prices and rents.</w:t>
      </w:r>
    </w:p>
    <w:p w14:paraId="090A5652" w14:textId="27C16AED" w:rsidR="00945F41" w:rsidRPr="0089135C" w:rsidRDefault="00945F41" w:rsidP="00945F41">
      <w:pPr>
        <w:pStyle w:val="BodyText"/>
      </w:pPr>
      <w:r w:rsidRPr="0089135C">
        <w:t>Local authorities are required to monitor these indicators quarterly, starting within six months of the NPS-UDC being made operative.</w:t>
      </w:r>
      <w:r w:rsidR="00643625" w:rsidRPr="0089135C">
        <w:t xml:space="preserve"> </w:t>
      </w:r>
      <w:r w:rsidRPr="0089135C">
        <w:t xml:space="preserve">This should ensure that local authorities can respond quickly to up-to-date information, even when the market is changing rapidly. </w:t>
      </w:r>
    </w:p>
    <w:p w14:paraId="6C9E4334" w14:textId="53FA08C6" w:rsidR="00945F41" w:rsidRPr="0089135C" w:rsidRDefault="00945F41" w:rsidP="00945F41">
      <w:pPr>
        <w:pStyle w:val="BodyText"/>
      </w:pPr>
      <w:r w:rsidRPr="0089135C">
        <w:t>PB7 directs the same local authorities to use information provided by indicators of ‘price efficiency’ to understand:</w:t>
      </w:r>
    </w:p>
    <w:p w14:paraId="0E8523AB" w14:textId="77777777" w:rsidR="00945F41" w:rsidRPr="0089135C" w:rsidRDefault="00945F41" w:rsidP="00945F41">
      <w:pPr>
        <w:pStyle w:val="Bullet"/>
      </w:pPr>
      <w:r w:rsidRPr="0089135C">
        <w:t xml:space="preserve">how well the market is functioning </w:t>
      </w:r>
    </w:p>
    <w:p w14:paraId="24B621AD" w14:textId="77777777" w:rsidR="00945F41" w:rsidRPr="0089135C" w:rsidRDefault="00945F41" w:rsidP="00945F41">
      <w:pPr>
        <w:pStyle w:val="Bullet"/>
      </w:pPr>
      <w:r w:rsidRPr="0089135C">
        <w:t>how planning may affect this</w:t>
      </w:r>
    </w:p>
    <w:p w14:paraId="7A36B96B" w14:textId="77777777" w:rsidR="00945F41" w:rsidRPr="0089135C" w:rsidRDefault="00945F41" w:rsidP="00945F41">
      <w:pPr>
        <w:pStyle w:val="Bullet"/>
      </w:pPr>
      <w:proofErr w:type="gramStart"/>
      <w:r w:rsidRPr="0089135C">
        <w:t>when</w:t>
      </w:r>
      <w:proofErr w:type="gramEnd"/>
      <w:r w:rsidRPr="0089135C">
        <w:t xml:space="preserve"> additional development capacity might be needed.</w:t>
      </w:r>
      <w:r w:rsidR="00643625" w:rsidRPr="0089135C">
        <w:t xml:space="preserve"> </w:t>
      </w:r>
    </w:p>
    <w:p w14:paraId="20743A54" w14:textId="3A2F872C" w:rsidR="00945F41" w:rsidRPr="0089135C" w:rsidRDefault="004913F0" w:rsidP="00945F41">
      <w:pPr>
        <w:pStyle w:val="BodyText"/>
      </w:pPr>
      <w:r>
        <w:lastRenderedPageBreak/>
        <w:t>L</w:t>
      </w:r>
      <w:r w:rsidRPr="0089135C">
        <w:t>ocal authorities</w:t>
      </w:r>
      <w:r w:rsidR="00945F41" w:rsidRPr="0089135C">
        <w:t xml:space="preserve"> are required to begin using this information by the end of 2017.</w:t>
      </w:r>
    </w:p>
    <w:p w14:paraId="25EE771E" w14:textId="4C617B66" w:rsidR="00945F41" w:rsidRPr="0089135C" w:rsidRDefault="00945F41" w:rsidP="00945F41">
      <w:pPr>
        <w:pStyle w:val="BodyText"/>
      </w:pPr>
      <w:r w:rsidRPr="0089135C">
        <w:t>Price efficiency and competitiveness indicators will be specified in guidance and are likely to</w:t>
      </w:r>
      <w:r w:rsidR="00D7151C">
        <w:t> </w:t>
      </w:r>
      <w:r w:rsidRPr="0089135C">
        <w:t>include:</w:t>
      </w:r>
      <w:r w:rsidRPr="0089135C">
        <w:rPr>
          <w:rStyle w:val="FootnoteReference"/>
        </w:rPr>
        <w:footnoteReference w:id="4"/>
      </w:r>
      <w:r w:rsidRPr="0089135C">
        <w:t xml:space="preserve"> </w:t>
      </w:r>
    </w:p>
    <w:p w14:paraId="485C8221" w14:textId="77777777" w:rsidR="00945F41" w:rsidRPr="0089135C" w:rsidRDefault="00945F41" w:rsidP="00945F41">
      <w:pPr>
        <w:pStyle w:val="Bullet"/>
      </w:pPr>
      <w:r w:rsidRPr="0089135C">
        <w:t>discontinuities in values between rural and urban land, and between residential and business zones</w:t>
      </w:r>
    </w:p>
    <w:p w14:paraId="1FF909BA" w14:textId="77777777" w:rsidR="00945F41" w:rsidRPr="0089135C" w:rsidRDefault="00945F41" w:rsidP="00945F41">
      <w:pPr>
        <w:pStyle w:val="Bullet"/>
      </w:pPr>
      <w:r w:rsidRPr="0089135C">
        <w:t>the ratio of marginal building costs to market price (</w:t>
      </w:r>
      <w:proofErr w:type="spellStart"/>
      <w:r w:rsidRPr="0089135C">
        <w:t>eg</w:t>
      </w:r>
      <w:proofErr w:type="spellEnd"/>
      <w:r w:rsidRPr="0089135C">
        <w:t>, for one more floor on an apartment building)</w:t>
      </w:r>
    </w:p>
    <w:p w14:paraId="2FF6E0F7" w14:textId="77777777" w:rsidR="00945F41" w:rsidRPr="0089135C" w:rsidRDefault="00945F41" w:rsidP="00945F41">
      <w:pPr>
        <w:pStyle w:val="Bullet"/>
      </w:pPr>
      <w:proofErr w:type="gramStart"/>
      <w:r w:rsidRPr="0089135C">
        <w:t>the</w:t>
      </w:r>
      <w:proofErr w:type="gramEnd"/>
      <w:r w:rsidRPr="0089135C">
        <w:t xml:space="preserve"> </w:t>
      </w:r>
      <w:proofErr w:type="spellStart"/>
      <w:r w:rsidRPr="0089135C">
        <w:t>Herfindahl</w:t>
      </w:r>
      <w:proofErr w:type="spellEnd"/>
      <w:r w:rsidRPr="0089135C">
        <w:t>-Hirschman Index (an index of competitiveness as measured by land owner market shares).</w:t>
      </w:r>
    </w:p>
    <w:p w14:paraId="2D2126A5" w14:textId="2712C972" w:rsidR="00945F41" w:rsidRPr="0089135C" w:rsidRDefault="00945F41" w:rsidP="00945F41">
      <w:pPr>
        <w:pStyle w:val="BodyText"/>
        <w:rPr>
          <w:b/>
          <w:i/>
        </w:rPr>
      </w:pPr>
      <w:r w:rsidRPr="0089135C">
        <w:rPr>
          <w:b/>
          <w:i/>
        </w:rPr>
        <w:t>Government will establish a technical advisory group to oversee the development of price efficiency indicators and the preparation of guidance on implementing policies PB6 and PB7.</w:t>
      </w:r>
      <w:r w:rsidR="00E80A8C">
        <w:rPr>
          <w:b/>
          <w:i/>
        </w:rPr>
        <w:t xml:space="preserve"> G</w:t>
      </w:r>
      <w:r w:rsidR="00E80A8C" w:rsidRPr="00E80A8C">
        <w:rPr>
          <w:b/>
          <w:i/>
        </w:rPr>
        <w:t>overnment will provide some of the data that local authorities will need to undertake the monitoring, including data on land, housing and business land prices and rents, and indicators of housing affordability.</w:t>
      </w:r>
    </w:p>
    <w:p w14:paraId="6BD44348" w14:textId="55D07D71" w:rsidR="00945F41" w:rsidRPr="0089135C" w:rsidRDefault="00945F41" w:rsidP="00945F41">
      <w:pPr>
        <w:pStyle w:val="BodyText"/>
      </w:pPr>
      <w:r w:rsidRPr="0089135C">
        <w:t>In the meantime</w:t>
      </w:r>
      <w:r w:rsidR="00512E40">
        <w:t>,</w:t>
      </w:r>
      <w:r w:rsidRPr="0089135C">
        <w:t xml:space="preserve"> further information about market indicators, data and methodologies can be found in </w:t>
      </w:r>
      <w:proofErr w:type="spellStart"/>
      <w:r w:rsidRPr="0089135C">
        <w:t>Covec</w:t>
      </w:r>
      <w:proofErr w:type="spellEnd"/>
      <w:r w:rsidRPr="0089135C">
        <w:t xml:space="preserve"> and </w:t>
      </w:r>
      <w:proofErr w:type="spellStart"/>
      <w:r w:rsidRPr="0089135C">
        <w:t>MRCagney</w:t>
      </w:r>
      <w:proofErr w:type="spellEnd"/>
      <w:r w:rsidRPr="0089135C">
        <w:t xml:space="preserve">, </w:t>
      </w:r>
      <w:r w:rsidRPr="0089135C">
        <w:rPr>
          <w:i/>
        </w:rPr>
        <w:t xml:space="preserve">Signals of </w:t>
      </w:r>
      <w:r w:rsidR="00512E40" w:rsidRPr="0089135C">
        <w:rPr>
          <w:i/>
        </w:rPr>
        <w:t>U</w:t>
      </w:r>
      <w:r w:rsidRPr="0089135C">
        <w:rPr>
          <w:i/>
        </w:rPr>
        <w:t xml:space="preserve">nder-capacity: </w:t>
      </w:r>
      <w:r w:rsidR="00F064A9" w:rsidRPr="0089135C">
        <w:rPr>
          <w:i/>
        </w:rPr>
        <w:t>T</w:t>
      </w:r>
      <w:r w:rsidRPr="0089135C">
        <w:rPr>
          <w:i/>
        </w:rPr>
        <w:t xml:space="preserve">he </w:t>
      </w:r>
      <w:r w:rsidR="00F064A9" w:rsidRPr="0089135C">
        <w:rPr>
          <w:i/>
        </w:rPr>
        <w:t>P</w:t>
      </w:r>
      <w:r w:rsidRPr="0089135C">
        <w:rPr>
          <w:i/>
        </w:rPr>
        <w:t xml:space="preserve">racticalities of </w:t>
      </w:r>
      <w:r w:rsidR="00F064A9" w:rsidRPr="0089135C">
        <w:rPr>
          <w:i/>
        </w:rPr>
        <w:t xml:space="preserve">Monitoring Prices Signals </w:t>
      </w:r>
      <w:proofErr w:type="gramStart"/>
      <w:r w:rsidR="00F064A9" w:rsidRPr="0089135C">
        <w:rPr>
          <w:i/>
        </w:rPr>
        <w:t>U</w:t>
      </w:r>
      <w:r w:rsidRPr="0089135C">
        <w:rPr>
          <w:i/>
        </w:rPr>
        <w:t>nder</w:t>
      </w:r>
      <w:proofErr w:type="gramEnd"/>
      <w:r w:rsidRPr="0089135C">
        <w:rPr>
          <w:i/>
        </w:rPr>
        <w:t xml:space="preserve"> the </w:t>
      </w:r>
      <w:r w:rsidR="00F064A9" w:rsidRPr="0089135C">
        <w:rPr>
          <w:i/>
        </w:rPr>
        <w:t>National Policy S</w:t>
      </w:r>
      <w:r w:rsidRPr="0089135C">
        <w:rPr>
          <w:i/>
        </w:rPr>
        <w:t xml:space="preserve">tatement on </w:t>
      </w:r>
      <w:r w:rsidR="00F064A9" w:rsidRPr="0089135C">
        <w:rPr>
          <w:i/>
        </w:rPr>
        <w:t>Urban Development C</w:t>
      </w:r>
      <w:r w:rsidRPr="0089135C">
        <w:rPr>
          <w:i/>
        </w:rPr>
        <w:t xml:space="preserve">apacity </w:t>
      </w:r>
      <w:r w:rsidRPr="0089135C">
        <w:t>(Ministry for the Environment and Ministry of Business, Innovation and Employment, 2016).</w:t>
      </w:r>
    </w:p>
    <w:p w14:paraId="49261BF7" w14:textId="04D88FDF" w:rsidR="00FB6E46" w:rsidRPr="0089135C" w:rsidRDefault="00FB6E46" w:rsidP="00FB6E46">
      <w:pPr>
        <w:pStyle w:val="Heading2"/>
      </w:pPr>
      <w:bookmarkStart w:id="37" w:name="_Toc465349929"/>
      <w:bookmarkStart w:id="38" w:name="_Toc465600905"/>
      <w:r w:rsidRPr="0089135C">
        <w:t>Policies PC1</w:t>
      </w:r>
      <w:r w:rsidR="00F064A9">
        <w:t>–PC</w:t>
      </w:r>
      <w:r w:rsidRPr="0089135C">
        <w:t xml:space="preserve">4: Responsive </w:t>
      </w:r>
      <w:r w:rsidR="00F064A9">
        <w:t>p</w:t>
      </w:r>
      <w:r w:rsidRPr="0089135C">
        <w:t>lanning</w:t>
      </w:r>
      <w:bookmarkEnd w:id="37"/>
      <w:bookmarkEnd w:id="38"/>
    </w:p>
    <w:p w14:paraId="560BA17B" w14:textId="2C621DDD" w:rsidR="00FB6E46" w:rsidRPr="0089135C" w:rsidRDefault="00FB6E46" w:rsidP="00FB6E46">
      <w:pPr>
        <w:pStyle w:val="BodyText"/>
      </w:pPr>
      <w:r w:rsidRPr="0089135C">
        <w:t xml:space="preserve">The responsive planning policies require </w:t>
      </w:r>
      <w:r w:rsidR="00E80A8C">
        <w:t xml:space="preserve">medium- and high-growth </w:t>
      </w:r>
      <w:r w:rsidRPr="0089135C">
        <w:t>local authorities, when making and implementing planning decisions, to respond:</w:t>
      </w:r>
    </w:p>
    <w:p w14:paraId="173EC1DB" w14:textId="77777777" w:rsidR="00FB6E46" w:rsidRPr="0089135C" w:rsidRDefault="00FB6E46" w:rsidP="00D7151C">
      <w:pPr>
        <w:pStyle w:val="Bullet"/>
        <w:keepNext/>
      </w:pPr>
      <w:r w:rsidRPr="0089135C">
        <w:t>to information (be evidence based)</w:t>
      </w:r>
    </w:p>
    <w:p w14:paraId="5D9F9DB0" w14:textId="77777777" w:rsidR="00FB6E46" w:rsidRPr="0089135C" w:rsidRDefault="00FB6E46" w:rsidP="00FB6E46">
      <w:pPr>
        <w:pStyle w:val="Bullet"/>
      </w:pPr>
      <w:r w:rsidRPr="0089135C">
        <w:t>to what is happening in urban land and development markets</w:t>
      </w:r>
    </w:p>
    <w:p w14:paraId="4F714C71" w14:textId="77777777" w:rsidR="00FB6E46" w:rsidRDefault="00FB6E46" w:rsidP="00FB6E46">
      <w:pPr>
        <w:pStyle w:val="Bullet"/>
      </w:pPr>
      <w:proofErr w:type="gramStart"/>
      <w:r w:rsidRPr="0089135C">
        <w:t>as</w:t>
      </w:r>
      <w:proofErr w:type="gramEnd"/>
      <w:r w:rsidRPr="0089135C">
        <w:t xml:space="preserve"> quickly as possible.</w:t>
      </w:r>
    </w:p>
    <w:p w14:paraId="154667E0" w14:textId="7578D84C" w:rsidR="00E80A8C" w:rsidRPr="0089135C" w:rsidRDefault="00E80A8C" w:rsidP="00E80A8C">
      <w:pPr>
        <w:pStyle w:val="BodyText"/>
      </w:pPr>
      <w:r>
        <w:t>Responsive planning is necessary in order to provide</w:t>
      </w:r>
      <w:r w:rsidRPr="0089135C">
        <w:t xml:space="preserve"> sufficient development capacity and enable development at all times in high- and medium-growth urban areas.</w:t>
      </w:r>
    </w:p>
    <w:p w14:paraId="488E6D48" w14:textId="77777777" w:rsidR="00BF6F76" w:rsidRPr="0089135C" w:rsidRDefault="00BF6F76" w:rsidP="00BF6F76">
      <w:pPr>
        <w:pStyle w:val="Heading3"/>
        <w:spacing w:after="120"/>
        <w:rPr>
          <w:rFonts w:eastAsiaTheme="minorEastAsia"/>
        </w:rPr>
      </w:pPr>
      <w:r w:rsidRPr="0089135C">
        <w:rPr>
          <w:rFonts w:eastAsiaTheme="minorEastAsia"/>
        </w:rPr>
        <w:t>Policies PC1 and PC2 (Additional margins of development capacity)</w:t>
      </w:r>
    </w:p>
    <w:p w14:paraId="1B034205" w14:textId="77777777" w:rsidR="00BF6F76" w:rsidRPr="0089135C" w:rsidRDefault="00BF6F76" w:rsidP="00D7151C">
      <w:pPr>
        <w:pStyle w:val="Box"/>
        <w:spacing w:after="60"/>
      </w:pPr>
      <w:bookmarkStart w:id="39" w:name="_Ref459803340"/>
      <w:r w:rsidRPr="0089135C">
        <w:t xml:space="preserve">PC1: To factor in the proportion of feasible development capacity that may not be developed, in addition to the requirement to ensure sufficient, feasible development capacity as outlined in policy PA1, </w:t>
      </w:r>
      <w:proofErr w:type="gramStart"/>
      <w:r w:rsidRPr="0089135C">
        <w:t>local</w:t>
      </w:r>
      <w:proofErr w:type="gramEnd"/>
      <w:r w:rsidRPr="0089135C">
        <w:t xml:space="preserve"> authorities shall also provide an additional margin of feasible development capacity over and above projected demand of at least:</w:t>
      </w:r>
    </w:p>
    <w:p w14:paraId="67086BA4" w14:textId="361A811F" w:rsidR="00BF6F76" w:rsidRPr="0089135C" w:rsidRDefault="00BF6F76" w:rsidP="00D7151C">
      <w:pPr>
        <w:pStyle w:val="Boxbullet"/>
        <w:spacing w:after="60"/>
      </w:pPr>
      <w:r w:rsidRPr="0089135C">
        <w:t xml:space="preserve">20% in the short and medium term; and </w:t>
      </w:r>
    </w:p>
    <w:p w14:paraId="49166AC3" w14:textId="77777777" w:rsidR="00BF6F76" w:rsidRPr="0089135C" w:rsidRDefault="00BF6F76" w:rsidP="00D7151C">
      <w:pPr>
        <w:pStyle w:val="Boxbullet"/>
      </w:pPr>
      <w:r w:rsidRPr="0089135C">
        <w:t>15% in the long term</w:t>
      </w:r>
      <w:bookmarkEnd w:id="39"/>
      <w:r w:rsidRPr="0089135C">
        <w:t>.</w:t>
      </w:r>
    </w:p>
    <w:p w14:paraId="7C0AA22A" w14:textId="77777777" w:rsidR="00BF6F76" w:rsidRPr="0089135C" w:rsidRDefault="00BF6F76" w:rsidP="00BF6F76">
      <w:pPr>
        <w:pStyle w:val="Box"/>
      </w:pPr>
      <w:r w:rsidRPr="0089135C">
        <w:lastRenderedPageBreak/>
        <w:t>PC2: If evidence from the assessment under policy PB1, including information about the rate of take-up of development capacity, indicates a higher margin is more appropriate, this higher margin should be</w:t>
      </w:r>
      <w:r w:rsidR="00584FCD" w:rsidRPr="0089135C">
        <w:t> </w:t>
      </w:r>
      <w:r w:rsidRPr="0089135C">
        <w:t>used.</w:t>
      </w:r>
    </w:p>
    <w:p w14:paraId="3EFC119B" w14:textId="4BF8E485" w:rsidR="00BF6F76" w:rsidRPr="0089135C" w:rsidRDefault="00BF6F76" w:rsidP="00BF6F76">
      <w:pPr>
        <w:pStyle w:val="BodyText"/>
        <w:spacing w:before="240"/>
      </w:pPr>
      <w:r w:rsidRPr="0089135C">
        <w:t>Policies PA1 and PA2 require all councils to provide feasible development capacity in their plans in the short</w:t>
      </w:r>
      <w:r w:rsidR="00555D97">
        <w:t>,</w:t>
      </w:r>
      <w:r w:rsidRPr="0089135C">
        <w:t xml:space="preserve"> medium and long term.</w:t>
      </w:r>
      <w:r w:rsidRPr="0089135C" w:rsidDel="00482612">
        <w:rPr>
          <w:i/>
        </w:rPr>
        <w:t xml:space="preserve"> </w:t>
      </w:r>
      <w:r w:rsidRPr="0089135C">
        <w:t xml:space="preserve">Policies PC1 and PC2 build on this by requiring local authorities in high- and medium-growth urban areas to provide additional margins of feasible development capacity </w:t>
      </w:r>
      <w:r w:rsidR="00555D97">
        <w:t>“</w:t>
      </w:r>
      <w:r w:rsidRPr="00EA68B3">
        <w:t>over and above projected demand</w:t>
      </w:r>
      <w:r w:rsidR="00555D97">
        <w:t>”</w:t>
      </w:r>
      <w:r w:rsidRPr="0089135C">
        <w:t>.</w:t>
      </w:r>
    </w:p>
    <w:p w14:paraId="673C33F5" w14:textId="5F94B743" w:rsidR="00BF6F76" w:rsidRPr="0089135C" w:rsidRDefault="00BF6F76" w:rsidP="00BF6F76">
      <w:pPr>
        <w:pStyle w:val="BodyText"/>
      </w:pPr>
      <w:r w:rsidRPr="0089135C">
        <w:t xml:space="preserve">This </w:t>
      </w:r>
      <w:r w:rsidR="00555D97">
        <w:t>‘</w:t>
      </w:r>
      <w:r w:rsidRPr="0089135C">
        <w:t>over-supply</w:t>
      </w:r>
      <w:r w:rsidR="00555D97">
        <w:t>’</w:t>
      </w:r>
      <w:r w:rsidRPr="0089135C">
        <w:t xml:space="preserve"> of feasible development capacity is to allow for the likelihood that not all plan-enabled development capacity that is commercially feasible to develop will result in actual development.</w:t>
      </w:r>
      <w:r w:rsidR="00643625" w:rsidRPr="0089135C">
        <w:t xml:space="preserve"> </w:t>
      </w:r>
      <w:r w:rsidRPr="0089135C">
        <w:t>This is because</w:t>
      </w:r>
      <w:r w:rsidR="00AB7DA2">
        <w:t>,</w:t>
      </w:r>
      <w:r w:rsidRPr="0089135C">
        <w:t xml:space="preserve"> at any one time, a proportion of the owners of land that is commercially viable to develop will hold onto their land for various reasons.</w:t>
      </w:r>
      <w:r w:rsidR="00643625" w:rsidRPr="0089135C">
        <w:t xml:space="preserve"> </w:t>
      </w:r>
      <w:r w:rsidRPr="0089135C">
        <w:t>For example:</w:t>
      </w:r>
    </w:p>
    <w:p w14:paraId="0BA2373E" w14:textId="77777777" w:rsidR="00BF6F76" w:rsidRPr="0089135C" w:rsidRDefault="00BF6F76" w:rsidP="00BF6F76">
      <w:pPr>
        <w:pStyle w:val="Bullet"/>
      </w:pPr>
      <w:r w:rsidRPr="0089135C">
        <w:t>land may be appreciating in value at a faster level than the expected return from development</w:t>
      </w:r>
    </w:p>
    <w:p w14:paraId="692DF4F3" w14:textId="77777777" w:rsidR="00BF6F76" w:rsidRPr="0089135C" w:rsidRDefault="00BF6F76" w:rsidP="00BF6F76">
      <w:pPr>
        <w:pStyle w:val="Bullet"/>
      </w:pPr>
      <w:r w:rsidRPr="0089135C">
        <w:t>land may be subject to legal covenants that prevent certain types of development occurring</w:t>
      </w:r>
    </w:p>
    <w:p w14:paraId="231B0DA8" w14:textId="67475F1A" w:rsidR="00BF6F76" w:rsidRPr="0089135C" w:rsidRDefault="00BF6F76" w:rsidP="00BF6F76">
      <w:pPr>
        <w:pStyle w:val="Bullet"/>
      </w:pPr>
      <w:r w:rsidRPr="0089135C">
        <w:t>land identified as feasible development capacity may be an owner</w:t>
      </w:r>
      <w:r w:rsidR="00AB7DA2">
        <w:t>–</w:t>
      </w:r>
      <w:r w:rsidRPr="0089135C">
        <w:t>occupied family farm or suburban backyard, which owners have no intention of developing</w:t>
      </w:r>
    </w:p>
    <w:p w14:paraId="5FE7B7C7" w14:textId="77777777" w:rsidR="00BF6F76" w:rsidRPr="0089135C" w:rsidRDefault="00BF6F76" w:rsidP="00BF6F76">
      <w:pPr>
        <w:pStyle w:val="Bullet"/>
      </w:pPr>
      <w:proofErr w:type="gramStart"/>
      <w:r w:rsidRPr="0089135C">
        <w:t>the</w:t>
      </w:r>
      <w:proofErr w:type="gramEnd"/>
      <w:r w:rsidRPr="0089135C">
        <w:t xml:space="preserve"> practicalities and transaction costs of development may be too much to bother with.</w:t>
      </w:r>
    </w:p>
    <w:p w14:paraId="57822DA6" w14:textId="1D74C184" w:rsidR="00BF6F76" w:rsidRPr="0089135C" w:rsidRDefault="00BF6F76" w:rsidP="00BF6F76">
      <w:pPr>
        <w:pStyle w:val="BodyText"/>
      </w:pPr>
      <w:r w:rsidRPr="0089135C">
        <w:t>Providing an additional margin of feasible development capacity over and above projected demand is necessary in order to recognise and account for this. Without these margins</w:t>
      </w:r>
      <w:r w:rsidR="005A5737">
        <w:t>,</w:t>
      </w:r>
      <w:r w:rsidRPr="0089135C">
        <w:t xml:space="preserve"> plans will not allow enough scope for development to respond to growth in demand.</w:t>
      </w:r>
    </w:p>
    <w:p w14:paraId="381E29C6" w14:textId="59A09737" w:rsidR="00BF6F76" w:rsidRPr="0089135C" w:rsidRDefault="00BF6F76" w:rsidP="00BF6F76">
      <w:pPr>
        <w:pStyle w:val="BodyText"/>
      </w:pPr>
      <w:r w:rsidRPr="0089135C">
        <w:t>Figure 2</w:t>
      </w:r>
      <w:r w:rsidR="005F15E3">
        <w:t xml:space="preserve"> on page 23</w:t>
      </w:r>
      <w:r w:rsidRPr="0089135C">
        <w:t xml:space="preserve"> illustrates the relationship between the feasible development capacity and the development that actually occurs (or take-up rate).</w:t>
      </w:r>
      <w:r w:rsidR="00643625" w:rsidRPr="0089135C">
        <w:t xml:space="preserve"> </w:t>
      </w:r>
    </w:p>
    <w:p w14:paraId="78355D0E" w14:textId="77777777" w:rsidR="00C50525" w:rsidRPr="0089135C" w:rsidRDefault="00C50525" w:rsidP="00C50525">
      <w:pPr>
        <w:pStyle w:val="Figureheading"/>
      </w:pPr>
      <w:bookmarkStart w:id="40" w:name="_Toc465600967"/>
      <w:r w:rsidRPr="0089135C">
        <w:t xml:space="preserve">Figure 2: </w:t>
      </w:r>
      <w:r w:rsidRPr="0089135C">
        <w:tab/>
        <w:t>Take-up of development capacity</w:t>
      </w:r>
      <w:r w:rsidRPr="0089135C">
        <w:rPr>
          <w:rStyle w:val="FootnoteReference"/>
          <w:b w:val="0"/>
        </w:rPr>
        <w:footnoteReference w:id="5"/>
      </w:r>
      <w:bookmarkEnd w:id="40"/>
    </w:p>
    <w:p w14:paraId="323FD0E8" w14:textId="77777777" w:rsidR="00C50525" w:rsidRPr="0089135C" w:rsidRDefault="00C50525" w:rsidP="007E777E">
      <w:pPr>
        <w:pStyle w:val="BodyText"/>
        <w:spacing w:before="0"/>
        <w:jc w:val="center"/>
      </w:pPr>
      <w:r w:rsidRPr="0089135C">
        <w:rPr>
          <w:noProof/>
        </w:rPr>
        <w:drawing>
          <wp:inline distT="0" distB="0" distL="0" distR="0" wp14:anchorId="51A31684" wp14:editId="78A3B30C">
            <wp:extent cx="3158714" cy="29263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59768" cy="2927286"/>
                    </a:xfrm>
                    <a:prstGeom prst="rect">
                      <a:avLst/>
                    </a:prstGeom>
                    <a:noFill/>
                  </pic:spPr>
                </pic:pic>
              </a:graphicData>
            </a:graphic>
          </wp:inline>
        </w:drawing>
      </w:r>
    </w:p>
    <w:p w14:paraId="553E20A2" w14:textId="77777777" w:rsidR="00C50525" w:rsidRPr="0089135C" w:rsidRDefault="00C50525" w:rsidP="00525C62">
      <w:pPr>
        <w:pStyle w:val="BodyText"/>
      </w:pPr>
      <w:r w:rsidRPr="0089135C">
        <w:lastRenderedPageBreak/>
        <w:t>Policy PC1 directs local authorities to provide an additional margin of feasible development capacity of at least 20 per cent in the short and medium term, and 15 per cent in the long term. Policy PC2 recognises, however, that in many situations it is likely that this margin will not be large enough for the local circumstances. It directs local authorities to use a higher margin if their evidence (as part of the housing and business assessment, especially information about trends in take-up rates) indicates that this is needed.</w:t>
      </w:r>
      <w:r w:rsidR="00643625" w:rsidRPr="0089135C">
        <w:t xml:space="preserve"> </w:t>
      </w:r>
    </w:p>
    <w:p w14:paraId="4B76C436" w14:textId="38185983" w:rsidR="00C50525" w:rsidRPr="0089135C" w:rsidRDefault="00C50525" w:rsidP="00C50525">
      <w:pPr>
        <w:pStyle w:val="BodyText"/>
      </w:pPr>
      <w:r w:rsidRPr="0089135C">
        <w:t xml:space="preserve">Local authorities may find that different margins of additional feasible development capacity are needed in already established urban areas than are needed in </w:t>
      </w:r>
      <w:proofErr w:type="gramStart"/>
      <w:r w:rsidRPr="0089135C">
        <w:t>greenfield</w:t>
      </w:r>
      <w:proofErr w:type="gramEnd"/>
      <w:r w:rsidRPr="0089135C">
        <w:t xml:space="preserve"> areas. </w:t>
      </w:r>
      <w:proofErr w:type="gramStart"/>
      <w:r w:rsidRPr="0089135C">
        <w:t>Policies PC1 and PC2 do not preclude this, as long as minimum additional margins are met.</w:t>
      </w:r>
      <w:proofErr w:type="gramEnd"/>
    </w:p>
    <w:p w14:paraId="265231E5" w14:textId="4B207177" w:rsidR="00C50525" w:rsidRPr="0089135C" w:rsidRDefault="00C50525" w:rsidP="00C50525">
      <w:pPr>
        <w:pStyle w:val="BodyText"/>
        <w:rPr>
          <w:b/>
          <w:i/>
        </w:rPr>
      </w:pPr>
      <w:r w:rsidRPr="0089135C">
        <w:rPr>
          <w:b/>
          <w:i/>
        </w:rPr>
        <w:t xml:space="preserve">Guidance on </w:t>
      </w:r>
      <w:r w:rsidR="00E80A8C">
        <w:rPr>
          <w:b/>
          <w:i/>
        </w:rPr>
        <w:t xml:space="preserve">assessing </w:t>
      </w:r>
      <w:r w:rsidRPr="0089135C">
        <w:rPr>
          <w:b/>
          <w:i/>
        </w:rPr>
        <w:t>take-up rates will be developed in early 2017 as part of the housing and business development capacity assessment guidance modules.</w:t>
      </w:r>
    </w:p>
    <w:p w14:paraId="3A50F5B5" w14:textId="77777777" w:rsidR="008D3A60" w:rsidRPr="0089135C" w:rsidRDefault="008D3A60" w:rsidP="00BA5491">
      <w:pPr>
        <w:pStyle w:val="Heading3"/>
        <w:spacing w:before="240" w:after="120"/>
      </w:pPr>
      <w:r w:rsidRPr="0089135C">
        <w:t>Policy PC4 (Consider all practicable options to provide sufficient development</w:t>
      </w:r>
      <w:r w:rsidR="00584FCD" w:rsidRPr="0089135C">
        <w:t> </w:t>
      </w:r>
      <w:r w:rsidRPr="0089135C">
        <w:t>capacity)</w:t>
      </w:r>
    </w:p>
    <w:p w14:paraId="4EEF0096" w14:textId="77777777" w:rsidR="008D3A60" w:rsidRPr="0089135C" w:rsidRDefault="008D3A60" w:rsidP="00584FCD">
      <w:pPr>
        <w:pStyle w:val="Box"/>
        <w:spacing w:after="0"/>
      </w:pPr>
      <w:bookmarkStart w:id="41" w:name="_Ref459803345"/>
      <w:r w:rsidRPr="0089135C">
        <w:t>PC4: A local authority shall consider all practicable options available to it to provide sufficient development capacity and enable development to meet demand in the short, medium and long term, including:</w:t>
      </w:r>
      <w:bookmarkEnd w:id="41"/>
    </w:p>
    <w:p w14:paraId="41F6608B" w14:textId="77777777" w:rsidR="008D3A60" w:rsidRPr="0089135C" w:rsidRDefault="008D3A60" w:rsidP="00525C62">
      <w:pPr>
        <w:pStyle w:val="Box"/>
        <w:spacing w:before="60" w:after="0"/>
        <w:ind w:left="681" w:hanging="397"/>
      </w:pPr>
      <w:r w:rsidRPr="0089135C">
        <w:t>a)</w:t>
      </w:r>
      <w:r w:rsidRPr="0089135C">
        <w:tab/>
        <w:t xml:space="preserve">Changes to plans and regional policy statements, including to the zoning, objectives, policies, rules and overlays that apply in both existing urban environments and </w:t>
      </w:r>
      <w:proofErr w:type="gramStart"/>
      <w:r w:rsidRPr="0089135C">
        <w:t>greenfield</w:t>
      </w:r>
      <w:proofErr w:type="gramEnd"/>
      <w:r w:rsidRPr="0089135C">
        <w:t xml:space="preserve"> areas;</w:t>
      </w:r>
    </w:p>
    <w:p w14:paraId="23E29D79" w14:textId="77777777" w:rsidR="008D3A60" w:rsidRDefault="008D3A60" w:rsidP="00525C62">
      <w:pPr>
        <w:pStyle w:val="Box"/>
        <w:spacing w:before="60" w:after="0"/>
        <w:ind w:left="681" w:hanging="397"/>
      </w:pPr>
      <w:r w:rsidRPr="0089135C">
        <w:t>b)</w:t>
      </w:r>
      <w:r w:rsidRPr="0089135C">
        <w:tab/>
        <w:t>Integrated and coordinated consenting processes that facilitate development; and</w:t>
      </w:r>
    </w:p>
    <w:p w14:paraId="47BFF0CA" w14:textId="77777777" w:rsidR="008D3A60" w:rsidRPr="0089135C" w:rsidRDefault="00DF75B2" w:rsidP="00DF75B2">
      <w:pPr>
        <w:pStyle w:val="Box"/>
        <w:spacing w:before="60" w:after="0"/>
        <w:ind w:left="681" w:hanging="397"/>
      </w:pPr>
      <w:r w:rsidRPr="0089135C">
        <w:t>c)</w:t>
      </w:r>
      <w:r w:rsidRPr="0089135C">
        <w:tab/>
        <w:t>Statutory tools and other methods available under other legislation.</w:t>
      </w:r>
    </w:p>
    <w:p w14:paraId="29855A50" w14:textId="192ED41A" w:rsidR="008D3A60" w:rsidRPr="0089135C" w:rsidRDefault="008D3A60" w:rsidP="008D3A60">
      <w:pPr>
        <w:pStyle w:val="BodyText"/>
        <w:spacing w:before="240"/>
      </w:pPr>
      <w:r w:rsidRPr="0089135C">
        <w:t>Policy PC4 directs councils to consider all practicable options available to provide sufficient development capacity and enable development, and suggests examples of what must be considered. These cover regulations and plan making, consenting processes, and statutory tools and other methods available under other legislation (such as long-term strategic planning).</w:t>
      </w:r>
      <w:r w:rsidR="00643625" w:rsidRPr="0089135C">
        <w:t xml:space="preserve"> </w:t>
      </w:r>
    </w:p>
    <w:p w14:paraId="7BE67C3C" w14:textId="4C2B7EE3" w:rsidR="008D3A60" w:rsidRPr="0089135C" w:rsidRDefault="008D3A60" w:rsidP="008D3A60">
      <w:pPr>
        <w:pStyle w:val="BodyText"/>
      </w:pPr>
      <w:r w:rsidRPr="0089135C">
        <w:t>These examples may be more or less appropriate</w:t>
      </w:r>
      <w:r w:rsidR="005B7452">
        <w:t>,</w:t>
      </w:r>
      <w:r w:rsidRPr="0089135C">
        <w:t xml:space="preserve"> depending on whether the local authority is responding to provide development capacity in the short, medium or long term. For example, in the</w:t>
      </w:r>
      <w:r w:rsidR="00584FCD" w:rsidRPr="0089135C">
        <w:t> </w:t>
      </w:r>
      <w:r w:rsidRPr="0089135C">
        <w:t>short term, the most appropriate response may be to enable more development through more integrated and coordinated consenting processes that streamline local authority processes and provide one point of contact in a local authority.</w:t>
      </w:r>
      <w:r w:rsidR="00643625" w:rsidRPr="0089135C">
        <w:t xml:space="preserve"> </w:t>
      </w:r>
      <w:r w:rsidRPr="0089135C">
        <w:t>An example of this</w:t>
      </w:r>
      <w:r w:rsidR="005F15E3">
        <w:t xml:space="preserve"> was</w:t>
      </w:r>
      <w:r w:rsidRPr="0089135C">
        <w:t xml:space="preserve"> the Housing Project Office at</w:t>
      </w:r>
      <w:r w:rsidR="00584FCD" w:rsidRPr="0089135C">
        <w:t> </w:t>
      </w:r>
      <w:r w:rsidRPr="0089135C">
        <w:t>Auckland Council, which was used to implement the special housing area legislation.</w:t>
      </w:r>
      <w:r w:rsidR="00643625" w:rsidRPr="0089135C">
        <w:t xml:space="preserve"> </w:t>
      </w:r>
      <w:r w:rsidRPr="0089135C">
        <w:t>In the medium and long term, initiating a plan change process to change zoning, objectives, policies, rules and overlays to provide more development capacity may be the most appropriate way to</w:t>
      </w:r>
      <w:r w:rsidR="00584FCD" w:rsidRPr="0089135C">
        <w:t> </w:t>
      </w:r>
      <w:r w:rsidRPr="0089135C">
        <w:t>respond.</w:t>
      </w:r>
      <w:r w:rsidR="00643625" w:rsidRPr="0089135C">
        <w:t xml:space="preserve"> </w:t>
      </w:r>
    </w:p>
    <w:p w14:paraId="54390D72" w14:textId="77777777" w:rsidR="008D3A60" w:rsidRPr="0089135C" w:rsidRDefault="008D3A60" w:rsidP="002517B7">
      <w:pPr>
        <w:pStyle w:val="BodyText"/>
        <w:spacing w:after="100"/>
      </w:pPr>
      <w:r w:rsidRPr="0089135C">
        <w:t>The list of options in policy PC4 is not intended to preclude local authorities from pursuing other options to provide sufficient development capacity, including non-RMA tools and methods.</w:t>
      </w:r>
      <w:r w:rsidR="00643625" w:rsidRPr="0089135C">
        <w:t xml:space="preserve"> </w:t>
      </w:r>
      <w:r w:rsidRPr="0089135C">
        <w:t xml:space="preserve">For example, this could include: </w:t>
      </w:r>
    </w:p>
    <w:p w14:paraId="2BC5ADCD" w14:textId="77777777" w:rsidR="008D3A60" w:rsidRPr="0089135C" w:rsidRDefault="008D3A60" w:rsidP="002517B7">
      <w:pPr>
        <w:pStyle w:val="Bullet"/>
        <w:spacing w:after="100"/>
      </w:pPr>
      <w:r w:rsidRPr="0089135C">
        <w:t>bringing forward infrastructure provision or entering into development agreements for the private provision of infrastructure</w:t>
      </w:r>
    </w:p>
    <w:p w14:paraId="59A94DB7" w14:textId="77777777" w:rsidR="008D3A60" w:rsidRPr="0089135C" w:rsidRDefault="008D3A60" w:rsidP="002517B7">
      <w:pPr>
        <w:pStyle w:val="Bullet"/>
        <w:spacing w:after="100"/>
      </w:pPr>
      <w:r w:rsidRPr="0089135C">
        <w:t>incentivising development through the contributions regime or rebates schemes</w:t>
      </w:r>
    </w:p>
    <w:p w14:paraId="4F1740D1" w14:textId="77777777" w:rsidR="008D3A60" w:rsidRPr="0089135C" w:rsidRDefault="008D3A60" w:rsidP="008D3A60">
      <w:pPr>
        <w:pStyle w:val="Bullet"/>
      </w:pPr>
      <w:proofErr w:type="gramStart"/>
      <w:r w:rsidRPr="0089135C">
        <w:t>other</w:t>
      </w:r>
      <w:proofErr w:type="gramEnd"/>
      <w:r w:rsidRPr="0089135C">
        <w:t xml:space="preserve"> methods a council might have available to it. </w:t>
      </w:r>
    </w:p>
    <w:p w14:paraId="55A5CC42" w14:textId="75873799" w:rsidR="008D3A60" w:rsidRPr="0089135C" w:rsidRDefault="008D3A60" w:rsidP="00170E4B">
      <w:pPr>
        <w:pStyle w:val="BodyText"/>
        <w:spacing w:after="100"/>
        <w:rPr>
          <w:b/>
          <w:i/>
        </w:rPr>
      </w:pPr>
      <w:r w:rsidRPr="0089135C">
        <w:rPr>
          <w:b/>
          <w:i/>
        </w:rPr>
        <w:lastRenderedPageBreak/>
        <w:t>Government will establish practice groups to oversee the development of separate te</w:t>
      </w:r>
      <w:r w:rsidR="00170E4B">
        <w:rPr>
          <w:b/>
          <w:i/>
        </w:rPr>
        <w:t xml:space="preserve">chnical guidance during 2017 on </w:t>
      </w:r>
      <w:r w:rsidRPr="0089135C">
        <w:rPr>
          <w:b/>
          <w:i/>
        </w:rPr>
        <w:t>plans that provide sufficient development capacity</w:t>
      </w:r>
      <w:r w:rsidR="00170E4B">
        <w:rPr>
          <w:b/>
          <w:i/>
        </w:rPr>
        <w:t xml:space="preserve"> and </w:t>
      </w:r>
      <w:r w:rsidRPr="0089135C">
        <w:rPr>
          <w:b/>
          <w:i/>
        </w:rPr>
        <w:t>consenting practices that enable development.</w:t>
      </w:r>
    </w:p>
    <w:p w14:paraId="5499D206" w14:textId="6F03ADE2" w:rsidR="008226FE" w:rsidRPr="00D357B4" w:rsidRDefault="008226FE" w:rsidP="00416D02">
      <w:pPr>
        <w:pStyle w:val="Heading2"/>
        <w:spacing w:before="280" w:after="120"/>
        <w:rPr>
          <w:sz w:val="35"/>
          <w:szCs w:val="35"/>
        </w:rPr>
      </w:pPr>
      <w:bookmarkStart w:id="42" w:name="_Toc465349930"/>
      <w:bookmarkStart w:id="43" w:name="_Toc465600906"/>
      <w:r w:rsidRPr="00D357B4">
        <w:rPr>
          <w:sz w:val="35"/>
          <w:szCs w:val="35"/>
        </w:rPr>
        <w:t>Policies PD1</w:t>
      </w:r>
      <w:r w:rsidR="00EB1101" w:rsidRPr="00D357B4">
        <w:rPr>
          <w:sz w:val="35"/>
          <w:szCs w:val="35"/>
        </w:rPr>
        <w:t>–PD</w:t>
      </w:r>
      <w:r w:rsidRPr="00D357B4">
        <w:rPr>
          <w:sz w:val="35"/>
          <w:szCs w:val="35"/>
        </w:rPr>
        <w:t>2: Coordinated evidence and decision</w:t>
      </w:r>
      <w:r w:rsidRPr="00D357B4">
        <w:rPr>
          <w:sz w:val="35"/>
          <w:szCs w:val="35"/>
        </w:rPr>
        <w:noBreakHyphen/>
        <w:t>making</w:t>
      </w:r>
      <w:bookmarkEnd w:id="42"/>
      <w:bookmarkEnd w:id="43"/>
    </w:p>
    <w:p w14:paraId="2C1B060D" w14:textId="77777777" w:rsidR="008226FE" w:rsidRPr="0089135C" w:rsidRDefault="008226FE" w:rsidP="008226FE">
      <w:pPr>
        <w:pStyle w:val="Box"/>
        <w:spacing w:after="0"/>
      </w:pPr>
      <w:bookmarkStart w:id="44" w:name="_Ref459809476"/>
      <w:r w:rsidRPr="0089135C">
        <w:t>PD1: Local authorities that share jurisdiction over an urban area are strongly encouraged to work together to implement this national policy statement, having particular regard to cooperating and agreeing upon:</w:t>
      </w:r>
      <w:bookmarkEnd w:id="44"/>
    </w:p>
    <w:p w14:paraId="23C3DA58" w14:textId="77777777" w:rsidR="008226FE" w:rsidRPr="0089135C" w:rsidRDefault="008226FE" w:rsidP="002517B7">
      <w:pPr>
        <w:pStyle w:val="Box"/>
        <w:spacing w:before="60" w:after="0"/>
        <w:ind w:left="681" w:hanging="397"/>
      </w:pPr>
      <w:r w:rsidRPr="0089135C">
        <w:t>a)</w:t>
      </w:r>
      <w:r w:rsidRPr="0089135C">
        <w:tab/>
        <w:t>The preparation and content of a joint housing and business development capacity assessment for the purposes of policy PB1; and</w:t>
      </w:r>
    </w:p>
    <w:p w14:paraId="2B9C2F99" w14:textId="77777777" w:rsidR="008226FE" w:rsidRPr="0089135C" w:rsidRDefault="008226FE" w:rsidP="002517B7">
      <w:pPr>
        <w:pStyle w:val="Box"/>
        <w:spacing w:before="60" w:after="0"/>
        <w:ind w:left="681" w:hanging="397"/>
      </w:pPr>
      <w:r w:rsidRPr="0089135C">
        <w:t>b)</w:t>
      </w:r>
      <w:r w:rsidRPr="0089135C">
        <w:tab/>
        <w:t xml:space="preserve">The provision and location of sufficient, feasible development capacity required under policies PA1, PC1 and PC2. </w:t>
      </w:r>
    </w:p>
    <w:p w14:paraId="21DABAF4" w14:textId="77777777" w:rsidR="008226FE" w:rsidRPr="0089135C" w:rsidRDefault="008226FE" w:rsidP="00D357B4">
      <w:pPr>
        <w:pStyle w:val="Box"/>
      </w:pPr>
      <w:bookmarkStart w:id="45" w:name="_Ref459811434"/>
      <w:bookmarkStart w:id="46" w:name="_Ref459811951"/>
      <w:r w:rsidRPr="0089135C">
        <w:t>PD2: To achieve integrated land use and infrastructure planning, local authorities shall work with providers of development infrastructure, and other infrastructure, to implement policies PA1 to PA3, PC1</w:t>
      </w:r>
      <w:bookmarkEnd w:id="45"/>
      <w:bookmarkEnd w:id="46"/>
      <w:r w:rsidRPr="0089135C">
        <w:t>, and PC2.</w:t>
      </w:r>
    </w:p>
    <w:p w14:paraId="5F42E939" w14:textId="77777777" w:rsidR="008226FE" w:rsidRPr="0089135C" w:rsidRDefault="008226FE" w:rsidP="008226FE">
      <w:pPr>
        <w:pStyle w:val="BodyText"/>
        <w:spacing w:before="240"/>
      </w:pPr>
      <w:r w:rsidRPr="0089135C">
        <w:t>While a national policy statement cannot direct joint decision-making between councils, the NPS-UDC goes as far as possible to encourage coordination between local authorities when they share jurisdiction over a medium- or high-growth urban area. Regional councils and territorial authorities both have functions that impact how growth is planned for and accommodated, and on the ability to</w:t>
      </w:r>
      <w:r w:rsidR="00584FCD" w:rsidRPr="0089135C">
        <w:t> </w:t>
      </w:r>
      <w:r w:rsidRPr="0089135C">
        <w:t>achieve the objectives of the NPS-UDC.</w:t>
      </w:r>
      <w:r w:rsidR="00643625" w:rsidRPr="0089135C">
        <w:t xml:space="preserve"> </w:t>
      </w:r>
      <w:r w:rsidRPr="0089135C">
        <w:t xml:space="preserve">Neighbouring local authorities will also each affect development in urban markets that cross their boundaries. It is highly desirable that they align their planning decisions and processes. </w:t>
      </w:r>
    </w:p>
    <w:p w14:paraId="24FA0D98" w14:textId="7B3297AE" w:rsidR="008226FE" w:rsidRPr="0089135C" w:rsidRDefault="008226FE" w:rsidP="00C54BCF">
      <w:pPr>
        <w:pStyle w:val="BodyText"/>
        <w:spacing w:before="100"/>
      </w:pPr>
      <w:r w:rsidRPr="0089135C">
        <w:t>The NP</w:t>
      </w:r>
      <w:r w:rsidR="006E2E69">
        <w:t>S</w:t>
      </w:r>
      <w:r w:rsidRPr="0089135C">
        <w:t xml:space="preserve">-UDC also requires local authorities to work with providers of development infrastructure and other infrastructure to fulfil specific requirements of the NPS-UDC. </w:t>
      </w:r>
    </w:p>
    <w:p w14:paraId="27E84A8D" w14:textId="5EF1F3A8" w:rsidR="008226FE" w:rsidRPr="0089135C" w:rsidRDefault="008226FE" w:rsidP="00C54BCF">
      <w:pPr>
        <w:pStyle w:val="BodyText"/>
        <w:spacing w:before="100"/>
      </w:pPr>
      <w:r w:rsidRPr="0089135C">
        <w:t>There are clear benefits to coordination and aligned planning decisions across an urban area for local communities, local councils, infrastructure providers and the development sector. This coordination need not exclude the possibility of local authorities and infrastructure providers responding to demands that they cannot predict.</w:t>
      </w:r>
    </w:p>
    <w:p w14:paraId="1580BDE5" w14:textId="77777777" w:rsidR="008226FE" w:rsidRPr="0089135C" w:rsidRDefault="008226FE" w:rsidP="002517B7">
      <w:pPr>
        <w:pStyle w:val="Heading3"/>
        <w:spacing w:before="240"/>
      </w:pPr>
      <w:r w:rsidRPr="0089135C">
        <w:t>Policy PD1 (Local authorities planning together)</w:t>
      </w:r>
    </w:p>
    <w:p w14:paraId="0701B64A" w14:textId="031D6135" w:rsidR="008226FE" w:rsidRPr="0089135C" w:rsidRDefault="008226FE" w:rsidP="00C54BCF">
      <w:pPr>
        <w:pStyle w:val="BodyText"/>
        <w:spacing w:before="100"/>
      </w:pPr>
      <w:r w:rsidRPr="0089135C">
        <w:t>Policy PD1 strongly encourages local authorities that share jurisdiction over an urban area to prepare a joint housing and business development capacity assessment. This would provide a shared understanding of the relevant urban development market and a basis for local authorities to align their planning decisions affecting the provision and location of development capacity.</w:t>
      </w:r>
      <w:r w:rsidR="00643625" w:rsidRPr="0089135C">
        <w:t xml:space="preserve"> </w:t>
      </w:r>
      <w:r w:rsidRPr="0089135C">
        <w:t xml:space="preserve">It would also minimise the costs of preparing the housing and business assessment for individual local authorities. </w:t>
      </w:r>
    </w:p>
    <w:p w14:paraId="67BADBEB" w14:textId="146AE4A9" w:rsidR="008226FE" w:rsidRPr="0089135C" w:rsidRDefault="008226FE" w:rsidP="00C54BCF">
      <w:pPr>
        <w:pStyle w:val="BodyText"/>
        <w:spacing w:before="100"/>
      </w:pPr>
      <w:r w:rsidRPr="0089135C">
        <w:t>Many of the local authorities covered by the medium- and high-growth urban area policies have already established relationships and agreements with other local authorities and infrastructure providers and already work together on shared evidence and growth strategies</w:t>
      </w:r>
      <w:r w:rsidR="00C25481">
        <w:t xml:space="preserve">. These include </w:t>
      </w:r>
      <w:r w:rsidR="00C25481" w:rsidRPr="0089135C">
        <w:t xml:space="preserve">for example, </w:t>
      </w:r>
      <w:proofErr w:type="spellStart"/>
      <w:r w:rsidR="00C25481" w:rsidRPr="0089135C">
        <w:t>SmartGrowth</w:t>
      </w:r>
      <w:proofErr w:type="spellEnd"/>
      <w:r w:rsidR="00C25481" w:rsidRPr="0089135C">
        <w:t xml:space="preserve">, Future Proof, the </w:t>
      </w:r>
      <w:proofErr w:type="spellStart"/>
      <w:r w:rsidR="00C25481" w:rsidRPr="0089135C">
        <w:t>Heretaunga</w:t>
      </w:r>
      <w:proofErr w:type="spellEnd"/>
      <w:r w:rsidR="00C25481" w:rsidRPr="0089135C">
        <w:t xml:space="preserve"> Plains Urban Development Strategy, and the Greater Christchurch Urban Development Strategy</w:t>
      </w:r>
      <w:r w:rsidRPr="0089135C">
        <w:t>.</w:t>
      </w:r>
    </w:p>
    <w:p w14:paraId="0693B891" w14:textId="3BAFB0C8" w:rsidR="008226FE" w:rsidRPr="0089135C" w:rsidRDefault="008226FE" w:rsidP="00C54BCF">
      <w:pPr>
        <w:pStyle w:val="BodyText"/>
        <w:spacing w:before="100"/>
      </w:pPr>
      <w:r w:rsidRPr="0089135C">
        <w:t>The NPS-UDC is intended to build on and strengthen these existing relationships.</w:t>
      </w:r>
      <w:r w:rsidR="00643625" w:rsidRPr="0089135C">
        <w:t xml:space="preserve"> </w:t>
      </w:r>
      <w:r w:rsidRPr="0089135C">
        <w:t xml:space="preserve">For example, throughout the NPS-UDC it states that </w:t>
      </w:r>
      <w:r w:rsidR="00BD0119">
        <w:t>“</w:t>
      </w:r>
      <w:r w:rsidRPr="00EA68B3">
        <w:t xml:space="preserve">the applications of policies should not be restricted to the </w:t>
      </w:r>
      <w:r w:rsidRPr="00EA68B3">
        <w:lastRenderedPageBreak/>
        <w:t>boundaries of the urban area</w:t>
      </w:r>
      <w:r w:rsidR="00BD0119">
        <w:t>”</w:t>
      </w:r>
      <w:r w:rsidRPr="0089135C">
        <w:t>.</w:t>
      </w:r>
      <w:r w:rsidR="00643625" w:rsidRPr="0089135C">
        <w:t xml:space="preserve"> </w:t>
      </w:r>
      <w:r w:rsidRPr="0089135C">
        <w:t>This allows for local authorities that share jurisdiction over an urban area to decide which area makes the most sense for them to apply the policies.</w:t>
      </w:r>
      <w:r w:rsidR="00643625" w:rsidRPr="0089135C">
        <w:t xml:space="preserve"> </w:t>
      </w:r>
      <w:r w:rsidRPr="0089135C">
        <w:t>This means, for example, that</w:t>
      </w:r>
      <w:r w:rsidRPr="0089135C" w:rsidDel="007B4FDE">
        <w:t xml:space="preserve"> </w:t>
      </w:r>
      <w:r w:rsidRPr="0089135C">
        <w:t>local authorities that have all or part of the Christchurch urban area in their district or region can apply the policies in NPS-UDC to the area used for the Greater Christchurch Urban Development Strategy.</w:t>
      </w:r>
      <w:r w:rsidR="00643625" w:rsidRPr="0089135C">
        <w:t xml:space="preserve"> </w:t>
      </w:r>
    </w:p>
    <w:p w14:paraId="2A9C54C3" w14:textId="77777777" w:rsidR="00C25481" w:rsidRDefault="008226FE" w:rsidP="00C54BCF">
      <w:pPr>
        <w:pStyle w:val="BodyText"/>
        <w:spacing w:before="100"/>
        <w:rPr>
          <w:rFonts w:eastAsiaTheme="majorEastAsia"/>
        </w:rPr>
      </w:pPr>
      <w:r w:rsidRPr="0089135C">
        <w:rPr>
          <w:rFonts w:eastAsiaTheme="majorEastAsia"/>
        </w:rPr>
        <w:t>While the ideal outcome from the NPS-UDC is that all local authorities sharing jurisdiction over an urban area prepare a joint assessment and future development strategy, this is not mandatory.</w:t>
      </w:r>
      <w:r w:rsidR="00643625" w:rsidRPr="0089135C">
        <w:rPr>
          <w:rFonts w:eastAsiaTheme="majorEastAsia"/>
        </w:rPr>
        <w:t xml:space="preserve"> </w:t>
      </w:r>
      <w:r w:rsidRPr="0089135C">
        <w:rPr>
          <w:rFonts w:eastAsiaTheme="majorEastAsia"/>
        </w:rPr>
        <w:t xml:space="preserve">A lack of consensus should not prevent any local authority or groups of local authorities from meeting the requirements of the NPS-UDC. </w:t>
      </w:r>
    </w:p>
    <w:p w14:paraId="6C1C3F41" w14:textId="4A6C981A" w:rsidR="008226FE" w:rsidRPr="00C25481" w:rsidRDefault="00C25481" w:rsidP="00C54BCF">
      <w:pPr>
        <w:pStyle w:val="BodyText"/>
        <w:spacing w:before="100"/>
        <w:rPr>
          <w:rFonts w:eastAsiaTheme="majorEastAsia"/>
          <w:b/>
        </w:rPr>
      </w:pPr>
      <w:r w:rsidRPr="00C25481">
        <w:rPr>
          <w:rFonts w:eastAsiaTheme="majorEastAsia"/>
          <w:b/>
          <w:i/>
        </w:rPr>
        <w:t>Government will monitor the effectiveness of coordinated local planning.</w:t>
      </w:r>
    </w:p>
    <w:p w14:paraId="12B3A3BE" w14:textId="2E1B81C7" w:rsidR="008226FE" w:rsidRPr="0089135C" w:rsidRDefault="008226FE" w:rsidP="002517B7">
      <w:pPr>
        <w:pStyle w:val="Heading2"/>
        <w:spacing w:before="280"/>
        <w:rPr>
          <w:sz w:val="28"/>
          <w:szCs w:val="28"/>
        </w:rPr>
      </w:pPr>
      <w:bookmarkStart w:id="47" w:name="_Toc465600907"/>
      <w:r w:rsidRPr="0089135C">
        <w:t>Policies that medium-growth local authorities are encouraged to also give</w:t>
      </w:r>
      <w:r w:rsidR="00F70C0C">
        <w:t> </w:t>
      </w:r>
      <w:r w:rsidRPr="0089135C">
        <w:t>effect</w:t>
      </w:r>
      <w:r w:rsidR="00384DD2">
        <w:t> </w:t>
      </w:r>
      <w:r w:rsidRPr="0089135C">
        <w:t>to</w:t>
      </w:r>
      <w:bookmarkEnd w:id="47"/>
    </w:p>
    <w:p w14:paraId="109D5EB5" w14:textId="3A812042" w:rsidR="008226FE" w:rsidRPr="0089135C" w:rsidRDefault="008226FE" w:rsidP="00C54BCF">
      <w:pPr>
        <w:pStyle w:val="Heading3"/>
        <w:spacing w:before="200"/>
        <w:rPr>
          <w:rFonts w:eastAsiaTheme="minorEastAsia"/>
        </w:rPr>
      </w:pPr>
      <w:r w:rsidRPr="0089135C">
        <w:rPr>
          <w:rFonts w:eastAsiaTheme="minorEastAsia"/>
        </w:rPr>
        <w:t>Policies PC5</w:t>
      </w:r>
      <w:r w:rsidR="00DE7711">
        <w:rPr>
          <w:rFonts w:eastAsiaTheme="minorEastAsia"/>
        </w:rPr>
        <w:t>–PC</w:t>
      </w:r>
      <w:r w:rsidRPr="0089135C">
        <w:rPr>
          <w:rFonts w:eastAsiaTheme="minorEastAsia"/>
        </w:rPr>
        <w:t>14 and PD3</w:t>
      </w:r>
      <w:r w:rsidR="00DE7711">
        <w:rPr>
          <w:rFonts w:eastAsiaTheme="minorEastAsia"/>
        </w:rPr>
        <w:t>–PD</w:t>
      </w:r>
      <w:r w:rsidRPr="0089135C">
        <w:rPr>
          <w:rFonts w:eastAsiaTheme="minorEastAsia"/>
        </w:rPr>
        <w:t>4 (Minimum targets and future development</w:t>
      </w:r>
      <w:r w:rsidR="000A2F0B" w:rsidRPr="0089135C">
        <w:rPr>
          <w:rFonts w:eastAsiaTheme="minorEastAsia"/>
        </w:rPr>
        <w:t> </w:t>
      </w:r>
      <w:r w:rsidRPr="0089135C">
        <w:rPr>
          <w:rFonts w:eastAsiaTheme="minorEastAsia"/>
        </w:rPr>
        <w:t>strategies)</w:t>
      </w:r>
    </w:p>
    <w:p w14:paraId="0046FF74" w14:textId="30C78AEB" w:rsidR="008226FE" w:rsidRPr="0089135C" w:rsidRDefault="008226FE" w:rsidP="00C54BCF">
      <w:pPr>
        <w:pStyle w:val="BodyText"/>
        <w:widowControl w:val="0"/>
        <w:spacing w:after="0"/>
      </w:pPr>
      <w:r w:rsidRPr="0089135C">
        <w:t>Local authorities with all or part of a medium-growth urban area in their region or district are</w:t>
      </w:r>
      <w:r w:rsidR="0009494D" w:rsidRPr="0089135C">
        <w:t> </w:t>
      </w:r>
      <w:r w:rsidR="008A1A08">
        <w:t>‘</w:t>
      </w:r>
      <w:r w:rsidRPr="0089135C">
        <w:t>encouraged</w:t>
      </w:r>
      <w:r w:rsidR="008A1A08">
        <w:t>’</w:t>
      </w:r>
      <w:r w:rsidRPr="0089135C">
        <w:t xml:space="preserve"> to also give effect to policies PC5</w:t>
      </w:r>
      <w:r w:rsidR="008A1A08">
        <w:t>–PC</w:t>
      </w:r>
      <w:r w:rsidRPr="0089135C">
        <w:t>11 (minimum targets), PC12</w:t>
      </w:r>
      <w:r w:rsidR="008A1A08">
        <w:t>–PC</w:t>
      </w:r>
      <w:r w:rsidRPr="0089135C">
        <w:t>14 (future development strategies) and PD3</w:t>
      </w:r>
      <w:r w:rsidR="008A1A08">
        <w:t>–PD</w:t>
      </w:r>
      <w:r w:rsidRPr="0089135C">
        <w:t>4 (coordination over minimum targets and future development strategies). These policies apply to high-growth urban areas</w:t>
      </w:r>
      <w:r w:rsidR="008A1A08">
        <w:t>,</w:t>
      </w:r>
      <w:r w:rsidRPr="0089135C">
        <w:t xml:space="preserve"> as discussed in the</w:t>
      </w:r>
      <w:r w:rsidR="0009494D" w:rsidRPr="0089135C">
        <w:t> </w:t>
      </w:r>
      <w:r w:rsidRPr="0089135C">
        <w:t>next chapter.</w:t>
      </w:r>
    </w:p>
    <w:p w14:paraId="3EC2B35F" w14:textId="7229378E" w:rsidR="00E61FB6" w:rsidRPr="0089135C" w:rsidRDefault="0009494D" w:rsidP="00C54BCF">
      <w:pPr>
        <w:pStyle w:val="Heading1"/>
        <w:pageBreakBefore/>
      </w:pPr>
      <w:bookmarkStart w:id="48" w:name="_Toc465349931"/>
      <w:bookmarkStart w:id="49" w:name="_Toc465600908"/>
      <w:r w:rsidRPr="0089135C">
        <w:lastRenderedPageBreak/>
        <w:t>4</w:t>
      </w:r>
      <w:r w:rsidRPr="0089135C">
        <w:tab/>
        <w:t>Requirements of high</w:t>
      </w:r>
      <w:r w:rsidR="00724BE7">
        <w:t>-</w:t>
      </w:r>
      <w:r w:rsidRPr="0089135C">
        <w:t>growth urban areas</w:t>
      </w:r>
      <w:bookmarkEnd w:id="48"/>
      <w:bookmarkEnd w:id="49"/>
    </w:p>
    <w:p w14:paraId="4E682020" w14:textId="5136717A" w:rsidR="0009494D" w:rsidRPr="0089135C" w:rsidRDefault="0009494D" w:rsidP="0009494D">
      <w:pPr>
        <w:pStyle w:val="BodyText"/>
      </w:pPr>
      <w:r w:rsidRPr="0089135C">
        <w:t>Local authorities that have all or part of a high</w:t>
      </w:r>
      <w:r w:rsidR="00BB76DB">
        <w:t>-</w:t>
      </w:r>
      <w:r w:rsidRPr="0089135C">
        <w:t>growth urban area in their district or region must give effect to policies PC5</w:t>
      </w:r>
      <w:r w:rsidR="00BB76DB">
        <w:t>–PC</w:t>
      </w:r>
      <w:r w:rsidRPr="0089135C">
        <w:t>14 and PD3</w:t>
      </w:r>
      <w:r w:rsidR="00BB76DB">
        <w:t>–PD</w:t>
      </w:r>
      <w:r w:rsidRPr="0089135C">
        <w:t>4</w:t>
      </w:r>
      <w:r w:rsidR="00BB76DB">
        <w:t>,</w:t>
      </w:r>
      <w:r w:rsidRPr="0089135C">
        <w:t xml:space="preserve"> in addition to the policies that apply to all local authorities and medium</w:t>
      </w:r>
      <w:r w:rsidR="00BB76DB">
        <w:t>-</w:t>
      </w:r>
      <w:r w:rsidRPr="0089135C">
        <w:t>growth urban areas.</w:t>
      </w:r>
    </w:p>
    <w:p w14:paraId="0BA540F9" w14:textId="2442B99E" w:rsidR="0009494D" w:rsidRPr="0089135C" w:rsidRDefault="0009494D" w:rsidP="003745BD">
      <w:pPr>
        <w:pStyle w:val="Heading2"/>
        <w:spacing w:before="320"/>
      </w:pPr>
      <w:bookmarkStart w:id="50" w:name="_Toc465349932"/>
      <w:bookmarkStart w:id="51" w:name="_Toc465600909"/>
      <w:r w:rsidRPr="0089135C">
        <w:t>Polic</w:t>
      </w:r>
      <w:r w:rsidR="00321C34">
        <w:t>ies</w:t>
      </w:r>
      <w:r w:rsidRPr="0089135C">
        <w:t xml:space="preserve"> PC5</w:t>
      </w:r>
      <w:r w:rsidR="00BB76DB">
        <w:t>–</w:t>
      </w:r>
      <w:r w:rsidR="00147238">
        <w:t>PC</w:t>
      </w:r>
      <w:r w:rsidRPr="0089135C">
        <w:t xml:space="preserve">14: Responsive </w:t>
      </w:r>
      <w:r w:rsidR="00BB76DB">
        <w:t>p</w:t>
      </w:r>
      <w:r w:rsidRPr="0089135C">
        <w:t>lanning</w:t>
      </w:r>
      <w:bookmarkEnd w:id="50"/>
      <w:bookmarkEnd w:id="51"/>
    </w:p>
    <w:p w14:paraId="5DBA3FA9" w14:textId="5CA3E1A2" w:rsidR="0009494D" w:rsidRPr="0089135C" w:rsidRDefault="0009494D" w:rsidP="0009494D">
      <w:pPr>
        <w:pStyle w:val="Heading3"/>
        <w:spacing w:before="240" w:after="120"/>
      </w:pPr>
      <w:r w:rsidRPr="0089135C">
        <w:t>Policies PC5–</w:t>
      </w:r>
      <w:r w:rsidR="00147238">
        <w:t>PC</w:t>
      </w:r>
      <w:r w:rsidRPr="0089135C">
        <w:t>11 (Setting minimum development capacity targets)</w:t>
      </w:r>
    </w:p>
    <w:p w14:paraId="4D2920DE" w14:textId="77777777" w:rsidR="0009494D" w:rsidRPr="0089135C" w:rsidRDefault="0009494D" w:rsidP="0009494D">
      <w:pPr>
        <w:pStyle w:val="Box"/>
      </w:pPr>
      <w:bookmarkStart w:id="52" w:name="_Ref459809073"/>
      <w:r w:rsidRPr="0089135C">
        <w:t>PC5: Regional councils shall set minimum targets for sufficient, feasible development capacity for housing, in accordance with the relevant assessment under policy PB1 and with policies PA1 and PC1 or PC2, and incorporate these minimum targets into the relevant regional policy statement.</w:t>
      </w:r>
      <w:bookmarkEnd w:id="52"/>
    </w:p>
    <w:p w14:paraId="3DDEC2C2" w14:textId="77777777" w:rsidR="0009494D" w:rsidRPr="0089135C" w:rsidRDefault="0009494D" w:rsidP="0009494D">
      <w:pPr>
        <w:pStyle w:val="Box"/>
      </w:pPr>
      <w:bookmarkStart w:id="53" w:name="_Ref459814818"/>
      <w:r w:rsidRPr="0089135C">
        <w:t>PC6: A regional council’s minimum targets set under policy PC5 shall be set for the medium and long term, and shall be reviewed every three years.</w:t>
      </w:r>
      <w:bookmarkEnd w:id="53"/>
      <w:r w:rsidRPr="0089135C">
        <w:t xml:space="preserve"> </w:t>
      </w:r>
    </w:p>
    <w:p w14:paraId="25E26BB6" w14:textId="77777777" w:rsidR="0009494D" w:rsidRPr="0089135C" w:rsidRDefault="0009494D" w:rsidP="0009494D">
      <w:pPr>
        <w:pStyle w:val="Box"/>
      </w:pPr>
      <w:bookmarkStart w:id="54" w:name="_Ref459811105"/>
      <w:r w:rsidRPr="0089135C">
        <w:t>PC7: When the relevant assessment required under policy PB1 shows that the minimum targets set in</w:t>
      </w:r>
      <w:r w:rsidR="000A2F0B" w:rsidRPr="0089135C">
        <w:t> </w:t>
      </w:r>
      <w:r w:rsidRPr="0089135C">
        <w:t>the regional policy statement are not sufficient, regional councils shall revise those minimum targets</w:t>
      </w:r>
      <w:r w:rsidR="000A2F0B" w:rsidRPr="0089135C">
        <w:t> </w:t>
      </w:r>
      <w:r w:rsidRPr="0089135C">
        <w:t>in accordance with policies PC5, and shall incorporate these revised targets into its regional policy statement.</w:t>
      </w:r>
      <w:bookmarkEnd w:id="54"/>
    </w:p>
    <w:p w14:paraId="7A4AF9C8" w14:textId="77777777" w:rsidR="0009494D" w:rsidRPr="0089135C" w:rsidRDefault="0009494D" w:rsidP="0009494D">
      <w:pPr>
        <w:pStyle w:val="Box"/>
      </w:pPr>
      <w:bookmarkStart w:id="55" w:name="_Ref459810398"/>
      <w:r w:rsidRPr="0089135C">
        <w:t>PC8: Regional councils shall amend their proposed and operative regional policy statements to give effect to policies PC5 to PC7 in accordance with section 55(2A) of the Act without using the process in Schedule 1 of the Act.</w:t>
      </w:r>
      <w:bookmarkEnd w:id="55"/>
    </w:p>
    <w:p w14:paraId="295D779A" w14:textId="77777777" w:rsidR="0009494D" w:rsidRPr="0089135C" w:rsidRDefault="0009494D" w:rsidP="0009494D">
      <w:pPr>
        <w:pStyle w:val="Box"/>
      </w:pPr>
      <w:bookmarkStart w:id="56" w:name="_Ref459811180"/>
      <w:r w:rsidRPr="0089135C">
        <w:t>PC9: Territorial authorities shall set minimum targets for sufficient, feasible development capacity for housing, as a portion of the regional minimum target, in accordance with the relevant assessment under policy PB1, and with policies PA1, PC1 or PC2, and PD3 and incorporate the minimum targets as an objective into the relevant plan.</w:t>
      </w:r>
      <w:bookmarkEnd w:id="56"/>
    </w:p>
    <w:p w14:paraId="01C211DC" w14:textId="77777777" w:rsidR="0009494D" w:rsidRPr="0089135C" w:rsidRDefault="0009494D" w:rsidP="0009494D">
      <w:pPr>
        <w:pStyle w:val="Box"/>
      </w:pPr>
      <w:bookmarkStart w:id="57" w:name="_Ref459811194"/>
      <w:r w:rsidRPr="0089135C">
        <w:t xml:space="preserve">PC10: If a minimum target set in a regional policy statement is revised, the relevant territorial authorities shall also revise the minimum targets in their plans in accordance with policy PC9. </w:t>
      </w:r>
      <w:bookmarkEnd w:id="57"/>
    </w:p>
    <w:p w14:paraId="0D33E045" w14:textId="77777777" w:rsidR="0009494D" w:rsidRPr="0089135C" w:rsidRDefault="0009494D" w:rsidP="0009494D">
      <w:pPr>
        <w:pStyle w:val="Box"/>
      </w:pPr>
      <w:bookmarkStart w:id="58" w:name="_Ref459809398"/>
      <w:r w:rsidRPr="0089135C">
        <w:t>PC11: Territorial authorities shall amend their relevant plans to give effect to policies PC9 and PC10 in accordance with section 55(2A) of the Act without using the process in Schedule 1 of the</w:t>
      </w:r>
      <w:r w:rsidR="00496DEA" w:rsidRPr="0089135C">
        <w:t> </w:t>
      </w:r>
      <w:r w:rsidRPr="0089135C">
        <w:t>Act.</w:t>
      </w:r>
      <w:bookmarkEnd w:id="58"/>
    </w:p>
    <w:p w14:paraId="1A2F6527" w14:textId="49F971AB" w:rsidR="0009494D" w:rsidRPr="0089135C" w:rsidRDefault="0009494D" w:rsidP="00496DEA">
      <w:pPr>
        <w:pStyle w:val="BodyText"/>
        <w:spacing w:before="240"/>
      </w:pPr>
      <w:r w:rsidRPr="0089135C">
        <w:t>Policies PC5–</w:t>
      </w:r>
      <w:r w:rsidR="005242EE">
        <w:t>PC</w:t>
      </w:r>
      <w:r w:rsidRPr="0089135C">
        <w:t xml:space="preserve">11 </w:t>
      </w:r>
      <w:r w:rsidR="00B17912">
        <w:t>require</w:t>
      </w:r>
      <w:r w:rsidRPr="0089135C">
        <w:t xml:space="preserve"> regional and district councils to include minimum targets for feasible development capacity for housing in their plans. Minimum targets should</w:t>
      </w:r>
      <w:r w:rsidR="00B17912">
        <w:t xml:space="preserve"> reflect the overall quantity of demand for housing identified in the relevant housing and business </w:t>
      </w:r>
      <w:r w:rsidRPr="0089135C">
        <w:t xml:space="preserve">development capacity assessment required under policy PB1, and should include the additional margins of feasible development capacity required under policy PC1 or PC2. Note that these are </w:t>
      </w:r>
      <w:r w:rsidR="00EF359A">
        <w:t>‘</w:t>
      </w:r>
      <w:r w:rsidRPr="00EA68B3">
        <w:t>minimum</w:t>
      </w:r>
      <w:r w:rsidR="00EF359A">
        <w:t>’</w:t>
      </w:r>
      <w:r w:rsidRPr="00EA68B3">
        <w:t xml:space="preserve"> </w:t>
      </w:r>
      <w:r w:rsidRPr="0089135C">
        <w:t>targets, and</w:t>
      </w:r>
      <w:r w:rsidR="000A2F0B" w:rsidRPr="0089135C">
        <w:t> </w:t>
      </w:r>
      <w:r w:rsidRPr="0089135C">
        <w:t>local authorities could provide more development capacity in their plans if they choose.</w:t>
      </w:r>
    </w:p>
    <w:p w14:paraId="2748487A" w14:textId="6A8F6EAF" w:rsidR="0009494D" w:rsidRPr="0089135C" w:rsidRDefault="0009494D" w:rsidP="00496DEA">
      <w:pPr>
        <w:pStyle w:val="BodyText"/>
      </w:pPr>
      <w:r w:rsidRPr="0089135C">
        <w:t xml:space="preserve">Regional councils should set the minimum targets for housing in their regional policy statement (RPS). This target should reflect the geographic area of focus </w:t>
      </w:r>
      <w:r w:rsidR="00B17912">
        <w:t>used for the relevant housing and business development capacity</w:t>
      </w:r>
      <w:r w:rsidRPr="0089135C">
        <w:t xml:space="preserve"> assessment. The policies also direct territorial authorities to set </w:t>
      </w:r>
      <w:r w:rsidRPr="0089135C">
        <w:lastRenderedPageBreak/>
        <w:t>minimum targets as an objective in their plans.</w:t>
      </w:r>
      <w:r w:rsidR="00643625" w:rsidRPr="0089135C">
        <w:t xml:space="preserve"> </w:t>
      </w:r>
      <w:r w:rsidRPr="0089135C">
        <w:t xml:space="preserve">These targets should represent a proportion of the minimum target set in the RPS. </w:t>
      </w:r>
    </w:p>
    <w:p w14:paraId="1B112735" w14:textId="6207FD64" w:rsidR="0009494D" w:rsidRPr="0089135C" w:rsidRDefault="0009494D" w:rsidP="00496DEA">
      <w:pPr>
        <w:pStyle w:val="BodyText"/>
      </w:pPr>
      <w:r w:rsidRPr="0089135C">
        <w:t>Ideally</w:t>
      </w:r>
      <w:r w:rsidR="003C16C1">
        <w:t>,</w:t>
      </w:r>
      <w:r w:rsidRPr="0089135C">
        <w:t xml:space="preserve"> the assessment and targets should be agreed between the local authorities that share jurisdiction over the urban area, as per policies PD1 and PD3.</w:t>
      </w:r>
      <w:r w:rsidR="00643625" w:rsidRPr="0089135C">
        <w:t xml:space="preserve"> </w:t>
      </w:r>
      <w:r w:rsidRPr="0089135C">
        <w:t>This would mean that when the territorial authorities’ minimum targets are aggregated they would not be less</w:t>
      </w:r>
      <w:r w:rsidR="000A2F0B" w:rsidRPr="0089135C">
        <w:t> </w:t>
      </w:r>
      <w:r w:rsidRPr="0089135C">
        <w:t>than the target set at the regional level (for the area agreed).</w:t>
      </w:r>
      <w:r w:rsidRPr="0089135C" w:rsidDel="00BA521A">
        <w:t xml:space="preserve"> </w:t>
      </w:r>
    </w:p>
    <w:p w14:paraId="7C19E4E5" w14:textId="2ED7B858" w:rsidR="0009494D" w:rsidRPr="0089135C" w:rsidRDefault="0009494D" w:rsidP="00496DEA">
      <w:pPr>
        <w:pStyle w:val="BodyText"/>
      </w:pPr>
      <w:r w:rsidRPr="0089135C">
        <w:t>Minimum targets must be set in the RPS and district plans for the medium and long term, and they must be reviewed every three years.</w:t>
      </w:r>
      <w:r w:rsidR="00643625" w:rsidRPr="0089135C">
        <w:t xml:space="preserve"> </w:t>
      </w:r>
      <w:r w:rsidRPr="0089135C">
        <w:t>Minimum targets must be in place by the end of 2018, one year after local authorities that have all or part of a high-growth urban area in their district or region should have completed their housing and business development capacity assessment.</w:t>
      </w:r>
      <w:r w:rsidR="00643625" w:rsidRPr="0089135C">
        <w:t xml:space="preserve"> </w:t>
      </w:r>
    </w:p>
    <w:p w14:paraId="086F1613" w14:textId="77777777" w:rsidR="0009494D" w:rsidRPr="0089135C" w:rsidRDefault="0009494D" w:rsidP="00496DEA">
      <w:pPr>
        <w:pStyle w:val="BodyText"/>
      </w:pPr>
      <w:r w:rsidRPr="0089135C">
        <w:t>Where the relevant assessment shows that current minimum targets are insufficient, the target set in the RPS should be revised. Minimum targets in the district plans should also then be updated to reflect the new targets in the RPS.</w:t>
      </w:r>
    </w:p>
    <w:p w14:paraId="28AE8FED" w14:textId="77777777" w:rsidR="003A23AA" w:rsidRPr="0089135C" w:rsidRDefault="003A23AA" w:rsidP="003745BD">
      <w:pPr>
        <w:pStyle w:val="Heading4"/>
        <w:spacing w:before="320"/>
      </w:pPr>
      <w:r w:rsidRPr="0089135C">
        <w:t>Use of section 55(2A) of the RMA</w:t>
      </w:r>
    </w:p>
    <w:p w14:paraId="4BD43357" w14:textId="77777777" w:rsidR="003A23AA" w:rsidRPr="0089135C" w:rsidRDefault="003A23AA" w:rsidP="003A23AA">
      <w:pPr>
        <w:pStyle w:val="BodyText"/>
      </w:pPr>
      <w:r w:rsidRPr="0089135C">
        <w:t>Policies PC8 and PC11 allow local authorities to set these minimum targets in the RPS and plans using the process set out in section 55(2A) of the RMA.</w:t>
      </w:r>
      <w:r w:rsidR="00643625" w:rsidRPr="0089135C">
        <w:t xml:space="preserve"> </w:t>
      </w:r>
      <w:r w:rsidRPr="0089135C">
        <w:t xml:space="preserve">This means that they can insert these targets directly into the relevant RPS or plan without using the consultation process set out in Schedule 1 of the RMA. </w:t>
      </w:r>
    </w:p>
    <w:p w14:paraId="26C26BF2" w14:textId="24C7C88F" w:rsidR="003A23AA" w:rsidRPr="0089135C" w:rsidRDefault="003A23AA" w:rsidP="003A23AA">
      <w:pPr>
        <w:pStyle w:val="BodyText"/>
      </w:pPr>
      <w:r w:rsidRPr="0089135C">
        <w:t>Local authorities can only use this process to set the minimum targets</w:t>
      </w:r>
      <w:r w:rsidR="006F3A89">
        <w:t xml:space="preserve"> and</w:t>
      </w:r>
      <w:r w:rsidRPr="0089135C">
        <w:t xml:space="preserve"> not to give effect to the targets through policies and rules. Local authorities should work with their communities through the usual plan change consultation process to decide zones and other regulations that allocate the targeted capacity to different locations and types of housing.</w:t>
      </w:r>
      <w:r w:rsidR="00643625" w:rsidRPr="0089135C">
        <w:t xml:space="preserve"> </w:t>
      </w:r>
    </w:p>
    <w:p w14:paraId="0BB3E681" w14:textId="459E2547" w:rsidR="003A23AA" w:rsidRPr="0089135C" w:rsidRDefault="003A23AA" w:rsidP="003745BD">
      <w:pPr>
        <w:pStyle w:val="Heading3"/>
        <w:spacing w:before="320" w:after="120"/>
      </w:pPr>
      <w:r w:rsidRPr="0089135C">
        <w:t>Policies PC12–</w:t>
      </w:r>
      <w:r w:rsidR="00E73A53">
        <w:t>PC</w:t>
      </w:r>
      <w:r w:rsidRPr="0089135C">
        <w:t>14 (Future development strategy)</w:t>
      </w:r>
    </w:p>
    <w:p w14:paraId="0F9E9033" w14:textId="77777777" w:rsidR="003A23AA" w:rsidRPr="0089135C" w:rsidRDefault="003A23AA" w:rsidP="000A2F0B">
      <w:pPr>
        <w:pStyle w:val="Box"/>
        <w:spacing w:after="0"/>
      </w:pPr>
      <w:bookmarkStart w:id="59" w:name="_Ref459802998"/>
      <w:r w:rsidRPr="0089135C">
        <w:t>PC12: Local authorities shall produce a future development strategy which demonstrates that there will be sufficient, feasible development capacity in the medium and long term. This strategy will also set out how the minimum targets set in accordance with policies PC5 and PC9 will be met.</w:t>
      </w:r>
      <w:bookmarkEnd w:id="59"/>
    </w:p>
    <w:p w14:paraId="510EA3E2" w14:textId="77777777" w:rsidR="003A23AA" w:rsidRPr="0089135C" w:rsidRDefault="003A23AA" w:rsidP="00750191">
      <w:pPr>
        <w:pStyle w:val="Box"/>
        <w:spacing w:after="0"/>
      </w:pPr>
      <w:bookmarkStart w:id="60" w:name="_Ref459811697"/>
      <w:r w:rsidRPr="0089135C">
        <w:t>PC13: The future development strategy shall:</w:t>
      </w:r>
      <w:bookmarkEnd w:id="60"/>
      <w:r w:rsidR="00643625" w:rsidRPr="0089135C">
        <w:t xml:space="preserve"> </w:t>
      </w:r>
    </w:p>
    <w:p w14:paraId="39B1E726" w14:textId="77777777" w:rsidR="003A23AA" w:rsidRPr="0089135C" w:rsidRDefault="00750191" w:rsidP="003745BD">
      <w:pPr>
        <w:pStyle w:val="Box"/>
        <w:spacing w:before="60" w:after="0"/>
        <w:ind w:left="681" w:hanging="397"/>
      </w:pPr>
      <w:r w:rsidRPr="0089135C">
        <w:t>a)</w:t>
      </w:r>
      <w:r w:rsidRPr="0089135C">
        <w:tab/>
      </w:r>
      <w:proofErr w:type="gramStart"/>
      <w:r w:rsidR="003A23AA" w:rsidRPr="0089135C">
        <w:t>identify</w:t>
      </w:r>
      <w:proofErr w:type="gramEnd"/>
      <w:r w:rsidR="003A23AA" w:rsidRPr="0089135C">
        <w:t xml:space="preserve"> the broad location, timing and sequencing of future development capacity over the long term in future urban environments and intensification opportunities within existing urban environments;</w:t>
      </w:r>
    </w:p>
    <w:p w14:paraId="78FD72AB" w14:textId="77777777" w:rsidR="003A23AA" w:rsidRPr="0089135C" w:rsidRDefault="00750191" w:rsidP="003745BD">
      <w:pPr>
        <w:pStyle w:val="Box"/>
        <w:spacing w:before="60" w:after="0"/>
        <w:ind w:left="681" w:hanging="397"/>
      </w:pPr>
      <w:r w:rsidRPr="0089135C">
        <w:t>b)</w:t>
      </w:r>
      <w:r w:rsidRPr="0089135C">
        <w:tab/>
      </w:r>
      <w:proofErr w:type="gramStart"/>
      <w:r w:rsidR="003A23AA" w:rsidRPr="0089135C">
        <w:t>balance</w:t>
      </w:r>
      <w:proofErr w:type="gramEnd"/>
      <w:r w:rsidR="003A23AA" w:rsidRPr="0089135C">
        <w:t xml:space="preserve"> the certainty regarding the provision of future urban development with the need to be responsive to demand for such development; and</w:t>
      </w:r>
    </w:p>
    <w:p w14:paraId="2E251078" w14:textId="77777777" w:rsidR="003A23AA" w:rsidRPr="0089135C" w:rsidRDefault="00750191" w:rsidP="003745BD">
      <w:pPr>
        <w:pStyle w:val="Box"/>
        <w:spacing w:before="60" w:after="0"/>
        <w:ind w:left="681" w:hanging="397"/>
      </w:pPr>
      <w:r w:rsidRPr="0089135C">
        <w:t>c)</w:t>
      </w:r>
      <w:r w:rsidRPr="0089135C">
        <w:tab/>
      </w:r>
      <w:r w:rsidR="003A23AA" w:rsidRPr="0089135C">
        <w:t>be informed by the relevant Long Term Plans and Infrastructure Strategies required under the Local Government Act 2002, and any other relevant strategies, plans and documents.</w:t>
      </w:r>
    </w:p>
    <w:p w14:paraId="5EF5994B" w14:textId="77777777" w:rsidR="003A23AA" w:rsidRPr="0089135C" w:rsidRDefault="003A23AA" w:rsidP="00750191">
      <w:pPr>
        <w:pStyle w:val="Box"/>
        <w:spacing w:after="0"/>
      </w:pPr>
      <w:bookmarkStart w:id="61" w:name="_Ref459803026"/>
      <w:r w:rsidRPr="0089135C">
        <w:t>PC14: The future development strategy can be incorporated into a non-statutory document that is not prepared under the Act, including documents and strategies prepared under other legislation. In developing this strategy, local authorities shall:</w:t>
      </w:r>
      <w:bookmarkEnd w:id="61"/>
      <w:r w:rsidRPr="0089135C">
        <w:t xml:space="preserve"> </w:t>
      </w:r>
    </w:p>
    <w:p w14:paraId="0F06B9F3" w14:textId="77777777" w:rsidR="003A23AA" w:rsidRPr="0089135C" w:rsidRDefault="00C35EAD" w:rsidP="00B54A15">
      <w:pPr>
        <w:pStyle w:val="Box"/>
        <w:spacing w:before="60" w:after="0"/>
        <w:ind w:left="681" w:hanging="397"/>
      </w:pPr>
      <w:r>
        <w:t>a</w:t>
      </w:r>
      <w:r w:rsidR="00750191" w:rsidRPr="0089135C">
        <w:t>)</w:t>
      </w:r>
      <w:r w:rsidR="00750191" w:rsidRPr="0089135C">
        <w:tab/>
      </w:r>
      <w:r w:rsidR="003A23AA" w:rsidRPr="0089135C">
        <w:t>Undertake a consultation process that complies with:</w:t>
      </w:r>
    </w:p>
    <w:p w14:paraId="101861BE" w14:textId="77777777" w:rsidR="003A23AA" w:rsidRPr="0089135C" w:rsidRDefault="004D1C66" w:rsidP="00B54A15">
      <w:pPr>
        <w:pStyle w:val="Box"/>
        <w:tabs>
          <w:tab w:val="left" w:pos="993"/>
        </w:tabs>
        <w:spacing w:before="60" w:after="0"/>
        <w:ind w:left="681" w:hanging="397"/>
      </w:pPr>
      <w:r w:rsidRPr="0089135C">
        <w:tab/>
      </w:r>
      <w:r w:rsidR="004874D4" w:rsidRPr="00416D02">
        <w:rPr>
          <w:sz w:val="16"/>
        </w:rPr>
        <w:sym w:font="Symbol" w:char="F0B7"/>
      </w:r>
      <w:r w:rsidR="004874D4" w:rsidRPr="0089135C">
        <w:tab/>
      </w:r>
      <w:r w:rsidR="003A23AA" w:rsidRPr="0089135C">
        <w:t>Part 6 of the Local Government Act; or</w:t>
      </w:r>
    </w:p>
    <w:p w14:paraId="126A6DEC" w14:textId="77777777" w:rsidR="003A23AA" w:rsidRPr="0089135C" w:rsidRDefault="004D1C66" w:rsidP="00B54A15">
      <w:pPr>
        <w:pStyle w:val="Box"/>
        <w:tabs>
          <w:tab w:val="left" w:pos="993"/>
        </w:tabs>
        <w:spacing w:before="60" w:after="0"/>
        <w:ind w:left="681" w:hanging="397"/>
      </w:pPr>
      <w:r w:rsidRPr="0089135C">
        <w:tab/>
      </w:r>
      <w:r w:rsidR="004874D4" w:rsidRPr="00416D02">
        <w:rPr>
          <w:sz w:val="16"/>
        </w:rPr>
        <w:sym w:font="Symbol" w:char="F0B7"/>
      </w:r>
      <w:r w:rsidR="004874D4" w:rsidRPr="0089135C">
        <w:tab/>
      </w:r>
      <w:r w:rsidR="003A23AA" w:rsidRPr="0089135C">
        <w:t>Schedule 1 of the Act;</w:t>
      </w:r>
    </w:p>
    <w:p w14:paraId="1807BD8B" w14:textId="77777777" w:rsidR="003A23AA" w:rsidRPr="0089135C" w:rsidRDefault="00C35EAD" w:rsidP="00B54A15">
      <w:pPr>
        <w:pStyle w:val="Box"/>
        <w:spacing w:before="60" w:after="0"/>
        <w:ind w:left="681" w:hanging="397"/>
      </w:pPr>
      <w:r>
        <w:t>b</w:t>
      </w:r>
      <w:r w:rsidR="004874D4" w:rsidRPr="0089135C">
        <w:t>)</w:t>
      </w:r>
      <w:r w:rsidR="004874D4" w:rsidRPr="0089135C">
        <w:tab/>
      </w:r>
      <w:proofErr w:type="gramStart"/>
      <w:r w:rsidR="003A23AA" w:rsidRPr="0089135C">
        <w:t>be</w:t>
      </w:r>
      <w:proofErr w:type="gramEnd"/>
      <w:r w:rsidR="003A23AA" w:rsidRPr="0089135C">
        <w:t xml:space="preserve"> informed by the assessment under policy PB1; and</w:t>
      </w:r>
    </w:p>
    <w:p w14:paraId="7BFF49EB" w14:textId="77777777" w:rsidR="003A23AA" w:rsidRPr="0089135C" w:rsidRDefault="00C35EAD" w:rsidP="00B54A15">
      <w:pPr>
        <w:pStyle w:val="Box"/>
        <w:spacing w:before="60"/>
        <w:ind w:left="681" w:hanging="397"/>
      </w:pPr>
      <w:r>
        <w:lastRenderedPageBreak/>
        <w:t>c</w:t>
      </w:r>
      <w:r w:rsidR="004874D4" w:rsidRPr="0089135C">
        <w:t>)</w:t>
      </w:r>
      <w:r w:rsidR="004874D4" w:rsidRPr="0089135C">
        <w:tab/>
      </w:r>
      <w:proofErr w:type="gramStart"/>
      <w:r w:rsidR="003A23AA" w:rsidRPr="0089135C">
        <w:t>have</w:t>
      </w:r>
      <w:proofErr w:type="gramEnd"/>
      <w:r w:rsidR="003A23AA" w:rsidRPr="0089135C">
        <w:t xml:space="preserve"> particular regard to policy PA1.</w:t>
      </w:r>
    </w:p>
    <w:p w14:paraId="0BC3C711" w14:textId="1F65DF75" w:rsidR="003A23AA" w:rsidRPr="0089135C" w:rsidRDefault="003A23AA" w:rsidP="004D1C66">
      <w:pPr>
        <w:pStyle w:val="BodyText"/>
        <w:spacing w:before="240"/>
      </w:pPr>
      <w:r w:rsidRPr="0089135C">
        <w:t>Policies PC12–</w:t>
      </w:r>
      <w:r w:rsidR="00E73A53">
        <w:t>PC</w:t>
      </w:r>
      <w:r w:rsidRPr="0089135C">
        <w:t xml:space="preserve">14 direct local authorities to produce future development strategies that demonstrate there will be sufficient development capacity in the medium and long term, and demonstrate that the minimum targets for sufficient development capacity will be met. </w:t>
      </w:r>
    </w:p>
    <w:p w14:paraId="70B8930A" w14:textId="77777777" w:rsidR="003A23AA" w:rsidRPr="0089135C" w:rsidRDefault="003A23AA" w:rsidP="004D1C66">
      <w:pPr>
        <w:pStyle w:val="BodyText"/>
      </w:pPr>
      <w:r w:rsidRPr="0089135C">
        <w:t>The preparation of this strategy should provide a vehicle for discussing the path of future development and change with communities, including the extent of intensification and land</w:t>
      </w:r>
      <w:r w:rsidR="004D1C66" w:rsidRPr="0089135C">
        <w:t> </w:t>
      </w:r>
      <w:r w:rsidRPr="0089135C">
        <w:t xml:space="preserve">release. </w:t>
      </w:r>
    </w:p>
    <w:p w14:paraId="73EDEBDA" w14:textId="39D32530" w:rsidR="003A23AA" w:rsidRPr="0089135C" w:rsidRDefault="003A23AA" w:rsidP="004D1C66">
      <w:pPr>
        <w:pStyle w:val="BodyText"/>
      </w:pPr>
      <w:r w:rsidRPr="0089135C">
        <w:t>Once completed</w:t>
      </w:r>
      <w:r w:rsidR="007B09EF">
        <w:t>,</w:t>
      </w:r>
      <w:r w:rsidRPr="0089135C">
        <w:t xml:space="preserve"> the strategy should signal to the market that there will be plenty of development opportunities in the medium and long term, while also providing some certainty (for communities, infrastructure providers and developers) about where and when this is likely to be provided.</w:t>
      </w:r>
      <w:r w:rsidR="00643625" w:rsidRPr="0089135C">
        <w:t xml:space="preserve"> </w:t>
      </w:r>
    </w:p>
    <w:p w14:paraId="097E08E7" w14:textId="6B318F08" w:rsidR="003A23AA" w:rsidRPr="0089135C" w:rsidRDefault="003A23AA" w:rsidP="004D1C66">
      <w:pPr>
        <w:pStyle w:val="BodyText"/>
      </w:pPr>
      <w:r w:rsidRPr="0089135C">
        <w:t>The future development strategy should also be flexible enough to respond to change, for example</w:t>
      </w:r>
      <w:r w:rsidR="007B09EF">
        <w:t>,</w:t>
      </w:r>
      <w:r w:rsidRPr="0089135C">
        <w:t xml:space="preserve"> in demand or landowner intentions. For this reason, the strategy can be incorporated into a non-statutory document (for example, a spatial plan or growth strategy </w:t>
      </w:r>
      <w:r w:rsidR="005F15E3">
        <w:t xml:space="preserve">like the Greater Christchurch Urban Development </w:t>
      </w:r>
      <w:proofErr w:type="gramStart"/>
      <w:r w:rsidR="005F15E3">
        <w:t xml:space="preserve">Strategy </w:t>
      </w:r>
      <w:r w:rsidRPr="0089135C">
        <w:t>)</w:t>
      </w:r>
      <w:proofErr w:type="gramEnd"/>
      <w:r w:rsidRPr="0089135C">
        <w:t>.</w:t>
      </w:r>
      <w:r w:rsidR="00643625" w:rsidRPr="0089135C">
        <w:t xml:space="preserve"> </w:t>
      </w:r>
      <w:r w:rsidRPr="0089135C">
        <w:t>This means that it can be developed and amended as needed through either a consultation process that complies with Part 6 of the LGA or Schedule 1 of the RMA.</w:t>
      </w:r>
      <w:r w:rsidR="00643625" w:rsidRPr="0089135C">
        <w:t xml:space="preserve"> </w:t>
      </w:r>
    </w:p>
    <w:p w14:paraId="43283F63" w14:textId="690A5168" w:rsidR="003A23AA" w:rsidRPr="0089135C" w:rsidRDefault="003A23AA" w:rsidP="004D1C66">
      <w:pPr>
        <w:pStyle w:val="BodyText"/>
      </w:pPr>
      <w:r w:rsidRPr="0089135C">
        <w:t>The future development strategy could provide a clear framework for the private provision or</w:t>
      </w:r>
      <w:r w:rsidR="004D1C66" w:rsidRPr="0089135C">
        <w:t> </w:t>
      </w:r>
      <w:r w:rsidRPr="0089135C">
        <w:t>funding of development infrastructure, and for other infrastructure within a 30</w:t>
      </w:r>
      <w:r w:rsidR="007B4BDA">
        <w:t>-</w:t>
      </w:r>
      <w:r w:rsidRPr="0089135C">
        <w:t>year timeframe. It</w:t>
      </w:r>
      <w:r w:rsidR="000A2F0B" w:rsidRPr="0089135C">
        <w:t> </w:t>
      </w:r>
      <w:r w:rsidRPr="0089135C">
        <w:t>would not need to decide which projects should be privately provided, where and when.</w:t>
      </w:r>
      <w:r w:rsidR="00643625" w:rsidRPr="0089135C">
        <w:t xml:space="preserve"> </w:t>
      </w:r>
      <w:r w:rsidRPr="0089135C">
        <w:t>However</w:t>
      </w:r>
      <w:r w:rsidR="007B4BDA">
        <w:t>,</w:t>
      </w:r>
      <w:r w:rsidRPr="0089135C">
        <w:t xml:space="preserve"> it</w:t>
      </w:r>
      <w:r w:rsidR="000A2F0B" w:rsidRPr="0089135C">
        <w:t> </w:t>
      </w:r>
      <w:r w:rsidRPr="0089135C">
        <w:t xml:space="preserve">could provide certainty about the skeleton of infrastructure that would be provided in a future development area by the end of the 30-year period, and allow for some of this to be provided privately. This might allow for </w:t>
      </w:r>
      <w:r w:rsidR="007B4BDA">
        <w:t>‘</w:t>
      </w:r>
      <w:r w:rsidRPr="0089135C">
        <w:t>out of sequence</w:t>
      </w:r>
      <w:r w:rsidR="007B4BDA">
        <w:t>’</w:t>
      </w:r>
      <w:r w:rsidRPr="0089135C">
        <w:t xml:space="preserve"> development in a</w:t>
      </w:r>
      <w:r w:rsidR="004D1C66" w:rsidRPr="0089135C">
        <w:t> </w:t>
      </w:r>
      <w:r w:rsidRPr="0089135C">
        <w:t>planned way.</w:t>
      </w:r>
    </w:p>
    <w:p w14:paraId="7A149F04" w14:textId="77777777" w:rsidR="003A23AA" w:rsidRPr="0089135C" w:rsidRDefault="003A23AA" w:rsidP="000D2445">
      <w:pPr>
        <w:pStyle w:val="BodyText"/>
        <w:rPr>
          <w:b/>
          <w:i/>
        </w:rPr>
      </w:pPr>
      <w:r w:rsidRPr="0089135C">
        <w:rPr>
          <w:b/>
          <w:i/>
        </w:rPr>
        <w:t>Government will establish a practice group to oversee the development of separate technical</w:t>
      </w:r>
      <w:r w:rsidR="000D2445" w:rsidRPr="0089135C">
        <w:rPr>
          <w:b/>
          <w:i/>
        </w:rPr>
        <w:t> </w:t>
      </w:r>
      <w:r w:rsidRPr="0089135C">
        <w:rPr>
          <w:b/>
          <w:i/>
        </w:rPr>
        <w:t>guidance during 2017 on preparing a future development strategy that is responsive to</w:t>
      </w:r>
      <w:r w:rsidR="000A2F0B" w:rsidRPr="0089135C">
        <w:rPr>
          <w:b/>
          <w:i/>
        </w:rPr>
        <w:t> </w:t>
      </w:r>
      <w:r w:rsidRPr="0089135C">
        <w:rPr>
          <w:b/>
          <w:i/>
        </w:rPr>
        <w:t>demand.</w:t>
      </w:r>
    </w:p>
    <w:p w14:paraId="0425456F" w14:textId="0DBE4F70" w:rsidR="003A23AA" w:rsidRPr="0089135C" w:rsidRDefault="003A23AA" w:rsidP="000D2445">
      <w:pPr>
        <w:pStyle w:val="BodyText"/>
      </w:pPr>
      <w:r w:rsidRPr="0089135C">
        <w:t xml:space="preserve">How </w:t>
      </w:r>
      <w:r w:rsidR="00EF5429">
        <w:t xml:space="preserve">high-growth </w:t>
      </w:r>
      <w:r w:rsidRPr="0089135C">
        <w:t xml:space="preserve">local authorities should work together to produce a future development strategy </w:t>
      </w:r>
      <w:r w:rsidR="00EF5429">
        <w:t xml:space="preserve">and </w:t>
      </w:r>
      <w:r w:rsidR="00EF5429" w:rsidRPr="0089135C">
        <w:t>set</w:t>
      </w:r>
      <w:r w:rsidR="00EF5429">
        <w:t xml:space="preserve"> minimum development capacity </w:t>
      </w:r>
      <w:r w:rsidR="00EF5429" w:rsidRPr="0089135C">
        <w:t>targets</w:t>
      </w:r>
      <w:r w:rsidR="00EF5429">
        <w:t xml:space="preserve"> for housing</w:t>
      </w:r>
      <w:r w:rsidR="00EF5429" w:rsidRPr="0089135C">
        <w:t xml:space="preserve"> </w:t>
      </w:r>
      <w:r w:rsidRPr="0089135C">
        <w:t>is discussed in the next section.</w:t>
      </w:r>
    </w:p>
    <w:p w14:paraId="24E552DF" w14:textId="4BE1F14D" w:rsidR="00A97590" w:rsidRPr="00382F07" w:rsidRDefault="00A97590" w:rsidP="00A97590">
      <w:pPr>
        <w:pStyle w:val="Heading2"/>
        <w:rPr>
          <w:sz w:val="35"/>
          <w:szCs w:val="35"/>
        </w:rPr>
      </w:pPr>
      <w:bookmarkStart w:id="62" w:name="_Toc465349933"/>
      <w:bookmarkStart w:id="63" w:name="_Toc465600910"/>
      <w:r w:rsidRPr="00382F07">
        <w:rPr>
          <w:sz w:val="35"/>
          <w:szCs w:val="35"/>
        </w:rPr>
        <w:t>Policies PD3</w:t>
      </w:r>
      <w:r w:rsidR="00382F07" w:rsidRPr="00382F07">
        <w:rPr>
          <w:sz w:val="35"/>
          <w:szCs w:val="35"/>
        </w:rPr>
        <w:t>–PD</w:t>
      </w:r>
      <w:r w:rsidRPr="00382F07">
        <w:rPr>
          <w:sz w:val="35"/>
          <w:szCs w:val="35"/>
        </w:rPr>
        <w:t>4: Co</w:t>
      </w:r>
      <w:r w:rsidR="00394C4F" w:rsidRPr="00382F07">
        <w:rPr>
          <w:sz w:val="35"/>
          <w:szCs w:val="35"/>
        </w:rPr>
        <w:t>ordinated evidence and decision</w:t>
      </w:r>
      <w:r w:rsidR="00394C4F" w:rsidRPr="00382F07">
        <w:rPr>
          <w:sz w:val="35"/>
          <w:szCs w:val="35"/>
        </w:rPr>
        <w:noBreakHyphen/>
      </w:r>
      <w:r w:rsidRPr="00382F07">
        <w:rPr>
          <w:sz w:val="35"/>
          <w:szCs w:val="35"/>
        </w:rPr>
        <w:t>making</w:t>
      </w:r>
      <w:bookmarkEnd w:id="62"/>
      <w:bookmarkEnd w:id="63"/>
      <w:r w:rsidRPr="00382F07">
        <w:rPr>
          <w:sz w:val="35"/>
          <w:szCs w:val="35"/>
        </w:rPr>
        <w:t xml:space="preserve"> </w:t>
      </w:r>
    </w:p>
    <w:p w14:paraId="0CA8FA8C" w14:textId="43975289" w:rsidR="00A97590" w:rsidRPr="0089135C" w:rsidRDefault="00A97590" w:rsidP="00394C4F">
      <w:pPr>
        <w:pStyle w:val="Heading3"/>
        <w:spacing w:before="240" w:after="120"/>
      </w:pPr>
      <w:bookmarkStart w:id="64" w:name="_Toc465349934"/>
      <w:r w:rsidRPr="0089135C">
        <w:t>Polic</w:t>
      </w:r>
      <w:r w:rsidR="00382F07">
        <w:t>ies</w:t>
      </w:r>
      <w:r w:rsidRPr="0089135C">
        <w:t xml:space="preserve"> PD3</w:t>
      </w:r>
      <w:r w:rsidR="00382F07">
        <w:t>–PD</w:t>
      </w:r>
      <w:r w:rsidRPr="0089135C">
        <w:t>4 (Integrated land use and infrastructure planning)</w:t>
      </w:r>
      <w:bookmarkEnd w:id="64"/>
    </w:p>
    <w:p w14:paraId="49A095EA" w14:textId="77777777" w:rsidR="00A97590" w:rsidRPr="0089135C" w:rsidRDefault="00A97590" w:rsidP="00394C4F">
      <w:pPr>
        <w:pStyle w:val="Box"/>
        <w:spacing w:after="0"/>
      </w:pPr>
      <w:bookmarkStart w:id="65" w:name="_Ref459810373"/>
      <w:r w:rsidRPr="0089135C">
        <w:t>PD3: Local authorities that share jurisdiction over an urban area are strongly encouraged to collaborate and cooperate to agree upon:</w:t>
      </w:r>
      <w:bookmarkEnd w:id="65"/>
    </w:p>
    <w:p w14:paraId="30A40FAB" w14:textId="77777777" w:rsidR="00A97590" w:rsidRPr="0089135C" w:rsidRDefault="00394C4F" w:rsidP="00B54A15">
      <w:pPr>
        <w:pStyle w:val="Box"/>
        <w:spacing w:before="60" w:after="0"/>
        <w:ind w:left="681" w:hanging="397"/>
      </w:pPr>
      <w:r w:rsidRPr="0089135C">
        <w:t>a)</w:t>
      </w:r>
      <w:r w:rsidRPr="0089135C">
        <w:tab/>
      </w:r>
      <w:r w:rsidR="00A97590" w:rsidRPr="0089135C">
        <w:t xml:space="preserve">The specification of the minimum targets required under PC5 and PC9 and their review under policies PC6, PC7 and PC10; and </w:t>
      </w:r>
    </w:p>
    <w:p w14:paraId="20F9EEE9" w14:textId="77777777" w:rsidR="00A97590" w:rsidRPr="0089135C" w:rsidRDefault="00394C4F" w:rsidP="00B54A15">
      <w:pPr>
        <w:pStyle w:val="Box"/>
        <w:spacing w:before="60" w:after="0"/>
        <w:ind w:left="681" w:hanging="397"/>
      </w:pPr>
      <w:r w:rsidRPr="0089135C">
        <w:t>b)</w:t>
      </w:r>
      <w:r w:rsidRPr="0089135C">
        <w:tab/>
      </w:r>
      <w:r w:rsidR="00A97590" w:rsidRPr="0089135C">
        <w:t>The development of a joint future development strategy for the purposes of policies PC12 to</w:t>
      </w:r>
      <w:r w:rsidRPr="0089135C">
        <w:t> </w:t>
      </w:r>
      <w:r w:rsidR="00A97590" w:rsidRPr="0089135C">
        <w:t xml:space="preserve">PC14. </w:t>
      </w:r>
    </w:p>
    <w:p w14:paraId="2F4F27AE" w14:textId="77777777" w:rsidR="00A97590" w:rsidRPr="0089135C" w:rsidRDefault="00A97590" w:rsidP="00394C4F">
      <w:pPr>
        <w:pStyle w:val="Box"/>
      </w:pPr>
      <w:bookmarkStart w:id="66" w:name="_Ref459811605"/>
      <w:r w:rsidRPr="0089135C">
        <w:t>PD4: Local authorities shall work with providers of development infrastructure, and other infrastructure, in preparing a future development strategy under policy PC12.</w:t>
      </w:r>
      <w:bookmarkEnd w:id="66"/>
      <w:r w:rsidRPr="0089135C">
        <w:t xml:space="preserve"> </w:t>
      </w:r>
    </w:p>
    <w:p w14:paraId="0AB1F92F" w14:textId="182C823A" w:rsidR="00A97590" w:rsidRPr="0089135C" w:rsidRDefault="00E26D82" w:rsidP="00394C4F">
      <w:pPr>
        <w:pStyle w:val="BodyText"/>
        <w:spacing w:before="240"/>
      </w:pPr>
      <w:r>
        <w:t>P</w:t>
      </w:r>
      <w:r w:rsidR="00A97590" w:rsidRPr="0089135C">
        <w:t>olicies PD3</w:t>
      </w:r>
      <w:r w:rsidR="00017370">
        <w:t>–PD</w:t>
      </w:r>
      <w:r w:rsidR="00A97590" w:rsidRPr="0089135C">
        <w:t xml:space="preserve">4 </w:t>
      </w:r>
      <w:proofErr w:type="gramStart"/>
      <w:r>
        <w:t>build</w:t>
      </w:r>
      <w:proofErr w:type="gramEnd"/>
      <w:r>
        <w:t xml:space="preserve"> on the coordination around housing and business development capacity assessments required under policies PD1-PD2.</w:t>
      </w:r>
      <w:r w:rsidR="00643625" w:rsidRPr="0089135C">
        <w:t xml:space="preserve"> </w:t>
      </w:r>
      <w:r w:rsidR="00A97590" w:rsidRPr="0089135C">
        <w:t xml:space="preserve">PD3 encourages cooperation and agreement on </w:t>
      </w:r>
      <w:r w:rsidR="00A97590" w:rsidRPr="0089135C">
        <w:lastRenderedPageBreak/>
        <w:t>setting minimum targets of development capacity and the preparation of a joint future development strategy.</w:t>
      </w:r>
      <w:r w:rsidR="00643625" w:rsidRPr="0089135C">
        <w:t xml:space="preserve"> </w:t>
      </w:r>
      <w:r w:rsidR="00A97590" w:rsidRPr="0089135C">
        <w:t xml:space="preserve">PD4 stipulates that local authorities will work with providers of development and other infrastructure to prepare this strategy. </w:t>
      </w:r>
    </w:p>
    <w:p w14:paraId="68B131AD" w14:textId="1F9E4003" w:rsidR="00A97590" w:rsidRPr="0089135C" w:rsidRDefault="00A97590" w:rsidP="00394C4F">
      <w:pPr>
        <w:pStyle w:val="BodyText"/>
      </w:pPr>
      <w:r w:rsidRPr="0089135C">
        <w:t>Many of the local authorities covered by the medium</w:t>
      </w:r>
      <w:r w:rsidR="00C7657C">
        <w:t>-</w:t>
      </w:r>
      <w:r w:rsidRPr="0089135C">
        <w:t xml:space="preserve"> and high</w:t>
      </w:r>
      <w:r w:rsidR="00C7657C">
        <w:t>-</w:t>
      </w:r>
      <w:r w:rsidRPr="0089135C">
        <w:t>growth policies have already established relationships and agreements with other local authorities and already work together on</w:t>
      </w:r>
      <w:r w:rsidR="000A2F0B" w:rsidRPr="0089135C">
        <w:t> </w:t>
      </w:r>
      <w:r w:rsidRPr="0089135C">
        <w:t>shared evidence and growth strategies.</w:t>
      </w:r>
      <w:r w:rsidR="00E26D82" w:rsidRPr="00E26D82">
        <w:t xml:space="preserve"> </w:t>
      </w:r>
      <w:r w:rsidR="00E26D82">
        <w:t xml:space="preserve">These include for example </w:t>
      </w:r>
      <w:proofErr w:type="spellStart"/>
      <w:r w:rsidR="00E26D82" w:rsidRPr="0089135C">
        <w:t>SmartGrowth</w:t>
      </w:r>
      <w:proofErr w:type="spellEnd"/>
      <w:r w:rsidR="00E26D82" w:rsidRPr="0089135C">
        <w:t xml:space="preserve">, Future Proof, the </w:t>
      </w:r>
      <w:proofErr w:type="spellStart"/>
      <w:r w:rsidR="00E26D82" w:rsidRPr="0089135C">
        <w:t>Heretaunga</w:t>
      </w:r>
      <w:proofErr w:type="spellEnd"/>
      <w:r w:rsidR="00E26D82" w:rsidRPr="0089135C">
        <w:t xml:space="preserve"> Plains Urban Development Strategy, and the Greater Christchurch Urban Development Strategy</w:t>
      </w:r>
      <w:r w:rsidR="00E26D82">
        <w:t>.</w:t>
      </w:r>
    </w:p>
    <w:p w14:paraId="70CB9D20" w14:textId="67491193" w:rsidR="00A97590" w:rsidRPr="0089135C" w:rsidRDefault="00A97590" w:rsidP="00394C4F">
      <w:pPr>
        <w:pStyle w:val="BodyText"/>
      </w:pPr>
      <w:r w:rsidRPr="0089135C">
        <w:t>The NPS-UDC is intended to build on and strengthen these existing relationships.</w:t>
      </w:r>
      <w:r w:rsidR="00643625" w:rsidRPr="0089135C">
        <w:t xml:space="preserve"> </w:t>
      </w:r>
      <w:r w:rsidRPr="0089135C">
        <w:t>For example, throughout the NPS-UDC</w:t>
      </w:r>
      <w:r w:rsidR="004804E3">
        <w:t>,</w:t>
      </w:r>
      <w:r w:rsidRPr="0089135C">
        <w:t xml:space="preserve"> it states that </w:t>
      </w:r>
      <w:r w:rsidR="004804E3">
        <w:t>“</w:t>
      </w:r>
      <w:r w:rsidRPr="00EA68B3">
        <w:t>the applications of policies should not be restricted to the boundaries of the urban area</w:t>
      </w:r>
      <w:r w:rsidR="004804E3">
        <w:t>”</w:t>
      </w:r>
      <w:r w:rsidRPr="0089135C">
        <w:t>.</w:t>
      </w:r>
      <w:r w:rsidR="00643625" w:rsidRPr="0089135C">
        <w:t xml:space="preserve"> </w:t>
      </w:r>
      <w:r w:rsidRPr="0089135C">
        <w:t>This allows for local authorities that share jurisdiction over an urban area to decide which area makes the most sense for them to apply the policies.</w:t>
      </w:r>
      <w:r w:rsidR="00643625" w:rsidRPr="0089135C">
        <w:t xml:space="preserve"> </w:t>
      </w:r>
      <w:r w:rsidRPr="0089135C">
        <w:t>This means, for example, that</w:t>
      </w:r>
      <w:r w:rsidRPr="0089135C" w:rsidDel="007B4FDE">
        <w:t xml:space="preserve"> </w:t>
      </w:r>
      <w:r w:rsidRPr="0089135C">
        <w:t>local authorities that have all or part of the Christchurch urban area in their district or region can apply the policies in NPS-UDC to the area used for the Greater Christchurch Urban Development Strategy.</w:t>
      </w:r>
      <w:r w:rsidR="00643625" w:rsidRPr="0089135C">
        <w:t xml:space="preserve"> </w:t>
      </w:r>
    </w:p>
    <w:p w14:paraId="4E57C850" w14:textId="77777777" w:rsidR="00A97590" w:rsidRPr="0089135C" w:rsidRDefault="00A97590" w:rsidP="00394C4F">
      <w:pPr>
        <w:pStyle w:val="BodyText"/>
      </w:pPr>
      <w:r w:rsidRPr="0089135C">
        <w:t xml:space="preserve">While the ideal outcome from the NPS-UDC is that local authorities that share jurisdiction over an urban area agree on data and evidence to prepare a joint assessment and future development strategy, and agree minimum targets and the allocation of development capacity, a lack of consensus should not prevent any local authority from meeting the requirements of the NPS-UDC. </w:t>
      </w:r>
    </w:p>
    <w:p w14:paraId="7037EF6B" w14:textId="77777777" w:rsidR="00E26D82" w:rsidRPr="00C25481" w:rsidRDefault="00E26D82" w:rsidP="00E26D82">
      <w:pPr>
        <w:pStyle w:val="BodyText"/>
        <w:spacing w:before="100"/>
        <w:rPr>
          <w:rFonts w:eastAsiaTheme="majorEastAsia"/>
          <w:b/>
        </w:rPr>
      </w:pPr>
      <w:r w:rsidRPr="00C25481">
        <w:rPr>
          <w:rFonts w:eastAsiaTheme="majorEastAsia"/>
          <w:b/>
          <w:i/>
        </w:rPr>
        <w:t>Government will monitor the effectiveness of coordinated local planning.</w:t>
      </w:r>
    </w:p>
    <w:p w14:paraId="3636D28B" w14:textId="77777777" w:rsidR="00E26D82" w:rsidRDefault="00E26D82">
      <w:pPr>
        <w:spacing w:before="0" w:after="200" w:line="276" w:lineRule="auto"/>
        <w:jc w:val="left"/>
      </w:pPr>
    </w:p>
    <w:p w14:paraId="18AC904A" w14:textId="77777777" w:rsidR="00394C4F" w:rsidRPr="0089135C" w:rsidRDefault="00394C4F">
      <w:pPr>
        <w:spacing w:before="0" w:after="200" w:line="276" w:lineRule="auto"/>
        <w:jc w:val="left"/>
      </w:pPr>
      <w:r w:rsidRPr="0089135C">
        <w:br w:type="page"/>
      </w:r>
    </w:p>
    <w:p w14:paraId="2F281796" w14:textId="77777777" w:rsidR="0009494D" w:rsidRPr="0089135C" w:rsidRDefault="00394C4F" w:rsidP="00394C4F">
      <w:pPr>
        <w:pStyle w:val="Heading1"/>
      </w:pPr>
      <w:bookmarkStart w:id="67" w:name="_Toc465349935"/>
      <w:bookmarkStart w:id="68" w:name="_Toc465600911"/>
      <w:r w:rsidRPr="0089135C">
        <w:lastRenderedPageBreak/>
        <w:t>5</w:t>
      </w:r>
      <w:r w:rsidRPr="0089135C">
        <w:tab/>
        <w:t>NPS-UDC implementation programme</w:t>
      </w:r>
      <w:bookmarkEnd w:id="67"/>
      <w:bookmarkEnd w:id="68"/>
    </w:p>
    <w:p w14:paraId="301DB1E1" w14:textId="6A6D88A8" w:rsidR="00504E5D" w:rsidRPr="0089135C" w:rsidRDefault="00E81C83" w:rsidP="00504E5D">
      <w:pPr>
        <w:pStyle w:val="BodyText"/>
      </w:pPr>
      <w:r>
        <w:t>The Ministry for the Environment</w:t>
      </w:r>
      <w:r w:rsidR="00504E5D" w:rsidRPr="0089135C">
        <w:t xml:space="preserve"> and </w:t>
      </w:r>
      <w:r w:rsidRPr="00BD69F8">
        <w:rPr>
          <w:rFonts w:eastAsia="Times New Roman" w:cs="Times New Roman"/>
        </w:rPr>
        <w:t>Ministry of Business, Innovation and Employment</w:t>
      </w:r>
      <w:r w:rsidRPr="0089135C">
        <w:t xml:space="preserve"> </w:t>
      </w:r>
      <w:r w:rsidR="00504E5D" w:rsidRPr="0089135C">
        <w:t xml:space="preserve">will work with local authorities over the next five years to help them implement the NPS-UDC as intended, and to maximise the benefits of this national direction. </w:t>
      </w:r>
    </w:p>
    <w:p w14:paraId="7E3DDD26" w14:textId="77777777" w:rsidR="00504E5D" w:rsidRPr="0089135C" w:rsidRDefault="00504E5D" w:rsidP="00504E5D">
      <w:pPr>
        <w:pStyle w:val="BodyText"/>
      </w:pPr>
      <w:r w:rsidRPr="0089135C">
        <w:t>Technical advisory groups and practice groups will be established incorporating local authority representatives, developers and other experts.</w:t>
      </w:r>
      <w:r w:rsidR="00643625" w:rsidRPr="0089135C">
        <w:t xml:space="preserve"> </w:t>
      </w:r>
      <w:r w:rsidRPr="0089135C">
        <w:t>These groups will oversee the development of guidance during 2017 on:</w:t>
      </w:r>
    </w:p>
    <w:p w14:paraId="265A07E6" w14:textId="07208581" w:rsidR="00504E5D" w:rsidRPr="0089135C" w:rsidRDefault="007C790A" w:rsidP="00504E5D">
      <w:pPr>
        <w:pStyle w:val="Bullet"/>
      </w:pPr>
      <w:r>
        <w:t>m</w:t>
      </w:r>
      <w:r w:rsidR="00504E5D" w:rsidRPr="0089135C">
        <w:t>onitoring market indicators, including price efficiency</w:t>
      </w:r>
    </w:p>
    <w:p w14:paraId="66EDB73A" w14:textId="05AE4BA2" w:rsidR="00504E5D" w:rsidRPr="0089135C" w:rsidRDefault="007C790A" w:rsidP="00504E5D">
      <w:pPr>
        <w:pStyle w:val="Bullet"/>
      </w:pPr>
      <w:r>
        <w:t>c</w:t>
      </w:r>
      <w:r w:rsidR="00504E5D" w:rsidRPr="0089135C">
        <w:t>omponents of the housing and business development capacity assessment</w:t>
      </w:r>
    </w:p>
    <w:p w14:paraId="489B2082" w14:textId="0A9827F3" w:rsidR="00504E5D" w:rsidRPr="0089135C" w:rsidRDefault="007C790A" w:rsidP="00504E5D">
      <w:pPr>
        <w:pStyle w:val="Bullet"/>
      </w:pPr>
      <w:r>
        <w:t>m</w:t>
      </w:r>
      <w:r w:rsidR="00504E5D" w:rsidRPr="0089135C">
        <w:t>ore enabling and responsive plans that provide sufficient development capacity</w:t>
      </w:r>
    </w:p>
    <w:p w14:paraId="023AFF69" w14:textId="0A413B32" w:rsidR="00504E5D" w:rsidRPr="0089135C" w:rsidRDefault="007C790A" w:rsidP="00504E5D">
      <w:pPr>
        <w:pStyle w:val="Bullet"/>
      </w:pPr>
      <w:r>
        <w:t>b</w:t>
      </w:r>
      <w:r w:rsidR="00504E5D" w:rsidRPr="0089135C">
        <w:t>est practice consenting processes for urban developments</w:t>
      </w:r>
    </w:p>
    <w:p w14:paraId="2C650D01" w14:textId="03889D32" w:rsidR="00504E5D" w:rsidRPr="0089135C" w:rsidRDefault="007C790A" w:rsidP="00504E5D">
      <w:pPr>
        <w:pStyle w:val="Bullet"/>
      </w:pPr>
      <w:proofErr w:type="gramStart"/>
      <w:r>
        <w:t>p</w:t>
      </w:r>
      <w:r w:rsidR="00504E5D" w:rsidRPr="0089135C">
        <w:t>reparing</w:t>
      </w:r>
      <w:proofErr w:type="gramEnd"/>
      <w:r w:rsidR="00504E5D" w:rsidRPr="0089135C">
        <w:t xml:space="preserve"> a future development strategy that is responsive to demand.</w:t>
      </w:r>
    </w:p>
    <w:p w14:paraId="3BB09923" w14:textId="77777777" w:rsidR="00504E5D" w:rsidRPr="0089135C" w:rsidRDefault="00504E5D" w:rsidP="00504E5D">
      <w:pPr>
        <w:pStyle w:val="BodyText"/>
      </w:pPr>
      <w:r w:rsidRPr="0089135C">
        <w:t>Government will also ensure that local authorities have access to the data that is required to monitor market indicators and to undertake the housing and business development capacity assessments. Further information is available on the Ministry for the Environment’s website.</w:t>
      </w:r>
    </w:p>
    <w:p w14:paraId="00EF9FEC" w14:textId="2B034B33" w:rsidR="00504E5D" w:rsidRDefault="00472FD7" w:rsidP="00504E5D">
      <w:pPr>
        <w:pStyle w:val="BodyText"/>
      </w:pPr>
      <w:r>
        <w:t>The Ministry for the Environment</w:t>
      </w:r>
      <w:r w:rsidRPr="0089135C">
        <w:t xml:space="preserve"> and </w:t>
      </w:r>
      <w:r w:rsidRPr="00BD69F8">
        <w:rPr>
          <w:rFonts w:eastAsia="Times New Roman" w:cs="Times New Roman"/>
        </w:rPr>
        <w:t>Ministry of Business, Innovation and Employment</w:t>
      </w:r>
      <w:r w:rsidR="00504E5D" w:rsidRPr="0089135C">
        <w:t xml:space="preserve"> will monitor implementation and the effectiveness of the NPS-UDC against a set of key performance indicators. A formal review of the NPS-UDC will be undertaken by the end of 2021. </w:t>
      </w:r>
    </w:p>
    <w:p w14:paraId="5D261EEE" w14:textId="3A097D86" w:rsidR="00472FD7" w:rsidRPr="0089135C" w:rsidRDefault="00472FD7" w:rsidP="00504E5D">
      <w:pPr>
        <w:pStyle w:val="BodyText"/>
      </w:pPr>
      <w:r>
        <w:t xml:space="preserve">Figure </w:t>
      </w:r>
      <w:r w:rsidR="00A75C84">
        <w:t>3</w:t>
      </w:r>
      <w:r>
        <w:t xml:space="preserve"> outlines the timeframes for implementation of the NPS-UDC.</w:t>
      </w:r>
    </w:p>
    <w:p w14:paraId="03D6C9CD" w14:textId="77777777" w:rsidR="00504E5D" w:rsidRPr="0089135C" w:rsidRDefault="00504E5D" w:rsidP="00504E5D">
      <w:pPr>
        <w:pStyle w:val="BodyText"/>
      </w:pPr>
    </w:p>
    <w:p w14:paraId="62085F44" w14:textId="77777777" w:rsidR="00504E5D" w:rsidRPr="0089135C" w:rsidRDefault="00504E5D" w:rsidP="00504E5D">
      <w:pPr>
        <w:pStyle w:val="BodyText"/>
      </w:pPr>
    </w:p>
    <w:p w14:paraId="763B95F7" w14:textId="77777777" w:rsidR="00504E5D" w:rsidRPr="0089135C" w:rsidRDefault="00504E5D" w:rsidP="00504E5D">
      <w:pPr>
        <w:sectPr w:rsidR="00504E5D" w:rsidRPr="0089135C">
          <w:footerReference w:type="even" r:id="rId27"/>
          <w:footerReference w:type="default" r:id="rId28"/>
          <w:pgSz w:w="11906" w:h="16838"/>
          <w:pgMar w:top="1440" w:right="1440" w:bottom="1440" w:left="1440" w:header="708" w:footer="708" w:gutter="0"/>
          <w:cols w:space="708"/>
          <w:docGrid w:linePitch="360"/>
        </w:sectPr>
      </w:pPr>
    </w:p>
    <w:p w14:paraId="55C45E99" w14:textId="759E1654" w:rsidR="00A32987" w:rsidRDefault="00A32987" w:rsidP="00A32987">
      <w:pPr>
        <w:pStyle w:val="Figureheading"/>
        <w:spacing w:before="0"/>
      </w:pPr>
      <w:bookmarkStart w:id="69" w:name="_Toc465600968"/>
      <w:r>
        <w:lastRenderedPageBreak/>
        <w:t>Figure</w:t>
      </w:r>
      <w:r w:rsidR="00A75C84">
        <w:t xml:space="preserve"> 3</w:t>
      </w:r>
      <w:r>
        <w:t xml:space="preserve">: </w:t>
      </w:r>
      <w:r>
        <w:tab/>
        <w:t>Timeframes for implementation of the NPS-UDC</w:t>
      </w:r>
      <w:bookmarkEnd w:id="69"/>
    </w:p>
    <w:p w14:paraId="66F512A6" w14:textId="77777777" w:rsidR="00394C4F" w:rsidRPr="0089135C" w:rsidRDefault="00504E5D" w:rsidP="00394C4F">
      <w:pPr>
        <w:pStyle w:val="BodyText"/>
      </w:pPr>
      <w:r w:rsidRPr="0089135C">
        <w:rPr>
          <w:noProof/>
        </w:rPr>
        <w:drawing>
          <wp:inline distT="0" distB="0" distL="0" distR="0" wp14:anchorId="3B18BF2F" wp14:editId="6F13981E">
            <wp:extent cx="9180000" cy="33300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9180000" cy="3330000"/>
                    </a:xfrm>
                    <a:prstGeom prst="rect">
                      <a:avLst/>
                    </a:prstGeom>
                  </pic:spPr>
                </pic:pic>
              </a:graphicData>
            </a:graphic>
          </wp:inline>
        </w:drawing>
      </w:r>
    </w:p>
    <w:p w14:paraId="62D95620" w14:textId="77777777" w:rsidR="00504E5D" w:rsidRPr="0089135C" w:rsidRDefault="00504E5D" w:rsidP="00394C4F">
      <w:pPr>
        <w:pStyle w:val="BodyText"/>
      </w:pPr>
    </w:p>
    <w:p w14:paraId="46C9F213" w14:textId="77777777" w:rsidR="00504E5D" w:rsidRPr="0089135C" w:rsidRDefault="00504E5D" w:rsidP="00394C4F">
      <w:pPr>
        <w:pStyle w:val="BodyText"/>
        <w:sectPr w:rsidR="00504E5D" w:rsidRPr="0089135C" w:rsidSect="00504E5D">
          <w:footerReference w:type="default" r:id="rId30"/>
          <w:pgSz w:w="16840" w:h="11907" w:orient="landscape" w:code="9"/>
          <w:pgMar w:top="1418" w:right="1134" w:bottom="1418" w:left="1134" w:header="567" w:footer="567" w:gutter="567"/>
          <w:cols w:space="720"/>
          <w:docGrid w:linePitch="299"/>
        </w:sectPr>
      </w:pPr>
    </w:p>
    <w:p w14:paraId="4C58A4AF" w14:textId="77777777" w:rsidR="00504E5D" w:rsidRPr="0089135C" w:rsidRDefault="009C4989" w:rsidP="009C4989">
      <w:pPr>
        <w:pStyle w:val="Heading1"/>
      </w:pPr>
      <w:bookmarkStart w:id="70" w:name="_Toc465349936"/>
      <w:bookmarkStart w:id="71" w:name="_Toc465600912"/>
      <w:r w:rsidRPr="0089135C">
        <w:lastRenderedPageBreak/>
        <w:t>References</w:t>
      </w:r>
      <w:bookmarkEnd w:id="70"/>
      <w:bookmarkEnd w:id="71"/>
    </w:p>
    <w:p w14:paraId="7FB2A8FC" w14:textId="51A37F69" w:rsidR="009C4989" w:rsidRPr="0089135C" w:rsidRDefault="009C4989" w:rsidP="009C4989">
      <w:pPr>
        <w:pStyle w:val="References"/>
      </w:pPr>
      <w:proofErr w:type="spellStart"/>
      <w:proofErr w:type="gramStart"/>
      <w:r w:rsidRPr="0089135C">
        <w:t>Covec</w:t>
      </w:r>
      <w:proofErr w:type="spellEnd"/>
      <w:r w:rsidRPr="0089135C">
        <w:t xml:space="preserve"> and </w:t>
      </w:r>
      <w:proofErr w:type="spellStart"/>
      <w:r w:rsidRPr="0089135C">
        <w:t>MRCagney</w:t>
      </w:r>
      <w:proofErr w:type="spellEnd"/>
      <w:r w:rsidRPr="0089135C">
        <w:t>.</w:t>
      </w:r>
      <w:proofErr w:type="gramEnd"/>
      <w:r w:rsidRPr="0089135C">
        <w:t xml:space="preserve"> 2016. </w:t>
      </w:r>
      <w:r w:rsidRPr="0089135C">
        <w:rPr>
          <w:i/>
        </w:rPr>
        <w:t xml:space="preserve">Signals of </w:t>
      </w:r>
      <w:r w:rsidR="00F00419" w:rsidRPr="0089135C">
        <w:rPr>
          <w:i/>
        </w:rPr>
        <w:t>U</w:t>
      </w:r>
      <w:r w:rsidRPr="0089135C">
        <w:rPr>
          <w:i/>
        </w:rPr>
        <w:t xml:space="preserve">nder-capacity: </w:t>
      </w:r>
      <w:r w:rsidR="00F00419" w:rsidRPr="0089135C">
        <w:rPr>
          <w:i/>
        </w:rPr>
        <w:t>The P</w:t>
      </w:r>
      <w:r w:rsidRPr="0089135C">
        <w:rPr>
          <w:i/>
        </w:rPr>
        <w:t xml:space="preserve">racticalities of </w:t>
      </w:r>
      <w:r w:rsidR="00F00419" w:rsidRPr="0089135C">
        <w:rPr>
          <w:i/>
        </w:rPr>
        <w:t xml:space="preserve">Monitoring Price Signals </w:t>
      </w:r>
      <w:proofErr w:type="gramStart"/>
      <w:r w:rsidR="00F00419" w:rsidRPr="0089135C">
        <w:rPr>
          <w:i/>
        </w:rPr>
        <w:t>Under</w:t>
      </w:r>
      <w:proofErr w:type="gramEnd"/>
      <w:r w:rsidRPr="0089135C">
        <w:rPr>
          <w:i/>
        </w:rPr>
        <w:t xml:space="preserve"> the </w:t>
      </w:r>
      <w:r w:rsidR="00CC17EE" w:rsidRPr="0089135C">
        <w:rPr>
          <w:i/>
        </w:rPr>
        <w:t>National Policy Sta</w:t>
      </w:r>
      <w:r w:rsidRPr="0089135C">
        <w:rPr>
          <w:i/>
        </w:rPr>
        <w:t xml:space="preserve">tement on </w:t>
      </w:r>
      <w:r w:rsidR="00CC17EE" w:rsidRPr="0089135C">
        <w:rPr>
          <w:i/>
        </w:rPr>
        <w:t>Urban Development C</w:t>
      </w:r>
      <w:r w:rsidRPr="0089135C">
        <w:rPr>
          <w:i/>
        </w:rPr>
        <w:t>apacity</w:t>
      </w:r>
      <w:r w:rsidR="00F00419">
        <w:t>.</w:t>
      </w:r>
      <w:r w:rsidRPr="0089135C">
        <w:t xml:space="preserve"> Wellington: Ministry for the Environment and Ministry of Business, Innovation and Employment. Retrieved from </w:t>
      </w:r>
      <w:hyperlink r:id="rId31" w:history="1">
        <w:r w:rsidR="00B26232" w:rsidRPr="00447E62">
          <w:rPr>
            <w:rStyle w:val="Hyperlink"/>
          </w:rPr>
          <w:t>www.mfe.govt.nz/publications/towns-and-cities/signals-under-capacity-practicalities-monitoring-price-signals-under</w:t>
        </w:r>
        <w:r w:rsidR="00B26232" w:rsidRPr="00B26232">
          <w:rPr>
            <w:rStyle w:val="Hyperlink"/>
            <w:color w:val="auto"/>
          </w:rPr>
          <w:t xml:space="preserve"> (31</w:t>
        </w:r>
      </w:hyperlink>
      <w:r w:rsidR="00B26232">
        <w:rPr>
          <w:rStyle w:val="Hyperlink"/>
          <w:color w:val="auto"/>
        </w:rPr>
        <w:t xml:space="preserve"> October</w:t>
      </w:r>
      <w:r w:rsidR="00E5436D" w:rsidRPr="00B26232">
        <w:rPr>
          <w:rStyle w:val="Hyperlink"/>
          <w:color w:val="auto"/>
        </w:rPr>
        <w:t xml:space="preserve"> 2016).</w:t>
      </w:r>
    </w:p>
    <w:p w14:paraId="0409BC78" w14:textId="66B81E80" w:rsidR="009C4989" w:rsidRPr="0089135C" w:rsidRDefault="009C4989" w:rsidP="008D1D01">
      <w:pPr>
        <w:pStyle w:val="References"/>
      </w:pPr>
      <w:proofErr w:type="gramStart"/>
      <w:r w:rsidRPr="0089135C">
        <w:t>Ministry for the Environment and Ministry for Business, Innovation and Employment.</w:t>
      </w:r>
      <w:proofErr w:type="gramEnd"/>
      <w:r w:rsidRPr="0089135C">
        <w:t xml:space="preserve"> 2016. </w:t>
      </w:r>
      <w:r w:rsidRPr="0089135C">
        <w:rPr>
          <w:i/>
        </w:rPr>
        <w:t xml:space="preserve">How Councils Estimate Demand </w:t>
      </w:r>
      <w:r w:rsidR="003557F7" w:rsidRPr="0089135C">
        <w:rPr>
          <w:i/>
        </w:rPr>
        <w:t>a</w:t>
      </w:r>
      <w:r w:rsidRPr="0089135C">
        <w:rPr>
          <w:i/>
        </w:rPr>
        <w:t xml:space="preserve">nd Supply </w:t>
      </w:r>
      <w:r w:rsidR="003557F7" w:rsidRPr="0089135C">
        <w:rPr>
          <w:i/>
        </w:rPr>
        <w:t>o</w:t>
      </w:r>
      <w:r w:rsidRPr="0089135C">
        <w:rPr>
          <w:i/>
        </w:rPr>
        <w:t xml:space="preserve">f Development Capacity </w:t>
      </w:r>
      <w:r w:rsidR="003557F7" w:rsidRPr="0089135C">
        <w:rPr>
          <w:i/>
        </w:rPr>
        <w:t>f</w:t>
      </w:r>
      <w:r w:rsidRPr="0089135C">
        <w:rPr>
          <w:i/>
        </w:rPr>
        <w:t xml:space="preserve">or Housing </w:t>
      </w:r>
      <w:r w:rsidR="003557F7" w:rsidRPr="0089135C">
        <w:rPr>
          <w:i/>
        </w:rPr>
        <w:t>a</w:t>
      </w:r>
      <w:r w:rsidRPr="0089135C">
        <w:rPr>
          <w:i/>
        </w:rPr>
        <w:t>nd Business.</w:t>
      </w:r>
      <w:r w:rsidRPr="0089135C">
        <w:t xml:space="preserve"> Wellington: Ministry for the Environment and Ministry for Business Innovation and Employment. Retrieved</w:t>
      </w:r>
      <w:r w:rsidR="00643625" w:rsidRPr="0089135C">
        <w:t xml:space="preserve"> </w:t>
      </w:r>
      <w:r w:rsidRPr="0089135C">
        <w:t xml:space="preserve">from </w:t>
      </w:r>
      <w:hyperlink r:id="rId32" w:history="1">
        <w:r w:rsidRPr="0089135C">
          <w:rPr>
            <w:rStyle w:val="Hyperlink"/>
          </w:rPr>
          <w:t>www.mfe.govt.nz/publications/towns-and-cities/how-councils-estimate-demand-and-supply-development-capacity-housing</w:t>
        </w:r>
      </w:hyperlink>
      <w:r w:rsidRPr="0089135C">
        <w:t xml:space="preserve"> </w:t>
      </w:r>
      <w:r w:rsidR="006766F9">
        <w:t>(</w:t>
      </w:r>
      <w:r w:rsidR="00174DF6">
        <w:t>3</w:t>
      </w:r>
      <w:r w:rsidR="006766F9">
        <w:t xml:space="preserve">1 </w:t>
      </w:r>
      <w:r w:rsidR="00174DF6">
        <w:t>October</w:t>
      </w:r>
      <w:r w:rsidR="006766F9">
        <w:t xml:space="preserve"> 2016).</w:t>
      </w:r>
    </w:p>
    <w:p w14:paraId="048FF0E2" w14:textId="1DB343AF" w:rsidR="009C4989" w:rsidRPr="0089135C" w:rsidRDefault="009C4989" w:rsidP="008D1D01">
      <w:pPr>
        <w:pStyle w:val="References"/>
      </w:pPr>
      <w:proofErr w:type="gramStart"/>
      <w:r w:rsidRPr="0089135C">
        <w:t>Productivity Commission.</w:t>
      </w:r>
      <w:proofErr w:type="gramEnd"/>
      <w:r w:rsidRPr="0089135C">
        <w:t xml:space="preserve"> 2015. </w:t>
      </w:r>
      <w:r w:rsidRPr="0089135C">
        <w:rPr>
          <w:i/>
        </w:rPr>
        <w:t>Using Land for Housing</w:t>
      </w:r>
      <w:r w:rsidRPr="0089135C">
        <w:t xml:space="preserve">. Wellington: Productivity Commission. Retrieved from </w:t>
      </w:r>
      <w:hyperlink r:id="rId33" w:history="1">
        <w:r w:rsidRPr="0089135C">
          <w:rPr>
            <w:rStyle w:val="Hyperlink"/>
          </w:rPr>
          <w:t>www.productivity.govt.nz/inquiry-content/2060?stage=4</w:t>
        </w:r>
      </w:hyperlink>
      <w:r w:rsidRPr="0089135C">
        <w:t xml:space="preserve"> </w:t>
      </w:r>
      <w:r w:rsidR="006766F9">
        <w:t>(</w:t>
      </w:r>
      <w:r w:rsidR="00174DF6">
        <w:t>3</w:t>
      </w:r>
      <w:r w:rsidR="006766F9">
        <w:t xml:space="preserve">1 </w:t>
      </w:r>
      <w:r w:rsidR="00174DF6">
        <w:t>October</w:t>
      </w:r>
      <w:r w:rsidR="006766F9">
        <w:t xml:space="preserve"> 2016).</w:t>
      </w:r>
    </w:p>
    <w:bookmarkEnd w:id="4"/>
    <w:p w14:paraId="2118C4CD" w14:textId="77777777" w:rsidR="009C4989" w:rsidRPr="0089135C" w:rsidRDefault="009C4989" w:rsidP="00394C4F">
      <w:pPr>
        <w:pStyle w:val="BodyText"/>
      </w:pPr>
    </w:p>
    <w:sectPr w:rsidR="009C4989" w:rsidRPr="0089135C" w:rsidSect="00475D30">
      <w:footerReference w:type="even" r:id="rId34"/>
      <w:pgSz w:w="11907" w:h="16840" w:code="9"/>
      <w:pgMar w:top="1134" w:right="1418" w:bottom="1134" w:left="1418" w:header="567" w:footer="567" w:gutter="567"/>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D31026" w15:done="0"/>
  <w15:commentEx w15:paraId="568C4E6E" w15:done="0"/>
  <w15:commentEx w15:paraId="2F8AC760" w15:done="0"/>
  <w15:commentEx w15:paraId="67689C41" w15:done="0"/>
  <w15:commentEx w15:paraId="69319879" w15:done="0"/>
  <w15:commentEx w15:paraId="23782CCD" w15:done="0"/>
  <w15:commentEx w15:paraId="64395F72" w15:done="0"/>
  <w15:commentEx w15:paraId="7D001EAC" w15:done="0"/>
  <w15:commentEx w15:paraId="3E5ABC0D" w15:done="0"/>
  <w15:commentEx w15:paraId="7042CA3F" w15:done="0"/>
  <w15:commentEx w15:paraId="6C2CFD90" w15:done="0"/>
  <w15:commentEx w15:paraId="6AA18D1B" w15:done="0"/>
  <w15:commentEx w15:paraId="3E8FC85C" w15:done="0"/>
  <w15:commentEx w15:paraId="233A6467" w15:done="0"/>
  <w15:commentEx w15:paraId="12BFE485" w15:done="0"/>
  <w15:commentEx w15:paraId="286F2306" w15:done="0"/>
  <w15:commentEx w15:paraId="28A14FB9" w15:done="0"/>
  <w15:commentEx w15:paraId="6B3FAB85" w15:done="0"/>
  <w15:commentEx w15:paraId="3F621B4E" w15:done="0"/>
  <w15:commentEx w15:paraId="070BF834" w15:done="0"/>
  <w15:commentEx w15:paraId="160A72D0" w15:done="0"/>
  <w15:commentEx w15:paraId="1C9CB080" w15:done="0"/>
  <w15:commentEx w15:paraId="465899D3" w15:done="0"/>
  <w15:commentEx w15:paraId="3DD65170" w15:done="0"/>
  <w15:commentEx w15:paraId="0947EECB" w15:done="0"/>
  <w15:commentEx w15:paraId="4DEDFA4F" w15:done="0"/>
  <w15:commentEx w15:paraId="77C31947" w15:done="0"/>
  <w15:commentEx w15:paraId="45D8FC3E" w15:done="0"/>
  <w15:commentEx w15:paraId="28530072" w15:done="0"/>
  <w15:commentEx w15:paraId="6899ECB8" w15:done="0"/>
  <w15:commentEx w15:paraId="3606057F" w15:done="0"/>
  <w15:commentEx w15:paraId="4043F51E" w15:done="0"/>
  <w15:commentEx w15:paraId="39116385" w15:done="0"/>
  <w15:commentEx w15:paraId="3897E8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28238" w14:textId="77777777" w:rsidR="00166B21" w:rsidRDefault="00166B21" w:rsidP="0080531E">
      <w:pPr>
        <w:spacing w:before="0" w:after="0" w:line="240" w:lineRule="auto"/>
      </w:pPr>
      <w:r>
        <w:separator/>
      </w:r>
    </w:p>
    <w:p w14:paraId="57CA4AC6" w14:textId="77777777" w:rsidR="00166B21" w:rsidRDefault="00166B21"/>
  </w:endnote>
  <w:endnote w:type="continuationSeparator" w:id="0">
    <w:p w14:paraId="49E9F309" w14:textId="77777777" w:rsidR="00166B21" w:rsidRDefault="00166B21" w:rsidP="0080531E">
      <w:pPr>
        <w:spacing w:before="0" w:after="0" w:line="240" w:lineRule="auto"/>
      </w:pPr>
      <w:r>
        <w:continuationSeparator/>
      </w:r>
    </w:p>
    <w:p w14:paraId="2F1D71A5" w14:textId="77777777" w:rsidR="00166B21" w:rsidRDefault="00166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1AD68" w14:textId="786F6D1A" w:rsidR="00166B21" w:rsidRDefault="00166B21" w:rsidP="00734B9A">
    <w:pPr>
      <w:spacing w:before="0" w:after="0" w:line="240" w:lineRule="auto"/>
      <w:ind w:left="-57"/>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70384" w14:textId="77777777" w:rsidR="00166B21" w:rsidRDefault="00166B21" w:rsidP="000C1638">
    <w:pPr>
      <w:pStyle w:val="Footerodd"/>
      <w:tabs>
        <w:tab w:val="clear" w:pos="7938"/>
        <w:tab w:val="clear" w:pos="8505"/>
        <w:tab w:val="right" w:pos="13892"/>
        <w:tab w:val="right" w:pos="14572"/>
      </w:tabs>
    </w:pPr>
    <w:r>
      <w:tab/>
    </w:r>
    <w:r w:rsidRPr="000930A0">
      <w:t>An Introductory Guide to the National Policy Statement on Urban Development Capacity 2016</w:t>
    </w:r>
    <w:r>
      <w:tab/>
    </w:r>
    <w:r>
      <w:fldChar w:fldCharType="begin"/>
    </w:r>
    <w:r>
      <w:instrText xml:space="preserve"> PAGE   \* MERGEFORMAT </w:instrText>
    </w:r>
    <w:r>
      <w:fldChar w:fldCharType="separate"/>
    </w:r>
    <w:r w:rsidR="003B5C08">
      <w:rPr>
        <w:noProof/>
      </w:rPr>
      <w:t>31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6C587" w14:textId="77777777" w:rsidR="00166B21" w:rsidRDefault="00166B21" w:rsidP="00CD25E1">
    <w:pPr>
      <w:pStyle w:val="Footereven"/>
    </w:pPr>
    <w:r w:rsidRPr="004F458A">
      <w:rPr>
        <w:b/>
      </w:rPr>
      <w:fldChar w:fldCharType="begin"/>
    </w:r>
    <w:r w:rsidRPr="004F458A">
      <w:instrText xml:space="preserve"> PAGE </w:instrText>
    </w:r>
    <w:r w:rsidRPr="004F458A">
      <w:rPr>
        <w:b/>
      </w:rPr>
      <w:fldChar w:fldCharType="separate"/>
    </w:r>
    <w:r w:rsidR="003B5C08">
      <w:rPr>
        <w:noProof/>
      </w:rPr>
      <w:t>32</w:t>
    </w:r>
    <w:r w:rsidRPr="004F458A">
      <w:rPr>
        <w:b/>
      </w:rPr>
      <w:fldChar w:fldCharType="end"/>
    </w:r>
    <w:r>
      <w:tab/>
    </w:r>
    <w:r w:rsidRPr="000930A0">
      <w:t>An Introductory Guide to the National Policy Statement on Urban Development Capacity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5D27F" w14:textId="77777777" w:rsidR="00166B21" w:rsidRDefault="00166B2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FE235" w14:textId="77777777" w:rsidR="00166B21" w:rsidRDefault="00166B2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E2B6E" w14:textId="77777777" w:rsidR="00166B21" w:rsidRDefault="00166B21" w:rsidP="00CD25E1">
    <w:pPr>
      <w:pStyle w:val="Footereven"/>
    </w:pPr>
    <w:r w:rsidRPr="004F458A">
      <w:rPr>
        <w:b/>
      </w:rPr>
      <w:fldChar w:fldCharType="begin"/>
    </w:r>
    <w:r w:rsidRPr="004F458A">
      <w:instrText xml:space="preserve"> PAGE </w:instrText>
    </w:r>
    <w:r w:rsidRPr="004F458A">
      <w:rPr>
        <w:b/>
      </w:rPr>
      <w:fldChar w:fldCharType="separate"/>
    </w:r>
    <w:r w:rsidR="003B5C08">
      <w:rPr>
        <w:noProof/>
      </w:rPr>
      <w:t>4</w:t>
    </w:r>
    <w:r w:rsidRPr="004F458A">
      <w:rPr>
        <w:b/>
      </w:rPr>
      <w:fldChar w:fldCharType="end"/>
    </w:r>
    <w:r>
      <w:tab/>
    </w:r>
    <w:r w:rsidRPr="000930A0">
      <w:t>An Introductory Guide to the National Policy Statement on Urban Development Capacity 2016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69BEE" w14:textId="77777777" w:rsidR="00166B21" w:rsidRDefault="00166B21" w:rsidP="00CD25E1">
    <w:pPr>
      <w:pStyle w:val="Footerodd"/>
    </w:pPr>
    <w:r>
      <w:tab/>
    </w:r>
    <w:r w:rsidRPr="000930A0">
      <w:t>An Introductory Guide to the National Policy Statement on Urban Development Capacity 2016</w:t>
    </w:r>
    <w:r>
      <w:tab/>
    </w:r>
    <w:r>
      <w:fldChar w:fldCharType="begin"/>
    </w:r>
    <w:r>
      <w:instrText xml:space="preserve"> PAGE   \* MERGEFORMAT </w:instrText>
    </w:r>
    <w:r>
      <w:fldChar w:fldCharType="separate"/>
    </w:r>
    <w:r w:rsidR="003B5C08">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43D4" w14:textId="77777777" w:rsidR="00166B21" w:rsidRDefault="00166B21" w:rsidP="00CD25E1">
    <w:pPr>
      <w:pStyle w:val="Footereven"/>
    </w:pPr>
    <w:r w:rsidRPr="004F458A">
      <w:rPr>
        <w:b/>
      </w:rPr>
      <w:fldChar w:fldCharType="begin"/>
    </w:r>
    <w:r w:rsidRPr="004F458A">
      <w:instrText xml:space="preserve"> PAGE </w:instrText>
    </w:r>
    <w:r w:rsidRPr="004F458A">
      <w:rPr>
        <w:b/>
      </w:rPr>
      <w:fldChar w:fldCharType="separate"/>
    </w:r>
    <w:r>
      <w:rPr>
        <w:noProof/>
      </w:rPr>
      <w:t>10</w:t>
    </w:r>
    <w:r w:rsidRPr="004F458A">
      <w:rPr>
        <w:b/>
      </w:rPr>
      <w:fldChar w:fldCharType="end"/>
    </w:r>
    <w:r>
      <w:tab/>
    </w:r>
    <w:r w:rsidRPr="000930A0">
      <w:t>An Introductory Guide to the National Policy Statement on Urban Development Capacity 2016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C5DA7" w14:textId="77777777" w:rsidR="00166B21" w:rsidRDefault="00166B21" w:rsidP="00C52BB8">
    <w:pPr>
      <w:pStyle w:val="Footerodd"/>
      <w:tabs>
        <w:tab w:val="clear" w:pos="7938"/>
        <w:tab w:val="clear" w:pos="8505"/>
        <w:tab w:val="right" w:pos="13892"/>
        <w:tab w:val="right" w:pos="14572"/>
      </w:tabs>
    </w:pPr>
    <w:r>
      <w:tab/>
    </w:r>
    <w:r w:rsidRPr="000930A0">
      <w:t>An Introductory Guide to the National Policy Statement on Urban Development Capacity 2016</w:t>
    </w:r>
    <w:r>
      <w:tab/>
    </w:r>
    <w:r>
      <w:fldChar w:fldCharType="begin"/>
    </w:r>
    <w:r>
      <w:instrText xml:space="preserve"> PAGE   \* MERGEFORMAT </w:instrText>
    </w:r>
    <w:r>
      <w:fldChar w:fldCharType="separate"/>
    </w:r>
    <w:r w:rsidR="003B5C08">
      <w:rPr>
        <w:noProof/>
      </w:rPr>
      <w:t>9</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F06DA" w14:textId="77777777" w:rsidR="00166B21" w:rsidRDefault="00166B21" w:rsidP="00CD25E1">
    <w:pPr>
      <w:pStyle w:val="Footereven"/>
    </w:pPr>
    <w:r w:rsidRPr="004F458A">
      <w:rPr>
        <w:b/>
      </w:rPr>
      <w:fldChar w:fldCharType="begin"/>
    </w:r>
    <w:r w:rsidRPr="004F458A">
      <w:instrText xml:space="preserve"> PAGE </w:instrText>
    </w:r>
    <w:r w:rsidRPr="004F458A">
      <w:rPr>
        <w:b/>
      </w:rPr>
      <w:fldChar w:fldCharType="separate"/>
    </w:r>
    <w:r w:rsidR="003B5C08">
      <w:rPr>
        <w:noProof/>
      </w:rPr>
      <w:t>30</w:t>
    </w:r>
    <w:r w:rsidRPr="004F458A">
      <w:rPr>
        <w:b/>
      </w:rPr>
      <w:fldChar w:fldCharType="end"/>
    </w:r>
    <w:r>
      <w:tab/>
    </w:r>
    <w:r w:rsidRPr="000930A0">
      <w:t>An Introductory Guide to the National Policy Statement on Urban Development Capacity 2016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E5A4B" w14:textId="77777777" w:rsidR="00166B21" w:rsidRDefault="00166B21" w:rsidP="00C52BB8">
    <w:pPr>
      <w:pStyle w:val="Footerodd"/>
    </w:pPr>
    <w:r>
      <w:tab/>
    </w:r>
    <w:r w:rsidRPr="000930A0">
      <w:t>An Introductory Guide to the National Policy Statement on Urban Development Capacity 2016</w:t>
    </w:r>
    <w:r>
      <w:tab/>
    </w:r>
    <w:r>
      <w:fldChar w:fldCharType="begin"/>
    </w:r>
    <w:r>
      <w:instrText xml:space="preserve"> PAGE   \* MERGEFORMAT </w:instrText>
    </w:r>
    <w:r>
      <w:fldChar w:fldCharType="separate"/>
    </w:r>
    <w:r w:rsidR="003B5C08">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31AF9" w14:textId="77777777" w:rsidR="00166B21" w:rsidRDefault="00166B21" w:rsidP="00CB5C5F">
      <w:pPr>
        <w:spacing w:before="0" w:after="80" w:line="240" w:lineRule="auto"/>
      </w:pPr>
      <w:r>
        <w:separator/>
      </w:r>
    </w:p>
  </w:footnote>
  <w:footnote w:type="continuationSeparator" w:id="0">
    <w:p w14:paraId="15A6D2DB" w14:textId="77777777" w:rsidR="00166B21" w:rsidRDefault="00166B21" w:rsidP="0080531E">
      <w:pPr>
        <w:spacing w:before="0" w:after="0" w:line="240" w:lineRule="auto"/>
      </w:pPr>
      <w:r>
        <w:continuationSeparator/>
      </w:r>
    </w:p>
    <w:p w14:paraId="3BF3DF4B" w14:textId="77777777" w:rsidR="00166B21" w:rsidRDefault="00166B21"/>
  </w:footnote>
  <w:footnote w:id="1">
    <w:p w14:paraId="71E804BF" w14:textId="214D45BA" w:rsidR="00166B21" w:rsidRDefault="00166B21" w:rsidP="007614BE">
      <w:pPr>
        <w:pStyle w:val="FootnoteText"/>
      </w:pPr>
      <w:r>
        <w:rPr>
          <w:rStyle w:val="FootnoteReference"/>
        </w:rPr>
        <w:footnoteRef/>
      </w:r>
      <w:r>
        <w:t xml:space="preserve"> </w:t>
      </w:r>
      <w:r>
        <w:tab/>
        <w:t xml:space="preserve">For example, the New Plymouth urban area may be redefined as high growth, while the Napier–Hastings, Blenheim and </w:t>
      </w:r>
      <w:proofErr w:type="spellStart"/>
      <w:r>
        <w:t>Whangarei</w:t>
      </w:r>
      <w:proofErr w:type="spellEnd"/>
      <w:r>
        <w:t xml:space="preserve"> urban areas may be newly defined as medium growth. </w:t>
      </w:r>
    </w:p>
  </w:footnote>
  <w:footnote w:id="2">
    <w:p w14:paraId="6D0AF59E" w14:textId="77777777" w:rsidR="00166B21" w:rsidRDefault="00166B21" w:rsidP="00D03833">
      <w:pPr>
        <w:pStyle w:val="FootnoteText"/>
      </w:pPr>
      <w:r>
        <w:rPr>
          <w:rStyle w:val="FootnoteReference"/>
        </w:rPr>
        <w:footnoteRef/>
      </w:r>
      <w:r>
        <w:t xml:space="preserve"> </w:t>
      </w:r>
      <w:r>
        <w:tab/>
      </w:r>
      <w:r w:rsidRPr="009A27A6">
        <w:t xml:space="preserve">Section </w:t>
      </w:r>
      <w:proofErr w:type="gramStart"/>
      <w:r w:rsidRPr="009A27A6">
        <w:t>101B(</w:t>
      </w:r>
      <w:proofErr w:type="gramEnd"/>
      <w:r w:rsidRPr="009A27A6">
        <w:t>6) of the LGA states that the infrastructure strategy can include “any other assets that the local authority, in its discretion, sees fit to include”.</w:t>
      </w:r>
    </w:p>
  </w:footnote>
  <w:footnote w:id="3">
    <w:p w14:paraId="587D8D55" w14:textId="77777777" w:rsidR="00166B21" w:rsidRPr="0057029A" w:rsidRDefault="00166B21" w:rsidP="0057029A">
      <w:pPr>
        <w:pStyle w:val="FootnoteText"/>
      </w:pPr>
      <w:r>
        <w:rPr>
          <w:rStyle w:val="FootnoteReference"/>
        </w:rPr>
        <w:footnoteRef/>
      </w:r>
      <w:r>
        <w:t xml:space="preserve"> </w:t>
      </w:r>
      <w:r>
        <w:tab/>
      </w:r>
      <w:r w:rsidRPr="00C01109">
        <w:t>This diagram is conceptual and not to scale.</w:t>
      </w:r>
    </w:p>
  </w:footnote>
  <w:footnote w:id="4">
    <w:p w14:paraId="63A3D51C" w14:textId="77777777" w:rsidR="00166B21" w:rsidRPr="006918B9" w:rsidRDefault="00166B21" w:rsidP="00945F41">
      <w:pPr>
        <w:pStyle w:val="FootnoteText"/>
        <w:rPr>
          <w:lang w:val="en-US"/>
        </w:rPr>
      </w:pPr>
      <w:r>
        <w:rPr>
          <w:rStyle w:val="FootnoteReference"/>
        </w:rPr>
        <w:footnoteRef/>
      </w:r>
      <w:r>
        <w:t xml:space="preserve"> </w:t>
      </w:r>
      <w:r>
        <w:tab/>
      </w:r>
      <w:r>
        <w:rPr>
          <w:lang w:val="en-US"/>
        </w:rPr>
        <w:t>Not all of these indicators will be suitable for all areas.</w:t>
      </w:r>
    </w:p>
  </w:footnote>
  <w:footnote w:id="5">
    <w:p w14:paraId="1F338E35" w14:textId="77777777" w:rsidR="00166B21" w:rsidRDefault="00166B21" w:rsidP="00525C62">
      <w:pPr>
        <w:pStyle w:val="FootnoteText"/>
        <w:spacing w:after="0"/>
      </w:pPr>
      <w:r>
        <w:rPr>
          <w:rStyle w:val="FootnoteReference"/>
        </w:rPr>
        <w:footnoteRef/>
      </w:r>
      <w:r>
        <w:t xml:space="preserve"> </w:t>
      </w:r>
      <w:r>
        <w:tab/>
        <w:t>This diagram is conceptual and not to scale.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A21C" w14:textId="22A537FE" w:rsidR="00166B21" w:rsidRPr="00DE7BF8" w:rsidRDefault="00166B21" w:rsidP="00F34AE6">
    <w:pPr>
      <w:pStyle w:val="Header"/>
      <w:tabs>
        <w:tab w:val="right" w:pos="9071"/>
      </w:tabs>
      <w:ind w:left="-57"/>
      <w:jc w:val="left"/>
      <w:rPr>
        <w:rFonts w:ascii="Calibri" w:hAnsi="Calibri"/>
      </w:rPr>
    </w:pPr>
    <w:r>
      <w:rPr>
        <w:rFonts w:ascii="Calibri" w:hAnsi="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987E4" w14:textId="77777777" w:rsidR="00166B21" w:rsidRDefault="00166B21" w:rsidP="003615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8430F" w14:textId="77777777" w:rsidR="00166B21" w:rsidRDefault="00166B21" w:rsidP="000C1638">
    <w:pPr>
      <w:pStyle w:val="Header"/>
      <w:spacing w:before="0" w:after="0" w:line="24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nsid w:val="0AC30111"/>
    <w:multiLevelType w:val="hybridMultilevel"/>
    <w:tmpl w:val="52D05222"/>
    <w:lvl w:ilvl="0" w:tplc="2FF8CBAE">
      <w:start w:val="1"/>
      <w:numFmt w:val="lowerLetter"/>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nsid w:val="208C5CF5"/>
    <w:multiLevelType w:val="hybridMultilevel"/>
    <w:tmpl w:val="2C4262AA"/>
    <w:lvl w:ilvl="0" w:tplc="8BBAE1AC">
      <w:start w:val="1"/>
      <w:numFmt w:val="upp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7">
    <w:nsid w:val="3C2B7D34"/>
    <w:multiLevelType w:val="hybridMultilevel"/>
    <w:tmpl w:val="09348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1">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3535234"/>
    <w:multiLevelType w:val="singleLevel"/>
    <w:tmpl w:val="44B68220"/>
    <w:lvl w:ilvl="0">
      <w:start w:val="1"/>
      <w:numFmt w:val="bullet"/>
      <w:pStyle w:val="Boxbullet"/>
      <w:lvlText w:val=""/>
      <w:lvlJc w:val="left"/>
      <w:pPr>
        <w:ind w:left="644" w:hanging="360"/>
      </w:pPr>
      <w:rPr>
        <w:rFonts w:ascii="Symbol" w:hAnsi="Symbol" w:hint="default"/>
        <w:color w:val="1C556C"/>
        <w:sz w:val="16"/>
      </w:rPr>
    </w:lvl>
  </w:abstractNum>
  <w:abstractNum w:abstractNumId="13">
    <w:nsid w:val="54D9430F"/>
    <w:multiLevelType w:val="hybridMultilevel"/>
    <w:tmpl w:val="2466D8EC"/>
    <w:lvl w:ilvl="0" w:tplc="7494F0C4">
      <w:start w:val="1"/>
      <w:numFmt w:val="lowerLetter"/>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4">
    <w:nsid w:val="5C0C0B46"/>
    <w:multiLevelType w:val="hybridMultilevel"/>
    <w:tmpl w:val="5B263A68"/>
    <w:lvl w:ilvl="0" w:tplc="AAB463C0">
      <w:start w:val="1"/>
      <w:numFmt w:val="lowerLetter"/>
      <w:lvlText w:val="%1)"/>
      <w:lvlJc w:val="left"/>
      <w:pPr>
        <w:ind w:left="644" w:hanging="360"/>
      </w:pPr>
      <w:rPr>
        <w:rFonts w:hint="default"/>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5">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0CD530B"/>
    <w:multiLevelType w:val="hybridMultilevel"/>
    <w:tmpl w:val="6D48050A"/>
    <w:lvl w:ilvl="0" w:tplc="C00C2AFC">
      <w:start w:val="1"/>
      <w:numFmt w:val="lowerLetter"/>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7">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19">
    <w:nsid w:val="7E4D254A"/>
    <w:multiLevelType w:val="singleLevel"/>
    <w:tmpl w:val="4BDCAC54"/>
    <w:lvl w:ilvl="0">
      <w:start w:val="1"/>
      <w:numFmt w:val="bullet"/>
      <w:pStyle w:val="Bullet"/>
      <w:lvlText w:val=""/>
      <w:lvlJc w:val="left"/>
      <w:pPr>
        <w:tabs>
          <w:tab w:val="num" w:pos="567"/>
        </w:tabs>
        <w:ind w:left="567" w:hanging="567"/>
      </w:pPr>
      <w:rPr>
        <w:rFonts w:ascii="Symbol" w:hAnsi="Symbol" w:hint="default"/>
        <w:color w:val="auto"/>
        <w:sz w:val="18"/>
        <w:szCs w:val="20"/>
      </w:rPr>
    </w:lvl>
  </w:abstractNum>
  <w:num w:numId="1">
    <w:abstractNumId w:val="6"/>
  </w:num>
  <w:num w:numId="2">
    <w:abstractNumId w:val="12"/>
  </w:num>
  <w:num w:numId="3">
    <w:abstractNumId w:val="19"/>
  </w:num>
  <w:num w:numId="4">
    <w:abstractNumId w:val="8"/>
  </w:num>
  <w:num w:numId="5">
    <w:abstractNumId w:val="5"/>
  </w:num>
  <w:num w:numId="6">
    <w:abstractNumId w:val="3"/>
  </w:num>
  <w:num w:numId="7">
    <w:abstractNumId w:val="10"/>
  </w:num>
  <w:num w:numId="8">
    <w:abstractNumId w:val="9"/>
  </w:num>
  <w:num w:numId="9">
    <w:abstractNumId w:val="1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17"/>
  </w:num>
  <w:num w:numId="14">
    <w:abstractNumId w:val="15"/>
  </w:num>
  <w:num w:numId="15">
    <w:abstractNumId w:val="2"/>
  </w:num>
  <w:num w:numId="16">
    <w:abstractNumId w:val="1"/>
  </w:num>
  <w:num w:numId="17">
    <w:abstractNumId w:val="13"/>
  </w:num>
  <w:num w:numId="18">
    <w:abstractNumId w:val="14"/>
  </w:num>
  <w:num w:numId="19">
    <w:abstractNumId w:val="16"/>
  </w:num>
  <w:num w:numId="20">
    <w:abstractNumId w:val="0"/>
  </w:num>
  <w:num w:numId="21">
    <w:abstractNumId w:val="7"/>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y">
    <w15:presenceInfo w15:providerId="None" w15:userId="Je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oofState w:spelling="clean" w:grammar="clean"/>
  <w:defaultTabStop w:val="397"/>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FA"/>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2905"/>
    <w:rsid w:val="00014236"/>
    <w:rsid w:val="000148F6"/>
    <w:rsid w:val="00015217"/>
    <w:rsid w:val="000159D2"/>
    <w:rsid w:val="00016264"/>
    <w:rsid w:val="00016993"/>
    <w:rsid w:val="00016CAB"/>
    <w:rsid w:val="00016E5B"/>
    <w:rsid w:val="00017370"/>
    <w:rsid w:val="0001749B"/>
    <w:rsid w:val="00017D75"/>
    <w:rsid w:val="00017FE5"/>
    <w:rsid w:val="00021910"/>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8B3"/>
    <w:rsid w:val="00040CED"/>
    <w:rsid w:val="00040EA1"/>
    <w:rsid w:val="0004205F"/>
    <w:rsid w:val="000423C6"/>
    <w:rsid w:val="00042EDB"/>
    <w:rsid w:val="00044A50"/>
    <w:rsid w:val="00044C65"/>
    <w:rsid w:val="000458C7"/>
    <w:rsid w:val="00045991"/>
    <w:rsid w:val="00045BF5"/>
    <w:rsid w:val="00045E5C"/>
    <w:rsid w:val="00046288"/>
    <w:rsid w:val="00047941"/>
    <w:rsid w:val="00050A22"/>
    <w:rsid w:val="0005144F"/>
    <w:rsid w:val="00051D42"/>
    <w:rsid w:val="00052626"/>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796"/>
    <w:rsid w:val="00091BA2"/>
    <w:rsid w:val="00091CB0"/>
    <w:rsid w:val="000930A0"/>
    <w:rsid w:val="00094344"/>
    <w:rsid w:val="0009494D"/>
    <w:rsid w:val="00094AE5"/>
    <w:rsid w:val="000953C6"/>
    <w:rsid w:val="000953F4"/>
    <w:rsid w:val="0009590C"/>
    <w:rsid w:val="000959E7"/>
    <w:rsid w:val="00095E7D"/>
    <w:rsid w:val="000964DE"/>
    <w:rsid w:val="000972AB"/>
    <w:rsid w:val="00097B40"/>
    <w:rsid w:val="00097D0E"/>
    <w:rsid w:val="000A17EA"/>
    <w:rsid w:val="000A1C7A"/>
    <w:rsid w:val="000A2345"/>
    <w:rsid w:val="000A2394"/>
    <w:rsid w:val="000A2F0B"/>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1942"/>
    <w:rsid w:val="000B1BED"/>
    <w:rsid w:val="000B2240"/>
    <w:rsid w:val="000B2477"/>
    <w:rsid w:val="000B2600"/>
    <w:rsid w:val="000B36F9"/>
    <w:rsid w:val="000B4074"/>
    <w:rsid w:val="000B4732"/>
    <w:rsid w:val="000B4BCD"/>
    <w:rsid w:val="000B66DC"/>
    <w:rsid w:val="000B6D1F"/>
    <w:rsid w:val="000B78C6"/>
    <w:rsid w:val="000C062F"/>
    <w:rsid w:val="000C1638"/>
    <w:rsid w:val="000C17E7"/>
    <w:rsid w:val="000C26F5"/>
    <w:rsid w:val="000C3270"/>
    <w:rsid w:val="000C577E"/>
    <w:rsid w:val="000C66D2"/>
    <w:rsid w:val="000D04BA"/>
    <w:rsid w:val="000D0B6E"/>
    <w:rsid w:val="000D0D65"/>
    <w:rsid w:val="000D12E0"/>
    <w:rsid w:val="000D1944"/>
    <w:rsid w:val="000D1DD9"/>
    <w:rsid w:val="000D2172"/>
    <w:rsid w:val="000D2445"/>
    <w:rsid w:val="000D293C"/>
    <w:rsid w:val="000D2BC1"/>
    <w:rsid w:val="000D337B"/>
    <w:rsid w:val="000D385A"/>
    <w:rsid w:val="000D38C2"/>
    <w:rsid w:val="000D3CA7"/>
    <w:rsid w:val="000D5B16"/>
    <w:rsid w:val="000D5FD6"/>
    <w:rsid w:val="000D6201"/>
    <w:rsid w:val="000D6488"/>
    <w:rsid w:val="000D7088"/>
    <w:rsid w:val="000D770B"/>
    <w:rsid w:val="000D788E"/>
    <w:rsid w:val="000E01DC"/>
    <w:rsid w:val="000E12B0"/>
    <w:rsid w:val="000E1BC8"/>
    <w:rsid w:val="000E1D32"/>
    <w:rsid w:val="000E247E"/>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A6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4B0C"/>
    <w:rsid w:val="00125C75"/>
    <w:rsid w:val="00125C7E"/>
    <w:rsid w:val="00126FF0"/>
    <w:rsid w:val="00127945"/>
    <w:rsid w:val="00127D94"/>
    <w:rsid w:val="00127E90"/>
    <w:rsid w:val="001302C1"/>
    <w:rsid w:val="001306D3"/>
    <w:rsid w:val="001310BF"/>
    <w:rsid w:val="00133E73"/>
    <w:rsid w:val="00133FDB"/>
    <w:rsid w:val="00134F4A"/>
    <w:rsid w:val="00135E4E"/>
    <w:rsid w:val="00136246"/>
    <w:rsid w:val="001364D4"/>
    <w:rsid w:val="001371C8"/>
    <w:rsid w:val="001372ED"/>
    <w:rsid w:val="0014262D"/>
    <w:rsid w:val="00142B50"/>
    <w:rsid w:val="00143873"/>
    <w:rsid w:val="001439E9"/>
    <w:rsid w:val="00143C55"/>
    <w:rsid w:val="00144C6F"/>
    <w:rsid w:val="00145073"/>
    <w:rsid w:val="00145089"/>
    <w:rsid w:val="001451E7"/>
    <w:rsid w:val="001462E3"/>
    <w:rsid w:val="0014720C"/>
    <w:rsid w:val="00147238"/>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B21"/>
    <w:rsid w:val="00166E03"/>
    <w:rsid w:val="00167E4C"/>
    <w:rsid w:val="00170E4B"/>
    <w:rsid w:val="00171449"/>
    <w:rsid w:val="00171611"/>
    <w:rsid w:val="0017199C"/>
    <w:rsid w:val="00171C7E"/>
    <w:rsid w:val="00171F35"/>
    <w:rsid w:val="00172552"/>
    <w:rsid w:val="00172873"/>
    <w:rsid w:val="00172CF7"/>
    <w:rsid w:val="0017319E"/>
    <w:rsid w:val="00173A1F"/>
    <w:rsid w:val="00173BC3"/>
    <w:rsid w:val="00174128"/>
    <w:rsid w:val="00174DF6"/>
    <w:rsid w:val="00175039"/>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6C15"/>
    <w:rsid w:val="00197564"/>
    <w:rsid w:val="00197EC2"/>
    <w:rsid w:val="00197ECE"/>
    <w:rsid w:val="001A1CED"/>
    <w:rsid w:val="001A279B"/>
    <w:rsid w:val="001A2DC3"/>
    <w:rsid w:val="001A2E87"/>
    <w:rsid w:val="001A3869"/>
    <w:rsid w:val="001A38C2"/>
    <w:rsid w:val="001A65C8"/>
    <w:rsid w:val="001A732E"/>
    <w:rsid w:val="001A7F30"/>
    <w:rsid w:val="001B06E2"/>
    <w:rsid w:val="001B103A"/>
    <w:rsid w:val="001B103D"/>
    <w:rsid w:val="001B1513"/>
    <w:rsid w:val="001B15D7"/>
    <w:rsid w:val="001B1767"/>
    <w:rsid w:val="001B2453"/>
    <w:rsid w:val="001B3D48"/>
    <w:rsid w:val="001B5AF9"/>
    <w:rsid w:val="001B5E13"/>
    <w:rsid w:val="001B6600"/>
    <w:rsid w:val="001B6B9B"/>
    <w:rsid w:val="001B6C27"/>
    <w:rsid w:val="001B7144"/>
    <w:rsid w:val="001B7E91"/>
    <w:rsid w:val="001C147E"/>
    <w:rsid w:val="001C151B"/>
    <w:rsid w:val="001C19E5"/>
    <w:rsid w:val="001C30E2"/>
    <w:rsid w:val="001C3800"/>
    <w:rsid w:val="001C3C7B"/>
    <w:rsid w:val="001C4AAC"/>
    <w:rsid w:val="001C6122"/>
    <w:rsid w:val="001C6587"/>
    <w:rsid w:val="001C69BE"/>
    <w:rsid w:val="001C6DB5"/>
    <w:rsid w:val="001C71AC"/>
    <w:rsid w:val="001C7316"/>
    <w:rsid w:val="001C7E5C"/>
    <w:rsid w:val="001D00CC"/>
    <w:rsid w:val="001D0494"/>
    <w:rsid w:val="001D07B7"/>
    <w:rsid w:val="001D1719"/>
    <w:rsid w:val="001D171B"/>
    <w:rsid w:val="001D1732"/>
    <w:rsid w:val="001D1C20"/>
    <w:rsid w:val="001D1E2E"/>
    <w:rsid w:val="001D2203"/>
    <w:rsid w:val="001D255C"/>
    <w:rsid w:val="001D2DEF"/>
    <w:rsid w:val="001D30BB"/>
    <w:rsid w:val="001D488C"/>
    <w:rsid w:val="001D4CDF"/>
    <w:rsid w:val="001D4F88"/>
    <w:rsid w:val="001D578D"/>
    <w:rsid w:val="001D5818"/>
    <w:rsid w:val="001D653A"/>
    <w:rsid w:val="001D7DEE"/>
    <w:rsid w:val="001E02CB"/>
    <w:rsid w:val="001E0686"/>
    <w:rsid w:val="001E14FD"/>
    <w:rsid w:val="001E180F"/>
    <w:rsid w:val="001E1C64"/>
    <w:rsid w:val="001E1CEC"/>
    <w:rsid w:val="001E25A2"/>
    <w:rsid w:val="001E2ECB"/>
    <w:rsid w:val="001E3327"/>
    <w:rsid w:val="001E4035"/>
    <w:rsid w:val="001E4B64"/>
    <w:rsid w:val="001E552A"/>
    <w:rsid w:val="001E57B9"/>
    <w:rsid w:val="001E6CC4"/>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94C"/>
    <w:rsid w:val="001F65B1"/>
    <w:rsid w:val="001F69FC"/>
    <w:rsid w:val="001F6D62"/>
    <w:rsid w:val="001F7675"/>
    <w:rsid w:val="00200FAE"/>
    <w:rsid w:val="0020102D"/>
    <w:rsid w:val="002010E2"/>
    <w:rsid w:val="002019A6"/>
    <w:rsid w:val="00201B73"/>
    <w:rsid w:val="00202517"/>
    <w:rsid w:val="00202ADB"/>
    <w:rsid w:val="00202BB7"/>
    <w:rsid w:val="0020435B"/>
    <w:rsid w:val="00204533"/>
    <w:rsid w:val="00205566"/>
    <w:rsid w:val="002063AA"/>
    <w:rsid w:val="00210465"/>
    <w:rsid w:val="00210549"/>
    <w:rsid w:val="0021069E"/>
    <w:rsid w:val="00210804"/>
    <w:rsid w:val="0021088F"/>
    <w:rsid w:val="002112E1"/>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1544"/>
    <w:rsid w:val="002337E5"/>
    <w:rsid w:val="00233C06"/>
    <w:rsid w:val="00233F24"/>
    <w:rsid w:val="00234BBB"/>
    <w:rsid w:val="002356F4"/>
    <w:rsid w:val="00235F02"/>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03DC"/>
    <w:rsid w:val="002517A8"/>
    <w:rsid w:val="002517B7"/>
    <w:rsid w:val="00251EEE"/>
    <w:rsid w:val="00253177"/>
    <w:rsid w:val="002538B8"/>
    <w:rsid w:val="0025396F"/>
    <w:rsid w:val="00254319"/>
    <w:rsid w:val="0025539F"/>
    <w:rsid w:val="00256388"/>
    <w:rsid w:val="00256E44"/>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5CE9"/>
    <w:rsid w:val="002660F0"/>
    <w:rsid w:val="002674D1"/>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CCF"/>
    <w:rsid w:val="00276F82"/>
    <w:rsid w:val="002805DF"/>
    <w:rsid w:val="0028092D"/>
    <w:rsid w:val="002813CC"/>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0F3"/>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A7A85"/>
    <w:rsid w:val="002B097D"/>
    <w:rsid w:val="002B11B2"/>
    <w:rsid w:val="002B154C"/>
    <w:rsid w:val="002B1776"/>
    <w:rsid w:val="002B18F7"/>
    <w:rsid w:val="002B25A6"/>
    <w:rsid w:val="002B3ED7"/>
    <w:rsid w:val="002B4778"/>
    <w:rsid w:val="002B506D"/>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6FC6"/>
    <w:rsid w:val="002D7027"/>
    <w:rsid w:val="002D70DC"/>
    <w:rsid w:val="002D758B"/>
    <w:rsid w:val="002D79BC"/>
    <w:rsid w:val="002D7E58"/>
    <w:rsid w:val="002E0D31"/>
    <w:rsid w:val="002E0EFA"/>
    <w:rsid w:val="002E1073"/>
    <w:rsid w:val="002E12EC"/>
    <w:rsid w:val="002E146D"/>
    <w:rsid w:val="002E179D"/>
    <w:rsid w:val="002E272B"/>
    <w:rsid w:val="002E29F8"/>
    <w:rsid w:val="002E2C52"/>
    <w:rsid w:val="002E31DF"/>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07A5"/>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62A1"/>
    <w:rsid w:val="00317A33"/>
    <w:rsid w:val="00320339"/>
    <w:rsid w:val="00321214"/>
    <w:rsid w:val="003213D5"/>
    <w:rsid w:val="00321C34"/>
    <w:rsid w:val="00323737"/>
    <w:rsid w:val="00323AD6"/>
    <w:rsid w:val="00323F27"/>
    <w:rsid w:val="003242EF"/>
    <w:rsid w:val="00325339"/>
    <w:rsid w:val="003255AA"/>
    <w:rsid w:val="003314B6"/>
    <w:rsid w:val="00331A20"/>
    <w:rsid w:val="00331E65"/>
    <w:rsid w:val="00333107"/>
    <w:rsid w:val="0033343B"/>
    <w:rsid w:val="0033393C"/>
    <w:rsid w:val="00334F6E"/>
    <w:rsid w:val="003357EE"/>
    <w:rsid w:val="003361EA"/>
    <w:rsid w:val="00336DE6"/>
    <w:rsid w:val="00337368"/>
    <w:rsid w:val="00337B4D"/>
    <w:rsid w:val="003407A9"/>
    <w:rsid w:val="00340BA3"/>
    <w:rsid w:val="00340BAF"/>
    <w:rsid w:val="00340C2B"/>
    <w:rsid w:val="00340F9A"/>
    <w:rsid w:val="00341018"/>
    <w:rsid w:val="003420D9"/>
    <w:rsid w:val="003423E0"/>
    <w:rsid w:val="00343D76"/>
    <w:rsid w:val="00344DFD"/>
    <w:rsid w:val="003451D3"/>
    <w:rsid w:val="00346631"/>
    <w:rsid w:val="00346AAD"/>
    <w:rsid w:val="00346CD7"/>
    <w:rsid w:val="00346D96"/>
    <w:rsid w:val="0034736A"/>
    <w:rsid w:val="0034747C"/>
    <w:rsid w:val="00347B6C"/>
    <w:rsid w:val="0035151C"/>
    <w:rsid w:val="00352254"/>
    <w:rsid w:val="003522A3"/>
    <w:rsid w:val="00352A1C"/>
    <w:rsid w:val="00353929"/>
    <w:rsid w:val="00353F9E"/>
    <w:rsid w:val="003540D1"/>
    <w:rsid w:val="003545BF"/>
    <w:rsid w:val="003557F7"/>
    <w:rsid w:val="0035586A"/>
    <w:rsid w:val="0035611A"/>
    <w:rsid w:val="00356C3D"/>
    <w:rsid w:val="00360B75"/>
    <w:rsid w:val="0036151C"/>
    <w:rsid w:val="00361A9B"/>
    <w:rsid w:val="00362CCF"/>
    <w:rsid w:val="003631DB"/>
    <w:rsid w:val="00364524"/>
    <w:rsid w:val="0036513A"/>
    <w:rsid w:val="00365237"/>
    <w:rsid w:val="0036559C"/>
    <w:rsid w:val="0036587E"/>
    <w:rsid w:val="003660CD"/>
    <w:rsid w:val="00366B08"/>
    <w:rsid w:val="00367496"/>
    <w:rsid w:val="003678BE"/>
    <w:rsid w:val="003700F8"/>
    <w:rsid w:val="00370949"/>
    <w:rsid w:val="0037243B"/>
    <w:rsid w:val="0037251C"/>
    <w:rsid w:val="0037272C"/>
    <w:rsid w:val="00372B9A"/>
    <w:rsid w:val="003731BF"/>
    <w:rsid w:val="003745BD"/>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2F07"/>
    <w:rsid w:val="00384258"/>
    <w:rsid w:val="00384DD2"/>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7E5"/>
    <w:rsid w:val="0039480D"/>
    <w:rsid w:val="00394C4F"/>
    <w:rsid w:val="00395446"/>
    <w:rsid w:val="00396725"/>
    <w:rsid w:val="00397A28"/>
    <w:rsid w:val="00397E94"/>
    <w:rsid w:val="00397F05"/>
    <w:rsid w:val="003A0442"/>
    <w:rsid w:val="003A0899"/>
    <w:rsid w:val="003A1512"/>
    <w:rsid w:val="003A1B1F"/>
    <w:rsid w:val="003A1EB7"/>
    <w:rsid w:val="003A23AA"/>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CDA"/>
    <w:rsid w:val="003B4F2D"/>
    <w:rsid w:val="003B5BD9"/>
    <w:rsid w:val="003B5C08"/>
    <w:rsid w:val="003B64A3"/>
    <w:rsid w:val="003B6DB8"/>
    <w:rsid w:val="003B72B9"/>
    <w:rsid w:val="003C0887"/>
    <w:rsid w:val="003C08AF"/>
    <w:rsid w:val="003C16C1"/>
    <w:rsid w:val="003C2EDD"/>
    <w:rsid w:val="003C3220"/>
    <w:rsid w:val="003C3A47"/>
    <w:rsid w:val="003C3A79"/>
    <w:rsid w:val="003C48F2"/>
    <w:rsid w:val="003C5177"/>
    <w:rsid w:val="003C52B0"/>
    <w:rsid w:val="003C5911"/>
    <w:rsid w:val="003C5CDB"/>
    <w:rsid w:val="003C6465"/>
    <w:rsid w:val="003C65E4"/>
    <w:rsid w:val="003C6910"/>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3C"/>
    <w:rsid w:val="003E6B95"/>
    <w:rsid w:val="003E70FF"/>
    <w:rsid w:val="003E7F1B"/>
    <w:rsid w:val="003F0B41"/>
    <w:rsid w:val="003F1672"/>
    <w:rsid w:val="003F1E39"/>
    <w:rsid w:val="003F229D"/>
    <w:rsid w:val="003F25F0"/>
    <w:rsid w:val="003F2D5B"/>
    <w:rsid w:val="003F3A26"/>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57F3"/>
    <w:rsid w:val="0040602F"/>
    <w:rsid w:val="00406AFB"/>
    <w:rsid w:val="00407382"/>
    <w:rsid w:val="0040791B"/>
    <w:rsid w:val="0041023F"/>
    <w:rsid w:val="00410AFE"/>
    <w:rsid w:val="00411958"/>
    <w:rsid w:val="00411B2A"/>
    <w:rsid w:val="00412973"/>
    <w:rsid w:val="00412D42"/>
    <w:rsid w:val="00412DA4"/>
    <w:rsid w:val="00412EB6"/>
    <w:rsid w:val="0041351F"/>
    <w:rsid w:val="004137C8"/>
    <w:rsid w:val="00413BF9"/>
    <w:rsid w:val="00413C25"/>
    <w:rsid w:val="00415531"/>
    <w:rsid w:val="00416330"/>
    <w:rsid w:val="00416D02"/>
    <w:rsid w:val="004176C7"/>
    <w:rsid w:val="00417877"/>
    <w:rsid w:val="00417D9F"/>
    <w:rsid w:val="00420229"/>
    <w:rsid w:val="00420DBA"/>
    <w:rsid w:val="00421311"/>
    <w:rsid w:val="00422E13"/>
    <w:rsid w:val="0042350F"/>
    <w:rsid w:val="00423599"/>
    <w:rsid w:val="0042384C"/>
    <w:rsid w:val="00423893"/>
    <w:rsid w:val="00423BC9"/>
    <w:rsid w:val="00424668"/>
    <w:rsid w:val="004255B4"/>
    <w:rsid w:val="00426066"/>
    <w:rsid w:val="00426766"/>
    <w:rsid w:val="004267D0"/>
    <w:rsid w:val="004279CA"/>
    <w:rsid w:val="00427A82"/>
    <w:rsid w:val="00427EA2"/>
    <w:rsid w:val="00430115"/>
    <w:rsid w:val="00430A4B"/>
    <w:rsid w:val="00431C46"/>
    <w:rsid w:val="004327E6"/>
    <w:rsid w:val="004329DC"/>
    <w:rsid w:val="00432AC6"/>
    <w:rsid w:val="004332A8"/>
    <w:rsid w:val="00434C5E"/>
    <w:rsid w:val="00435765"/>
    <w:rsid w:val="004360B6"/>
    <w:rsid w:val="004362E5"/>
    <w:rsid w:val="00436356"/>
    <w:rsid w:val="00440722"/>
    <w:rsid w:val="004408AA"/>
    <w:rsid w:val="004425D9"/>
    <w:rsid w:val="00443244"/>
    <w:rsid w:val="00444AF6"/>
    <w:rsid w:val="0044519D"/>
    <w:rsid w:val="00445544"/>
    <w:rsid w:val="00445C0B"/>
    <w:rsid w:val="00446195"/>
    <w:rsid w:val="00447CD0"/>
    <w:rsid w:val="00447FC2"/>
    <w:rsid w:val="00447FD1"/>
    <w:rsid w:val="00450045"/>
    <w:rsid w:val="004502F4"/>
    <w:rsid w:val="004506F4"/>
    <w:rsid w:val="004508D3"/>
    <w:rsid w:val="004509D1"/>
    <w:rsid w:val="00450A42"/>
    <w:rsid w:val="004513A5"/>
    <w:rsid w:val="00451D50"/>
    <w:rsid w:val="00452EC4"/>
    <w:rsid w:val="00453340"/>
    <w:rsid w:val="00453775"/>
    <w:rsid w:val="004537B3"/>
    <w:rsid w:val="00453890"/>
    <w:rsid w:val="00454380"/>
    <w:rsid w:val="0045470C"/>
    <w:rsid w:val="004552C8"/>
    <w:rsid w:val="0045536C"/>
    <w:rsid w:val="00455A07"/>
    <w:rsid w:val="00455AEB"/>
    <w:rsid w:val="00456053"/>
    <w:rsid w:val="00456068"/>
    <w:rsid w:val="00456896"/>
    <w:rsid w:val="00456ADA"/>
    <w:rsid w:val="00456B0D"/>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2FD7"/>
    <w:rsid w:val="00473B60"/>
    <w:rsid w:val="00473FFF"/>
    <w:rsid w:val="00475AFF"/>
    <w:rsid w:val="00475D30"/>
    <w:rsid w:val="004765F4"/>
    <w:rsid w:val="004765F7"/>
    <w:rsid w:val="00476B4D"/>
    <w:rsid w:val="00476CBC"/>
    <w:rsid w:val="00476E6C"/>
    <w:rsid w:val="00477282"/>
    <w:rsid w:val="00477947"/>
    <w:rsid w:val="004804E3"/>
    <w:rsid w:val="00480FA1"/>
    <w:rsid w:val="00481FD7"/>
    <w:rsid w:val="00482DE5"/>
    <w:rsid w:val="004831F9"/>
    <w:rsid w:val="00483266"/>
    <w:rsid w:val="0048352E"/>
    <w:rsid w:val="00483B23"/>
    <w:rsid w:val="004840D7"/>
    <w:rsid w:val="004846F4"/>
    <w:rsid w:val="00485C26"/>
    <w:rsid w:val="00485EC0"/>
    <w:rsid w:val="004874D4"/>
    <w:rsid w:val="004875E1"/>
    <w:rsid w:val="00487B37"/>
    <w:rsid w:val="00487C3B"/>
    <w:rsid w:val="00490636"/>
    <w:rsid w:val="0049097E"/>
    <w:rsid w:val="00490FF0"/>
    <w:rsid w:val="004910FE"/>
    <w:rsid w:val="00491198"/>
    <w:rsid w:val="004913F0"/>
    <w:rsid w:val="004917E0"/>
    <w:rsid w:val="00491BF6"/>
    <w:rsid w:val="00491FED"/>
    <w:rsid w:val="00492F82"/>
    <w:rsid w:val="004943C2"/>
    <w:rsid w:val="00494918"/>
    <w:rsid w:val="00494C65"/>
    <w:rsid w:val="00494F0C"/>
    <w:rsid w:val="00495557"/>
    <w:rsid w:val="0049618D"/>
    <w:rsid w:val="004965EF"/>
    <w:rsid w:val="00496DEA"/>
    <w:rsid w:val="0049719D"/>
    <w:rsid w:val="00497FCD"/>
    <w:rsid w:val="004A004D"/>
    <w:rsid w:val="004A0D1E"/>
    <w:rsid w:val="004A0E66"/>
    <w:rsid w:val="004A0EEC"/>
    <w:rsid w:val="004A130F"/>
    <w:rsid w:val="004A17EF"/>
    <w:rsid w:val="004A1BDA"/>
    <w:rsid w:val="004A22DA"/>
    <w:rsid w:val="004A250C"/>
    <w:rsid w:val="004A2700"/>
    <w:rsid w:val="004A36C8"/>
    <w:rsid w:val="004A3721"/>
    <w:rsid w:val="004A3742"/>
    <w:rsid w:val="004A37B8"/>
    <w:rsid w:val="004A3ED3"/>
    <w:rsid w:val="004A47BC"/>
    <w:rsid w:val="004A4AC6"/>
    <w:rsid w:val="004A5C1A"/>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A38"/>
    <w:rsid w:val="004C1B7D"/>
    <w:rsid w:val="004C1E3C"/>
    <w:rsid w:val="004C25F0"/>
    <w:rsid w:val="004C26DD"/>
    <w:rsid w:val="004C2B5D"/>
    <w:rsid w:val="004C2D68"/>
    <w:rsid w:val="004C2F56"/>
    <w:rsid w:val="004C339D"/>
    <w:rsid w:val="004C33E8"/>
    <w:rsid w:val="004C4307"/>
    <w:rsid w:val="004C4309"/>
    <w:rsid w:val="004C49E3"/>
    <w:rsid w:val="004C4E8A"/>
    <w:rsid w:val="004C514A"/>
    <w:rsid w:val="004C6572"/>
    <w:rsid w:val="004C6D4F"/>
    <w:rsid w:val="004C7541"/>
    <w:rsid w:val="004D1C66"/>
    <w:rsid w:val="004D1E71"/>
    <w:rsid w:val="004D2A24"/>
    <w:rsid w:val="004D2CDF"/>
    <w:rsid w:val="004D33CE"/>
    <w:rsid w:val="004D7C86"/>
    <w:rsid w:val="004E0197"/>
    <w:rsid w:val="004E1122"/>
    <w:rsid w:val="004E1409"/>
    <w:rsid w:val="004E1A87"/>
    <w:rsid w:val="004E1BB0"/>
    <w:rsid w:val="004E1DEC"/>
    <w:rsid w:val="004E28D5"/>
    <w:rsid w:val="004E3030"/>
    <w:rsid w:val="004E3311"/>
    <w:rsid w:val="004E3445"/>
    <w:rsid w:val="004E38EC"/>
    <w:rsid w:val="004E3933"/>
    <w:rsid w:val="004E451E"/>
    <w:rsid w:val="004E4549"/>
    <w:rsid w:val="004E4C83"/>
    <w:rsid w:val="004E4D53"/>
    <w:rsid w:val="004E4D84"/>
    <w:rsid w:val="004E4EBC"/>
    <w:rsid w:val="004E5104"/>
    <w:rsid w:val="004E5B06"/>
    <w:rsid w:val="004E5FA8"/>
    <w:rsid w:val="004E684C"/>
    <w:rsid w:val="004E6FF1"/>
    <w:rsid w:val="004E76DB"/>
    <w:rsid w:val="004F1F90"/>
    <w:rsid w:val="004F2401"/>
    <w:rsid w:val="004F2A44"/>
    <w:rsid w:val="004F2DAD"/>
    <w:rsid w:val="004F34F7"/>
    <w:rsid w:val="004F37C6"/>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4E5D"/>
    <w:rsid w:val="00506083"/>
    <w:rsid w:val="00506B86"/>
    <w:rsid w:val="00506EEC"/>
    <w:rsid w:val="00506FD4"/>
    <w:rsid w:val="005105CC"/>
    <w:rsid w:val="005107FF"/>
    <w:rsid w:val="00510CBC"/>
    <w:rsid w:val="0051102D"/>
    <w:rsid w:val="005112A5"/>
    <w:rsid w:val="00511F48"/>
    <w:rsid w:val="00512448"/>
    <w:rsid w:val="0051253A"/>
    <w:rsid w:val="0051266C"/>
    <w:rsid w:val="00512E40"/>
    <w:rsid w:val="00513B72"/>
    <w:rsid w:val="00515277"/>
    <w:rsid w:val="005158C2"/>
    <w:rsid w:val="005169DE"/>
    <w:rsid w:val="0051785D"/>
    <w:rsid w:val="00517913"/>
    <w:rsid w:val="0052005F"/>
    <w:rsid w:val="00520200"/>
    <w:rsid w:val="00520E2D"/>
    <w:rsid w:val="00520F04"/>
    <w:rsid w:val="00521717"/>
    <w:rsid w:val="005224B2"/>
    <w:rsid w:val="00523B23"/>
    <w:rsid w:val="00523DFA"/>
    <w:rsid w:val="005242EE"/>
    <w:rsid w:val="005254BC"/>
    <w:rsid w:val="005256FC"/>
    <w:rsid w:val="00525C62"/>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4FFB"/>
    <w:rsid w:val="00555D97"/>
    <w:rsid w:val="005568DE"/>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9A"/>
    <w:rsid w:val="005702F8"/>
    <w:rsid w:val="00570E4B"/>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321"/>
    <w:rsid w:val="0058341E"/>
    <w:rsid w:val="00584F3A"/>
    <w:rsid w:val="00584FCD"/>
    <w:rsid w:val="005853AB"/>
    <w:rsid w:val="005854AC"/>
    <w:rsid w:val="00585748"/>
    <w:rsid w:val="005859C5"/>
    <w:rsid w:val="00585C79"/>
    <w:rsid w:val="00586144"/>
    <w:rsid w:val="00587785"/>
    <w:rsid w:val="0058788D"/>
    <w:rsid w:val="00587E29"/>
    <w:rsid w:val="00587FE6"/>
    <w:rsid w:val="00591698"/>
    <w:rsid w:val="00592FE4"/>
    <w:rsid w:val="00593B87"/>
    <w:rsid w:val="00593C1C"/>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37"/>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432C"/>
    <w:rsid w:val="005B5D40"/>
    <w:rsid w:val="005B5EFC"/>
    <w:rsid w:val="005B6412"/>
    <w:rsid w:val="005B68A7"/>
    <w:rsid w:val="005B6AC3"/>
    <w:rsid w:val="005B7452"/>
    <w:rsid w:val="005B75BE"/>
    <w:rsid w:val="005C055E"/>
    <w:rsid w:val="005C0FA1"/>
    <w:rsid w:val="005C1615"/>
    <w:rsid w:val="005C1975"/>
    <w:rsid w:val="005C1D98"/>
    <w:rsid w:val="005C1DA5"/>
    <w:rsid w:val="005C2559"/>
    <w:rsid w:val="005C2873"/>
    <w:rsid w:val="005C34FC"/>
    <w:rsid w:val="005C3B5C"/>
    <w:rsid w:val="005C3C7F"/>
    <w:rsid w:val="005C5143"/>
    <w:rsid w:val="005C536F"/>
    <w:rsid w:val="005C5639"/>
    <w:rsid w:val="005C5742"/>
    <w:rsid w:val="005C760E"/>
    <w:rsid w:val="005C7E9E"/>
    <w:rsid w:val="005D18C9"/>
    <w:rsid w:val="005D1B72"/>
    <w:rsid w:val="005D2471"/>
    <w:rsid w:val="005D2779"/>
    <w:rsid w:val="005D3125"/>
    <w:rsid w:val="005D558E"/>
    <w:rsid w:val="005D5ACC"/>
    <w:rsid w:val="005D610C"/>
    <w:rsid w:val="005D6313"/>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15E3"/>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5DCE"/>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20309"/>
    <w:rsid w:val="0062159D"/>
    <w:rsid w:val="00621680"/>
    <w:rsid w:val="00621EC5"/>
    <w:rsid w:val="006223E0"/>
    <w:rsid w:val="006224D0"/>
    <w:rsid w:val="00622BCE"/>
    <w:rsid w:val="00622E29"/>
    <w:rsid w:val="00623643"/>
    <w:rsid w:val="00624018"/>
    <w:rsid w:val="006240C4"/>
    <w:rsid w:val="00624FA8"/>
    <w:rsid w:val="00625304"/>
    <w:rsid w:val="0062581B"/>
    <w:rsid w:val="006261F4"/>
    <w:rsid w:val="0063164E"/>
    <w:rsid w:val="0063191D"/>
    <w:rsid w:val="00633488"/>
    <w:rsid w:val="00633581"/>
    <w:rsid w:val="006339AF"/>
    <w:rsid w:val="00633C47"/>
    <w:rsid w:val="006347F9"/>
    <w:rsid w:val="006348F7"/>
    <w:rsid w:val="0063512D"/>
    <w:rsid w:val="006358FB"/>
    <w:rsid w:val="00635AE2"/>
    <w:rsid w:val="00635E1E"/>
    <w:rsid w:val="0063677C"/>
    <w:rsid w:val="00636972"/>
    <w:rsid w:val="00636B69"/>
    <w:rsid w:val="00636BC2"/>
    <w:rsid w:val="006404D1"/>
    <w:rsid w:val="00640F43"/>
    <w:rsid w:val="006412CA"/>
    <w:rsid w:val="006420DA"/>
    <w:rsid w:val="00643625"/>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0B8"/>
    <w:rsid w:val="00655361"/>
    <w:rsid w:val="00656253"/>
    <w:rsid w:val="00656799"/>
    <w:rsid w:val="00656B77"/>
    <w:rsid w:val="00656E72"/>
    <w:rsid w:val="006578A1"/>
    <w:rsid w:val="0066137B"/>
    <w:rsid w:val="0066174E"/>
    <w:rsid w:val="00661BBB"/>
    <w:rsid w:val="00661E57"/>
    <w:rsid w:val="006629E4"/>
    <w:rsid w:val="00663318"/>
    <w:rsid w:val="00663E47"/>
    <w:rsid w:val="006644A7"/>
    <w:rsid w:val="00664BDE"/>
    <w:rsid w:val="0066565B"/>
    <w:rsid w:val="00665C44"/>
    <w:rsid w:val="00666284"/>
    <w:rsid w:val="006667F3"/>
    <w:rsid w:val="00667AEA"/>
    <w:rsid w:val="006704FA"/>
    <w:rsid w:val="00670687"/>
    <w:rsid w:val="00670DC5"/>
    <w:rsid w:val="00671652"/>
    <w:rsid w:val="00671FAA"/>
    <w:rsid w:val="0067577F"/>
    <w:rsid w:val="00675DA5"/>
    <w:rsid w:val="006766F9"/>
    <w:rsid w:val="00676C9D"/>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AF9"/>
    <w:rsid w:val="006B3CF8"/>
    <w:rsid w:val="006B44C5"/>
    <w:rsid w:val="006B555F"/>
    <w:rsid w:val="006B6242"/>
    <w:rsid w:val="006B6788"/>
    <w:rsid w:val="006B6C7C"/>
    <w:rsid w:val="006B6EA4"/>
    <w:rsid w:val="006B77BB"/>
    <w:rsid w:val="006B7F8F"/>
    <w:rsid w:val="006B7FC5"/>
    <w:rsid w:val="006C055E"/>
    <w:rsid w:val="006C0D13"/>
    <w:rsid w:val="006C187F"/>
    <w:rsid w:val="006C19BC"/>
    <w:rsid w:val="006C19D5"/>
    <w:rsid w:val="006C1B44"/>
    <w:rsid w:val="006C1F77"/>
    <w:rsid w:val="006C2211"/>
    <w:rsid w:val="006C2E8B"/>
    <w:rsid w:val="006C3031"/>
    <w:rsid w:val="006C3607"/>
    <w:rsid w:val="006C3990"/>
    <w:rsid w:val="006C3ED2"/>
    <w:rsid w:val="006C4233"/>
    <w:rsid w:val="006C42E7"/>
    <w:rsid w:val="006C4422"/>
    <w:rsid w:val="006C46BF"/>
    <w:rsid w:val="006C5CCA"/>
    <w:rsid w:val="006C625F"/>
    <w:rsid w:val="006C78A6"/>
    <w:rsid w:val="006C7AB4"/>
    <w:rsid w:val="006D006B"/>
    <w:rsid w:val="006D0C3A"/>
    <w:rsid w:val="006D105C"/>
    <w:rsid w:val="006D30E7"/>
    <w:rsid w:val="006D48E7"/>
    <w:rsid w:val="006D4947"/>
    <w:rsid w:val="006D5F16"/>
    <w:rsid w:val="006D63AD"/>
    <w:rsid w:val="006D6764"/>
    <w:rsid w:val="006D67D9"/>
    <w:rsid w:val="006D6C93"/>
    <w:rsid w:val="006D7573"/>
    <w:rsid w:val="006E0340"/>
    <w:rsid w:val="006E06F9"/>
    <w:rsid w:val="006E07A9"/>
    <w:rsid w:val="006E0C80"/>
    <w:rsid w:val="006E0D91"/>
    <w:rsid w:val="006E1706"/>
    <w:rsid w:val="006E2E69"/>
    <w:rsid w:val="006E3CB2"/>
    <w:rsid w:val="006E3DA8"/>
    <w:rsid w:val="006E5DAA"/>
    <w:rsid w:val="006E6F93"/>
    <w:rsid w:val="006E7006"/>
    <w:rsid w:val="006F00E7"/>
    <w:rsid w:val="006F0F6E"/>
    <w:rsid w:val="006F1B22"/>
    <w:rsid w:val="006F1BA4"/>
    <w:rsid w:val="006F2259"/>
    <w:rsid w:val="006F23E1"/>
    <w:rsid w:val="006F2F8F"/>
    <w:rsid w:val="006F2FDA"/>
    <w:rsid w:val="006F2FE5"/>
    <w:rsid w:val="006F3460"/>
    <w:rsid w:val="006F34FE"/>
    <w:rsid w:val="006F3615"/>
    <w:rsid w:val="006F3A89"/>
    <w:rsid w:val="006F3FA3"/>
    <w:rsid w:val="006F48BA"/>
    <w:rsid w:val="006F4AF9"/>
    <w:rsid w:val="006F54EB"/>
    <w:rsid w:val="006F5CC1"/>
    <w:rsid w:val="006F67A5"/>
    <w:rsid w:val="006F762D"/>
    <w:rsid w:val="00700492"/>
    <w:rsid w:val="0070167E"/>
    <w:rsid w:val="00701E1B"/>
    <w:rsid w:val="00702146"/>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1C3"/>
    <w:rsid w:val="0071458E"/>
    <w:rsid w:val="00714631"/>
    <w:rsid w:val="00714B6E"/>
    <w:rsid w:val="0071512F"/>
    <w:rsid w:val="007169AC"/>
    <w:rsid w:val="007169DD"/>
    <w:rsid w:val="0071715C"/>
    <w:rsid w:val="00717679"/>
    <w:rsid w:val="00717B67"/>
    <w:rsid w:val="00717E7F"/>
    <w:rsid w:val="007206A2"/>
    <w:rsid w:val="00720B38"/>
    <w:rsid w:val="00720CA7"/>
    <w:rsid w:val="0072147B"/>
    <w:rsid w:val="0072181E"/>
    <w:rsid w:val="00722267"/>
    <w:rsid w:val="00722268"/>
    <w:rsid w:val="0072285E"/>
    <w:rsid w:val="00722C62"/>
    <w:rsid w:val="0072321F"/>
    <w:rsid w:val="00723295"/>
    <w:rsid w:val="007238E2"/>
    <w:rsid w:val="007239B4"/>
    <w:rsid w:val="00724446"/>
    <w:rsid w:val="00724584"/>
    <w:rsid w:val="00724AA1"/>
    <w:rsid w:val="00724BE7"/>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388F"/>
    <w:rsid w:val="00745E01"/>
    <w:rsid w:val="0074666B"/>
    <w:rsid w:val="007468D6"/>
    <w:rsid w:val="00746BFF"/>
    <w:rsid w:val="007473E1"/>
    <w:rsid w:val="00747897"/>
    <w:rsid w:val="00747E47"/>
    <w:rsid w:val="00750191"/>
    <w:rsid w:val="00750192"/>
    <w:rsid w:val="007504E1"/>
    <w:rsid w:val="00750544"/>
    <w:rsid w:val="00750804"/>
    <w:rsid w:val="007509AB"/>
    <w:rsid w:val="00750F30"/>
    <w:rsid w:val="00751689"/>
    <w:rsid w:val="007524AA"/>
    <w:rsid w:val="0075353B"/>
    <w:rsid w:val="00753744"/>
    <w:rsid w:val="00753A93"/>
    <w:rsid w:val="00755663"/>
    <w:rsid w:val="00756386"/>
    <w:rsid w:val="00756603"/>
    <w:rsid w:val="007575C0"/>
    <w:rsid w:val="00757D2F"/>
    <w:rsid w:val="0076000E"/>
    <w:rsid w:val="00760C00"/>
    <w:rsid w:val="007610E9"/>
    <w:rsid w:val="007614BE"/>
    <w:rsid w:val="00761728"/>
    <w:rsid w:val="00761C6C"/>
    <w:rsid w:val="00762B72"/>
    <w:rsid w:val="00763CCB"/>
    <w:rsid w:val="007642B4"/>
    <w:rsid w:val="00764C45"/>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ACE"/>
    <w:rsid w:val="00775702"/>
    <w:rsid w:val="00775823"/>
    <w:rsid w:val="00775F57"/>
    <w:rsid w:val="00776584"/>
    <w:rsid w:val="007769EF"/>
    <w:rsid w:val="00776D4F"/>
    <w:rsid w:val="007770F9"/>
    <w:rsid w:val="00777179"/>
    <w:rsid w:val="00777945"/>
    <w:rsid w:val="00777D40"/>
    <w:rsid w:val="00777E0D"/>
    <w:rsid w:val="00780B8D"/>
    <w:rsid w:val="00780B8E"/>
    <w:rsid w:val="00781649"/>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B81"/>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09EF"/>
    <w:rsid w:val="007B1027"/>
    <w:rsid w:val="007B1691"/>
    <w:rsid w:val="007B174F"/>
    <w:rsid w:val="007B1863"/>
    <w:rsid w:val="007B22E0"/>
    <w:rsid w:val="007B28CA"/>
    <w:rsid w:val="007B358D"/>
    <w:rsid w:val="007B4BDA"/>
    <w:rsid w:val="007B4D86"/>
    <w:rsid w:val="007B5401"/>
    <w:rsid w:val="007B5FB4"/>
    <w:rsid w:val="007B6B2B"/>
    <w:rsid w:val="007B7949"/>
    <w:rsid w:val="007B7D30"/>
    <w:rsid w:val="007C0FA9"/>
    <w:rsid w:val="007C2413"/>
    <w:rsid w:val="007C3152"/>
    <w:rsid w:val="007C333B"/>
    <w:rsid w:val="007C3914"/>
    <w:rsid w:val="007C3CEA"/>
    <w:rsid w:val="007C3D92"/>
    <w:rsid w:val="007C3E98"/>
    <w:rsid w:val="007C5A8F"/>
    <w:rsid w:val="007C5B38"/>
    <w:rsid w:val="007C76E8"/>
    <w:rsid w:val="007C790A"/>
    <w:rsid w:val="007D01E6"/>
    <w:rsid w:val="007D035E"/>
    <w:rsid w:val="007D0396"/>
    <w:rsid w:val="007D0644"/>
    <w:rsid w:val="007D1310"/>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6719"/>
    <w:rsid w:val="007E68ED"/>
    <w:rsid w:val="007E69ED"/>
    <w:rsid w:val="007E777E"/>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58"/>
    <w:rsid w:val="0080069C"/>
    <w:rsid w:val="008006FD"/>
    <w:rsid w:val="00800F0C"/>
    <w:rsid w:val="0080148D"/>
    <w:rsid w:val="0080156B"/>
    <w:rsid w:val="00801A3A"/>
    <w:rsid w:val="00803A89"/>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26FE"/>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3084"/>
    <w:rsid w:val="00853142"/>
    <w:rsid w:val="008540A6"/>
    <w:rsid w:val="00854420"/>
    <w:rsid w:val="00854481"/>
    <w:rsid w:val="00857591"/>
    <w:rsid w:val="00857E88"/>
    <w:rsid w:val="0086035D"/>
    <w:rsid w:val="008612DB"/>
    <w:rsid w:val="00861B57"/>
    <w:rsid w:val="00862AC4"/>
    <w:rsid w:val="008633AC"/>
    <w:rsid w:val="008634E3"/>
    <w:rsid w:val="00864627"/>
    <w:rsid w:val="00864635"/>
    <w:rsid w:val="00864678"/>
    <w:rsid w:val="00864C1A"/>
    <w:rsid w:val="00865217"/>
    <w:rsid w:val="008658AA"/>
    <w:rsid w:val="00865CBD"/>
    <w:rsid w:val="008661F6"/>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1511"/>
    <w:rsid w:val="00882448"/>
    <w:rsid w:val="00882F1D"/>
    <w:rsid w:val="00883A4D"/>
    <w:rsid w:val="00883B21"/>
    <w:rsid w:val="00883F8F"/>
    <w:rsid w:val="00884235"/>
    <w:rsid w:val="00885285"/>
    <w:rsid w:val="00885985"/>
    <w:rsid w:val="00886699"/>
    <w:rsid w:val="0088709A"/>
    <w:rsid w:val="00887F8B"/>
    <w:rsid w:val="0089135C"/>
    <w:rsid w:val="0089199F"/>
    <w:rsid w:val="00891C32"/>
    <w:rsid w:val="00891D7F"/>
    <w:rsid w:val="00892265"/>
    <w:rsid w:val="0089233E"/>
    <w:rsid w:val="008932DB"/>
    <w:rsid w:val="0089330E"/>
    <w:rsid w:val="00893A8E"/>
    <w:rsid w:val="00893E27"/>
    <w:rsid w:val="008945F7"/>
    <w:rsid w:val="0089463D"/>
    <w:rsid w:val="00894BD4"/>
    <w:rsid w:val="0089554F"/>
    <w:rsid w:val="008955E6"/>
    <w:rsid w:val="00895B5F"/>
    <w:rsid w:val="0089637C"/>
    <w:rsid w:val="00896712"/>
    <w:rsid w:val="00896870"/>
    <w:rsid w:val="008969BD"/>
    <w:rsid w:val="008A13BD"/>
    <w:rsid w:val="008A1596"/>
    <w:rsid w:val="008A1A08"/>
    <w:rsid w:val="008A1EDF"/>
    <w:rsid w:val="008A2695"/>
    <w:rsid w:val="008A2DC9"/>
    <w:rsid w:val="008A2E4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7DF"/>
    <w:rsid w:val="008B2FAE"/>
    <w:rsid w:val="008B3317"/>
    <w:rsid w:val="008B414B"/>
    <w:rsid w:val="008B4E0E"/>
    <w:rsid w:val="008B4FB9"/>
    <w:rsid w:val="008B5715"/>
    <w:rsid w:val="008B5BC2"/>
    <w:rsid w:val="008B5D41"/>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D01"/>
    <w:rsid w:val="008D1E7F"/>
    <w:rsid w:val="008D2367"/>
    <w:rsid w:val="008D3A60"/>
    <w:rsid w:val="008D427A"/>
    <w:rsid w:val="008D4DD5"/>
    <w:rsid w:val="008D5657"/>
    <w:rsid w:val="008D6752"/>
    <w:rsid w:val="008D69E7"/>
    <w:rsid w:val="008D6FC1"/>
    <w:rsid w:val="008E0140"/>
    <w:rsid w:val="008E0688"/>
    <w:rsid w:val="008E0BEF"/>
    <w:rsid w:val="008E266D"/>
    <w:rsid w:val="008E2F0C"/>
    <w:rsid w:val="008E3E23"/>
    <w:rsid w:val="008E470C"/>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0537"/>
    <w:rsid w:val="009219D2"/>
    <w:rsid w:val="00921A4E"/>
    <w:rsid w:val="00921E37"/>
    <w:rsid w:val="00922511"/>
    <w:rsid w:val="00922F07"/>
    <w:rsid w:val="00923463"/>
    <w:rsid w:val="00924035"/>
    <w:rsid w:val="00925238"/>
    <w:rsid w:val="00925ACF"/>
    <w:rsid w:val="0092615D"/>
    <w:rsid w:val="00926546"/>
    <w:rsid w:val="009265A1"/>
    <w:rsid w:val="00927700"/>
    <w:rsid w:val="0093036E"/>
    <w:rsid w:val="0093060C"/>
    <w:rsid w:val="00931224"/>
    <w:rsid w:val="0093187A"/>
    <w:rsid w:val="0093220D"/>
    <w:rsid w:val="0093242E"/>
    <w:rsid w:val="00932938"/>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5F41"/>
    <w:rsid w:val="0094683E"/>
    <w:rsid w:val="00946ECB"/>
    <w:rsid w:val="00947268"/>
    <w:rsid w:val="0094750E"/>
    <w:rsid w:val="009476EC"/>
    <w:rsid w:val="00947C94"/>
    <w:rsid w:val="009507C8"/>
    <w:rsid w:val="0095115E"/>
    <w:rsid w:val="0095118A"/>
    <w:rsid w:val="00952468"/>
    <w:rsid w:val="00954767"/>
    <w:rsid w:val="0095487A"/>
    <w:rsid w:val="009548FB"/>
    <w:rsid w:val="0095538B"/>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E4A"/>
    <w:rsid w:val="00967041"/>
    <w:rsid w:val="009670C9"/>
    <w:rsid w:val="00970918"/>
    <w:rsid w:val="0097099E"/>
    <w:rsid w:val="00971761"/>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59D"/>
    <w:rsid w:val="00985EB8"/>
    <w:rsid w:val="00985FB3"/>
    <w:rsid w:val="00986566"/>
    <w:rsid w:val="00986CC1"/>
    <w:rsid w:val="00986E59"/>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B752E"/>
    <w:rsid w:val="009C04EE"/>
    <w:rsid w:val="009C0CD4"/>
    <w:rsid w:val="009C15E7"/>
    <w:rsid w:val="009C17C8"/>
    <w:rsid w:val="009C385B"/>
    <w:rsid w:val="009C3E3C"/>
    <w:rsid w:val="009C4353"/>
    <w:rsid w:val="009C4989"/>
    <w:rsid w:val="009C49C2"/>
    <w:rsid w:val="009C4A6F"/>
    <w:rsid w:val="009C4E2D"/>
    <w:rsid w:val="009C62C0"/>
    <w:rsid w:val="009C6A88"/>
    <w:rsid w:val="009C765D"/>
    <w:rsid w:val="009C7844"/>
    <w:rsid w:val="009C7ADA"/>
    <w:rsid w:val="009D000A"/>
    <w:rsid w:val="009D1A86"/>
    <w:rsid w:val="009D1E12"/>
    <w:rsid w:val="009D227D"/>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62D3"/>
    <w:rsid w:val="009F72AA"/>
    <w:rsid w:val="00A00112"/>
    <w:rsid w:val="00A0085D"/>
    <w:rsid w:val="00A008B5"/>
    <w:rsid w:val="00A017B4"/>
    <w:rsid w:val="00A01C53"/>
    <w:rsid w:val="00A01D38"/>
    <w:rsid w:val="00A02414"/>
    <w:rsid w:val="00A025B9"/>
    <w:rsid w:val="00A0355C"/>
    <w:rsid w:val="00A03A13"/>
    <w:rsid w:val="00A040CD"/>
    <w:rsid w:val="00A04429"/>
    <w:rsid w:val="00A04F1E"/>
    <w:rsid w:val="00A06446"/>
    <w:rsid w:val="00A0658B"/>
    <w:rsid w:val="00A06697"/>
    <w:rsid w:val="00A06C40"/>
    <w:rsid w:val="00A10586"/>
    <w:rsid w:val="00A10A48"/>
    <w:rsid w:val="00A110DA"/>
    <w:rsid w:val="00A1132B"/>
    <w:rsid w:val="00A11930"/>
    <w:rsid w:val="00A1238C"/>
    <w:rsid w:val="00A1263D"/>
    <w:rsid w:val="00A12AF2"/>
    <w:rsid w:val="00A12C0B"/>
    <w:rsid w:val="00A12D8A"/>
    <w:rsid w:val="00A12E6C"/>
    <w:rsid w:val="00A136D0"/>
    <w:rsid w:val="00A13D1A"/>
    <w:rsid w:val="00A14A93"/>
    <w:rsid w:val="00A14DC2"/>
    <w:rsid w:val="00A14DD6"/>
    <w:rsid w:val="00A15D5E"/>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2987"/>
    <w:rsid w:val="00A333BF"/>
    <w:rsid w:val="00A33825"/>
    <w:rsid w:val="00A3398F"/>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2858"/>
    <w:rsid w:val="00A637A0"/>
    <w:rsid w:val="00A63861"/>
    <w:rsid w:val="00A63ECD"/>
    <w:rsid w:val="00A64093"/>
    <w:rsid w:val="00A640EB"/>
    <w:rsid w:val="00A64815"/>
    <w:rsid w:val="00A65043"/>
    <w:rsid w:val="00A66DF9"/>
    <w:rsid w:val="00A704E4"/>
    <w:rsid w:val="00A7136A"/>
    <w:rsid w:val="00A71C44"/>
    <w:rsid w:val="00A72296"/>
    <w:rsid w:val="00A7388E"/>
    <w:rsid w:val="00A74548"/>
    <w:rsid w:val="00A74DF2"/>
    <w:rsid w:val="00A74E4D"/>
    <w:rsid w:val="00A7592E"/>
    <w:rsid w:val="00A75C84"/>
    <w:rsid w:val="00A76C1F"/>
    <w:rsid w:val="00A803FC"/>
    <w:rsid w:val="00A8071A"/>
    <w:rsid w:val="00A80DD9"/>
    <w:rsid w:val="00A80FCA"/>
    <w:rsid w:val="00A81CBC"/>
    <w:rsid w:val="00A82506"/>
    <w:rsid w:val="00A837CE"/>
    <w:rsid w:val="00A83DB5"/>
    <w:rsid w:val="00A83FBA"/>
    <w:rsid w:val="00A84636"/>
    <w:rsid w:val="00A85080"/>
    <w:rsid w:val="00A86406"/>
    <w:rsid w:val="00A86853"/>
    <w:rsid w:val="00A86B75"/>
    <w:rsid w:val="00A86E75"/>
    <w:rsid w:val="00A86F33"/>
    <w:rsid w:val="00A9065F"/>
    <w:rsid w:val="00A90B0E"/>
    <w:rsid w:val="00A91AA1"/>
    <w:rsid w:val="00A91C8C"/>
    <w:rsid w:val="00A91F0D"/>
    <w:rsid w:val="00A9235A"/>
    <w:rsid w:val="00A92833"/>
    <w:rsid w:val="00A92FF7"/>
    <w:rsid w:val="00A93069"/>
    <w:rsid w:val="00A9468F"/>
    <w:rsid w:val="00A9498D"/>
    <w:rsid w:val="00A95335"/>
    <w:rsid w:val="00A9566B"/>
    <w:rsid w:val="00A9657F"/>
    <w:rsid w:val="00A96ED8"/>
    <w:rsid w:val="00A97590"/>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B7DA2"/>
    <w:rsid w:val="00AC0681"/>
    <w:rsid w:val="00AC0EE3"/>
    <w:rsid w:val="00AC154B"/>
    <w:rsid w:val="00AC1B72"/>
    <w:rsid w:val="00AC26FE"/>
    <w:rsid w:val="00AC350D"/>
    <w:rsid w:val="00AC3568"/>
    <w:rsid w:val="00AC3CF2"/>
    <w:rsid w:val="00AC47EC"/>
    <w:rsid w:val="00AC4E5D"/>
    <w:rsid w:val="00AC5F71"/>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943"/>
    <w:rsid w:val="00AE4E2A"/>
    <w:rsid w:val="00AE5CF9"/>
    <w:rsid w:val="00AE5DB6"/>
    <w:rsid w:val="00AE6C3C"/>
    <w:rsid w:val="00AE702E"/>
    <w:rsid w:val="00AE73E0"/>
    <w:rsid w:val="00AE7410"/>
    <w:rsid w:val="00AF03C0"/>
    <w:rsid w:val="00AF06E6"/>
    <w:rsid w:val="00AF166F"/>
    <w:rsid w:val="00AF1C03"/>
    <w:rsid w:val="00AF2D43"/>
    <w:rsid w:val="00AF39AF"/>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B47"/>
    <w:rsid w:val="00B11CFB"/>
    <w:rsid w:val="00B12111"/>
    <w:rsid w:val="00B13C5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17912"/>
    <w:rsid w:val="00B21736"/>
    <w:rsid w:val="00B218B1"/>
    <w:rsid w:val="00B21A33"/>
    <w:rsid w:val="00B22228"/>
    <w:rsid w:val="00B224AA"/>
    <w:rsid w:val="00B22998"/>
    <w:rsid w:val="00B229FE"/>
    <w:rsid w:val="00B2302B"/>
    <w:rsid w:val="00B24363"/>
    <w:rsid w:val="00B2456E"/>
    <w:rsid w:val="00B24979"/>
    <w:rsid w:val="00B250A5"/>
    <w:rsid w:val="00B25651"/>
    <w:rsid w:val="00B26232"/>
    <w:rsid w:val="00B26937"/>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1DE9"/>
    <w:rsid w:val="00B520E3"/>
    <w:rsid w:val="00B52336"/>
    <w:rsid w:val="00B5388C"/>
    <w:rsid w:val="00B54A15"/>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B7C"/>
    <w:rsid w:val="00B67C6C"/>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5954"/>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91"/>
    <w:rsid w:val="00BA54BA"/>
    <w:rsid w:val="00BA5603"/>
    <w:rsid w:val="00BA56D9"/>
    <w:rsid w:val="00BA6194"/>
    <w:rsid w:val="00BA7307"/>
    <w:rsid w:val="00BA7EEE"/>
    <w:rsid w:val="00BB19A4"/>
    <w:rsid w:val="00BB2008"/>
    <w:rsid w:val="00BB2CFC"/>
    <w:rsid w:val="00BB2DA4"/>
    <w:rsid w:val="00BB34DC"/>
    <w:rsid w:val="00BB35D0"/>
    <w:rsid w:val="00BB3AC4"/>
    <w:rsid w:val="00BB47E6"/>
    <w:rsid w:val="00BB4999"/>
    <w:rsid w:val="00BB4BCD"/>
    <w:rsid w:val="00BB56C7"/>
    <w:rsid w:val="00BB5B62"/>
    <w:rsid w:val="00BB6502"/>
    <w:rsid w:val="00BB6BCD"/>
    <w:rsid w:val="00BB6F77"/>
    <w:rsid w:val="00BB70F9"/>
    <w:rsid w:val="00BB76DB"/>
    <w:rsid w:val="00BB7895"/>
    <w:rsid w:val="00BB7C9B"/>
    <w:rsid w:val="00BC1527"/>
    <w:rsid w:val="00BC2306"/>
    <w:rsid w:val="00BC2F31"/>
    <w:rsid w:val="00BC4036"/>
    <w:rsid w:val="00BC4232"/>
    <w:rsid w:val="00BC4BF9"/>
    <w:rsid w:val="00BC4F0A"/>
    <w:rsid w:val="00BC509F"/>
    <w:rsid w:val="00BC51D2"/>
    <w:rsid w:val="00BC64BE"/>
    <w:rsid w:val="00BC7155"/>
    <w:rsid w:val="00BC7550"/>
    <w:rsid w:val="00BD0119"/>
    <w:rsid w:val="00BD0B72"/>
    <w:rsid w:val="00BD2668"/>
    <w:rsid w:val="00BD3924"/>
    <w:rsid w:val="00BD450F"/>
    <w:rsid w:val="00BD4512"/>
    <w:rsid w:val="00BD4671"/>
    <w:rsid w:val="00BD4B8E"/>
    <w:rsid w:val="00BD52AA"/>
    <w:rsid w:val="00BD6C8E"/>
    <w:rsid w:val="00BE1061"/>
    <w:rsid w:val="00BE1321"/>
    <w:rsid w:val="00BE2893"/>
    <w:rsid w:val="00BE2EB4"/>
    <w:rsid w:val="00BE2F5A"/>
    <w:rsid w:val="00BE37D3"/>
    <w:rsid w:val="00BE522A"/>
    <w:rsid w:val="00BE57B5"/>
    <w:rsid w:val="00BE7A7C"/>
    <w:rsid w:val="00BF0A44"/>
    <w:rsid w:val="00BF0CEC"/>
    <w:rsid w:val="00BF1A44"/>
    <w:rsid w:val="00BF1EDF"/>
    <w:rsid w:val="00BF4D3D"/>
    <w:rsid w:val="00BF5B8C"/>
    <w:rsid w:val="00BF66B7"/>
    <w:rsid w:val="00BF6A68"/>
    <w:rsid w:val="00BF6F76"/>
    <w:rsid w:val="00BF7152"/>
    <w:rsid w:val="00BF73F0"/>
    <w:rsid w:val="00BF75B1"/>
    <w:rsid w:val="00BF75C9"/>
    <w:rsid w:val="00BF7BD3"/>
    <w:rsid w:val="00C00352"/>
    <w:rsid w:val="00C007CE"/>
    <w:rsid w:val="00C00A22"/>
    <w:rsid w:val="00C00F18"/>
    <w:rsid w:val="00C01D39"/>
    <w:rsid w:val="00C020A8"/>
    <w:rsid w:val="00C034A4"/>
    <w:rsid w:val="00C03DD0"/>
    <w:rsid w:val="00C04445"/>
    <w:rsid w:val="00C04A7F"/>
    <w:rsid w:val="00C04E2B"/>
    <w:rsid w:val="00C051AA"/>
    <w:rsid w:val="00C060A0"/>
    <w:rsid w:val="00C07187"/>
    <w:rsid w:val="00C075C9"/>
    <w:rsid w:val="00C07FAD"/>
    <w:rsid w:val="00C106C4"/>
    <w:rsid w:val="00C111EA"/>
    <w:rsid w:val="00C119AD"/>
    <w:rsid w:val="00C1228D"/>
    <w:rsid w:val="00C13FED"/>
    <w:rsid w:val="00C14E7D"/>
    <w:rsid w:val="00C16897"/>
    <w:rsid w:val="00C1766A"/>
    <w:rsid w:val="00C200C9"/>
    <w:rsid w:val="00C21D8E"/>
    <w:rsid w:val="00C22525"/>
    <w:rsid w:val="00C22FB4"/>
    <w:rsid w:val="00C23DBB"/>
    <w:rsid w:val="00C23FE1"/>
    <w:rsid w:val="00C2410D"/>
    <w:rsid w:val="00C24BAF"/>
    <w:rsid w:val="00C25481"/>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387A"/>
    <w:rsid w:val="00C33ECA"/>
    <w:rsid w:val="00C34137"/>
    <w:rsid w:val="00C3476B"/>
    <w:rsid w:val="00C35240"/>
    <w:rsid w:val="00C35EAD"/>
    <w:rsid w:val="00C368B3"/>
    <w:rsid w:val="00C36F07"/>
    <w:rsid w:val="00C37214"/>
    <w:rsid w:val="00C372E8"/>
    <w:rsid w:val="00C40353"/>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525"/>
    <w:rsid w:val="00C506BD"/>
    <w:rsid w:val="00C50E55"/>
    <w:rsid w:val="00C51426"/>
    <w:rsid w:val="00C51622"/>
    <w:rsid w:val="00C51FB3"/>
    <w:rsid w:val="00C5223C"/>
    <w:rsid w:val="00C52A35"/>
    <w:rsid w:val="00C52BB8"/>
    <w:rsid w:val="00C53213"/>
    <w:rsid w:val="00C53917"/>
    <w:rsid w:val="00C541DE"/>
    <w:rsid w:val="00C54BCF"/>
    <w:rsid w:val="00C54C11"/>
    <w:rsid w:val="00C54C67"/>
    <w:rsid w:val="00C54E65"/>
    <w:rsid w:val="00C5582D"/>
    <w:rsid w:val="00C561B3"/>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772"/>
    <w:rsid w:val="00C66D2B"/>
    <w:rsid w:val="00C67580"/>
    <w:rsid w:val="00C6781C"/>
    <w:rsid w:val="00C67EA1"/>
    <w:rsid w:val="00C70AEE"/>
    <w:rsid w:val="00C71112"/>
    <w:rsid w:val="00C71D15"/>
    <w:rsid w:val="00C7234D"/>
    <w:rsid w:val="00C7244E"/>
    <w:rsid w:val="00C726C9"/>
    <w:rsid w:val="00C72801"/>
    <w:rsid w:val="00C72C0A"/>
    <w:rsid w:val="00C73E67"/>
    <w:rsid w:val="00C73FAD"/>
    <w:rsid w:val="00C74AE1"/>
    <w:rsid w:val="00C757B8"/>
    <w:rsid w:val="00C7657C"/>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90601"/>
    <w:rsid w:val="00C90D16"/>
    <w:rsid w:val="00C9116A"/>
    <w:rsid w:val="00C9265D"/>
    <w:rsid w:val="00C92824"/>
    <w:rsid w:val="00C92961"/>
    <w:rsid w:val="00C937BA"/>
    <w:rsid w:val="00C949FC"/>
    <w:rsid w:val="00C960CF"/>
    <w:rsid w:val="00C96672"/>
    <w:rsid w:val="00C96678"/>
    <w:rsid w:val="00C96772"/>
    <w:rsid w:val="00C96CFA"/>
    <w:rsid w:val="00C96E5A"/>
    <w:rsid w:val="00C96EB5"/>
    <w:rsid w:val="00CA0257"/>
    <w:rsid w:val="00CA0917"/>
    <w:rsid w:val="00CA102B"/>
    <w:rsid w:val="00CA2032"/>
    <w:rsid w:val="00CA283D"/>
    <w:rsid w:val="00CA29D1"/>
    <w:rsid w:val="00CA2DD6"/>
    <w:rsid w:val="00CA3247"/>
    <w:rsid w:val="00CA3752"/>
    <w:rsid w:val="00CA3999"/>
    <w:rsid w:val="00CA39C0"/>
    <w:rsid w:val="00CA5AD3"/>
    <w:rsid w:val="00CA62DD"/>
    <w:rsid w:val="00CA69BA"/>
    <w:rsid w:val="00CA7DE6"/>
    <w:rsid w:val="00CB0339"/>
    <w:rsid w:val="00CB110E"/>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7EE"/>
    <w:rsid w:val="00CC1AF9"/>
    <w:rsid w:val="00CC20E0"/>
    <w:rsid w:val="00CC2818"/>
    <w:rsid w:val="00CC2F7A"/>
    <w:rsid w:val="00CC3A70"/>
    <w:rsid w:val="00CC4033"/>
    <w:rsid w:val="00CC40B8"/>
    <w:rsid w:val="00CC425F"/>
    <w:rsid w:val="00CC4755"/>
    <w:rsid w:val="00CC5444"/>
    <w:rsid w:val="00CC5631"/>
    <w:rsid w:val="00CC62A6"/>
    <w:rsid w:val="00CC676C"/>
    <w:rsid w:val="00CC7A11"/>
    <w:rsid w:val="00CD04A8"/>
    <w:rsid w:val="00CD051B"/>
    <w:rsid w:val="00CD1DB1"/>
    <w:rsid w:val="00CD22B5"/>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E7F11"/>
    <w:rsid w:val="00CF012E"/>
    <w:rsid w:val="00CF04D4"/>
    <w:rsid w:val="00CF0B4C"/>
    <w:rsid w:val="00CF1680"/>
    <w:rsid w:val="00CF1BD7"/>
    <w:rsid w:val="00CF21A5"/>
    <w:rsid w:val="00CF2518"/>
    <w:rsid w:val="00CF2DDE"/>
    <w:rsid w:val="00CF344A"/>
    <w:rsid w:val="00CF39A0"/>
    <w:rsid w:val="00CF3D1C"/>
    <w:rsid w:val="00CF4B12"/>
    <w:rsid w:val="00CF58FE"/>
    <w:rsid w:val="00CF5EBE"/>
    <w:rsid w:val="00CF7760"/>
    <w:rsid w:val="00CF783B"/>
    <w:rsid w:val="00CF7D97"/>
    <w:rsid w:val="00CF7EEC"/>
    <w:rsid w:val="00D001C2"/>
    <w:rsid w:val="00D00779"/>
    <w:rsid w:val="00D009D8"/>
    <w:rsid w:val="00D012E1"/>
    <w:rsid w:val="00D01318"/>
    <w:rsid w:val="00D01665"/>
    <w:rsid w:val="00D01D1E"/>
    <w:rsid w:val="00D023D2"/>
    <w:rsid w:val="00D02580"/>
    <w:rsid w:val="00D02F3F"/>
    <w:rsid w:val="00D03833"/>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22FB"/>
    <w:rsid w:val="00D32475"/>
    <w:rsid w:val="00D32EF4"/>
    <w:rsid w:val="00D33F81"/>
    <w:rsid w:val="00D34850"/>
    <w:rsid w:val="00D35060"/>
    <w:rsid w:val="00D357B4"/>
    <w:rsid w:val="00D369CC"/>
    <w:rsid w:val="00D369D4"/>
    <w:rsid w:val="00D36AD7"/>
    <w:rsid w:val="00D373E9"/>
    <w:rsid w:val="00D37C61"/>
    <w:rsid w:val="00D403FF"/>
    <w:rsid w:val="00D404C4"/>
    <w:rsid w:val="00D40CE9"/>
    <w:rsid w:val="00D42115"/>
    <w:rsid w:val="00D425BD"/>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72B2"/>
    <w:rsid w:val="00D57F48"/>
    <w:rsid w:val="00D57F53"/>
    <w:rsid w:val="00D60CAB"/>
    <w:rsid w:val="00D610FD"/>
    <w:rsid w:val="00D612AF"/>
    <w:rsid w:val="00D619F3"/>
    <w:rsid w:val="00D62A5B"/>
    <w:rsid w:val="00D62B43"/>
    <w:rsid w:val="00D62ECD"/>
    <w:rsid w:val="00D63748"/>
    <w:rsid w:val="00D639F0"/>
    <w:rsid w:val="00D63C1B"/>
    <w:rsid w:val="00D63D76"/>
    <w:rsid w:val="00D6435B"/>
    <w:rsid w:val="00D64BFF"/>
    <w:rsid w:val="00D64DE1"/>
    <w:rsid w:val="00D64E3F"/>
    <w:rsid w:val="00D653D0"/>
    <w:rsid w:val="00D65B2B"/>
    <w:rsid w:val="00D6692A"/>
    <w:rsid w:val="00D66E55"/>
    <w:rsid w:val="00D674E9"/>
    <w:rsid w:val="00D6799A"/>
    <w:rsid w:val="00D7009C"/>
    <w:rsid w:val="00D70F17"/>
    <w:rsid w:val="00D712DA"/>
    <w:rsid w:val="00D7151C"/>
    <w:rsid w:val="00D719EF"/>
    <w:rsid w:val="00D72327"/>
    <w:rsid w:val="00D727E0"/>
    <w:rsid w:val="00D72B87"/>
    <w:rsid w:val="00D72C72"/>
    <w:rsid w:val="00D73228"/>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312C"/>
    <w:rsid w:val="00DA4838"/>
    <w:rsid w:val="00DA4989"/>
    <w:rsid w:val="00DA5721"/>
    <w:rsid w:val="00DA6173"/>
    <w:rsid w:val="00DA7477"/>
    <w:rsid w:val="00DA7573"/>
    <w:rsid w:val="00DA7BD4"/>
    <w:rsid w:val="00DB0191"/>
    <w:rsid w:val="00DB0359"/>
    <w:rsid w:val="00DB0D25"/>
    <w:rsid w:val="00DB0EF6"/>
    <w:rsid w:val="00DB0F8A"/>
    <w:rsid w:val="00DB26A8"/>
    <w:rsid w:val="00DB27CF"/>
    <w:rsid w:val="00DB324C"/>
    <w:rsid w:val="00DB337E"/>
    <w:rsid w:val="00DB3FD3"/>
    <w:rsid w:val="00DB5F2A"/>
    <w:rsid w:val="00DB607D"/>
    <w:rsid w:val="00DB6F45"/>
    <w:rsid w:val="00DB72B7"/>
    <w:rsid w:val="00DB7546"/>
    <w:rsid w:val="00DC0624"/>
    <w:rsid w:val="00DC0FC3"/>
    <w:rsid w:val="00DC1A58"/>
    <w:rsid w:val="00DC1AC0"/>
    <w:rsid w:val="00DC1C40"/>
    <w:rsid w:val="00DC1CDD"/>
    <w:rsid w:val="00DC1D8E"/>
    <w:rsid w:val="00DC20C3"/>
    <w:rsid w:val="00DC227A"/>
    <w:rsid w:val="00DC2360"/>
    <w:rsid w:val="00DC26E4"/>
    <w:rsid w:val="00DC2BAE"/>
    <w:rsid w:val="00DC2CEE"/>
    <w:rsid w:val="00DC3257"/>
    <w:rsid w:val="00DC3279"/>
    <w:rsid w:val="00DC3BF1"/>
    <w:rsid w:val="00DC4D1D"/>
    <w:rsid w:val="00DC4D87"/>
    <w:rsid w:val="00DC54EB"/>
    <w:rsid w:val="00DC580A"/>
    <w:rsid w:val="00DC5B50"/>
    <w:rsid w:val="00DC66BC"/>
    <w:rsid w:val="00DC727F"/>
    <w:rsid w:val="00DC7E78"/>
    <w:rsid w:val="00DD0493"/>
    <w:rsid w:val="00DD0924"/>
    <w:rsid w:val="00DD0CBF"/>
    <w:rsid w:val="00DD0ED9"/>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711"/>
    <w:rsid w:val="00DE7887"/>
    <w:rsid w:val="00DE7BF8"/>
    <w:rsid w:val="00DF0DC3"/>
    <w:rsid w:val="00DF14F9"/>
    <w:rsid w:val="00DF1C2D"/>
    <w:rsid w:val="00DF1FAE"/>
    <w:rsid w:val="00DF2AD9"/>
    <w:rsid w:val="00DF54D0"/>
    <w:rsid w:val="00DF580C"/>
    <w:rsid w:val="00DF5C1A"/>
    <w:rsid w:val="00DF6BCB"/>
    <w:rsid w:val="00DF6D45"/>
    <w:rsid w:val="00DF7042"/>
    <w:rsid w:val="00DF753A"/>
    <w:rsid w:val="00DF75B2"/>
    <w:rsid w:val="00DF78FD"/>
    <w:rsid w:val="00DF7EFE"/>
    <w:rsid w:val="00E00B83"/>
    <w:rsid w:val="00E00E15"/>
    <w:rsid w:val="00E00F63"/>
    <w:rsid w:val="00E01210"/>
    <w:rsid w:val="00E01D50"/>
    <w:rsid w:val="00E02664"/>
    <w:rsid w:val="00E028E6"/>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15FF"/>
    <w:rsid w:val="00E12742"/>
    <w:rsid w:val="00E12AB9"/>
    <w:rsid w:val="00E12B67"/>
    <w:rsid w:val="00E141D3"/>
    <w:rsid w:val="00E14941"/>
    <w:rsid w:val="00E150E9"/>
    <w:rsid w:val="00E1526B"/>
    <w:rsid w:val="00E1534B"/>
    <w:rsid w:val="00E15408"/>
    <w:rsid w:val="00E15743"/>
    <w:rsid w:val="00E157E8"/>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0C"/>
    <w:rsid w:val="00E249DB"/>
    <w:rsid w:val="00E253A3"/>
    <w:rsid w:val="00E25402"/>
    <w:rsid w:val="00E259B0"/>
    <w:rsid w:val="00E25AF8"/>
    <w:rsid w:val="00E26AEC"/>
    <w:rsid w:val="00E26D82"/>
    <w:rsid w:val="00E2757B"/>
    <w:rsid w:val="00E2792D"/>
    <w:rsid w:val="00E301EA"/>
    <w:rsid w:val="00E30828"/>
    <w:rsid w:val="00E30B37"/>
    <w:rsid w:val="00E3109C"/>
    <w:rsid w:val="00E311D1"/>
    <w:rsid w:val="00E31C2D"/>
    <w:rsid w:val="00E32432"/>
    <w:rsid w:val="00E33B1E"/>
    <w:rsid w:val="00E34277"/>
    <w:rsid w:val="00E3621B"/>
    <w:rsid w:val="00E36F43"/>
    <w:rsid w:val="00E37F0C"/>
    <w:rsid w:val="00E40ADF"/>
    <w:rsid w:val="00E418E3"/>
    <w:rsid w:val="00E41F32"/>
    <w:rsid w:val="00E423DE"/>
    <w:rsid w:val="00E42F07"/>
    <w:rsid w:val="00E4370F"/>
    <w:rsid w:val="00E4441D"/>
    <w:rsid w:val="00E453AB"/>
    <w:rsid w:val="00E45617"/>
    <w:rsid w:val="00E462E6"/>
    <w:rsid w:val="00E463A0"/>
    <w:rsid w:val="00E47839"/>
    <w:rsid w:val="00E51CDE"/>
    <w:rsid w:val="00E5210B"/>
    <w:rsid w:val="00E53631"/>
    <w:rsid w:val="00E5388F"/>
    <w:rsid w:val="00E54239"/>
    <w:rsid w:val="00E54272"/>
    <w:rsid w:val="00E542BC"/>
    <w:rsid w:val="00E5436D"/>
    <w:rsid w:val="00E54521"/>
    <w:rsid w:val="00E54617"/>
    <w:rsid w:val="00E5484B"/>
    <w:rsid w:val="00E56023"/>
    <w:rsid w:val="00E56D6E"/>
    <w:rsid w:val="00E56FEF"/>
    <w:rsid w:val="00E577F9"/>
    <w:rsid w:val="00E57FB5"/>
    <w:rsid w:val="00E60F14"/>
    <w:rsid w:val="00E61B23"/>
    <w:rsid w:val="00E61FB6"/>
    <w:rsid w:val="00E625BE"/>
    <w:rsid w:val="00E6284B"/>
    <w:rsid w:val="00E62D07"/>
    <w:rsid w:val="00E62DF6"/>
    <w:rsid w:val="00E633CB"/>
    <w:rsid w:val="00E63A22"/>
    <w:rsid w:val="00E63B8F"/>
    <w:rsid w:val="00E6543F"/>
    <w:rsid w:val="00E65FF9"/>
    <w:rsid w:val="00E661C0"/>
    <w:rsid w:val="00E663F5"/>
    <w:rsid w:val="00E66E97"/>
    <w:rsid w:val="00E70BD6"/>
    <w:rsid w:val="00E71305"/>
    <w:rsid w:val="00E72383"/>
    <w:rsid w:val="00E724D2"/>
    <w:rsid w:val="00E72D9F"/>
    <w:rsid w:val="00E73A53"/>
    <w:rsid w:val="00E73C41"/>
    <w:rsid w:val="00E74933"/>
    <w:rsid w:val="00E74EDC"/>
    <w:rsid w:val="00E75737"/>
    <w:rsid w:val="00E75875"/>
    <w:rsid w:val="00E75886"/>
    <w:rsid w:val="00E75D6E"/>
    <w:rsid w:val="00E76007"/>
    <w:rsid w:val="00E76181"/>
    <w:rsid w:val="00E770F2"/>
    <w:rsid w:val="00E77EAC"/>
    <w:rsid w:val="00E80A8C"/>
    <w:rsid w:val="00E81069"/>
    <w:rsid w:val="00E817AD"/>
    <w:rsid w:val="00E817EF"/>
    <w:rsid w:val="00E8184F"/>
    <w:rsid w:val="00E81C83"/>
    <w:rsid w:val="00E828D5"/>
    <w:rsid w:val="00E82D81"/>
    <w:rsid w:val="00E83259"/>
    <w:rsid w:val="00E839BE"/>
    <w:rsid w:val="00E83CAC"/>
    <w:rsid w:val="00E84C89"/>
    <w:rsid w:val="00E85E56"/>
    <w:rsid w:val="00E860DD"/>
    <w:rsid w:val="00E8713D"/>
    <w:rsid w:val="00E87A97"/>
    <w:rsid w:val="00E90329"/>
    <w:rsid w:val="00E910D5"/>
    <w:rsid w:val="00E922C4"/>
    <w:rsid w:val="00E943AE"/>
    <w:rsid w:val="00E947B0"/>
    <w:rsid w:val="00E952CC"/>
    <w:rsid w:val="00E95D82"/>
    <w:rsid w:val="00E95F21"/>
    <w:rsid w:val="00E96273"/>
    <w:rsid w:val="00E96E97"/>
    <w:rsid w:val="00E97D49"/>
    <w:rsid w:val="00EA0251"/>
    <w:rsid w:val="00EA1065"/>
    <w:rsid w:val="00EA1434"/>
    <w:rsid w:val="00EA2382"/>
    <w:rsid w:val="00EA3C3E"/>
    <w:rsid w:val="00EA4694"/>
    <w:rsid w:val="00EA48D3"/>
    <w:rsid w:val="00EA546B"/>
    <w:rsid w:val="00EA57C5"/>
    <w:rsid w:val="00EA5D7E"/>
    <w:rsid w:val="00EA5F31"/>
    <w:rsid w:val="00EA5F92"/>
    <w:rsid w:val="00EA64B4"/>
    <w:rsid w:val="00EA65F1"/>
    <w:rsid w:val="00EA6665"/>
    <w:rsid w:val="00EA68B3"/>
    <w:rsid w:val="00EA6935"/>
    <w:rsid w:val="00EA6967"/>
    <w:rsid w:val="00EA6F44"/>
    <w:rsid w:val="00EA7613"/>
    <w:rsid w:val="00EA793B"/>
    <w:rsid w:val="00EA7A7E"/>
    <w:rsid w:val="00EB05DA"/>
    <w:rsid w:val="00EB1101"/>
    <w:rsid w:val="00EB190F"/>
    <w:rsid w:val="00EB235B"/>
    <w:rsid w:val="00EB31A3"/>
    <w:rsid w:val="00EB325B"/>
    <w:rsid w:val="00EB3E22"/>
    <w:rsid w:val="00EB693B"/>
    <w:rsid w:val="00EB6F33"/>
    <w:rsid w:val="00EB7BA9"/>
    <w:rsid w:val="00EB7D75"/>
    <w:rsid w:val="00EC0B20"/>
    <w:rsid w:val="00EC0EE7"/>
    <w:rsid w:val="00EC1C3A"/>
    <w:rsid w:val="00EC1D3E"/>
    <w:rsid w:val="00EC1F51"/>
    <w:rsid w:val="00EC2B1D"/>
    <w:rsid w:val="00EC4233"/>
    <w:rsid w:val="00EC4544"/>
    <w:rsid w:val="00EC4A85"/>
    <w:rsid w:val="00EC57B2"/>
    <w:rsid w:val="00EC58F4"/>
    <w:rsid w:val="00EC650B"/>
    <w:rsid w:val="00EC7808"/>
    <w:rsid w:val="00EC7AFA"/>
    <w:rsid w:val="00EC7BFA"/>
    <w:rsid w:val="00ED042E"/>
    <w:rsid w:val="00ED1295"/>
    <w:rsid w:val="00ED1669"/>
    <w:rsid w:val="00ED24D3"/>
    <w:rsid w:val="00ED2725"/>
    <w:rsid w:val="00ED34D1"/>
    <w:rsid w:val="00ED367F"/>
    <w:rsid w:val="00ED4206"/>
    <w:rsid w:val="00ED58A2"/>
    <w:rsid w:val="00ED58C3"/>
    <w:rsid w:val="00ED5C71"/>
    <w:rsid w:val="00ED5EEE"/>
    <w:rsid w:val="00ED667C"/>
    <w:rsid w:val="00ED7966"/>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223B"/>
    <w:rsid w:val="00EF29DE"/>
    <w:rsid w:val="00EF359A"/>
    <w:rsid w:val="00EF3978"/>
    <w:rsid w:val="00EF3AAC"/>
    <w:rsid w:val="00EF4C42"/>
    <w:rsid w:val="00EF4D42"/>
    <w:rsid w:val="00EF4FD1"/>
    <w:rsid w:val="00EF5318"/>
    <w:rsid w:val="00EF5429"/>
    <w:rsid w:val="00EF708A"/>
    <w:rsid w:val="00EF72C3"/>
    <w:rsid w:val="00EF79CE"/>
    <w:rsid w:val="00F00152"/>
    <w:rsid w:val="00F00352"/>
    <w:rsid w:val="00F00419"/>
    <w:rsid w:val="00F00B1B"/>
    <w:rsid w:val="00F00E37"/>
    <w:rsid w:val="00F010EE"/>
    <w:rsid w:val="00F01383"/>
    <w:rsid w:val="00F0167D"/>
    <w:rsid w:val="00F0177A"/>
    <w:rsid w:val="00F019D5"/>
    <w:rsid w:val="00F02500"/>
    <w:rsid w:val="00F032E2"/>
    <w:rsid w:val="00F037E3"/>
    <w:rsid w:val="00F03FF2"/>
    <w:rsid w:val="00F04F9E"/>
    <w:rsid w:val="00F064A9"/>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29F"/>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0BFF"/>
    <w:rsid w:val="00F3179A"/>
    <w:rsid w:val="00F31D54"/>
    <w:rsid w:val="00F32357"/>
    <w:rsid w:val="00F32C70"/>
    <w:rsid w:val="00F338FE"/>
    <w:rsid w:val="00F34AE6"/>
    <w:rsid w:val="00F34E02"/>
    <w:rsid w:val="00F3549E"/>
    <w:rsid w:val="00F365A7"/>
    <w:rsid w:val="00F3681C"/>
    <w:rsid w:val="00F3769D"/>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47CEA"/>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789"/>
    <w:rsid w:val="00F608AB"/>
    <w:rsid w:val="00F60BE7"/>
    <w:rsid w:val="00F613E2"/>
    <w:rsid w:val="00F6159C"/>
    <w:rsid w:val="00F61714"/>
    <w:rsid w:val="00F6238F"/>
    <w:rsid w:val="00F637DE"/>
    <w:rsid w:val="00F63E59"/>
    <w:rsid w:val="00F64BE0"/>
    <w:rsid w:val="00F65B68"/>
    <w:rsid w:val="00F67846"/>
    <w:rsid w:val="00F67B42"/>
    <w:rsid w:val="00F70B72"/>
    <w:rsid w:val="00F70C0C"/>
    <w:rsid w:val="00F70DEF"/>
    <w:rsid w:val="00F70EA3"/>
    <w:rsid w:val="00F71398"/>
    <w:rsid w:val="00F7294C"/>
    <w:rsid w:val="00F72C5F"/>
    <w:rsid w:val="00F73549"/>
    <w:rsid w:val="00F75782"/>
    <w:rsid w:val="00F776D1"/>
    <w:rsid w:val="00F80C1D"/>
    <w:rsid w:val="00F80EB3"/>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57A1"/>
    <w:rsid w:val="00FA6980"/>
    <w:rsid w:val="00FA6CDF"/>
    <w:rsid w:val="00FA7BB5"/>
    <w:rsid w:val="00FA7C85"/>
    <w:rsid w:val="00FB12D8"/>
    <w:rsid w:val="00FB176A"/>
    <w:rsid w:val="00FB1CDC"/>
    <w:rsid w:val="00FB22A1"/>
    <w:rsid w:val="00FB238A"/>
    <w:rsid w:val="00FB2446"/>
    <w:rsid w:val="00FB2C81"/>
    <w:rsid w:val="00FB3BC4"/>
    <w:rsid w:val="00FB3F9C"/>
    <w:rsid w:val="00FB3FDE"/>
    <w:rsid w:val="00FB4676"/>
    <w:rsid w:val="00FB5552"/>
    <w:rsid w:val="00FB5789"/>
    <w:rsid w:val="00FB5F3A"/>
    <w:rsid w:val="00FB6AA9"/>
    <w:rsid w:val="00FB6AD4"/>
    <w:rsid w:val="00FB6E46"/>
    <w:rsid w:val="00FB7899"/>
    <w:rsid w:val="00FB7F22"/>
    <w:rsid w:val="00FC00F3"/>
    <w:rsid w:val="00FC0A33"/>
    <w:rsid w:val="00FC13B1"/>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E0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toc 1" w:uiPriority="39" w:unhideWhenUsed="1"/>
    <w:lsdException w:name="toc 2" w:uiPriority="39" w:unhideWhenUsed="1"/>
    <w:lsdException w:name="toc 3" w:uiPriority="0" w:unhideWhenUsed="1"/>
    <w:lsdException w:name="toc 4" w:uiPriority="0"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header" w:uiPriority="0" w:unhideWhenUsed="1"/>
    <w:lsdException w:name="footer" w:uiPriority="0" w:unhideWhenUsed="1"/>
    <w:lsdException w:name="caption" w:uiPriority="35" w:unhideWhenUsed="1" w:qFormat="1"/>
    <w:lsdException w:name="table of figures" w:unhideWhenUsed="1"/>
    <w:lsdException w:name="footnote reference" w:unhideWhenUsed="1"/>
    <w:lsdException w:name="annotation reference" w:unhideWhenUsed="1"/>
    <w:lsdException w:name="page number" w:uiPriority="0" w:unhideWhenUsed="1"/>
    <w:lsdException w:name="endnote reference" w:unhideWhenUsed="1"/>
    <w:lsdException w:name="endnote text" w:unhideWhenUsed="1"/>
    <w:lsdException w:name="table of authorities" w:unhideWhenUsed="1"/>
    <w:lsdException w:name="toa heading" w:unhideWhenUsed="1"/>
    <w:lsdException w:name="Title" w:semiHidden="0" w:uiPriority="0"/>
    <w:lsdException w:name="Signature" w:unhideWhenUsed="1"/>
    <w:lsdException w:name="Default Paragraph Font" w:uiPriority="1" w:unhideWhenUsed="1"/>
    <w:lsdException w:name="Body Text" w:uiPriority="0" w:unhideWhenUsed="1" w:qFormat="1"/>
    <w:lsdException w:name="Subtitle" w:semiHidden="0" w:uiPriority="0"/>
    <w:lsdException w:name="Salutation" w:unhideWhenUsed="1"/>
    <w:lsdException w:name="Note Heading" w:unhideWhenUsed="1"/>
    <w:lsdException w:name="Hyperlink" w:unhideWhenUsed="1" w:qFormat="1"/>
    <w:lsdException w:name="Followed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semiHidden/>
    <w:qFormat/>
    <w:rsid w:val="00E1702C"/>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8B68EC"/>
    <w:pPr>
      <w:keepNext/>
      <w:tabs>
        <w:tab w:val="left" w:pos="851"/>
      </w:tabs>
      <w:spacing w:before="0" w:after="360" w:line="240" w:lineRule="auto"/>
      <w:jc w:val="left"/>
      <w:outlineLvl w:val="0"/>
    </w:pPr>
    <w:rPr>
      <w:rFonts w:eastAsiaTheme="majorEastAsia" w:cstheme="majorBidi"/>
      <w:b/>
      <w:bCs/>
      <w:color w:val="1C556C"/>
      <w:sz w:val="48"/>
      <w:szCs w:val="28"/>
    </w:rPr>
  </w:style>
  <w:style w:type="paragraph" w:styleId="Heading2">
    <w:name w:val="heading 2"/>
    <w:basedOn w:val="Normal"/>
    <w:next w:val="BodyText"/>
    <w:link w:val="Heading2Char"/>
    <w:qFormat/>
    <w:rsid w:val="00B51610"/>
    <w:pPr>
      <w:keepNext/>
      <w:tabs>
        <w:tab w:val="left" w:pos="851"/>
      </w:tabs>
      <w:spacing w:before="360" w:after="0" w:line="240" w:lineRule="auto"/>
      <w:jc w:val="left"/>
      <w:outlineLvl w:val="1"/>
    </w:pPr>
    <w:rPr>
      <w:rFonts w:eastAsiaTheme="majorEastAsia" w:cstheme="majorBidi"/>
      <w:b/>
      <w:bCs/>
      <w:color w:val="0F7B7D"/>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rFonts w:eastAsiaTheme="majorEastAsia" w:cstheme="majorBidi"/>
      <w:b/>
      <w:bCs/>
      <w:sz w:val="28"/>
    </w:rPr>
  </w:style>
  <w:style w:type="paragraph" w:styleId="Heading4">
    <w:name w:val="heading 4"/>
    <w:basedOn w:val="Heading3"/>
    <w:next w:val="BodyText"/>
    <w:link w:val="Heading4Char"/>
    <w:qFormat/>
    <w:rsid w:val="00B51610"/>
    <w:pPr>
      <w:outlineLvl w:val="3"/>
    </w:pPr>
    <w:rPr>
      <w:color w:val="0F7B7D"/>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8EC"/>
    <w:rPr>
      <w:rFonts w:ascii="Calibri" w:eastAsiaTheme="majorEastAsia" w:hAnsi="Calibri" w:cstheme="majorBidi"/>
      <w:b/>
      <w:bCs/>
      <w:color w:val="1C556C"/>
      <w:sz w:val="48"/>
      <w:szCs w:val="28"/>
      <w:lang w:eastAsia="en-NZ"/>
    </w:rPr>
  </w:style>
  <w:style w:type="character" w:customStyle="1" w:styleId="Heading2Char">
    <w:name w:val="Heading 2 Char"/>
    <w:basedOn w:val="DefaultParagraphFont"/>
    <w:link w:val="Heading2"/>
    <w:rsid w:val="00B51610"/>
    <w:rPr>
      <w:rFonts w:ascii="Calibri" w:eastAsiaTheme="majorEastAsia" w:hAnsi="Calibri" w:cstheme="majorBidi"/>
      <w:b/>
      <w:bCs/>
      <w:color w:val="0F7B7D"/>
      <w:sz w:val="36"/>
      <w:szCs w:val="26"/>
      <w:lang w:eastAsia="en-NZ"/>
    </w:rPr>
  </w:style>
  <w:style w:type="character" w:customStyle="1" w:styleId="Heading3Char">
    <w:name w:val="Heading 3 Char"/>
    <w:basedOn w:val="DefaultParagraphFont"/>
    <w:link w:val="Heading3"/>
    <w:rsid w:val="008B68EC"/>
    <w:rPr>
      <w:rFonts w:ascii="Calibri" w:eastAsiaTheme="majorEastAsia" w:hAnsi="Calibri" w:cstheme="majorBidi"/>
      <w:b/>
      <w:bCs/>
      <w:sz w:val="28"/>
      <w:lang w:eastAsia="en-NZ"/>
    </w:rPr>
  </w:style>
  <w:style w:type="character" w:customStyle="1" w:styleId="Heading4Char">
    <w:name w:val="Heading 4 Char"/>
    <w:basedOn w:val="DefaultParagraphFont"/>
    <w:link w:val="Heading4"/>
    <w:rsid w:val="00B51610"/>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qFormat/>
    <w:rsid w:val="00A56D3B"/>
    <w:pPr>
      <w:numPr>
        <w:numId w:val="2"/>
      </w:numPr>
      <w:tabs>
        <w:tab w:val="left" w:pos="680"/>
      </w:tabs>
      <w:spacing w:before="0"/>
      <w:ind w:left="681" w:hanging="397"/>
    </w:pPr>
  </w:style>
  <w:style w:type="paragraph" w:customStyle="1" w:styleId="Boxheading">
    <w:name w:val="Box heading"/>
    <w:basedOn w:val="Box"/>
    <w:next w:val="Box"/>
    <w:uiPriority w:val="1"/>
    <w:qFormat/>
    <w:rsid w:val="001820A3"/>
    <w:pPr>
      <w:keepNext/>
      <w:spacing w:after="0"/>
    </w:pPr>
    <w:rPr>
      <w:b/>
    </w:rPr>
  </w:style>
  <w:style w:type="paragraph" w:customStyle="1" w:styleId="Bullet">
    <w:name w:val="Bullet"/>
    <w:basedOn w:val="Normal"/>
    <w:link w:val="BulletChar"/>
    <w:qFormat/>
    <w:rsid w:val="006629E4"/>
    <w:pPr>
      <w:numPr>
        <w:numId w:val="3"/>
      </w:numPr>
      <w:tabs>
        <w:tab w:val="clear" w:pos="567"/>
        <w:tab w:val="left" w:pos="397"/>
      </w:tabs>
      <w:spacing w:before="0" w:line="280" w:lineRule="exact"/>
      <w:ind w:left="397" w:hanging="397"/>
      <w:jc w:val="left"/>
    </w:pPr>
    <w:rPr>
      <w:rFonts w:eastAsia="Times New Roman" w:cs="Times New Roman"/>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uiPriority w:val="99"/>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basedOn w:val="DefaultParagraphFont"/>
    <w:link w:val="Title"/>
    <w:uiPriority w:val="2"/>
    <w:rsid w:val="00684D9B"/>
    <w:rPr>
      <w:rFonts w:ascii="Calibri" w:eastAsiaTheme="minorEastAsia"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basedOn w:val="DefaultParagraphFont"/>
    <w:link w:val="Subtitle"/>
    <w:uiPriority w:val="2"/>
    <w:rsid w:val="00D94120"/>
    <w:rPr>
      <w:rFonts w:ascii="Calibri" w:eastAsiaTheme="minorEastAsia"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4F37C6"/>
    <w:pPr>
      <w:tabs>
        <w:tab w:val="right" w:pos="8505"/>
      </w:tabs>
      <w:spacing w:before="280" w:after="6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ind w:firstLine="0"/>
      <w:jc w:val="left"/>
    </w:pPr>
  </w:style>
  <w:style w:type="paragraph" w:customStyle="1" w:styleId="Sub-lista">
    <w:name w:val="Sub-list a"/>
    <w:aliases w:val="b"/>
    <w:basedOn w:val="Normal"/>
    <w:uiPriority w:val="2"/>
    <w:rsid w:val="00E21ACA"/>
    <w:pPr>
      <w:numPr>
        <w:numId w:val="6"/>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uiPriority w:val="99"/>
    <w:semiHidden/>
    <w:unhideWhenUsed/>
    <w:rsid w:val="00EA64B4"/>
    <w:rPr>
      <w:rFonts w:ascii="Tahoma" w:hAnsi="Tahoma"/>
      <w:sz w:val="16"/>
      <w:szCs w:val="16"/>
    </w:rPr>
  </w:style>
  <w:style w:type="character" w:customStyle="1" w:styleId="BalloonTextChar">
    <w:name w:val="Balloon Text Char"/>
    <w:basedOn w:val="DefaultParagraphFont"/>
    <w:link w:val="BalloonText"/>
    <w:uiPriority w:val="99"/>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eastAsia="Times New Roman" w:hAnsi="Arial" w:cs="Times New Roman"/>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eastAsia="Times New Roman" w:hAnsi="Arial" w:cs="Times New Roman"/>
      <w:b/>
      <w:color w:val="auto"/>
      <w:sz w:val="22"/>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6629E4"/>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B07CE9"/>
    <w:pPr>
      <w:numPr>
        <w:numId w:val="11"/>
      </w:numPr>
    </w:pPr>
  </w:style>
  <w:style w:type="numbering" w:customStyle="1" w:styleId="Bullets">
    <w:name w:val="Bullets"/>
    <w:uiPriority w:val="99"/>
    <w:rsid w:val="00B07CE9"/>
    <w:pPr>
      <w:numPr>
        <w:numId w:val="12"/>
      </w:numPr>
    </w:pPr>
  </w:style>
  <w:style w:type="numbering" w:customStyle="1" w:styleId="Style2">
    <w:name w:val="Style2"/>
    <w:uiPriority w:val="99"/>
    <w:rsid w:val="008E0688"/>
    <w:pPr>
      <w:numPr>
        <w:numId w:val="13"/>
      </w:numPr>
    </w:pPr>
  </w:style>
  <w:style w:type="numbering" w:customStyle="1" w:styleId="Bulletss">
    <w:name w:val="Bulletss"/>
    <w:uiPriority w:val="99"/>
    <w:rsid w:val="00602FF4"/>
    <w:pPr>
      <w:numPr>
        <w:numId w:val="14"/>
      </w:numPr>
    </w:pPr>
  </w:style>
  <w:style w:type="paragraph" w:customStyle="1" w:styleId="Greenbullet-casestudytables">
    <w:name w:val="Green bullet - case study tables"/>
    <w:basedOn w:val="Bullet"/>
    <w:uiPriority w:val="1"/>
    <w:rsid w:val="005C760E"/>
    <w:pPr>
      <w:numPr>
        <w:numId w:val="15"/>
      </w:numPr>
      <w:tabs>
        <w:tab w:val="clear"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rFonts w:eastAsia="Times New Roman"/>
      <w:b/>
    </w:rPr>
  </w:style>
  <w:style w:type="table" w:customStyle="1" w:styleId="TableGrid1">
    <w:name w:val="Table Grid1"/>
    <w:basedOn w:val="TableNormal"/>
    <w:next w:val="TableGrid"/>
    <w:uiPriority w:val="59"/>
    <w:rsid w:val="009C784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336DE6"/>
    <w:pPr>
      <w:spacing w:line="240" w:lineRule="auto"/>
    </w:pPr>
    <w:rPr>
      <w:sz w:val="20"/>
      <w:szCs w:val="20"/>
    </w:rPr>
  </w:style>
  <w:style w:type="character" w:customStyle="1" w:styleId="CommentTextChar">
    <w:name w:val="Comment Text Char"/>
    <w:basedOn w:val="DefaultParagraphFont"/>
    <w:link w:val="CommentText"/>
    <w:uiPriority w:val="99"/>
    <w:semiHidden/>
    <w:rsid w:val="00336DE6"/>
    <w:rPr>
      <w:rFonts w:ascii="Calibri" w:eastAsiaTheme="minorEastAsia" w:hAnsi="Calibri"/>
      <w:sz w:val="20"/>
      <w:szCs w:val="20"/>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toc 1" w:uiPriority="39" w:unhideWhenUsed="1"/>
    <w:lsdException w:name="toc 2" w:uiPriority="39" w:unhideWhenUsed="1"/>
    <w:lsdException w:name="toc 3" w:uiPriority="0" w:unhideWhenUsed="1"/>
    <w:lsdException w:name="toc 4" w:uiPriority="0"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header" w:uiPriority="0" w:unhideWhenUsed="1"/>
    <w:lsdException w:name="footer" w:uiPriority="0" w:unhideWhenUsed="1"/>
    <w:lsdException w:name="caption" w:uiPriority="35" w:unhideWhenUsed="1" w:qFormat="1"/>
    <w:lsdException w:name="table of figures" w:unhideWhenUsed="1"/>
    <w:lsdException w:name="footnote reference" w:unhideWhenUsed="1"/>
    <w:lsdException w:name="annotation reference" w:unhideWhenUsed="1"/>
    <w:lsdException w:name="page number" w:uiPriority="0" w:unhideWhenUsed="1"/>
    <w:lsdException w:name="endnote reference" w:unhideWhenUsed="1"/>
    <w:lsdException w:name="endnote text" w:unhideWhenUsed="1"/>
    <w:lsdException w:name="table of authorities" w:unhideWhenUsed="1"/>
    <w:lsdException w:name="toa heading" w:unhideWhenUsed="1"/>
    <w:lsdException w:name="Title" w:semiHidden="0" w:uiPriority="0"/>
    <w:lsdException w:name="Signature" w:unhideWhenUsed="1"/>
    <w:lsdException w:name="Default Paragraph Font" w:uiPriority="1" w:unhideWhenUsed="1"/>
    <w:lsdException w:name="Body Text" w:uiPriority="0" w:unhideWhenUsed="1" w:qFormat="1"/>
    <w:lsdException w:name="Subtitle" w:semiHidden="0" w:uiPriority="0"/>
    <w:lsdException w:name="Salutation" w:unhideWhenUsed="1"/>
    <w:lsdException w:name="Note Heading" w:unhideWhenUsed="1"/>
    <w:lsdException w:name="Hyperlink" w:unhideWhenUsed="1" w:qFormat="1"/>
    <w:lsdException w:name="Followed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semiHidden/>
    <w:qFormat/>
    <w:rsid w:val="00E1702C"/>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8B68EC"/>
    <w:pPr>
      <w:keepNext/>
      <w:tabs>
        <w:tab w:val="left" w:pos="851"/>
      </w:tabs>
      <w:spacing w:before="0" w:after="360" w:line="240" w:lineRule="auto"/>
      <w:jc w:val="left"/>
      <w:outlineLvl w:val="0"/>
    </w:pPr>
    <w:rPr>
      <w:rFonts w:eastAsiaTheme="majorEastAsia" w:cstheme="majorBidi"/>
      <w:b/>
      <w:bCs/>
      <w:color w:val="1C556C"/>
      <w:sz w:val="48"/>
      <w:szCs w:val="28"/>
    </w:rPr>
  </w:style>
  <w:style w:type="paragraph" w:styleId="Heading2">
    <w:name w:val="heading 2"/>
    <w:basedOn w:val="Normal"/>
    <w:next w:val="BodyText"/>
    <w:link w:val="Heading2Char"/>
    <w:qFormat/>
    <w:rsid w:val="00B51610"/>
    <w:pPr>
      <w:keepNext/>
      <w:tabs>
        <w:tab w:val="left" w:pos="851"/>
      </w:tabs>
      <w:spacing w:before="360" w:after="0" w:line="240" w:lineRule="auto"/>
      <w:jc w:val="left"/>
      <w:outlineLvl w:val="1"/>
    </w:pPr>
    <w:rPr>
      <w:rFonts w:eastAsiaTheme="majorEastAsia" w:cstheme="majorBidi"/>
      <w:b/>
      <w:bCs/>
      <w:color w:val="0F7B7D"/>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rFonts w:eastAsiaTheme="majorEastAsia" w:cstheme="majorBidi"/>
      <w:b/>
      <w:bCs/>
      <w:sz w:val="28"/>
    </w:rPr>
  </w:style>
  <w:style w:type="paragraph" w:styleId="Heading4">
    <w:name w:val="heading 4"/>
    <w:basedOn w:val="Heading3"/>
    <w:next w:val="BodyText"/>
    <w:link w:val="Heading4Char"/>
    <w:qFormat/>
    <w:rsid w:val="00B51610"/>
    <w:pPr>
      <w:outlineLvl w:val="3"/>
    </w:pPr>
    <w:rPr>
      <w:color w:val="0F7B7D"/>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8EC"/>
    <w:rPr>
      <w:rFonts w:ascii="Calibri" w:eastAsiaTheme="majorEastAsia" w:hAnsi="Calibri" w:cstheme="majorBidi"/>
      <w:b/>
      <w:bCs/>
      <w:color w:val="1C556C"/>
      <w:sz w:val="48"/>
      <w:szCs w:val="28"/>
      <w:lang w:eastAsia="en-NZ"/>
    </w:rPr>
  </w:style>
  <w:style w:type="character" w:customStyle="1" w:styleId="Heading2Char">
    <w:name w:val="Heading 2 Char"/>
    <w:basedOn w:val="DefaultParagraphFont"/>
    <w:link w:val="Heading2"/>
    <w:rsid w:val="00B51610"/>
    <w:rPr>
      <w:rFonts w:ascii="Calibri" w:eastAsiaTheme="majorEastAsia" w:hAnsi="Calibri" w:cstheme="majorBidi"/>
      <w:b/>
      <w:bCs/>
      <w:color w:val="0F7B7D"/>
      <w:sz w:val="36"/>
      <w:szCs w:val="26"/>
      <w:lang w:eastAsia="en-NZ"/>
    </w:rPr>
  </w:style>
  <w:style w:type="character" w:customStyle="1" w:styleId="Heading3Char">
    <w:name w:val="Heading 3 Char"/>
    <w:basedOn w:val="DefaultParagraphFont"/>
    <w:link w:val="Heading3"/>
    <w:rsid w:val="008B68EC"/>
    <w:rPr>
      <w:rFonts w:ascii="Calibri" w:eastAsiaTheme="majorEastAsia" w:hAnsi="Calibri" w:cstheme="majorBidi"/>
      <w:b/>
      <w:bCs/>
      <w:sz w:val="28"/>
      <w:lang w:eastAsia="en-NZ"/>
    </w:rPr>
  </w:style>
  <w:style w:type="character" w:customStyle="1" w:styleId="Heading4Char">
    <w:name w:val="Heading 4 Char"/>
    <w:basedOn w:val="DefaultParagraphFont"/>
    <w:link w:val="Heading4"/>
    <w:rsid w:val="00B51610"/>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qFormat/>
    <w:rsid w:val="00A56D3B"/>
    <w:pPr>
      <w:numPr>
        <w:numId w:val="2"/>
      </w:numPr>
      <w:tabs>
        <w:tab w:val="left" w:pos="680"/>
      </w:tabs>
      <w:spacing w:before="0"/>
      <w:ind w:left="681" w:hanging="397"/>
    </w:pPr>
  </w:style>
  <w:style w:type="paragraph" w:customStyle="1" w:styleId="Boxheading">
    <w:name w:val="Box heading"/>
    <w:basedOn w:val="Box"/>
    <w:next w:val="Box"/>
    <w:uiPriority w:val="1"/>
    <w:qFormat/>
    <w:rsid w:val="001820A3"/>
    <w:pPr>
      <w:keepNext/>
      <w:spacing w:after="0"/>
    </w:pPr>
    <w:rPr>
      <w:b/>
    </w:rPr>
  </w:style>
  <w:style w:type="paragraph" w:customStyle="1" w:styleId="Bullet">
    <w:name w:val="Bullet"/>
    <w:basedOn w:val="Normal"/>
    <w:link w:val="BulletChar"/>
    <w:qFormat/>
    <w:rsid w:val="006629E4"/>
    <w:pPr>
      <w:numPr>
        <w:numId w:val="3"/>
      </w:numPr>
      <w:tabs>
        <w:tab w:val="clear" w:pos="567"/>
        <w:tab w:val="left" w:pos="397"/>
      </w:tabs>
      <w:spacing w:before="0" w:line="280" w:lineRule="exact"/>
      <w:ind w:left="397" w:hanging="397"/>
      <w:jc w:val="left"/>
    </w:pPr>
    <w:rPr>
      <w:rFonts w:eastAsia="Times New Roman" w:cs="Times New Roman"/>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uiPriority w:val="99"/>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basedOn w:val="DefaultParagraphFont"/>
    <w:link w:val="Title"/>
    <w:uiPriority w:val="2"/>
    <w:rsid w:val="00684D9B"/>
    <w:rPr>
      <w:rFonts w:ascii="Calibri" w:eastAsiaTheme="minorEastAsia"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basedOn w:val="DefaultParagraphFont"/>
    <w:link w:val="Subtitle"/>
    <w:uiPriority w:val="2"/>
    <w:rsid w:val="00D94120"/>
    <w:rPr>
      <w:rFonts w:ascii="Calibri" w:eastAsiaTheme="minorEastAsia"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4F37C6"/>
    <w:pPr>
      <w:tabs>
        <w:tab w:val="right" w:pos="8505"/>
      </w:tabs>
      <w:spacing w:before="280" w:after="6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ind w:firstLine="0"/>
      <w:jc w:val="left"/>
    </w:pPr>
  </w:style>
  <w:style w:type="paragraph" w:customStyle="1" w:styleId="Sub-lista">
    <w:name w:val="Sub-list a"/>
    <w:aliases w:val="b"/>
    <w:basedOn w:val="Normal"/>
    <w:uiPriority w:val="2"/>
    <w:rsid w:val="00E21ACA"/>
    <w:pPr>
      <w:numPr>
        <w:numId w:val="6"/>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uiPriority w:val="99"/>
    <w:semiHidden/>
    <w:unhideWhenUsed/>
    <w:rsid w:val="00EA64B4"/>
    <w:rPr>
      <w:rFonts w:ascii="Tahoma" w:hAnsi="Tahoma"/>
      <w:sz w:val="16"/>
      <w:szCs w:val="16"/>
    </w:rPr>
  </w:style>
  <w:style w:type="character" w:customStyle="1" w:styleId="BalloonTextChar">
    <w:name w:val="Balloon Text Char"/>
    <w:basedOn w:val="DefaultParagraphFont"/>
    <w:link w:val="BalloonText"/>
    <w:uiPriority w:val="99"/>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eastAsia="Times New Roman" w:hAnsi="Arial" w:cs="Times New Roman"/>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eastAsia="Times New Roman" w:hAnsi="Arial" w:cs="Times New Roman"/>
      <w:b/>
      <w:color w:val="auto"/>
      <w:sz w:val="22"/>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6629E4"/>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B07CE9"/>
    <w:pPr>
      <w:numPr>
        <w:numId w:val="11"/>
      </w:numPr>
    </w:pPr>
  </w:style>
  <w:style w:type="numbering" w:customStyle="1" w:styleId="Bullets">
    <w:name w:val="Bullets"/>
    <w:uiPriority w:val="99"/>
    <w:rsid w:val="00B07CE9"/>
    <w:pPr>
      <w:numPr>
        <w:numId w:val="12"/>
      </w:numPr>
    </w:pPr>
  </w:style>
  <w:style w:type="numbering" w:customStyle="1" w:styleId="Style2">
    <w:name w:val="Style2"/>
    <w:uiPriority w:val="99"/>
    <w:rsid w:val="008E0688"/>
    <w:pPr>
      <w:numPr>
        <w:numId w:val="13"/>
      </w:numPr>
    </w:pPr>
  </w:style>
  <w:style w:type="numbering" w:customStyle="1" w:styleId="Bulletss">
    <w:name w:val="Bulletss"/>
    <w:uiPriority w:val="99"/>
    <w:rsid w:val="00602FF4"/>
    <w:pPr>
      <w:numPr>
        <w:numId w:val="14"/>
      </w:numPr>
    </w:pPr>
  </w:style>
  <w:style w:type="paragraph" w:customStyle="1" w:styleId="Greenbullet-casestudytables">
    <w:name w:val="Green bullet - case study tables"/>
    <w:basedOn w:val="Bullet"/>
    <w:uiPriority w:val="1"/>
    <w:rsid w:val="005C760E"/>
    <w:pPr>
      <w:numPr>
        <w:numId w:val="15"/>
      </w:numPr>
      <w:tabs>
        <w:tab w:val="clear"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rFonts w:eastAsia="Times New Roman"/>
      <w:b/>
    </w:rPr>
  </w:style>
  <w:style w:type="table" w:customStyle="1" w:styleId="TableGrid1">
    <w:name w:val="Table Grid1"/>
    <w:basedOn w:val="TableNormal"/>
    <w:next w:val="TableGrid"/>
    <w:uiPriority w:val="59"/>
    <w:rsid w:val="009C784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336DE6"/>
    <w:pPr>
      <w:spacing w:line="240" w:lineRule="auto"/>
    </w:pPr>
    <w:rPr>
      <w:sz w:val="20"/>
      <w:szCs w:val="20"/>
    </w:rPr>
  </w:style>
  <w:style w:type="character" w:customStyle="1" w:styleId="CommentTextChar">
    <w:name w:val="Comment Text Char"/>
    <w:basedOn w:val="DefaultParagraphFont"/>
    <w:link w:val="CommentText"/>
    <w:uiPriority w:val="99"/>
    <w:semiHidden/>
    <w:rsid w:val="00336DE6"/>
    <w:rPr>
      <w:rFonts w:ascii="Calibri" w:eastAsiaTheme="minorEastAsia" w:hAnsi="Calibri"/>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yperlink" Target="http://www.mfe.govt.nz" TargetMode="External"/><Relationship Id="rId17" Type="http://schemas.openxmlformats.org/officeDocument/2006/relationships/footer" Target="footer2.xml"/><Relationship Id="rId25" Type="http://schemas.openxmlformats.org/officeDocument/2006/relationships/hyperlink" Target="http://www.mfe.govt.nz/publications/towns-and-cities/how-councils-estimate-demand-and-supply-development-capacity-housing" TargetMode="External"/><Relationship Id="rId33" Type="http://schemas.openxmlformats.org/officeDocument/2006/relationships/hyperlink" Target="http://www.productivity.govt.nz/inquiry-content/2060?stage=4" TargetMode="Externa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hyperlink" Target="http://www.mfe.govt.nz/publications/towns-and-cities/how-councils-estimate-demand-and-supply-development-capacity-housing"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mfe.govt.nz/publications/rma/way-forward-national-direction-2016" TargetMode="External"/><Relationship Id="rId31" Type="http://schemas.openxmlformats.org/officeDocument/2006/relationships/hyperlink" Target="http://www.mfe.govt.nz/publications/towns-and-cities/signals-under-capacity-practicalities-monitoring-price-signals-under%20(3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ntTable" Target="fontTable.xml"/></Relationships>
</file>

<file path=word/theme/theme1.xml><?xml version="1.0" encoding="utf-8"?>
<a:theme xmlns:a="http://schemas.openxmlformats.org/drawingml/2006/main" name="MF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7D81C-246E-44B1-9965-2D230E80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9836</Words>
  <Characters>56067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65772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Lauren Kelly</cp:lastModifiedBy>
  <cp:revision>8</cp:revision>
  <cp:lastPrinted>2016-11-02T21:15:00Z</cp:lastPrinted>
  <dcterms:created xsi:type="dcterms:W3CDTF">2016-11-02T19:05:00Z</dcterms:created>
  <dcterms:modified xsi:type="dcterms:W3CDTF">2016-11-02T21:19:00Z</dcterms:modified>
</cp:coreProperties>
</file>