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12" w:rsidRPr="00CC1943" w:rsidRDefault="002E0468" w:rsidP="00C24F12">
      <w:pPr>
        <w:spacing w:before="0" w:after="200" w:line="276" w:lineRule="auto"/>
        <w:jc w:val="left"/>
      </w:pPr>
      <w:bookmarkStart w:id="0" w:name="_Toc343088790"/>
      <w:bookmarkStart w:id="1" w:name="_Toc343094722"/>
      <w:bookmarkStart w:id="2" w:name="OLE_LINK1"/>
      <w:bookmarkStart w:id="3" w:name="OLE_LINK2"/>
      <w:r>
        <w:rPr>
          <w:noProof/>
        </w:rPr>
        <w:drawing>
          <wp:anchor distT="0" distB="0" distL="114300" distR="114300" simplePos="0" relativeHeight="251660288" behindDoc="0" locked="0" layoutInCell="1" allowOverlap="1">
            <wp:simplePos x="0" y="0"/>
            <wp:positionH relativeFrom="column">
              <wp:posOffset>-778510</wp:posOffset>
            </wp:positionH>
            <wp:positionV relativeFrom="paragraph">
              <wp:posOffset>-2686050</wp:posOffset>
            </wp:positionV>
            <wp:extent cx="6622415" cy="923925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im-review-nes-soil-cover-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22415" cy="9239250"/>
                    </a:xfrm>
                    <a:prstGeom prst="rect">
                      <a:avLst/>
                    </a:prstGeom>
                  </pic:spPr>
                </pic:pic>
              </a:graphicData>
            </a:graphic>
            <wp14:sizeRelH relativeFrom="page">
              <wp14:pctWidth>0</wp14:pctWidth>
            </wp14:sizeRelH>
            <wp14:sizeRelV relativeFrom="page">
              <wp14:pctHeight>0</wp14:pctHeight>
            </wp14:sizeRelV>
          </wp:anchor>
        </w:drawing>
      </w:r>
    </w:p>
    <w:p w:rsidR="00C24F12" w:rsidRPr="00CC1943" w:rsidRDefault="00C24F12" w:rsidP="00C24F12">
      <w:pPr>
        <w:spacing w:before="0" w:after="200" w:line="276" w:lineRule="auto"/>
        <w:jc w:val="left"/>
        <w:sectPr w:rsidR="00C24F12" w:rsidRPr="00CC1943" w:rsidSect="00D36515">
          <w:footerReference w:type="default" r:id="rId10"/>
          <w:headerReference w:type="first" r:id="rId11"/>
          <w:footerReference w:type="first" r:id="rId12"/>
          <w:endnotePr>
            <w:numFmt w:val="decimal"/>
          </w:endnotePr>
          <w:pgSz w:w="11907" w:h="16840" w:code="9"/>
          <w:pgMar w:top="5670" w:right="1418" w:bottom="1134" w:left="1418" w:header="709" w:footer="709" w:gutter="567"/>
          <w:cols w:space="708"/>
          <w:titlePg/>
          <w:docGrid w:linePitch="360"/>
        </w:sectPr>
      </w:pPr>
    </w:p>
    <w:p w:rsidR="00C24F12" w:rsidRPr="00A52825" w:rsidRDefault="00C24F12" w:rsidP="00C24F12">
      <w:pPr>
        <w:pStyle w:val="BodyText"/>
        <w:rPr>
          <w:b/>
        </w:rPr>
      </w:pPr>
      <w:r w:rsidRPr="00A52825">
        <w:rPr>
          <w:b/>
        </w:rPr>
        <w:lastRenderedPageBreak/>
        <w:t>Disclaimer</w:t>
      </w:r>
    </w:p>
    <w:p w:rsidR="00C24F12" w:rsidRDefault="00C24F12" w:rsidP="00C24F12">
      <w:pPr>
        <w:pStyle w:val="BodyText"/>
      </w:pPr>
      <w:r>
        <w:t xml:space="preserve">The information in this publication is, according to the Ministry for the Environment’s best efforts, accurate at the time of publication and the Ministry makes every reasonable effort to keep it current and accurate. However, users of the publication are advised that: </w:t>
      </w:r>
    </w:p>
    <w:p w:rsidR="00C24F12" w:rsidRDefault="00C24F12" w:rsidP="00C24F12">
      <w:pPr>
        <w:pStyle w:val="Bullet"/>
      </w:pPr>
      <w:r>
        <w:t xml:space="preserve">The information provided has no official status and so does not alter the laws of New Zealand and other official guidelines or requirements. </w:t>
      </w:r>
    </w:p>
    <w:p w:rsidR="00C24F12" w:rsidRDefault="00C24F12" w:rsidP="00C24F12">
      <w:pPr>
        <w:pStyle w:val="Bullet"/>
      </w:pPr>
      <w:r>
        <w:t xml:space="preserve">It does not constitute legal advice, and users should take specific advice from qualified professional people before undertaking any action as a result of information obtained from this publication. </w:t>
      </w:r>
    </w:p>
    <w:p w:rsidR="00C24F12" w:rsidRDefault="00C24F12" w:rsidP="00C24F12">
      <w:pPr>
        <w:pStyle w:val="Bullet"/>
      </w:pPr>
      <w:r>
        <w:t xml:space="preserve">The Ministry for the Environment does not accept any responsibility or liability whatsoever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 </w:t>
      </w:r>
    </w:p>
    <w:p w:rsidR="00C24F12" w:rsidRDefault="00C24F12" w:rsidP="00C24F12">
      <w:pPr>
        <w:pStyle w:val="Bullet"/>
      </w:pPr>
      <w:r>
        <w:t xml:space="preserve">All references to websites, organisations or people not within the Ministry for the Environment are provided for convenience only and should not be taken as endorsement of those websites or information contained in those websites nor of organisations or people referred to. </w:t>
      </w:r>
    </w:p>
    <w:p w:rsidR="005D7BBA" w:rsidRDefault="005D7BBA" w:rsidP="00C24F12">
      <w:pPr>
        <w:pStyle w:val="BodyText"/>
      </w:pPr>
    </w:p>
    <w:p w:rsidR="00C24F12" w:rsidRPr="00A52825" w:rsidRDefault="00C24F12" w:rsidP="00C24F12">
      <w:pPr>
        <w:pStyle w:val="BodyText"/>
        <w:rPr>
          <w:b/>
        </w:rPr>
      </w:pPr>
      <w:r w:rsidRPr="00A52825">
        <w:rPr>
          <w:b/>
        </w:rPr>
        <w:t>Acknowledgements</w:t>
      </w:r>
      <w:bookmarkStart w:id="4" w:name="_GoBack"/>
      <w:bookmarkEnd w:id="4"/>
    </w:p>
    <w:p w:rsidR="00C24F12" w:rsidRDefault="00C24F12" w:rsidP="00C24F12">
      <w:pPr>
        <w:pStyle w:val="BodyText"/>
      </w:pPr>
      <w:r>
        <w:t xml:space="preserve">The Ministry for the Environment would like to thank everyone who contributed to the interim review, particularly the council staff and contaminated land practitioners who generously gave their time to attend focus groups, participate in meetings, and provide information. </w:t>
      </w:r>
    </w:p>
    <w:p w:rsidR="005D7BBA" w:rsidRDefault="005D7BBA" w:rsidP="00C24F12">
      <w:pPr>
        <w:pStyle w:val="BodyText"/>
      </w:pPr>
    </w:p>
    <w:p w:rsidR="00C24F12" w:rsidRDefault="00C24F12" w:rsidP="004746B0">
      <w:pPr>
        <w:pStyle w:val="BodyText"/>
      </w:pPr>
      <w:r w:rsidRPr="00CC1943">
        <w:t>This report may be cited as:</w:t>
      </w:r>
      <w:r w:rsidR="004746B0">
        <w:t xml:space="preserve"> </w:t>
      </w:r>
      <w:r w:rsidRPr="006B102B">
        <w:t>Ministry for the Environment: 201</w:t>
      </w:r>
      <w:r w:rsidR="00532CA2">
        <w:t>6</w:t>
      </w:r>
      <w:r w:rsidRPr="006B102B">
        <w:t xml:space="preserve">. </w:t>
      </w:r>
      <w:r w:rsidRPr="006B102B">
        <w:rPr>
          <w:i/>
        </w:rPr>
        <w:t xml:space="preserve">Interim </w:t>
      </w:r>
      <w:r w:rsidR="00371585">
        <w:rPr>
          <w:i/>
        </w:rPr>
        <w:t>R</w:t>
      </w:r>
      <w:r w:rsidR="00371585" w:rsidRPr="006B102B">
        <w:rPr>
          <w:i/>
        </w:rPr>
        <w:t xml:space="preserve">eview </w:t>
      </w:r>
      <w:r w:rsidRPr="006B102B">
        <w:rPr>
          <w:i/>
        </w:rPr>
        <w:t xml:space="preserve">of the National Environmental Standard for Assessing and Managing Contaminants in Soil to Protect Human Health: Summary Report. </w:t>
      </w:r>
      <w:r w:rsidRPr="006B102B">
        <w:t>Wellington: Ministry for the Environment.</w:t>
      </w:r>
    </w:p>
    <w:p w:rsidR="004746B0" w:rsidRDefault="004746B0" w:rsidP="004746B0">
      <w:pPr>
        <w:pStyle w:val="BodyText"/>
      </w:pPr>
    </w:p>
    <w:p w:rsidR="004746B0" w:rsidRDefault="004746B0" w:rsidP="004746B0">
      <w:pPr>
        <w:pStyle w:val="BodyText"/>
      </w:pPr>
    </w:p>
    <w:p w:rsidR="00AA1A16" w:rsidRPr="006B102B" w:rsidRDefault="00AA1A16" w:rsidP="004746B0">
      <w:pPr>
        <w:pStyle w:val="BodyText"/>
        <w:rPr>
          <w:b/>
        </w:rPr>
      </w:pPr>
    </w:p>
    <w:p w:rsidR="00C24F12" w:rsidRPr="00CC1943" w:rsidRDefault="00C24F12" w:rsidP="00C24F12">
      <w:pPr>
        <w:pStyle w:val="Imprint"/>
      </w:pPr>
      <w:r w:rsidRPr="00CC1943">
        <w:t xml:space="preserve">Published in </w:t>
      </w:r>
      <w:r w:rsidR="0032321A">
        <w:t>September 2016</w:t>
      </w:r>
      <w:r w:rsidRPr="00CC1943">
        <w:t xml:space="preserve"> by the</w:t>
      </w:r>
      <w:r w:rsidRPr="00CC1943">
        <w:br/>
        <w:t xml:space="preserve">Ministry for the Environment </w:t>
      </w:r>
      <w:r w:rsidRPr="00CC1943">
        <w:br/>
      </w:r>
      <w:proofErr w:type="spellStart"/>
      <w:r w:rsidRPr="00CC1943">
        <w:t>Manatū</w:t>
      </w:r>
      <w:proofErr w:type="spellEnd"/>
      <w:r w:rsidRPr="00CC1943">
        <w:t xml:space="preserve"> </w:t>
      </w:r>
      <w:proofErr w:type="spellStart"/>
      <w:r w:rsidRPr="00CC1943">
        <w:t>Mō</w:t>
      </w:r>
      <w:proofErr w:type="spellEnd"/>
      <w:r w:rsidRPr="00CC1943">
        <w:t xml:space="preserve"> </w:t>
      </w:r>
      <w:proofErr w:type="spellStart"/>
      <w:r w:rsidRPr="00CC1943">
        <w:t>Te</w:t>
      </w:r>
      <w:proofErr w:type="spellEnd"/>
      <w:r w:rsidRPr="00CC1943">
        <w:t xml:space="preserve"> </w:t>
      </w:r>
      <w:proofErr w:type="spellStart"/>
      <w:r w:rsidRPr="00CC1943">
        <w:t>Taiao</w:t>
      </w:r>
      <w:proofErr w:type="spellEnd"/>
      <w:r w:rsidRPr="00CC1943">
        <w:br/>
        <w:t>PO Box 10362, Wellington 6143, New Zealand</w:t>
      </w:r>
    </w:p>
    <w:p w:rsidR="00C24F12" w:rsidRPr="00CC1943" w:rsidRDefault="00371585" w:rsidP="00AA1A16">
      <w:pPr>
        <w:pStyle w:val="Imprint"/>
        <w:spacing w:before="240"/>
      </w:pPr>
      <w:r>
        <w:t xml:space="preserve">ISBN: </w:t>
      </w:r>
      <w:r w:rsidR="0032321A">
        <w:t>978-0-908339</w:t>
      </w:r>
      <w:r w:rsidR="0032321A" w:rsidRPr="00326135">
        <w:t>-</w:t>
      </w:r>
      <w:r w:rsidR="00326135" w:rsidRPr="00326135">
        <w:t>54</w:t>
      </w:r>
      <w:r w:rsidR="00326135">
        <w:t>-9</w:t>
      </w:r>
      <w:r w:rsidR="00AA1A16">
        <w:br/>
      </w:r>
      <w:r w:rsidR="00C24F12" w:rsidRPr="00CC1943">
        <w:t xml:space="preserve">Publication number: </w:t>
      </w:r>
      <w:r w:rsidR="00C24F12" w:rsidRPr="00326135">
        <w:t xml:space="preserve">ME </w:t>
      </w:r>
      <w:r w:rsidR="00326135">
        <w:t>1257</w:t>
      </w:r>
    </w:p>
    <w:p w:rsidR="00C24F12" w:rsidRPr="00CC1943" w:rsidRDefault="00C24F12" w:rsidP="00C24F12">
      <w:pPr>
        <w:pStyle w:val="Imprint"/>
      </w:pPr>
      <w:r w:rsidRPr="00CC1943">
        <w:t xml:space="preserve">© Crown copyright New Zealand </w:t>
      </w:r>
      <w:r w:rsidR="00371585">
        <w:t>2016</w:t>
      </w:r>
    </w:p>
    <w:p w:rsidR="00C24F12" w:rsidRDefault="004746B0" w:rsidP="00C24F12">
      <w:pPr>
        <w:pStyle w:val="Imprint"/>
        <w:spacing w:before="240"/>
        <w:rPr>
          <w:rStyle w:val="Hyperlink"/>
          <w:color w:val="auto"/>
          <w:u w:val="none"/>
        </w:rPr>
      </w:pPr>
      <w:r w:rsidRPr="00CC1943">
        <w:rPr>
          <w:noProof/>
          <w:lang w:eastAsia="en-NZ"/>
        </w:rPr>
        <w:drawing>
          <wp:anchor distT="0" distB="0" distL="114300" distR="114300" simplePos="0" relativeHeight="251659264" behindDoc="0" locked="0" layoutInCell="1" allowOverlap="1" wp14:anchorId="6BCA324C" wp14:editId="46F88B30">
            <wp:simplePos x="0" y="0"/>
            <wp:positionH relativeFrom="column">
              <wp:posOffset>-103698</wp:posOffset>
            </wp:positionH>
            <wp:positionV relativeFrom="paragraph">
              <wp:posOffset>445135</wp:posOffset>
            </wp:positionV>
            <wp:extent cx="1965325" cy="614045"/>
            <wp:effectExtent l="0" t="0" r="0" b="0"/>
            <wp:wrapNone/>
            <wp:docPr id="7" name="Picture 1"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5325" cy="6140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4F12" w:rsidRPr="00CC1943">
        <w:t>This document is available on the Ministry for the Environment’s website</w:t>
      </w:r>
      <w:proofErr w:type="gramStart"/>
      <w:r w:rsidR="00C24F12" w:rsidRPr="00CC1943">
        <w:t>:</w:t>
      </w:r>
      <w:proofErr w:type="gramEnd"/>
      <w:r w:rsidR="00C24F12" w:rsidRPr="00CC1943">
        <w:br/>
      </w:r>
      <w:hyperlink r:id="rId14" w:history="1">
        <w:r w:rsidR="00C24F12" w:rsidRPr="00E35FDE">
          <w:rPr>
            <w:rStyle w:val="Hyperlink"/>
            <w:u w:val="none"/>
          </w:rPr>
          <w:t>www.mfe.govt.nz</w:t>
        </w:r>
      </w:hyperlink>
      <w:r w:rsidR="00E35FDE">
        <w:rPr>
          <w:rStyle w:val="Hyperlink"/>
          <w:color w:val="auto"/>
          <w:u w:val="none"/>
        </w:rPr>
        <w:t>.</w:t>
      </w:r>
    </w:p>
    <w:p w:rsidR="004746B0" w:rsidRPr="007A3A9B" w:rsidRDefault="004746B0" w:rsidP="00C24F12">
      <w:pPr>
        <w:pStyle w:val="Imprint"/>
        <w:spacing w:before="240"/>
      </w:pPr>
    </w:p>
    <w:p w:rsidR="00C24F12" w:rsidRPr="00CC1943" w:rsidRDefault="00C24F12" w:rsidP="00C24F12">
      <w:pPr>
        <w:spacing w:before="0" w:after="0"/>
        <w:jc w:val="left"/>
      </w:pPr>
    </w:p>
    <w:p w:rsidR="00C24F12" w:rsidRPr="00CC1943" w:rsidRDefault="00C24F12" w:rsidP="00C24F12">
      <w:pPr>
        <w:spacing w:before="0" w:after="0"/>
        <w:sectPr w:rsidR="00C24F12" w:rsidRPr="00CC1943" w:rsidSect="00D36515">
          <w:pgSz w:w="11907" w:h="16840" w:code="9"/>
          <w:pgMar w:top="1134" w:right="1418" w:bottom="1134" w:left="1418" w:header="567" w:footer="567" w:gutter="567"/>
          <w:pgNumType w:fmt="lowerRoman"/>
          <w:cols w:space="720"/>
        </w:sectPr>
      </w:pPr>
    </w:p>
    <w:p w:rsidR="00C24F12" w:rsidRDefault="00C24F12" w:rsidP="00C24F12">
      <w:pPr>
        <w:pStyle w:val="Heading"/>
        <w:rPr>
          <w:sz w:val="48"/>
        </w:rPr>
      </w:pPr>
      <w:r>
        <w:rPr>
          <w:sz w:val="48"/>
        </w:rPr>
        <w:lastRenderedPageBreak/>
        <w:t>Contents</w:t>
      </w:r>
    </w:p>
    <w:p w:rsidR="00C24F12" w:rsidRPr="0031406F" w:rsidRDefault="00C24F12" w:rsidP="00C24F12"/>
    <w:p w:rsidR="00751FE3" w:rsidRDefault="00C24F12">
      <w:pPr>
        <w:pStyle w:val="TOC1"/>
        <w:rPr>
          <w:rFonts w:asciiTheme="minorHAnsi" w:hAnsiTheme="minorHAnsi"/>
          <w:noProof/>
        </w:rPr>
      </w:pPr>
      <w:r>
        <w:fldChar w:fldCharType="begin"/>
      </w:r>
      <w:r>
        <w:instrText xml:space="preserve"> TOC \o "2-2" \t "Heading 1,1,Heading 1 - light brown,1" </w:instrText>
      </w:r>
      <w:r>
        <w:fldChar w:fldCharType="separate"/>
      </w:r>
      <w:r w:rsidR="00751FE3">
        <w:rPr>
          <w:noProof/>
        </w:rPr>
        <w:t>Executive summary</w:t>
      </w:r>
      <w:r w:rsidR="00751FE3">
        <w:rPr>
          <w:noProof/>
        </w:rPr>
        <w:tab/>
      </w:r>
      <w:r w:rsidR="00751FE3">
        <w:rPr>
          <w:noProof/>
        </w:rPr>
        <w:fldChar w:fldCharType="begin"/>
      </w:r>
      <w:r w:rsidR="00751FE3">
        <w:rPr>
          <w:noProof/>
        </w:rPr>
        <w:instrText xml:space="preserve"> PAGEREF _Toc425338546 \h </w:instrText>
      </w:r>
      <w:r w:rsidR="00751FE3">
        <w:rPr>
          <w:noProof/>
        </w:rPr>
      </w:r>
      <w:r w:rsidR="00751FE3">
        <w:rPr>
          <w:noProof/>
        </w:rPr>
        <w:fldChar w:fldCharType="separate"/>
      </w:r>
      <w:r w:rsidR="00132615">
        <w:rPr>
          <w:noProof/>
        </w:rPr>
        <w:t>4</w:t>
      </w:r>
      <w:r w:rsidR="00751FE3">
        <w:rPr>
          <w:noProof/>
        </w:rPr>
        <w:fldChar w:fldCharType="end"/>
      </w:r>
    </w:p>
    <w:p w:rsidR="00751FE3" w:rsidRDefault="00751FE3">
      <w:pPr>
        <w:pStyle w:val="TOC1"/>
        <w:rPr>
          <w:rFonts w:asciiTheme="minorHAnsi" w:hAnsiTheme="minorHAnsi"/>
          <w:noProof/>
        </w:rPr>
      </w:pPr>
      <w:r>
        <w:rPr>
          <w:noProof/>
        </w:rPr>
        <w:t>1. Introduction</w:t>
      </w:r>
      <w:r>
        <w:rPr>
          <w:noProof/>
        </w:rPr>
        <w:tab/>
      </w:r>
      <w:r>
        <w:rPr>
          <w:noProof/>
        </w:rPr>
        <w:fldChar w:fldCharType="begin"/>
      </w:r>
      <w:r>
        <w:rPr>
          <w:noProof/>
        </w:rPr>
        <w:instrText xml:space="preserve"> PAGEREF _Toc425338547 \h </w:instrText>
      </w:r>
      <w:r>
        <w:rPr>
          <w:noProof/>
        </w:rPr>
      </w:r>
      <w:r>
        <w:rPr>
          <w:noProof/>
        </w:rPr>
        <w:fldChar w:fldCharType="separate"/>
      </w:r>
      <w:r w:rsidR="00132615">
        <w:rPr>
          <w:noProof/>
        </w:rPr>
        <w:t>5</w:t>
      </w:r>
      <w:r>
        <w:rPr>
          <w:noProof/>
        </w:rPr>
        <w:fldChar w:fldCharType="end"/>
      </w:r>
    </w:p>
    <w:p w:rsidR="00751FE3" w:rsidRDefault="00751FE3">
      <w:pPr>
        <w:pStyle w:val="TOC2"/>
        <w:rPr>
          <w:rFonts w:asciiTheme="minorHAnsi" w:hAnsiTheme="minorHAnsi"/>
        </w:rPr>
      </w:pPr>
      <w:r w:rsidRPr="00935934">
        <w:rPr>
          <w:rFonts w:asciiTheme="minorHAnsi" w:hAnsiTheme="minorHAnsi"/>
          <w:bdr w:val="none" w:sz="0" w:space="0" w:color="auto" w:frame="1"/>
        </w:rPr>
        <w:t>1.1 What is the NESCS?</w:t>
      </w:r>
      <w:r>
        <w:tab/>
      </w:r>
      <w:r>
        <w:fldChar w:fldCharType="begin"/>
      </w:r>
      <w:r>
        <w:instrText xml:space="preserve"> PAGEREF _Toc425338548 \h </w:instrText>
      </w:r>
      <w:r>
        <w:fldChar w:fldCharType="separate"/>
      </w:r>
      <w:r w:rsidR="00132615">
        <w:t>5</w:t>
      </w:r>
      <w:r>
        <w:fldChar w:fldCharType="end"/>
      </w:r>
    </w:p>
    <w:p w:rsidR="00751FE3" w:rsidRDefault="00751FE3">
      <w:pPr>
        <w:pStyle w:val="TOC2"/>
        <w:rPr>
          <w:rFonts w:asciiTheme="minorHAnsi" w:hAnsiTheme="minorHAnsi"/>
        </w:rPr>
      </w:pPr>
      <w:r w:rsidRPr="00935934">
        <w:rPr>
          <w:rFonts w:asciiTheme="minorHAnsi" w:hAnsiTheme="minorHAnsi"/>
        </w:rPr>
        <w:t>1.2 Drivers for developing a national environmental standard</w:t>
      </w:r>
      <w:r>
        <w:tab/>
      </w:r>
      <w:r>
        <w:fldChar w:fldCharType="begin"/>
      </w:r>
      <w:r>
        <w:instrText xml:space="preserve"> PAGEREF _Toc425338549 \h </w:instrText>
      </w:r>
      <w:r>
        <w:fldChar w:fldCharType="separate"/>
      </w:r>
      <w:r w:rsidR="00132615">
        <w:t>6</w:t>
      </w:r>
      <w:r>
        <w:fldChar w:fldCharType="end"/>
      </w:r>
    </w:p>
    <w:p w:rsidR="00751FE3" w:rsidRDefault="00751FE3">
      <w:pPr>
        <w:pStyle w:val="TOC2"/>
        <w:rPr>
          <w:rFonts w:asciiTheme="minorHAnsi" w:hAnsiTheme="minorHAnsi"/>
        </w:rPr>
      </w:pPr>
      <w:r>
        <w:t>1.3 Interim review of the NESCS</w:t>
      </w:r>
      <w:r>
        <w:tab/>
      </w:r>
      <w:r>
        <w:fldChar w:fldCharType="begin"/>
      </w:r>
      <w:r>
        <w:instrText xml:space="preserve"> PAGEREF _Toc425338550 \h </w:instrText>
      </w:r>
      <w:r>
        <w:fldChar w:fldCharType="separate"/>
      </w:r>
      <w:r w:rsidR="00132615">
        <w:t>7</w:t>
      </w:r>
      <w:r>
        <w:fldChar w:fldCharType="end"/>
      </w:r>
    </w:p>
    <w:p w:rsidR="00751FE3" w:rsidRDefault="00751FE3">
      <w:pPr>
        <w:pStyle w:val="TOC1"/>
        <w:rPr>
          <w:rFonts w:asciiTheme="minorHAnsi" w:hAnsiTheme="minorHAnsi"/>
          <w:noProof/>
        </w:rPr>
      </w:pPr>
      <w:r>
        <w:rPr>
          <w:noProof/>
        </w:rPr>
        <w:t>2. Methodology</w:t>
      </w:r>
      <w:r>
        <w:rPr>
          <w:noProof/>
        </w:rPr>
        <w:tab/>
      </w:r>
      <w:r>
        <w:rPr>
          <w:noProof/>
        </w:rPr>
        <w:fldChar w:fldCharType="begin"/>
      </w:r>
      <w:r>
        <w:rPr>
          <w:noProof/>
        </w:rPr>
        <w:instrText xml:space="preserve"> PAGEREF _Toc425338551 \h </w:instrText>
      </w:r>
      <w:r>
        <w:rPr>
          <w:noProof/>
        </w:rPr>
      </w:r>
      <w:r>
        <w:rPr>
          <w:noProof/>
        </w:rPr>
        <w:fldChar w:fldCharType="separate"/>
      </w:r>
      <w:r w:rsidR="00132615">
        <w:rPr>
          <w:noProof/>
        </w:rPr>
        <w:t>8</w:t>
      </w:r>
      <w:r>
        <w:rPr>
          <w:noProof/>
        </w:rPr>
        <w:fldChar w:fldCharType="end"/>
      </w:r>
    </w:p>
    <w:p w:rsidR="00751FE3" w:rsidRDefault="00751FE3">
      <w:pPr>
        <w:pStyle w:val="TOC2"/>
        <w:tabs>
          <w:tab w:val="left" w:pos="1100"/>
        </w:tabs>
        <w:rPr>
          <w:rFonts w:asciiTheme="minorHAnsi" w:hAnsiTheme="minorHAnsi"/>
        </w:rPr>
      </w:pPr>
      <w:r>
        <w:t>2.1</w:t>
      </w:r>
      <w:r>
        <w:rPr>
          <w:rFonts w:asciiTheme="minorHAnsi" w:hAnsiTheme="minorHAnsi"/>
        </w:rPr>
        <w:tab/>
      </w:r>
      <w:r>
        <w:t>Structure of this report</w:t>
      </w:r>
      <w:r>
        <w:tab/>
      </w:r>
      <w:r>
        <w:fldChar w:fldCharType="begin"/>
      </w:r>
      <w:r>
        <w:instrText xml:space="preserve"> PAGEREF _Toc425338552 \h </w:instrText>
      </w:r>
      <w:r>
        <w:fldChar w:fldCharType="separate"/>
      </w:r>
      <w:r w:rsidR="00132615">
        <w:t>8</w:t>
      </w:r>
      <w:r>
        <w:fldChar w:fldCharType="end"/>
      </w:r>
    </w:p>
    <w:p w:rsidR="00751FE3" w:rsidRDefault="00751FE3">
      <w:pPr>
        <w:pStyle w:val="TOC1"/>
        <w:rPr>
          <w:rFonts w:asciiTheme="minorHAnsi" w:hAnsiTheme="minorHAnsi"/>
          <w:noProof/>
        </w:rPr>
      </w:pPr>
      <w:r>
        <w:rPr>
          <w:noProof/>
        </w:rPr>
        <w:t>3. Hazardous Activities and Industries List (HAIL) and the NESCS</w:t>
      </w:r>
      <w:r>
        <w:rPr>
          <w:noProof/>
        </w:rPr>
        <w:tab/>
      </w:r>
      <w:r>
        <w:rPr>
          <w:noProof/>
        </w:rPr>
        <w:fldChar w:fldCharType="begin"/>
      </w:r>
      <w:r>
        <w:rPr>
          <w:noProof/>
        </w:rPr>
        <w:instrText xml:space="preserve"> PAGEREF _Toc425338553 \h </w:instrText>
      </w:r>
      <w:r>
        <w:rPr>
          <w:noProof/>
        </w:rPr>
      </w:r>
      <w:r>
        <w:rPr>
          <w:noProof/>
        </w:rPr>
        <w:fldChar w:fldCharType="separate"/>
      </w:r>
      <w:r w:rsidR="00132615">
        <w:rPr>
          <w:noProof/>
        </w:rPr>
        <w:t>9</w:t>
      </w:r>
      <w:r>
        <w:rPr>
          <w:noProof/>
        </w:rPr>
        <w:fldChar w:fldCharType="end"/>
      </w:r>
    </w:p>
    <w:p w:rsidR="00751FE3" w:rsidRDefault="00751FE3">
      <w:pPr>
        <w:pStyle w:val="TOC2"/>
        <w:rPr>
          <w:rFonts w:asciiTheme="minorHAnsi" w:hAnsiTheme="minorHAnsi"/>
        </w:rPr>
      </w:pPr>
      <w:r>
        <w:t>3.1 Scale of HAIL land in New Zealand</w:t>
      </w:r>
      <w:r>
        <w:tab/>
      </w:r>
      <w:r>
        <w:fldChar w:fldCharType="begin"/>
      </w:r>
      <w:r>
        <w:instrText xml:space="preserve"> PAGEREF _Toc425338554 \h </w:instrText>
      </w:r>
      <w:r>
        <w:fldChar w:fldCharType="separate"/>
      </w:r>
      <w:r w:rsidR="00132615">
        <w:t>9</w:t>
      </w:r>
      <w:r>
        <w:fldChar w:fldCharType="end"/>
      </w:r>
    </w:p>
    <w:p w:rsidR="00751FE3" w:rsidRDefault="00751FE3">
      <w:pPr>
        <w:pStyle w:val="TOC2"/>
        <w:rPr>
          <w:rFonts w:asciiTheme="minorHAnsi" w:hAnsiTheme="minorHAnsi"/>
        </w:rPr>
      </w:pPr>
      <w:r>
        <w:t>3.2 Status of HAIL sites following testing</w:t>
      </w:r>
      <w:r>
        <w:tab/>
      </w:r>
      <w:r>
        <w:fldChar w:fldCharType="begin"/>
      </w:r>
      <w:r>
        <w:instrText xml:space="preserve"> PAGEREF _Toc425338555 \h </w:instrText>
      </w:r>
      <w:r>
        <w:fldChar w:fldCharType="separate"/>
      </w:r>
      <w:r w:rsidR="00132615">
        <w:t>11</w:t>
      </w:r>
      <w:r>
        <w:fldChar w:fldCharType="end"/>
      </w:r>
    </w:p>
    <w:p w:rsidR="00751FE3" w:rsidRDefault="00751FE3">
      <w:pPr>
        <w:pStyle w:val="TOC2"/>
        <w:rPr>
          <w:rFonts w:asciiTheme="minorHAnsi" w:hAnsiTheme="minorHAnsi"/>
        </w:rPr>
      </w:pPr>
      <w:r>
        <w:t>3.3 Summary</w:t>
      </w:r>
      <w:r>
        <w:tab/>
      </w:r>
      <w:r>
        <w:fldChar w:fldCharType="begin"/>
      </w:r>
      <w:r>
        <w:instrText xml:space="preserve"> PAGEREF _Toc425338556 \h </w:instrText>
      </w:r>
      <w:r>
        <w:fldChar w:fldCharType="separate"/>
      </w:r>
      <w:r w:rsidR="00132615">
        <w:t>12</w:t>
      </w:r>
      <w:r>
        <w:fldChar w:fldCharType="end"/>
      </w:r>
    </w:p>
    <w:p w:rsidR="00751FE3" w:rsidRDefault="00751FE3">
      <w:pPr>
        <w:pStyle w:val="TOC1"/>
        <w:rPr>
          <w:rFonts w:asciiTheme="minorHAnsi" w:hAnsiTheme="minorHAnsi"/>
          <w:noProof/>
        </w:rPr>
      </w:pPr>
      <w:r>
        <w:rPr>
          <w:noProof/>
        </w:rPr>
        <w:t>4. Management approaches for sites obtaining NESCS consent</w:t>
      </w:r>
      <w:r>
        <w:rPr>
          <w:noProof/>
        </w:rPr>
        <w:tab/>
      </w:r>
      <w:r>
        <w:rPr>
          <w:noProof/>
        </w:rPr>
        <w:fldChar w:fldCharType="begin"/>
      </w:r>
      <w:r>
        <w:rPr>
          <w:noProof/>
        </w:rPr>
        <w:instrText xml:space="preserve"> PAGEREF _Toc425338557 \h </w:instrText>
      </w:r>
      <w:r>
        <w:rPr>
          <w:noProof/>
        </w:rPr>
      </w:r>
      <w:r>
        <w:rPr>
          <w:noProof/>
        </w:rPr>
        <w:fldChar w:fldCharType="separate"/>
      </w:r>
      <w:r w:rsidR="00132615">
        <w:rPr>
          <w:noProof/>
        </w:rPr>
        <w:t>13</w:t>
      </w:r>
      <w:r>
        <w:rPr>
          <w:noProof/>
        </w:rPr>
        <w:fldChar w:fldCharType="end"/>
      </w:r>
    </w:p>
    <w:p w:rsidR="00751FE3" w:rsidRDefault="00751FE3">
      <w:pPr>
        <w:pStyle w:val="TOC2"/>
        <w:rPr>
          <w:rFonts w:asciiTheme="minorHAnsi" w:hAnsiTheme="minorHAnsi"/>
        </w:rPr>
      </w:pPr>
      <w:r>
        <w:t>4.1 Types of management approaches used on sites with an NESCS consent</w:t>
      </w:r>
      <w:r>
        <w:tab/>
      </w:r>
      <w:r>
        <w:fldChar w:fldCharType="begin"/>
      </w:r>
      <w:r>
        <w:instrText xml:space="preserve"> PAGEREF _Toc425338558 \h </w:instrText>
      </w:r>
      <w:r>
        <w:fldChar w:fldCharType="separate"/>
      </w:r>
      <w:r w:rsidR="00132615">
        <w:t>13</w:t>
      </w:r>
      <w:r>
        <w:fldChar w:fldCharType="end"/>
      </w:r>
    </w:p>
    <w:p w:rsidR="00751FE3" w:rsidRDefault="00751FE3">
      <w:pPr>
        <w:pStyle w:val="TOC2"/>
        <w:rPr>
          <w:rFonts w:asciiTheme="minorHAnsi" w:hAnsiTheme="minorHAnsi"/>
        </w:rPr>
      </w:pPr>
      <w:r>
        <w:t>4.2 Drivers of approaches to managing contaminated sites</w:t>
      </w:r>
      <w:r>
        <w:tab/>
      </w:r>
      <w:r>
        <w:fldChar w:fldCharType="begin"/>
      </w:r>
      <w:r>
        <w:instrText xml:space="preserve"> PAGEREF _Toc425338559 \h </w:instrText>
      </w:r>
      <w:r>
        <w:fldChar w:fldCharType="separate"/>
      </w:r>
      <w:r w:rsidR="00132615">
        <w:t>14</w:t>
      </w:r>
      <w:r>
        <w:fldChar w:fldCharType="end"/>
      </w:r>
    </w:p>
    <w:p w:rsidR="00751FE3" w:rsidRDefault="00751FE3">
      <w:pPr>
        <w:pStyle w:val="TOC2"/>
        <w:rPr>
          <w:rFonts w:asciiTheme="minorHAnsi" w:hAnsiTheme="minorHAnsi"/>
        </w:rPr>
      </w:pPr>
      <w:r>
        <w:t>4.3 Costs of disposing of contaminated soil</w:t>
      </w:r>
      <w:r>
        <w:tab/>
      </w:r>
      <w:r>
        <w:fldChar w:fldCharType="begin"/>
      </w:r>
      <w:r>
        <w:instrText xml:space="preserve"> PAGEREF _Toc425338560 \h </w:instrText>
      </w:r>
      <w:r>
        <w:fldChar w:fldCharType="separate"/>
      </w:r>
      <w:r w:rsidR="00132615">
        <w:t>14</w:t>
      </w:r>
      <w:r>
        <w:fldChar w:fldCharType="end"/>
      </w:r>
    </w:p>
    <w:p w:rsidR="00751FE3" w:rsidRDefault="00751FE3">
      <w:pPr>
        <w:pStyle w:val="TOC2"/>
        <w:rPr>
          <w:rFonts w:asciiTheme="minorHAnsi" w:hAnsiTheme="minorHAnsi"/>
        </w:rPr>
      </w:pPr>
      <w:r>
        <w:t>4.4 Ongoing maintenance of on-site management plans</w:t>
      </w:r>
      <w:r>
        <w:tab/>
      </w:r>
      <w:r>
        <w:fldChar w:fldCharType="begin"/>
      </w:r>
      <w:r>
        <w:instrText xml:space="preserve"> PAGEREF _Toc425338561 \h </w:instrText>
      </w:r>
      <w:r>
        <w:fldChar w:fldCharType="separate"/>
      </w:r>
      <w:r w:rsidR="00132615">
        <w:t>15</w:t>
      </w:r>
      <w:r>
        <w:fldChar w:fldCharType="end"/>
      </w:r>
    </w:p>
    <w:p w:rsidR="00751FE3" w:rsidRDefault="00751FE3">
      <w:pPr>
        <w:pStyle w:val="TOC2"/>
        <w:rPr>
          <w:rFonts w:asciiTheme="minorHAnsi" w:hAnsiTheme="minorHAnsi"/>
        </w:rPr>
      </w:pPr>
      <w:r>
        <w:t>4.5 Summary</w:t>
      </w:r>
      <w:r>
        <w:tab/>
      </w:r>
      <w:r>
        <w:fldChar w:fldCharType="begin"/>
      </w:r>
      <w:r>
        <w:instrText xml:space="preserve"> PAGEREF _Toc425338562 \h </w:instrText>
      </w:r>
      <w:r>
        <w:fldChar w:fldCharType="separate"/>
      </w:r>
      <w:r w:rsidR="00132615">
        <w:t>15</w:t>
      </w:r>
      <w:r>
        <w:fldChar w:fldCharType="end"/>
      </w:r>
    </w:p>
    <w:p w:rsidR="00751FE3" w:rsidRDefault="00751FE3">
      <w:pPr>
        <w:pStyle w:val="TOC1"/>
        <w:rPr>
          <w:rFonts w:asciiTheme="minorHAnsi" w:hAnsiTheme="minorHAnsi"/>
          <w:noProof/>
        </w:rPr>
      </w:pPr>
      <w:r>
        <w:rPr>
          <w:noProof/>
        </w:rPr>
        <w:t>5. How the NECS is applied</w:t>
      </w:r>
      <w:r>
        <w:rPr>
          <w:noProof/>
        </w:rPr>
        <w:tab/>
      </w:r>
      <w:r>
        <w:rPr>
          <w:noProof/>
        </w:rPr>
        <w:fldChar w:fldCharType="begin"/>
      </w:r>
      <w:r>
        <w:rPr>
          <w:noProof/>
        </w:rPr>
        <w:instrText xml:space="preserve"> PAGEREF _Toc425338563 \h </w:instrText>
      </w:r>
      <w:r>
        <w:rPr>
          <w:noProof/>
        </w:rPr>
      </w:r>
      <w:r>
        <w:rPr>
          <w:noProof/>
        </w:rPr>
        <w:fldChar w:fldCharType="separate"/>
      </w:r>
      <w:r w:rsidR="00132615">
        <w:rPr>
          <w:noProof/>
        </w:rPr>
        <w:t>16</w:t>
      </w:r>
      <w:r>
        <w:rPr>
          <w:noProof/>
        </w:rPr>
        <w:fldChar w:fldCharType="end"/>
      </w:r>
    </w:p>
    <w:p w:rsidR="00751FE3" w:rsidRDefault="00751FE3">
      <w:pPr>
        <w:pStyle w:val="TOC2"/>
        <w:rPr>
          <w:rFonts w:asciiTheme="minorHAnsi" w:hAnsiTheme="minorHAnsi"/>
        </w:rPr>
      </w:pPr>
      <w:r>
        <w:t>5.1 Types and numbers of NESCS consents being issued</w:t>
      </w:r>
      <w:r>
        <w:tab/>
      </w:r>
      <w:r>
        <w:fldChar w:fldCharType="begin"/>
      </w:r>
      <w:r>
        <w:instrText xml:space="preserve"> PAGEREF _Toc425338564 \h </w:instrText>
      </w:r>
      <w:r>
        <w:fldChar w:fldCharType="separate"/>
      </w:r>
      <w:r w:rsidR="00132615">
        <w:t>16</w:t>
      </w:r>
      <w:r>
        <w:fldChar w:fldCharType="end"/>
      </w:r>
    </w:p>
    <w:p w:rsidR="00751FE3" w:rsidRDefault="00751FE3">
      <w:pPr>
        <w:pStyle w:val="TOC2"/>
        <w:rPr>
          <w:rFonts w:asciiTheme="minorHAnsi" w:hAnsiTheme="minorHAnsi"/>
        </w:rPr>
      </w:pPr>
      <w:r>
        <w:t>5.2 Activities obtaining NESCS consent</w:t>
      </w:r>
      <w:r>
        <w:tab/>
      </w:r>
      <w:r>
        <w:fldChar w:fldCharType="begin"/>
      </w:r>
      <w:r>
        <w:instrText xml:space="preserve"> PAGEREF _Toc425338565 \h </w:instrText>
      </w:r>
      <w:r>
        <w:fldChar w:fldCharType="separate"/>
      </w:r>
      <w:r w:rsidR="00132615">
        <w:t>18</w:t>
      </w:r>
      <w:r>
        <w:fldChar w:fldCharType="end"/>
      </w:r>
    </w:p>
    <w:p w:rsidR="00751FE3" w:rsidRDefault="00751FE3">
      <w:pPr>
        <w:pStyle w:val="TOC2"/>
        <w:rPr>
          <w:rFonts w:asciiTheme="minorHAnsi" w:hAnsiTheme="minorHAnsi"/>
        </w:rPr>
      </w:pPr>
      <w:r>
        <w:t>5.3 Variation in application of NESCS permitted activity criteria</w:t>
      </w:r>
      <w:r>
        <w:tab/>
      </w:r>
      <w:r>
        <w:fldChar w:fldCharType="begin"/>
      </w:r>
      <w:r>
        <w:instrText xml:space="preserve"> PAGEREF _Toc425338566 \h </w:instrText>
      </w:r>
      <w:r>
        <w:fldChar w:fldCharType="separate"/>
      </w:r>
      <w:r w:rsidR="00132615">
        <w:t>19</w:t>
      </w:r>
      <w:r>
        <w:fldChar w:fldCharType="end"/>
      </w:r>
    </w:p>
    <w:p w:rsidR="00751FE3" w:rsidRDefault="00751FE3">
      <w:pPr>
        <w:pStyle w:val="TOC2"/>
        <w:rPr>
          <w:rFonts w:asciiTheme="minorHAnsi" w:hAnsiTheme="minorHAnsi"/>
        </w:rPr>
      </w:pPr>
      <w:r>
        <w:t>5.4 Site investigations</w:t>
      </w:r>
      <w:r>
        <w:tab/>
      </w:r>
      <w:r>
        <w:fldChar w:fldCharType="begin"/>
      </w:r>
      <w:r>
        <w:instrText xml:space="preserve"> PAGEREF _Toc425338567 \h </w:instrText>
      </w:r>
      <w:r>
        <w:fldChar w:fldCharType="separate"/>
      </w:r>
      <w:r w:rsidR="00132615">
        <w:t>22</w:t>
      </w:r>
      <w:r>
        <w:fldChar w:fldCharType="end"/>
      </w:r>
    </w:p>
    <w:p w:rsidR="00751FE3" w:rsidRDefault="00751FE3">
      <w:pPr>
        <w:pStyle w:val="TOC2"/>
        <w:rPr>
          <w:rFonts w:asciiTheme="minorHAnsi" w:hAnsiTheme="minorHAnsi"/>
        </w:rPr>
      </w:pPr>
      <w:r>
        <w:t>5.5 Summary</w:t>
      </w:r>
      <w:r>
        <w:tab/>
      </w:r>
      <w:r>
        <w:fldChar w:fldCharType="begin"/>
      </w:r>
      <w:r>
        <w:instrText xml:space="preserve"> PAGEREF _Toc425338568 \h </w:instrText>
      </w:r>
      <w:r>
        <w:fldChar w:fldCharType="separate"/>
      </w:r>
      <w:r w:rsidR="00132615">
        <w:t>24</w:t>
      </w:r>
      <w:r>
        <w:fldChar w:fldCharType="end"/>
      </w:r>
    </w:p>
    <w:p w:rsidR="00751FE3" w:rsidRDefault="00751FE3">
      <w:pPr>
        <w:pStyle w:val="TOC1"/>
        <w:rPr>
          <w:rFonts w:asciiTheme="minorHAnsi" w:hAnsiTheme="minorHAnsi"/>
          <w:noProof/>
        </w:rPr>
      </w:pPr>
      <w:r>
        <w:rPr>
          <w:noProof/>
        </w:rPr>
        <w:t>6. Conclusions</w:t>
      </w:r>
      <w:r>
        <w:rPr>
          <w:noProof/>
        </w:rPr>
        <w:tab/>
      </w:r>
      <w:r>
        <w:rPr>
          <w:noProof/>
        </w:rPr>
        <w:fldChar w:fldCharType="begin"/>
      </w:r>
      <w:r>
        <w:rPr>
          <w:noProof/>
        </w:rPr>
        <w:instrText xml:space="preserve"> PAGEREF _Toc425338569 \h </w:instrText>
      </w:r>
      <w:r>
        <w:rPr>
          <w:noProof/>
        </w:rPr>
      </w:r>
      <w:r>
        <w:rPr>
          <w:noProof/>
        </w:rPr>
        <w:fldChar w:fldCharType="separate"/>
      </w:r>
      <w:r w:rsidR="00132615">
        <w:rPr>
          <w:noProof/>
        </w:rPr>
        <w:t>25</w:t>
      </w:r>
      <w:r>
        <w:rPr>
          <w:noProof/>
        </w:rPr>
        <w:fldChar w:fldCharType="end"/>
      </w:r>
    </w:p>
    <w:p w:rsidR="00751FE3" w:rsidRDefault="00751FE3">
      <w:pPr>
        <w:pStyle w:val="TOC1"/>
        <w:rPr>
          <w:rFonts w:asciiTheme="minorHAnsi" w:hAnsiTheme="minorHAnsi"/>
          <w:noProof/>
        </w:rPr>
      </w:pPr>
      <w:r>
        <w:rPr>
          <w:noProof/>
        </w:rPr>
        <w:t>References</w:t>
      </w:r>
      <w:r>
        <w:rPr>
          <w:noProof/>
        </w:rPr>
        <w:tab/>
      </w:r>
      <w:r>
        <w:rPr>
          <w:noProof/>
        </w:rPr>
        <w:fldChar w:fldCharType="begin"/>
      </w:r>
      <w:r>
        <w:rPr>
          <w:noProof/>
        </w:rPr>
        <w:instrText xml:space="preserve"> PAGEREF _Toc425338570 \h </w:instrText>
      </w:r>
      <w:r>
        <w:rPr>
          <w:noProof/>
        </w:rPr>
      </w:r>
      <w:r>
        <w:rPr>
          <w:noProof/>
        </w:rPr>
        <w:fldChar w:fldCharType="separate"/>
      </w:r>
      <w:r w:rsidR="00132615">
        <w:rPr>
          <w:noProof/>
        </w:rPr>
        <w:t>26</w:t>
      </w:r>
      <w:r>
        <w:rPr>
          <w:noProof/>
        </w:rPr>
        <w:fldChar w:fldCharType="end"/>
      </w:r>
    </w:p>
    <w:p w:rsidR="00C24F12" w:rsidRDefault="00C24F12" w:rsidP="00C24F12">
      <w:pPr>
        <w:pStyle w:val="TOC2"/>
        <w:ind w:left="0"/>
        <w:outlineLvl w:val="2"/>
        <w:rPr>
          <w:noProof w:val="0"/>
        </w:rPr>
      </w:pPr>
      <w:r>
        <w:rPr>
          <w:noProof w:val="0"/>
        </w:rPr>
        <w:fldChar w:fldCharType="end"/>
      </w:r>
    </w:p>
    <w:p w:rsidR="00C24F12" w:rsidRPr="001D58E4" w:rsidRDefault="00C24F12" w:rsidP="00C24F12">
      <w:pPr>
        <w:pStyle w:val="BodyText"/>
        <w:jc w:val="both"/>
        <w:sectPr w:rsidR="00C24F12" w:rsidRPr="001D58E4" w:rsidSect="00D36515">
          <w:footerReference w:type="even" r:id="rId15"/>
          <w:footerReference w:type="default" r:id="rId16"/>
          <w:endnotePr>
            <w:numFmt w:val="decimal"/>
          </w:endnotePr>
          <w:pgSz w:w="11907" w:h="16840" w:code="9"/>
          <w:pgMar w:top="1134" w:right="1418" w:bottom="1134" w:left="1418" w:header="567" w:footer="567" w:gutter="567"/>
          <w:cols w:space="720"/>
          <w:docGrid w:linePitch="299"/>
        </w:sectPr>
      </w:pPr>
    </w:p>
    <w:p w:rsidR="00C24F12" w:rsidRDefault="00C24F12" w:rsidP="00C24F12">
      <w:pPr>
        <w:pStyle w:val="Heading1"/>
      </w:pPr>
      <w:bookmarkStart w:id="5" w:name="_Toc422307699"/>
      <w:bookmarkStart w:id="6" w:name="_Toc422312860"/>
      <w:bookmarkStart w:id="7" w:name="_Toc422312932"/>
      <w:bookmarkStart w:id="8" w:name="_Toc425338546"/>
      <w:r w:rsidRPr="00CC1943">
        <w:t>Executive summary</w:t>
      </w:r>
      <w:bookmarkEnd w:id="5"/>
      <w:bookmarkEnd w:id="6"/>
      <w:bookmarkEnd w:id="7"/>
      <w:bookmarkEnd w:id="8"/>
    </w:p>
    <w:p w:rsidR="00C24F12" w:rsidRPr="00423881" w:rsidRDefault="00C24F12" w:rsidP="00C24F12">
      <w:pPr>
        <w:pStyle w:val="BodyText"/>
      </w:pPr>
      <w:r w:rsidRPr="00423881">
        <w:t>Development or use of contaminated land can increase the risk of exposing people to contaminants in soil. The Resource Management (National Environment</w:t>
      </w:r>
      <w:r>
        <w:t>al</w:t>
      </w:r>
      <w:r w:rsidRPr="00423881">
        <w:t xml:space="preserve"> Standard for Assessing and Managing Contaminants in Soil to Protect Human Health) Regulations</w:t>
      </w:r>
      <w:r>
        <w:t xml:space="preserve"> 2011</w:t>
      </w:r>
      <w:r w:rsidRPr="00423881">
        <w:t xml:space="preserve"> (NESCS) </w:t>
      </w:r>
      <w:r w:rsidR="00B0597C" w:rsidRPr="00B0597C">
        <w:t>applies to assessing and managing the actual or potential adverse effects of contaminants in soil on human health from five activities: subdivision, land-use change, soil disturbance, soil sampling, and removing fuel storage systems</w:t>
      </w:r>
      <w:r w:rsidR="00B0597C">
        <w:t xml:space="preserve">. </w:t>
      </w:r>
      <w:r w:rsidR="00322E55">
        <w:t>The NESCS only applies to land on which an activity or industry on the Hazardous Activities and Industries List (HAIL) is, has been, or is more likely than not to have been undertaken.</w:t>
      </w:r>
    </w:p>
    <w:p w:rsidR="00C24F12" w:rsidRPr="00423881" w:rsidRDefault="00C24F12" w:rsidP="00C24F12">
      <w:pPr>
        <w:pStyle w:val="BodyText"/>
      </w:pPr>
      <w:r w:rsidRPr="00423881">
        <w:t xml:space="preserve">The NESCS came into effect on 1 January 2012. Following </w:t>
      </w:r>
      <w:r>
        <w:t>this,</w:t>
      </w:r>
      <w:r w:rsidRPr="00423881">
        <w:t xml:space="preserve"> feedback from local authorities and other stakeholders indicated there were implementation difficulties and inconsistencies. The Ministry for the Environment conducted an interim review of the NESCS</w:t>
      </w:r>
      <w:r w:rsidRPr="00322B0C">
        <w:t xml:space="preserve"> </w:t>
      </w:r>
      <w:r w:rsidRPr="00423881">
        <w:t>after a short period of implementation</w:t>
      </w:r>
      <w:r>
        <w:t>,</w:t>
      </w:r>
      <w:r w:rsidRPr="00423881">
        <w:t xml:space="preserve"> to understand the extent to which </w:t>
      </w:r>
      <w:r>
        <w:t>it</w:t>
      </w:r>
      <w:r w:rsidRPr="00423881">
        <w:t xml:space="preserve"> is working as intended. This report summarises the findings of th</w:t>
      </w:r>
      <w:r>
        <w:t>e</w:t>
      </w:r>
      <w:r w:rsidRPr="00423881">
        <w:t xml:space="preserve"> interim review.</w:t>
      </w:r>
    </w:p>
    <w:p w:rsidR="00C24F12" w:rsidRPr="00190FBE" w:rsidRDefault="00C24F12" w:rsidP="00C24F12">
      <w:pPr>
        <w:pStyle w:val="BodyText"/>
      </w:pPr>
      <w:r w:rsidRPr="00423881">
        <w:t xml:space="preserve">Data gathering was undertaken from July to December 2014, with data analysis conducted </w:t>
      </w:r>
      <w:r w:rsidRPr="00190FBE">
        <w:t>from January to May 2015. The key findings of the review are:</w:t>
      </w:r>
    </w:p>
    <w:p w:rsidR="008453D6" w:rsidRDefault="00157DBF" w:rsidP="00192D45">
      <w:pPr>
        <w:pStyle w:val="Bullet"/>
      </w:pPr>
      <w:r>
        <w:t>How</w:t>
      </w:r>
      <w:r w:rsidR="008453D6" w:rsidRPr="00157DBF">
        <w:t xml:space="preserve"> the HAIL is applied by councils </w:t>
      </w:r>
      <w:r>
        <w:t>varies considerably</w:t>
      </w:r>
      <w:r w:rsidR="008453D6" w:rsidRPr="00157DBF">
        <w:t xml:space="preserve">, resulting in different sites in each region being identified as needing to be listed on the HAIL. </w:t>
      </w:r>
      <w:r w:rsidR="00192D45" w:rsidRPr="00190FBE">
        <w:t>This creates</w:t>
      </w:r>
      <w:r w:rsidR="00192D45" w:rsidRPr="00192D45">
        <w:t xml:space="preserve"> costs and delays for</w:t>
      </w:r>
      <w:r w:rsidR="00190FBE">
        <w:t xml:space="preserve"> landowners during development.</w:t>
      </w:r>
    </w:p>
    <w:p w:rsidR="00C24F12" w:rsidRDefault="00C24F12" w:rsidP="00C24F12">
      <w:pPr>
        <w:pStyle w:val="Bullet"/>
      </w:pPr>
      <w:r>
        <w:t xml:space="preserve">The area of HAIL land in New Zealand is extensive. </w:t>
      </w:r>
      <w:r w:rsidR="00514D97">
        <w:t>S</w:t>
      </w:r>
      <w:r>
        <w:t>ignificantly more land than originally anticipated</w:t>
      </w:r>
      <w:r w:rsidR="00514D97">
        <w:t xml:space="preserve"> is</w:t>
      </w:r>
      <w:r>
        <w:t xml:space="preserve"> being identified</w:t>
      </w:r>
      <w:r w:rsidR="00EF3E3C">
        <w:t xml:space="preserve"> as HAIL</w:t>
      </w:r>
      <w:r>
        <w:t xml:space="preserve"> and</w:t>
      </w:r>
      <w:r w:rsidR="00EF3E3C">
        <w:t xml:space="preserve"> is</w:t>
      </w:r>
      <w:r>
        <w:t xml:space="preserve"> subject to the provisions of the NESCS. The known area of HAIL land will continue to increase, as more regional councils undertake a process of identifying HAIL sites in their region.</w:t>
      </w:r>
      <w:r w:rsidR="00190FBE">
        <w:t xml:space="preserve"> This is expected to magnify </w:t>
      </w:r>
      <w:r w:rsidR="00192D45">
        <w:t xml:space="preserve">variation in </w:t>
      </w:r>
      <w:r w:rsidR="00EA25C1">
        <w:t xml:space="preserve">the </w:t>
      </w:r>
      <w:r w:rsidR="00192D45">
        <w:t xml:space="preserve">application of the HAIL as </w:t>
      </w:r>
      <w:r w:rsidR="00190FBE">
        <w:t>the number of identified HAIL</w:t>
      </w:r>
      <w:r w:rsidR="00192D45" w:rsidRPr="00192D45">
        <w:t xml:space="preserve"> sites increases.</w:t>
      </w:r>
    </w:p>
    <w:p w:rsidR="00C24F12" w:rsidRDefault="00C24F12" w:rsidP="00EA25C1">
      <w:pPr>
        <w:pStyle w:val="Bullet"/>
      </w:pPr>
      <w:r>
        <w:t xml:space="preserve">A </w:t>
      </w:r>
      <w:r w:rsidR="008D44C6">
        <w:t>substantial</w:t>
      </w:r>
      <w:r>
        <w:t xml:space="preserve"> proportion of HAIL sites are found</w:t>
      </w:r>
      <w:r w:rsidR="003E1388">
        <w:t xml:space="preserve"> to</w:t>
      </w:r>
      <w:r w:rsidR="005A5179">
        <w:t xml:space="preserve"> </w:t>
      </w:r>
      <w:r>
        <w:t>be below the soil contaminant standards after testing.</w:t>
      </w:r>
      <w:r w:rsidR="00EA25C1" w:rsidRPr="00EA25C1">
        <w:t xml:space="preserve"> This means a considerable percentage of land captured by the NESCS is later found not to pose a risk to human health.</w:t>
      </w:r>
    </w:p>
    <w:p w:rsidR="00C64B89" w:rsidRDefault="008453D6" w:rsidP="008453D6">
      <w:pPr>
        <w:pStyle w:val="Bullet"/>
      </w:pPr>
      <w:r w:rsidRPr="008453D6">
        <w:t xml:space="preserve">The NESCS </w:t>
      </w:r>
      <w:r w:rsidR="00985F8F">
        <w:t xml:space="preserve">requires </w:t>
      </w:r>
      <w:r w:rsidRPr="008453D6">
        <w:t xml:space="preserve">landowners to obtain resource consent in circumstances where the risk to human health could be managed in other ways. </w:t>
      </w:r>
      <w:r w:rsidR="002756E8">
        <w:t>I</w:t>
      </w:r>
      <w:r w:rsidR="00C64B89">
        <w:t>n most cases landowners</w:t>
      </w:r>
      <w:r w:rsidR="0080591A">
        <w:t xml:space="preserve"> are able to obtain resource consent for their</w:t>
      </w:r>
      <w:r w:rsidR="00C64B89">
        <w:t xml:space="preserve"> </w:t>
      </w:r>
      <w:r w:rsidR="0080591A">
        <w:t xml:space="preserve">preferred </w:t>
      </w:r>
      <w:r w:rsidR="00C64B89" w:rsidRPr="0080144F">
        <w:t xml:space="preserve">approach </w:t>
      </w:r>
      <w:r w:rsidR="0080591A">
        <w:t>to managing</w:t>
      </w:r>
      <w:r w:rsidR="00C64B89">
        <w:t xml:space="preserve"> contamination</w:t>
      </w:r>
      <w:r w:rsidR="00C64B89" w:rsidRPr="0080144F">
        <w:t xml:space="preserve"> on a site</w:t>
      </w:r>
      <w:r w:rsidR="00C64B89">
        <w:t xml:space="preserve">. </w:t>
      </w:r>
      <w:r w:rsidR="0080591A">
        <w:t>M</w:t>
      </w:r>
      <w:r w:rsidR="00C64B89">
        <w:t>any</w:t>
      </w:r>
      <w:r w:rsidR="0080591A">
        <w:t xml:space="preserve"> are</w:t>
      </w:r>
      <w:r w:rsidR="00C64B89">
        <w:t xml:space="preserve"> opting for on-site management</w:t>
      </w:r>
      <w:r w:rsidR="00EF3E3C">
        <w:t>, rather than remediation</w:t>
      </w:r>
      <w:r w:rsidR="00985F8F">
        <w:t xml:space="preserve">. </w:t>
      </w:r>
      <w:r w:rsidR="002756E8">
        <w:t>However, in some instances landowners are required to remediate their property when obtaining NESCS consent. This can result in significant costs for landowners.</w:t>
      </w:r>
    </w:p>
    <w:p w:rsidR="00C24F12" w:rsidRDefault="00985F8F" w:rsidP="00C24F12">
      <w:pPr>
        <w:pStyle w:val="Bullet"/>
      </w:pPr>
      <w:r>
        <w:t>How</w:t>
      </w:r>
      <w:r w:rsidR="008B56E7" w:rsidRPr="008B56E7">
        <w:t xml:space="preserve"> the NESCS planning controls are being applied by councils and practitioners </w:t>
      </w:r>
      <w:r>
        <w:t xml:space="preserve">varies </w:t>
      </w:r>
      <w:r w:rsidR="008B56E7" w:rsidRPr="008B56E7">
        <w:t xml:space="preserve">across the country. </w:t>
      </w:r>
      <w:r w:rsidR="00C24F12">
        <w:t xml:space="preserve">This means there are differences between districts in which activities need resource consent. In </w:t>
      </w:r>
      <w:r w:rsidR="00CA085A">
        <w:t xml:space="preserve">particular, determining </w:t>
      </w:r>
      <w:r w:rsidR="00C24F12">
        <w:t>whether a proposal is permitted</w:t>
      </w:r>
      <w:r w:rsidR="00CA085A">
        <w:t xml:space="preserve"> can be a cumberso</w:t>
      </w:r>
      <w:r w:rsidR="00A774AC">
        <w:t>me process for some landowners.</w:t>
      </w:r>
      <w:r w:rsidR="00CA085A">
        <w:t xml:space="preserve"> This delays projects</w:t>
      </w:r>
      <w:r w:rsidR="008B56E7">
        <w:t xml:space="preserve">, </w:t>
      </w:r>
      <w:r w:rsidR="00CA085A">
        <w:t xml:space="preserve">increases costs and </w:t>
      </w:r>
      <w:r w:rsidR="008B56E7">
        <w:t xml:space="preserve">inefficiencies for landowners, and </w:t>
      </w:r>
      <w:r w:rsidR="00CA085A">
        <w:t>sometimes results in consents being obtained when not required by the NESCS</w:t>
      </w:r>
      <w:r w:rsidR="00C24F12">
        <w:t xml:space="preserve">. </w:t>
      </w:r>
    </w:p>
    <w:p w:rsidR="00C24F12" w:rsidRDefault="00CA085A" w:rsidP="00613855">
      <w:pPr>
        <w:pStyle w:val="BodyText"/>
      </w:pPr>
      <w:r>
        <w:t>Nationwide</w:t>
      </w:r>
      <w:r w:rsidR="00C24F12">
        <w:t xml:space="preserve">, the </w:t>
      </w:r>
      <w:r w:rsidR="00613855">
        <w:t>scale of the impact of the NESCS is</w:t>
      </w:r>
      <w:r w:rsidR="00C24F12">
        <w:t xml:space="preserve"> greater than originally anticipated. </w:t>
      </w:r>
      <w:r w:rsidR="008D4B6B">
        <w:t>This is partly a result of more properties being identified as HAIL than expected. There are also questions about the actual level of health protection being achieved by the NESCS. In addition, there</w:t>
      </w:r>
      <w:r w:rsidR="00613855">
        <w:t xml:space="preserve"> have been a number of implementation difficulties, which are </w:t>
      </w:r>
      <w:r w:rsidR="00613855" w:rsidRPr="00F3515D">
        <w:t>resulting in costs, delays and uncertainty for landowners</w:t>
      </w:r>
      <w:r w:rsidR="00613855">
        <w:t>.</w:t>
      </w:r>
    </w:p>
    <w:p w:rsidR="00C24F12" w:rsidRPr="00075EB4" w:rsidRDefault="00C24F12" w:rsidP="00C24F12">
      <w:pPr>
        <w:pStyle w:val="Heading1"/>
      </w:pPr>
      <w:bookmarkStart w:id="9" w:name="_Toc422307700"/>
      <w:bookmarkStart w:id="10" w:name="_Toc422312861"/>
      <w:bookmarkStart w:id="11" w:name="_Toc422312933"/>
      <w:bookmarkStart w:id="12" w:name="_Toc425338547"/>
      <w:r>
        <w:t xml:space="preserve">1. </w:t>
      </w:r>
      <w:r w:rsidRPr="00075EB4">
        <w:t>Introduction</w:t>
      </w:r>
      <w:bookmarkEnd w:id="9"/>
      <w:bookmarkEnd w:id="10"/>
      <w:bookmarkEnd w:id="11"/>
      <w:bookmarkEnd w:id="12"/>
    </w:p>
    <w:p w:rsidR="00C24F12" w:rsidRPr="00075EB4" w:rsidRDefault="00C24F12" w:rsidP="00C24F12">
      <w:pPr>
        <w:pStyle w:val="Heading2"/>
        <w:spacing w:before="0"/>
        <w:rPr>
          <w:rFonts w:asciiTheme="minorHAnsi" w:hAnsiTheme="minorHAnsi"/>
        </w:rPr>
      </w:pPr>
      <w:bookmarkStart w:id="13" w:name="_Toc422307701"/>
      <w:bookmarkStart w:id="14" w:name="_Toc422312862"/>
      <w:bookmarkStart w:id="15" w:name="_Toc422312934"/>
      <w:bookmarkStart w:id="16" w:name="_Toc425338548"/>
      <w:r>
        <w:rPr>
          <w:rFonts w:asciiTheme="minorHAnsi" w:hAnsiTheme="minorHAnsi"/>
          <w:bdr w:val="none" w:sz="0" w:space="0" w:color="auto" w:frame="1"/>
        </w:rPr>
        <w:t xml:space="preserve">1.1 </w:t>
      </w:r>
      <w:r w:rsidRPr="00075EB4">
        <w:rPr>
          <w:rFonts w:asciiTheme="minorHAnsi" w:hAnsiTheme="minorHAnsi"/>
          <w:bdr w:val="none" w:sz="0" w:space="0" w:color="auto" w:frame="1"/>
        </w:rPr>
        <w:t>What is the NESCS?</w:t>
      </w:r>
      <w:bookmarkEnd w:id="13"/>
      <w:bookmarkEnd w:id="14"/>
      <w:bookmarkEnd w:id="15"/>
      <w:bookmarkEnd w:id="16"/>
    </w:p>
    <w:p w:rsidR="00C24F12" w:rsidRDefault="00C24F12" w:rsidP="00A774AC">
      <w:pPr>
        <w:pStyle w:val="BodyText"/>
      </w:pPr>
      <w:r w:rsidRPr="00075EB4">
        <w:rPr>
          <w:bdr w:val="none" w:sz="0" w:space="0" w:color="auto" w:frame="1"/>
        </w:rPr>
        <w:t xml:space="preserve">The </w:t>
      </w:r>
      <w:r>
        <w:rPr>
          <w:bdr w:val="none" w:sz="0" w:space="0" w:color="auto" w:frame="1"/>
        </w:rPr>
        <w:t>Resource Management (</w:t>
      </w:r>
      <w:r w:rsidRPr="00075EB4">
        <w:rPr>
          <w:bdr w:val="none" w:sz="0" w:space="0" w:color="auto" w:frame="1"/>
        </w:rPr>
        <w:t>National Environmental Standard for Assessing and Managing Contaminants in Soil to Protect Human Health</w:t>
      </w:r>
      <w:r>
        <w:rPr>
          <w:bdr w:val="none" w:sz="0" w:space="0" w:color="auto" w:frame="1"/>
        </w:rPr>
        <w:t>) Regulations 2011</w:t>
      </w:r>
      <w:r w:rsidRPr="00075EB4">
        <w:rPr>
          <w:bdr w:val="none" w:sz="0" w:space="0" w:color="auto" w:frame="1"/>
        </w:rPr>
        <w:t xml:space="preserve"> (NESCS)</w:t>
      </w:r>
      <w:r>
        <w:rPr>
          <w:bdr w:val="none" w:sz="0" w:space="0" w:color="auto" w:frame="1"/>
        </w:rPr>
        <w:t xml:space="preserve"> came into effect on 1 January 2012. </w:t>
      </w:r>
      <w:r>
        <w:t xml:space="preserve">It is a </w:t>
      </w:r>
      <w:r w:rsidR="003E1388">
        <w:t>national environmental standard, under the Resource Management Act 1991. The NESCS provides</w:t>
      </w:r>
      <w:r w:rsidRPr="00423881">
        <w:t xml:space="preserve"> controls for the development and use of land to </w:t>
      </w:r>
      <w:r>
        <w:t>protect human health</w:t>
      </w:r>
      <w:r w:rsidRPr="00423881">
        <w:t xml:space="preserve">. </w:t>
      </w:r>
      <w:r>
        <w:rPr>
          <w:bdr w:val="none" w:sz="0" w:space="0" w:color="auto" w:frame="1"/>
        </w:rPr>
        <w:t xml:space="preserve">The </w:t>
      </w:r>
      <w:r w:rsidR="00DE072F">
        <w:rPr>
          <w:bdr w:val="none" w:sz="0" w:space="0" w:color="auto" w:frame="1"/>
        </w:rPr>
        <w:t xml:space="preserve">policy </w:t>
      </w:r>
      <w:r>
        <w:rPr>
          <w:bdr w:val="none" w:sz="0" w:space="0" w:color="auto" w:frame="1"/>
        </w:rPr>
        <w:t>objective was to</w:t>
      </w:r>
      <w:r w:rsidR="00DE072F">
        <w:rPr>
          <w:bdr w:val="none" w:sz="0" w:space="0" w:color="auto" w:frame="1"/>
        </w:rPr>
        <w:t xml:space="preserve"> provide a comprehensive framework to </w:t>
      </w:r>
      <w:r>
        <w:t>ensure</w:t>
      </w:r>
      <w:r w:rsidRPr="00075EB4">
        <w:t xml:space="preserve"> that land affected by contaminants in soil is appropriately identified and assessed </w:t>
      </w:r>
      <w:r>
        <w:t xml:space="preserve">at the time of being </w:t>
      </w:r>
      <w:r w:rsidRPr="00075EB4">
        <w:t>developed and</w:t>
      </w:r>
      <w:r>
        <w:t>,</w:t>
      </w:r>
      <w:r w:rsidRPr="00075EB4">
        <w:t xml:space="preserve"> if necessar</w:t>
      </w:r>
      <w:r>
        <w:t>y, the land is remediated or exposure to contaminants manag</w:t>
      </w:r>
      <w:r w:rsidRPr="00075EB4">
        <w:t>ed to make the land safe for human use</w:t>
      </w:r>
      <w:r>
        <w:t xml:space="preserve"> (www.mfe.govt.nz)</w:t>
      </w:r>
      <w:r w:rsidRPr="00075EB4">
        <w:t>.</w:t>
      </w:r>
    </w:p>
    <w:p w:rsidR="00DE072F" w:rsidRDefault="00DE072F" w:rsidP="00C24F12">
      <w:pPr>
        <w:pStyle w:val="BodyText"/>
      </w:pPr>
      <w:r>
        <w:t xml:space="preserve">The framework </w:t>
      </w:r>
      <w:r w:rsidR="00A774AC">
        <w:t>has</w:t>
      </w:r>
      <w:r>
        <w:t xml:space="preserve"> four parts</w:t>
      </w:r>
      <w:r w:rsidR="00A774AC">
        <w:t xml:space="preserve"> shown in figure 1.</w:t>
      </w:r>
    </w:p>
    <w:p w:rsidR="00DE072F" w:rsidRDefault="00DE072F" w:rsidP="00A774AC">
      <w:pPr>
        <w:pStyle w:val="Figureheading"/>
      </w:pPr>
      <w:bookmarkStart w:id="17" w:name="_Toc455067496"/>
      <w:r w:rsidRPr="00465C7C">
        <w:t>Figure</w:t>
      </w:r>
      <w:r w:rsidR="00077BFC">
        <w:t xml:space="preserve"> 1: </w:t>
      </w:r>
      <w:r w:rsidRPr="00465C7C">
        <w:t>The four parts of the NESCS framework</w:t>
      </w:r>
      <w:bookmarkEnd w:id="17"/>
    </w:p>
    <w:p w:rsidR="00DE072F" w:rsidRDefault="00D9208D" w:rsidP="00C24F12">
      <w:pPr>
        <w:pStyle w:val="BodyText"/>
      </w:pPr>
      <w:r>
        <w:rPr>
          <w:noProof/>
        </w:rPr>
        <w:drawing>
          <wp:inline distT="0" distB="0" distL="0" distR="0" wp14:anchorId="48009AC3" wp14:editId="5A3DFB03">
            <wp:extent cx="5400040" cy="295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S Diargam_update_Titl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40" cy="2953385"/>
                    </a:xfrm>
                    <a:prstGeom prst="rect">
                      <a:avLst/>
                    </a:prstGeom>
                  </pic:spPr>
                </pic:pic>
              </a:graphicData>
            </a:graphic>
          </wp:inline>
        </w:drawing>
      </w:r>
    </w:p>
    <w:p w:rsidR="00C24F12" w:rsidRDefault="00C24F12" w:rsidP="00C24F12">
      <w:pPr>
        <w:pStyle w:val="BodyText"/>
        <w:rPr>
          <w:rFonts w:eastAsia="Calibri" w:cs="Arial"/>
          <w:bCs/>
        </w:rPr>
      </w:pPr>
      <w:r w:rsidRPr="00D06E91">
        <w:t>The NES</w:t>
      </w:r>
      <w:r>
        <w:t>CS</w:t>
      </w:r>
      <w:r w:rsidRPr="00D06E91">
        <w:t xml:space="preserve"> applies when a person wants to unde</w:t>
      </w:r>
      <w:r>
        <w:t>r</w:t>
      </w:r>
      <w:r w:rsidRPr="00D06E91">
        <w:t>take an activity (</w:t>
      </w:r>
      <w:proofErr w:type="spellStart"/>
      <w:r w:rsidRPr="00D06E91">
        <w:t>eg</w:t>
      </w:r>
      <w:proofErr w:type="spellEnd"/>
      <w:r w:rsidR="00DA56E6">
        <w:t>,</w:t>
      </w:r>
      <w:r w:rsidRPr="00D06E91">
        <w:t xml:space="preserve"> disturbing the </w:t>
      </w:r>
      <w:r w:rsidRPr="00D06E91">
        <w:rPr>
          <w:lang w:eastAsia="en-US"/>
        </w:rPr>
        <w:t xml:space="preserve">soil, subdividing the land, </w:t>
      </w:r>
      <w:r>
        <w:rPr>
          <w:lang w:eastAsia="en-US"/>
        </w:rPr>
        <w:t xml:space="preserve">or </w:t>
      </w:r>
      <w:r w:rsidRPr="00D06E91">
        <w:rPr>
          <w:lang w:eastAsia="en-US"/>
        </w:rPr>
        <w:t>removing a fuel storage system) on land that has the potential for soil contamination.</w:t>
      </w:r>
      <w:r>
        <w:rPr>
          <w:lang w:eastAsia="en-US"/>
        </w:rPr>
        <w:t xml:space="preserve"> The NESCS targets sites that pose a potential risk by </w:t>
      </w:r>
      <w:r>
        <w:rPr>
          <w:rFonts w:eastAsia="Calibri" w:cs="Arial"/>
          <w:bCs/>
        </w:rPr>
        <w:t xml:space="preserve">applying only to land on which </w:t>
      </w:r>
      <w:r w:rsidRPr="00701FF8">
        <w:t>a</w:t>
      </w:r>
      <w:r>
        <w:t>n</w:t>
      </w:r>
      <w:r w:rsidRPr="00701FF8">
        <w:t xml:space="preserve"> activity or industry</w:t>
      </w:r>
      <w:r>
        <w:t xml:space="preserve"> on the Hazardous Activities and Industries List (HAIL) is currently taking place, has taken place, or is more likely than not to have taken place. The </w:t>
      </w:r>
      <w:r w:rsidRPr="00701FF8">
        <w:t>HAIL</w:t>
      </w:r>
      <w:r>
        <w:t xml:space="preserve"> </w:t>
      </w:r>
      <w:r w:rsidRPr="00C04C7E">
        <w:rPr>
          <w:rFonts w:eastAsia="Calibri" w:cs="Arial"/>
          <w:bCs/>
        </w:rPr>
        <w:t xml:space="preserve">identifies seven broad categories, with 51 activities and industries </w:t>
      </w:r>
      <w:r>
        <w:rPr>
          <w:rFonts w:eastAsia="Calibri" w:cs="Arial"/>
          <w:bCs/>
        </w:rPr>
        <w:t>that</w:t>
      </w:r>
      <w:r w:rsidRPr="00C04C7E">
        <w:rPr>
          <w:rFonts w:eastAsia="Calibri" w:cs="Arial"/>
          <w:bCs/>
        </w:rPr>
        <w:t xml:space="preserve"> have historically been associated with hazardous substances. There are also two additional ‘catch all’ categories to cover accidental release of hazardous substances and migration from neighbouring properties</w:t>
      </w:r>
      <w:r>
        <w:rPr>
          <w:rFonts w:eastAsia="Calibri" w:cs="Arial"/>
          <w:bCs/>
        </w:rPr>
        <w:t>.</w:t>
      </w:r>
      <w:r>
        <w:rPr>
          <w:rStyle w:val="FootnoteReference"/>
          <w:rFonts w:eastAsia="Calibri" w:cs="Arial"/>
          <w:bCs/>
        </w:rPr>
        <w:footnoteReference w:id="1"/>
      </w:r>
      <w:r>
        <w:rPr>
          <w:rFonts w:eastAsia="Calibri" w:cs="Arial"/>
          <w:bCs/>
        </w:rPr>
        <w:t xml:space="preserve"> </w:t>
      </w:r>
    </w:p>
    <w:p w:rsidR="00C24F12" w:rsidRDefault="00C24F12" w:rsidP="00C24F12">
      <w:pPr>
        <w:pStyle w:val="BodyText"/>
        <w:rPr>
          <w:rFonts w:eastAsia="Calibri" w:cs="Arial"/>
          <w:bCs/>
        </w:rPr>
      </w:pPr>
      <w:r>
        <w:rPr>
          <w:rFonts w:eastAsia="Calibri" w:cs="Arial"/>
          <w:bCs/>
        </w:rPr>
        <w:t xml:space="preserve">More information on the NESCS can be found in on the </w:t>
      </w:r>
      <w:hyperlink r:id="rId18" w:history="1">
        <w:r w:rsidRPr="00DA56E6">
          <w:rPr>
            <w:rStyle w:val="Hyperlink"/>
            <w:u w:val="none"/>
          </w:rPr>
          <w:t>Ministry’s website</w:t>
        </w:r>
      </w:hyperlink>
      <w:r>
        <w:rPr>
          <w:rFonts w:eastAsia="Calibri" w:cs="Arial"/>
          <w:bCs/>
        </w:rPr>
        <w:t xml:space="preserve"> or in the </w:t>
      </w:r>
      <w:hyperlink r:id="rId19" w:history="1">
        <w:r w:rsidRPr="008A21CF">
          <w:rPr>
            <w:rStyle w:val="Hyperlink"/>
            <w:rFonts w:eastAsia="Calibri" w:cs="Arial"/>
            <w:bCs/>
            <w:i/>
            <w:u w:val="none"/>
          </w:rPr>
          <w:t>Users’ Guide</w:t>
        </w:r>
      </w:hyperlink>
      <w:r>
        <w:rPr>
          <w:rFonts w:eastAsia="Calibri" w:cs="Arial"/>
          <w:bCs/>
        </w:rPr>
        <w:t xml:space="preserve"> (</w:t>
      </w:r>
      <w:proofErr w:type="spellStart"/>
      <w:r>
        <w:rPr>
          <w:rFonts w:eastAsia="Calibri" w:cs="Arial"/>
          <w:bCs/>
        </w:rPr>
        <w:t>MfE</w:t>
      </w:r>
      <w:proofErr w:type="spellEnd"/>
      <w:r>
        <w:rPr>
          <w:rFonts w:eastAsia="Calibri" w:cs="Arial"/>
          <w:bCs/>
        </w:rPr>
        <w:t>, 2012).</w:t>
      </w:r>
    </w:p>
    <w:p w:rsidR="00C24F12" w:rsidRDefault="00C24F12" w:rsidP="00C24F12">
      <w:pPr>
        <w:pStyle w:val="Heading3"/>
        <w:rPr>
          <w:rFonts w:eastAsia="Calibri"/>
        </w:rPr>
      </w:pPr>
      <w:bookmarkStart w:id="18" w:name="_1.1.1_Council_roles"/>
      <w:bookmarkStart w:id="19" w:name="_Toc422307702"/>
      <w:bookmarkStart w:id="20" w:name="_Toc422312863"/>
      <w:bookmarkStart w:id="21" w:name="_Toc422312935"/>
      <w:bookmarkEnd w:id="18"/>
      <w:r>
        <w:rPr>
          <w:rFonts w:eastAsia="Calibri"/>
        </w:rPr>
        <w:t>1.1.1 Council roles for implementing the NESCS</w:t>
      </w:r>
      <w:bookmarkEnd w:id="19"/>
      <w:bookmarkEnd w:id="20"/>
      <w:bookmarkEnd w:id="21"/>
    </w:p>
    <w:p w:rsidR="00C24F12" w:rsidRDefault="00C24F12" w:rsidP="00C24F12">
      <w:pPr>
        <w:pStyle w:val="BodyText"/>
      </w:pPr>
      <w:r w:rsidRPr="0050724E">
        <w:t>Under section 31 of the Resource Management Act 1991 (RMA),</w:t>
      </w:r>
      <w:r>
        <w:rPr>
          <w:sz w:val="21"/>
          <w:szCs w:val="21"/>
        </w:rPr>
        <w:t xml:space="preserve"> </w:t>
      </w:r>
      <w:r>
        <w:t xml:space="preserve">territorial authorities </w:t>
      </w:r>
      <w:r w:rsidRPr="00F3390B">
        <w:t>(district, city and unitary councils)</w:t>
      </w:r>
      <w:r>
        <w:t xml:space="preserve"> are responsible for controlling the adverse effects of the development, subdivision, or use of contaminated land.</w:t>
      </w:r>
      <w:r>
        <w:rPr>
          <w:rStyle w:val="FootnoteReference"/>
        </w:rPr>
        <w:footnoteReference w:id="2"/>
      </w:r>
      <w:r>
        <w:t xml:space="preserve"> The NESCS specifically states that the regulation deals with territorial authority functions under the RMA; it does not deal with regional council functions. The NESCS provides a nationwide set of planning controls </w:t>
      </w:r>
      <w:r w:rsidR="00FF3BE4">
        <w:t>for</w:t>
      </w:r>
      <w:r>
        <w:t xml:space="preserve"> territorial authorities to carry out this function,</w:t>
      </w:r>
      <w:r>
        <w:rPr>
          <w:rStyle w:val="FootnoteReference"/>
          <w:szCs w:val="20"/>
        </w:rPr>
        <w:footnoteReference w:id="3"/>
      </w:r>
      <w:r>
        <w:t xml:space="preserve"> and a</w:t>
      </w:r>
      <w:r w:rsidRPr="00F3390B">
        <w:t>ll territorial authorities are required to give effect to and enforce the requirements of the NESCS.</w:t>
      </w:r>
      <w:r>
        <w:t xml:space="preserve"> </w:t>
      </w:r>
    </w:p>
    <w:p w:rsidR="00C24F12" w:rsidRPr="006F641C" w:rsidRDefault="00C24F12" w:rsidP="00C24F12">
      <w:pPr>
        <w:pStyle w:val="BodyText"/>
      </w:pPr>
      <w:r w:rsidRPr="00BD4E8A">
        <w:rPr>
          <w:rFonts w:asciiTheme="minorHAnsi" w:hAnsiTheme="minorHAnsi"/>
        </w:rPr>
        <w:t xml:space="preserve">In practice, regional councils also play an important role in </w:t>
      </w:r>
      <w:r w:rsidR="00FF3BE4">
        <w:rPr>
          <w:rFonts w:asciiTheme="minorHAnsi" w:hAnsiTheme="minorHAnsi"/>
        </w:rPr>
        <w:t>implementing</w:t>
      </w:r>
      <w:r w:rsidRPr="00BD4E8A">
        <w:rPr>
          <w:rFonts w:asciiTheme="minorHAnsi" w:hAnsiTheme="minorHAnsi"/>
        </w:rPr>
        <w:t xml:space="preserve"> the NESCS. </w:t>
      </w:r>
      <w:r>
        <w:rPr>
          <w:rFonts w:asciiTheme="minorHAnsi" w:hAnsiTheme="minorHAnsi"/>
        </w:rPr>
        <w:t>One of the RMA functions of regional councils is</w:t>
      </w:r>
      <w:r w:rsidRPr="00BD4E8A">
        <w:rPr>
          <w:rFonts w:asciiTheme="minorHAnsi" w:hAnsiTheme="minorHAnsi"/>
        </w:rPr>
        <w:t xml:space="preserve"> </w:t>
      </w:r>
      <w:r w:rsidRPr="00BD4E8A">
        <w:rPr>
          <w:rFonts w:asciiTheme="minorHAnsi" w:hAnsiTheme="minorHAnsi" w:cs="Calibri"/>
          <w:i/>
          <w:iCs/>
          <w:color w:val="000000"/>
        </w:rPr>
        <w:t>the investigation of land for the purposes of identifying and monitoring contaminated land</w:t>
      </w:r>
      <w:r w:rsidRPr="00BD4E8A">
        <w:rPr>
          <w:rFonts w:asciiTheme="minorHAnsi" w:hAnsiTheme="minorHAnsi" w:cs="Calibri"/>
          <w:iCs/>
          <w:color w:val="000000"/>
        </w:rPr>
        <w:t xml:space="preserve"> under the RMA. </w:t>
      </w:r>
      <w:r>
        <w:rPr>
          <w:rFonts w:asciiTheme="minorHAnsi" w:hAnsiTheme="minorHAnsi" w:cs="Calibri"/>
          <w:iCs/>
          <w:color w:val="000000"/>
        </w:rPr>
        <w:t>To</w:t>
      </w:r>
      <w:r w:rsidRPr="00BD4E8A">
        <w:rPr>
          <w:rFonts w:asciiTheme="minorHAnsi" w:hAnsiTheme="minorHAnsi" w:cs="Calibri"/>
          <w:iCs/>
          <w:color w:val="000000"/>
        </w:rPr>
        <w:t xml:space="preserve"> fulfil this function, most regional councils identify potentially contaminated sites </w:t>
      </w:r>
      <w:r>
        <w:rPr>
          <w:rFonts w:asciiTheme="minorHAnsi" w:hAnsiTheme="minorHAnsi" w:cs="Calibri"/>
          <w:iCs/>
          <w:color w:val="000000"/>
        </w:rPr>
        <w:t>(</w:t>
      </w:r>
      <w:r w:rsidRPr="00BD4E8A">
        <w:rPr>
          <w:rFonts w:asciiTheme="minorHAnsi" w:hAnsiTheme="minorHAnsi" w:cs="Calibri"/>
          <w:iCs/>
          <w:color w:val="000000"/>
        </w:rPr>
        <w:t>including sites with current or former uses on the HAIL</w:t>
      </w:r>
      <w:r>
        <w:rPr>
          <w:rFonts w:asciiTheme="minorHAnsi" w:hAnsiTheme="minorHAnsi" w:cs="Calibri"/>
          <w:iCs/>
          <w:color w:val="000000"/>
        </w:rPr>
        <w:t>)</w:t>
      </w:r>
      <w:r w:rsidRPr="00BD4E8A">
        <w:rPr>
          <w:rFonts w:asciiTheme="minorHAnsi" w:hAnsiTheme="minorHAnsi" w:cs="Calibri"/>
          <w:iCs/>
          <w:color w:val="000000"/>
        </w:rPr>
        <w:t xml:space="preserve">, and maintain a contaminated sites register </w:t>
      </w:r>
      <w:r w:rsidRPr="00BD4E8A">
        <w:rPr>
          <w:rFonts w:asciiTheme="minorHAnsi" w:eastAsiaTheme="minorHAnsi" w:hAnsiTheme="minorHAnsi" w:cs="Arial"/>
          <w:color w:val="000000"/>
          <w:lang w:eastAsia="en-US"/>
        </w:rPr>
        <w:t>(in line with their duty under s</w:t>
      </w:r>
      <w:r w:rsidR="00FF3BE4">
        <w:rPr>
          <w:rFonts w:asciiTheme="minorHAnsi" w:eastAsiaTheme="minorHAnsi" w:hAnsiTheme="minorHAnsi" w:cs="Arial"/>
          <w:color w:val="000000"/>
          <w:lang w:eastAsia="en-US"/>
        </w:rPr>
        <w:t>ection</w:t>
      </w:r>
      <w:r>
        <w:rPr>
          <w:rFonts w:asciiTheme="minorHAnsi" w:eastAsiaTheme="minorHAnsi" w:hAnsiTheme="minorHAnsi" w:cs="Arial"/>
          <w:color w:val="000000"/>
          <w:lang w:eastAsia="en-US"/>
        </w:rPr>
        <w:t> </w:t>
      </w:r>
      <w:r w:rsidRPr="00BD4E8A">
        <w:rPr>
          <w:rFonts w:asciiTheme="minorHAnsi" w:eastAsiaTheme="minorHAnsi" w:hAnsiTheme="minorHAnsi" w:cs="Arial"/>
          <w:color w:val="000000"/>
          <w:lang w:eastAsia="en-US"/>
        </w:rPr>
        <w:t>35 of the RMA to gather information, monitor and keep records)</w:t>
      </w:r>
      <w:r w:rsidRPr="00BD4E8A">
        <w:rPr>
          <w:rFonts w:asciiTheme="minorHAnsi" w:hAnsiTheme="minorHAnsi" w:cs="Calibri"/>
          <w:iCs/>
          <w:color w:val="000000"/>
        </w:rPr>
        <w:t xml:space="preserve">. </w:t>
      </w:r>
      <w:r w:rsidR="007C660E">
        <w:rPr>
          <w:rFonts w:asciiTheme="minorHAnsi" w:hAnsiTheme="minorHAnsi" w:cs="Calibri"/>
          <w:iCs/>
          <w:color w:val="000000"/>
        </w:rPr>
        <w:t>Consequently, in practice t</w:t>
      </w:r>
      <w:r w:rsidRPr="00BD4E8A">
        <w:rPr>
          <w:rFonts w:asciiTheme="minorHAnsi" w:hAnsiTheme="minorHAnsi" w:cs="Calibri"/>
          <w:iCs/>
          <w:color w:val="000000"/>
        </w:rPr>
        <w:t xml:space="preserve">he information held </w:t>
      </w:r>
      <w:r w:rsidR="00B94B15">
        <w:rPr>
          <w:rFonts w:asciiTheme="minorHAnsi" w:hAnsiTheme="minorHAnsi" w:cs="Calibri"/>
          <w:iCs/>
          <w:color w:val="000000"/>
        </w:rPr>
        <w:t>in</w:t>
      </w:r>
      <w:r>
        <w:rPr>
          <w:rFonts w:asciiTheme="minorHAnsi" w:hAnsiTheme="minorHAnsi" w:cs="Calibri"/>
          <w:iCs/>
          <w:color w:val="000000"/>
        </w:rPr>
        <w:t xml:space="preserve"> </w:t>
      </w:r>
      <w:r w:rsidRPr="006F641C">
        <w:t>regional council</w:t>
      </w:r>
      <w:r w:rsidR="00224517">
        <w:t>s’</w:t>
      </w:r>
      <w:r w:rsidR="00B94B15">
        <w:t xml:space="preserve"> </w:t>
      </w:r>
      <w:r w:rsidR="00224517">
        <w:t>listed land-use</w:t>
      </w:r>
      <w:r w:rsidRPr="006F641C">
        <w:t xml:space="preserve"> databa</w:t>
      </w:r>
      <w:r w:rsidR="00B94B15">
        <w:t>se</w:t>
      </w:r>
      <w:r w:rsidR="00224517">
        <w:t>s</w:t>
      </w:r>
      <w:r w:rsidR="00B94B15">
        <w:t xml:space="preserve"> is often the primary source used by</w:t>
      </w:r>
      <w:r w:rsidRPr="006F641C">
        <w:t xml:space="preserve"> territorial authorities when identifying potential HAIL sites </w:t>
      </w:r>
      <w:r>
        <w:t>to determine whether</w:t>
      </w:r>
      <w:r w:rsidRPr="006F641C">
        <w:t xml:space="preserve"> the NESCS</w:t>
      </w:r>
      <w:r>
        <w:t xml:space="preserve"> applies</w:t>
      </w:r>
      <w:r w:rsidR="00B94B15">
        <w:t xml:space="preserve"> to a property or proposal</w:t>
      </w:r>
      <w:r w:rsidRPr="006F641C">
        <w:t xml:space="preserve">. </w:t>
      </w:r>
    </w:p>
    <w:p w:rsidR="00C24F12" w:rsidRPr="007314EB" w:rsidRDefault="00C24F12" w:rsidP="00C24F12">
      <w:pPr>
        <w:pStyle w:val="Heading2"/>
        <w:rPr>
          <w:rFonts w:asciiTheme="minorHAnsi" w:hAnsiTheme="minorHAnsi"/>
        </w:rPr>
      </w:pPr>
      <w:bookmarkStart w:id="22" w:name="_Toc422307703"/>
      <w:bookmarkStart w:id="23" w:name="_Toc422312864"/>
      <w:bookmarkStart w:id="24" w:name="_Toc422312936"/>
      <w:bookmarkStart w:id="25" w:name="_Toc425338549"/>
      <w:r>
        <w:rPr>
          <w:rFonts w:asciiTheme="minorHAnsi" w:hAnsiTheme="minorHAnsi"/>
        </w:rPr>
        <w:t xml:space="preserve">1.2 </w:t>
      </w:r>
      <w:r w:rsidRPr="00075EB4">
        <w:rPr>
          <w:rFonts w:asciiTheme="minorHAnsi" w:hAnsiTheme="minorHAnsi"/>
        </w:rPr>
        <w:t>Drivers for developing a national environmental standard</w:t>
      </w:r>
      <w:bookmarkEnd w:id="22"/>
      <w:bookmarkEnd w:id="23"/>
      <w:bookmarkEnd w:id="24"/>
      <w:bookmarkEnd w:id="25"/>
    </w:p>
    <w:p w:rsidR="00C24F12" w:rsidRPr="006F641C" w:rsidRDefault="00C24F12" w:rsidP="00C24F12">
      <w:pPr>
        <w:pStyle w:val="BodyText"/>
      </w:pPr>
      <w:r w:rsidRPr="006F641C">
        <w:t>In 2005, regional councils’ and territorial authorities’ functions in sections 30 and 31 of the RMA were changed, introducing new requirements for</w:t>
      </w:r>
      <w:r>
        <w:t xml:space="preserve"> managing</w:t>
      </w:r>
      <w:r w:rsidRPr="006F641C">
        <w:t xml:space="preserve"> contaminated land. A 2007 review by the Ministry found that the process for dealing with contaminated land across the country was </w:t>
      </w:r>
      <w:r w:rsidRPr="009A0F77">
        <w:rPr>
          <w:i/>
        </w:rPr>
        <w:t>ad hoc</w:t>
      </w:r>
      <w:r>
        <w:t>,</w:t>
      </w:r>
      <w:r w:rsidRPr="006F641C">
        <w:t xml:space="preserve"> and vari</w:t>
      </w:r>
      <w:r>
        <w:t>ed</w:t>
      </w:r>
      <w:r w:rsidRPr="006F641C">
        <w:t xml:space="preserve"> between local authorities. The review found that only 14 council plans of the 73 reviewed had contaminated land rules relating to council functions under section 31 of the RMA.</w:t>
      </w:r>
    </w:p>
    <w:p w:rsidR="00C24F12" w:rsidRPr="006F641C" w:rsidRDefault="00C24F12" w:rsidP="00C24F12">
      <w:pPr>
        <w:pStyle w:val="BodyText"/>
      </w:pPr>
      <w:r w:rsidRPr="006F641C">
        <w:t xml:space="preserve">Table 1 shows the number of district plans that did not contain objectives and policies, rules, </w:t>
      </w:r>
      <w:r>
        <w:t>or</w:t>
      </w:r>
      <w:r w:rsidRPr="006F641C">
        <w:t xml:space="preserve"> rules in relation to the contaminated land function of section 31 of the RMA in 2007 (</w:t>
      </w:r>
      <w:r>
        <w:t xml:space="preserve">outlined in the </w:t>
      </w:r>
      <w:r w:rsidRPr="009C5E85">
        <w:rPr>
          <w:rFonts w:asciiTheme="minorHAnsi" w:eastAsiaTheme="minorHAnsi" w:hAnsiTheme="minorHAnsi" w:cs="Arial"/>
          <w:i/>
          <w:iCs/>
          <w:lang w:eastAsia="en-US"/>
        </w:rPr>
        <w:t>Proposed National Environmental Standard for</w:t>
      </w:r>
      <w:r>
        <w:rPr>
          <w:rFonts w:asciiTheme="minorHAnsi" w:eastAsiaTheme="minorHAnsi" w:hAnsiTheme="minorHAnsi" w:cs="Arial"/>
          <w:i/>
          <w:iCs/>
          <w:lang w:eastAsia="en-US"/>
        </w:rPr>
        <w:t xml:space="preserve"> </w:t>
      </w:r>
      <w:r w:rsidRPr="009C5E85">
        <w:rPr>
          <w:rFonts w:asciiTheme="minorHAnsi" w:eastAsiaTheme="minorHAnsi" w:hAnsiTheme="minorHAnsi" w:cs="Arial"/>
          <w:i/>
          <w:iCs/>
          <w:lang w:eastAsia="en-US"/>
        </w:rPr>
        <w:t>Assessing and Managing Contaminants in Soil: Discussion Document</w:t>
      </w:r>
      <w:r w:rsidRPr="0092454B" w:rsidDel="00FF2330">
        <w:rPr>
          <w:i/>
        </w:rPr>
        <w:t xml:space="preserve"> </w:t>
      </w:r>
      <w:r w:rsidRPr="00672282">
        <w:t>(</w:t>
      </w:r>
      <w:proofErr w:type="spellStart"/>
      <w:r w:rsidRPr="006F641C">
        <w:t>MfE</w:t>
      </w:r>
      <w:proofErr w:type="spellEnd"/>
      <w:r w:rsidRPr="006F641C">
        <w:t>, 2010</w:t>
      </w:r>
      <w:r>
        <w:t>)</w:t>
      </w:r>
      <w:r w:rsidRPr="006F641C">
        <w:t>).</w:t>
      </w:r>
    </w:p>
    <w:p w:rsidR="00C24F12" w:rsidRPr="00845FEF" w:rsidRDefault="00C24F12" w:rsidP="00C24F12">
      <w:pPr>
        <w:pStyle w:val="Tableheading"/>
      </w:pPr>
      <w:r w:rsidRPr="00845FEF">
        <w:t>Table 1: Number of district plans that have no contaminated land-specific provisions</w:t>
      </w:r>
    </w:p>
    <w:tbl>
      <w:tblPr>
        <w:tblStyle w:val="TableGrid"/>
        <w:tblW w:w="4938" w:type="pct"/>
        <w:tblInd w:w="108" w:type="dxa"/>
        <w:tblBorders>
          <w:left w:val="none" w:sz="0" w:space="0" w:color="auto"/>
          <w:right w:val="none" w:sz="0" w:space="0" w:color="auto"/>
        </w:tblBorders>
        <w:tblLook w:val="04A0" w:firstRow="1" w:lastRow="0" w:firstColumn="1" w:lastColumn="0" w:noHBand="0" w:noVBand="1"/>
      </w:tblPr>
      <w:tblGrid>
        <w:gridCol w:w="5133"/>
        <w:gridCol w:w="3479"/>
      </w:tblGrid>
      <w:tr w:rsidR="00C24F12" w:rsidRPr="000358FD" w:rsidTr="00E34FC4">
        <w:tc>
          <w:tcPr>
            <w:tcW w:w="2980" w:type="pct"/>
            <w:tcBorders>
              <w:top w:val="single" w:sz="4" w:space="0" w:color="17556C"/>
              <w:bottom w:val="single" w:sz="4" w:space="0" w:color="17556C"/>
              <w:right w:val="single" w:sz="4" w:space="0" w:color="17556C"/>
            </w:tcBorders>
            <w:shd w:val="clear" w:color="auto" w:fill="17556C"/>
            <w:hideMark/>
          </w:tcPr>
          <w:p w:rsidR="00C24F12" w:rsidRPr="000358FD" w:rsidRDefault="00C24F12" w:rsidP="00D36515">
            <w:pPr>
              <w:pStyle w:val="BodyText"/>
              <w:spacing w:before="60" w:after="60" w:line="240" w:lineRule="auto"/>
              <w:rPr>
                <w:rFonts w:cs="Times New Roman"/>
                <w:bCs/>
                <w:color w:val="FFFFFF" w:themeColor="background1"/>
                <w:sz w:val="18"/>
                <w:szCs w:val="18"/>
              </w:rPr>
            </w:pPr>
            <w:r w:rsidRPr="000358FD">
              <w:rPr>
                <w:rFonts w:cs="Times New Roman"/>
                <w:bCs/>
                <w:color w:val="FFFFFF" w:themeColor="background1"/>
                <w:sz w:val="18"/>
                <w:szCs w:val="18"/>
              </w:rPr>
              <w:t>Contaminated land</w:t>
            </w:r>
            <w:r>
              <w:rPr>
                <w:rFonts w:cs="Times New Roman"/>
                <w:bCs/>
                <w:color w:val="FFFFFF" w:themeColor="background1"/>
                <w:sz w:val="18"/>
                <w:szCs w:val="18"/>
              </w:rPr>
              <w:t xml:space="preserve"> </w:t>
            </w:r>
            <w:r w:rsidRPr="000358FD">
              <w:rPr>
                <w:rFonts w:cs="Times New Roman"/>
                <w:bCs/>
                <w:color w:val="FFFFFF" w:themeColor="background1"/>
                <w:sz w:val="18"/>
                <w:szCs w:val="18"/>
              </w:rPr>
              <w:t>specific provisions</w:t>
            </w:r>
          </w:p>
        </w:tc>
        <w:tc>
          <w:tcPr>
            <w:tcW w:w="0" w:type="auto"/>
            <w:tcBorders>
              <w:top w:val="single" w:sz="4" w:space="0" w:color="17556C"/>
              <w:left w:val="single" w:sz="4" w:space="0" w:color="17556C"/>
              <w:bottom w:val="single" w:sz="4" w:space="0" w:color="17556C"/>
            </w:tcBorders>
            <w:shd w:val="clear" w:color="auto" w:fill="17556C"/>
            <w:hideMark/>
          </w:tcPr>
          <w:p w:rsidR="00C24F12" w:rsidRPr="000358FD" w:rsidRDefault="00C24F12" w:rsidP="00D36515">
            <w:pPr>
              <w:pStyle w:val="BodyText"/>
              <w:spacing w:before="60" w:after="60" w:line="240" w:lineRule="auto"/>
              <w:rPr>
                <w:rFonts w:cs="Times New Roman"/>
                <w:bCs/>
                <w:color w:val="FFFFFF" w:themeColor="background1"/>
                <w:sz w:val="18"/>
                <w:szCs w:val="18"/>
              </w:rPr>
            </w:pPr>
            <w:r w:rsidRPr="000358FD">
              <w:rPr>
                <w:rFonts w:cs="Times New Roman"/>
                <w:bCs/>
                <w:color w:val="FFFFFF" w:themeColor="background1"/>
                <w:sz w:val="18"/>
                <w:szCs w:val="18"/>
              </w:rPr>
              <w:t>Number of district plan</w:t>
            </w:r>
            <w:r>
              <w:rPr>
                <w:rFonts w:cs="Times New Roman"/>
                <w:bCs/>
                <w:color w:val="FFFFFF" w:themeColor="background1"/>
                <w:sz w:val="18"/>
                <w:szCs w:val="18"/>
              </w:rPr>
              <w:t>s</w:t>
            </w:r>
            <w:r w:rsidRPr="000358FD">
              <w:rPr>
                <w:rFonts w:cs="Times New Roman"/>
                <w:bCs/>
                <w:color w:val="FFFFFF" w:themeColor="background1"/>
                <w:sz w:val="18"/>
                <w:szCs w:val="18"/>
              </w:rPr>
              <w:t xml:space="preserve"> </w:t>
            </w:r>
          </w:p>
        </w:tc>
      </w:tr>
      <w:tr w:rsidR="00C24F12" w:rsidRPr="005C4AD0" w:rsidTr="00E34FC4">
        <w:tc>
          <w:tcPr>
            <w:tcW w:w="2980" w:type="pct"/>
            <w:tcBorders>
              <w:top w:val="single" w:sz="4" w:space="0" w:color="17556C"/>
              <w:bottom w:val="single" w:sz="4" w:space="0" w:color="17556C"/>
              <w:right w:val="single" w:sz="4" w:space="0" w:color="17556C"/>
            </w:tcBorders>
            <w:hideMark/>
          </w:tcPr>
          <w:p w:rsidR="00C24F12" w:rsidRPr="000358FD" w:rsidRDefault="00C24F12" w:rsidP="00D36515">
            <w:pPr>
              <w:pStyle w:val="BodyText"/>
              <w:spacing w:before="60" w:after="60" w:line="240" w:lineRule="auto"/>
              <w:rPr>
                <w:rFonts w:cs="Times New Roman"/>
                <w:sz w:val="18"/>
                <w:szCs w:val="18"/>
              </w:rPr>
            </w:pPr>
            <w:r w:rsidRPr="000358FD">
              <w:rPr>
                <w:rFonts w:cs="Times New Roman"/>
                <w:sz w:val="18"/>
                <w:szCs w:val="18"/>
              </w:rPr>
              <w:t>No objectives/policies</w:t>
            </w:r>
          </w:p>
        </w:tc>
        <w:tc>
          <w:tcPr>
            <w:tcW w:w="0" w:type="auto"/>
            <w:tcBorders>
              <w:top w:val="single" w:sz="4" w:space="0" w:color="17556C"/>
              <w:left w:val="single" w:sz="4" w:space="0" w:color="17556C"/>
              <w:bottom w:val="single" w:sz="4" w:space="0" w:color="17556C"/>
            </w:tcBorders>
            <w:hideMark/>
          </w:tcPr>
          <w:p w:rsidR="00C24F12" w:rsidRPr="000358FD" w:rsidRDefault="00C24F12" w:rsidP="00D36515">
            <w:pPr>
              <w:pStyle w:val="BodyText"/>
              <w:spacing w:before="60" w:after="60" w:line="240" w:lineRule="auto"/>
              <w:rPr>
                <w:rFonts w:cs="Times New Roman"/>
                <w:sz w:val="18"/>
                <w:szCs w:val="18"/>
              </w:rPr>
            </w:pPr>
            <w:r w:rsidRPr="000358FD">
              <w:rPr>
                <w:rFonts w:cs="Times New Roman"/>
                <w:sz w:val="18"/>
                <w:szCs w:val="18"/>
              </w:rPr>
              <w:t>27</w:t>
            </w:r>
          </w:p>
        </w:tc>
      </w:tr>
      <w:tr w:rsidR="00C24F12" w:rsidRPr="005C4AD0" w:rsidTr="00E34FC4">
        <w:tc>
          <w:tcPr>
            <w:tcW w:w="2980" w:type="pct"/>
            <w:tcBorders>
              <w:top w:val="single" w:sz="4" w:space="0" w:color="17556C"/>
              <w:bottom w:val="single" w:sz="4" w:space="0" w:color="17556C"/>
              <w:right w:val="single" w:sz="4" w:space="0" w:color="17556C"/>
            </w:tcBorders>
            <w:hideMark/>
          </w:tcPr>
          <w:p w:rsidR="00C24F12" w:rsidRPr="000358FD" w:rsidRDefault="00C24F12" w:rsidP="00D36515">
            <w:pPr>
              <w:pStyle w:val="BodyText"/>
              <w:spacing w:before="60" w:after="60" w:line="240" w:lineRule="auto"/>
              <w:rPr>
                <w:rFonts w:cs="Times New Roman"/>
                <w:sz w:val="18"/>
                <w:szCs w:val="18"/>
              </w:rPr>
            </w:pPr>
            <w:r w:rsidRPr="000358FD">
              <w:rPr>
                <w:rFonts w:cs="Times New Roman"/>
                <w:sz w:val="18"/>
                <w:szCs w:val="18"/>
              </w:rPr>
              <w:t>No rules</w:t>
            </w:r>
          </w:p>
        </w:tc>
        <w:tc>
          <w:tcPr>
            <w:tcW w:w="0" w:type="auto"/>
            <w:tcBorders>
              <w:top w:val="single" w:sz="4" w:space="0" w:color="17556C"/>
              <w:left w:val="single" w:sz="4" w:space="0" w:color="17556C"/>
              <w:bottom w:val="single" w:sz="4" w:space="0" w:color="17556C"/>
            </w:tcBorders>
            <w:hideMark/>
          </w:tcPr>
          <w:p w:rsidR="00C24F12" w:rsidRPr="000358FD" w:rsidRDefault="00C24F12" w:rsidP="00D36515">
            <w:pPr>
              <w:pStyle w:val="BodyText"/>
              <w:spacing w:before="60" w:after="60" w:line="240" w:lineRule="auto"/>
              <w:rPr>
                <w:rFonts w:cs="Times New Roman"/>
                <w:sz w:val="18"/>
                <w:szCs w:val="18"/>
              </w:rPr>
            </w:pPr>
            <w:r w:rsidRPr="000358FD">
              <w:rPr>
                <w:rFonts w:cs="Times New Roman"/>
                <w:sz w:val="18"/>
                <w:szCs w:val="18"/>
              </w:rPr>
              <w:t>55</w:t>
            </w:r>
          </w:p>
        </w:tc>
      </w:tr>
      <w:tr w:rsidR="00C24F12" w:rsidRPr="005C4AD0" w:rsidTr="00E34FC4">
        <w:tc>
          <w:tcPr>
            <w:tcW w:w="2980" w:type="pct"/>
            <w:tcBorders>
              <w:top w:val="single" w:sz="4" w:space="0" w:color="17556C"/>
              <w:bottom w:val="single" w:sz="4" w:space="0" w:color="17556C"/>
              <w:right w:val="single" w:sz="4" w:space="0" w:color="17556C"/>
            </w:tcBorders>
            <w:hideMark/>
          </w:tcPr>
          <w:p w:rsidR="00C24F12" w:rsidRPr="000358FD" w:rsidRDefault="00C24F12" w:rsidP="00D36515">
            <w:pPr>
              <w:pStyle w:val="BodyText"/>
              <w:spacing w:before="60" w:after="60" w:line="240" w:lineRule="auto"/>
              <w:rPr>
                <w:rFonts w:cs="Times New Roman"/>
                <w:sz w:val="18"/>
                <w:szCs w:val="18"/>
              </w:rPr>
            </w:pPr>
            <w:r w:rsidRPr="000358FD">
              <w:rPr>
                <w:rFonts w:cs="Times New Roman"/>
                <w:sz w:val="18"/>
                <w:szCs w:val="18"/>
              </w:rPr>
              <w:t>No rules for section 31 functions</w:t>
            </w:r>
          </w:p>
        </w:tc>
        <w:tc>
          <w:tcPr>
            <w:tcW w:w="0" w:type="auto"/>
            <w:tcBorders>
              <w:top w:val="single" w:sz="4" w:space="0" w:color="17556C"/>
              <w:left w:val="single" w:sz="4" w:space="0" w:color="17556C"/>
              <w:bottom w:val="single" w:sz="4" w:space="0" w:color="17556C"/>
            </w:tcBorders>
            <w:hideMark/>
          </w:tcPr>
          <w:p w:rsidR="00C24F12" w:rsidRPr="000358FD" w:rsidRDefault="00C24F12" w:rsidP="00D36515">
            <w:pPr>
              <w:pStyle w:val="BodyText"/>
              <w:spacing w:before="60" w:after="60" w:line="240" w:lineRule="auto"/>
              <w:rPr>
                <w:rFonts w:cs="Times New Roman"/>
                <w:sz w:val="18"/>
                <w:szCs w:val="18"/>
              </w:rPr>
            </w:pPr>
            <w:r w:rsidRPr="000358FD">
              <w:rPr>
                <w:rFonts w:cs="Times New Roman"/>
                <w:sz w:val="18"/>
                <w:szCs w:val="18"/>
              </w:rPr>
              <w:t>59</w:t>
            </w:r>
          </w:p>
        </w:tc>
      </w:tr>
    </w:tbl>
    <w:p w:rsidR="00C24F12" w:rsidRPr="00725E07" w:rsidRDefault="00C24F12" w:rsidP="00C24F12">
      <w:pPr>
        <w:pStyle w:val="BodyText"/>
        <w:rPr>
          <w:rFonts w:eastAsiaTheme="minorHAnsi" w:cs="Arial"/>
          <w:lang w:eastAsia="en-US"/>
        </w:rPr>
      </w:pPr>
      <w:r>
        <w:t>The 2007 review concluded it was highly likely</w:t>
      </w:r>
      <w:r w:rsidRPr="00725E07">
        <w:t xml:space="preserve"> that contamination was not being identified at the time land was developed</w:t>
      </w:r>
      <w:r>
        <w:t>,</w:t>
      </w:r>
      <w:r w:rsidRPr="00725E07">
        <w:t xml:space="preserve"> and potential risks were being passed on to subsequent purchasers. More information on the context for developing a national standard on contaminants in soil is provided in the </w:t>
      </w:r>
      <w:hyperlink r:id="rId20" w:history="1">
        <w:r w:rsidRPr="008A21CF">
          <w:rPr>
            <w:rStyle w:val="Hyperlink"/>
            <w:rFonts w:asciiTheme="minorHAnsi" w:eastAsiaTheme="minorHAnsi" w:hAnsiTheme="minorHAnsi" w:cs="Arial"/>
            <w:i/>
            <w:iCs/>
            <w:u w:val="none"/>
            <w:lang w:eastAsia="en-US"/>
          </w:rPr>
          <w:t>Proposed National Environmental Standard for Assessing and Managing Contaminants in Soil: Discussion Document</w:t>
        </w:r>
      </w:hyperlink>
      <w:r w:rsidRPr="00725E07" w:rsidDel="00FF2330">
        <w:rPr>
          <w:i/>
        </w:rPr>
        <w:t xml:space="preserve"> </w:t>
      </w:r>
      <w:r w:rsidRPr="00725E07">
        <w:t>(</w:t>
      </w:r>
      <w:proofErr w:type="spellStart"/>
      <w:r w:rsidRPr="00725E07">
        <w:t>MfE</w:t>
      </w:r>
      <w:proofErr w:type="spellEnd"/>
      <w:r w:rsidRPr="00725E07">
        <w:t xml:space="preserve">, 2010). </w:t>
      </w:r>
    </w:p>
    <w:p w:rsidR="00C24F12" w:rsidRDefault="00C24F12" w:rsidP="00C24F12">
      <w:pPr>
        <w:pStyle w:val="Heading2"/>
      </w:pPr>
      <w:bookmarkStart w:id="26" w:name="_Toc422307704"/>
      <w:bookmarkStart w:id="27" w:name="_Toc422312865"/>
      <w:bookmarkStart w:id="28" w:name="_Toc422312937"/>
      <w:bookmarkStart w:id="29" w:name="_Toc425338550"/>
      <w:r>
        <w:t>1.3 Interim review of the NESCS</w:t>
      </w:r>
      <w:bookmarkEnd w:id="26"/>
      <w:bookmarkEnd w:id="27"/>
      <w:bookmarkEnd w:id="28"/>
      <w:bookmarkEnd w:id="29"/>
      <w:r>
        <w:t xml:space="preserve"> </w:t>
      </w:r>
    </w:p>
    <w:p w:rsidR="00C24F12" w:rsidRPr="00FD4C6B" w:rsidRDefault="00C24F12" w:rsidP="00C24F12">
      <w:pPr>
        <w:pStyle w:val="BodyText"/>
        <w:rPr>
          <w:lang w:eastAsia="en-US"/>
        </w:rPr>
      </w:pPr>
      <w:r w:rsidRPr="00FD4C6B">
        <w:rPr>
          <w:lang w:eastAsia="en-US"/>
        </w:rPr>
        <w:t>In July 2013, feedback provided to the Ministry through the Resource Management Act Survey of Local Authorities 2012/13 showed that councils were not implementing the NESCS consistently</w:t>
      </w:r>
      <w:r w:rsidR="008E0F86">
        <w:rPr>
          <w:lang w:eastAsia="en-US"/>
        </w:rPr>
        <w:t>.</w:t>
      </w:r>
    </w:p>
    <w:p w:rsidR="00C24F12" w:rsidRPr="00FD4C6B" w:rsidRDefault="00C24F12" w:rsidP="00C24F12">
      <w:pPr>
        <w:pStyle w:val="Bullet"/>
      </w:pPr>
      <w:r w:rsidRPr="00FD4C6B">
        <w:t xml:space="preserve">There </w:t>
      </w:r>
      <w:r>
        <w:t xml:space="preserve">were numerous interpretations of key terms within the NESCS. </w:t>
      </w:r>
    </w:p>
    <w:p w:rsidR="00C24F12" w:rsidRPr="00FD4C6B" w:rsidRDefault="00C24F12" w:rsidP="00C24F12">
      <w:pPr>
        <w:pStyle w:val="Bullet"/>
      </w:pPr>
      <w:r w:rsidRPr="00FD4C6B">
        <w:t xml:space="preserve">Several </w:t>
      </w:r>
      <w:r>
        <w:t>territorial</w:t>
      </w:r>
      <w:r w:rsidRPr="00FD4C6B">
        <w:t xml:space="preserve"> authorities identified capability issues as a major hindrance. Many felt they </w:t>
      </w:r>
      <w:r>
        <w:t>did not have sufficient resources to meet the requirements of the NESCS</w:t>
      </w:r>
      <w:r w:rsidRPr="00FD4C6B">
        <w:t xml:space="preserve"> and as a result</w:t>
      </w:r>
      <w:r>
        <w:t xml:space="preserve"> were</w:t>
      </w:r>
      <w:r w:rsidRPr="00FD4C6B">
        <w:t xml:space="preserve"> struggling to fulfil their responsibilities</w:t>
      </w:r>
      <w:r>
        <w:t>.</w:t>
      </w:r>
    </w:p>
    <w:p w:rsidR="00C24F12" w:rsidRPr="00FD4C6B" w:rsidRDefault="00C24F12" w:rsidP="00C24F12">
      <w:pPr>
        <w:pStyle w:val="Bullet"/>
      </w:pPr>
      <w:r w:rsidRPr="00FD4C6B">
        <w:t xml:space="preserve">There was </w:t>
      </w:r>
      <w:r>
        <w:t>limited</w:t>
      </w:r>
      <w:r w:rsidRPr="00FD4C6B">
        <w:t xml:space="preserve"> understanding of local authorities</w:t>
      </w:r>
      <w:r>
        <w:t xml:space="preserve">' </w:t>
      </w:r>
      <w:r w:rsidRPr="00FD4C6B">
        <w:t>responsibilities under the NESCS</w:t>
      </w:r>
      <w:r>
        <w:t>,</w:t>
      </w:r>
      <w:r w:rsidRPr="00FD4C6B">
        <w:t xml:space="preserve"> with </w:t>
      </w:r>
      <w:r>
        <w:t>resulting</w:t>
      </w:r>
      <w:r w:rsidRPr="00FD4C6B">
        <w:t xml:space="preserve"> difficulties in enforcing the NESCS. </w:t>
      </w:r>
    </w:p>
    <w:p w:rsidR="00C24F12" w:rsidRDefault="00C24F12" w:rsidP="00C24F12">
      <w:pPr>
        <w:pStyle w:val="BodyText"/>
      </w:pPr>
      <w:r w:rsidRPr="006F641C">
        <w:rPr>
          <w:rStyle w:val="BodyTextChar"/>
        </w:rPr>
        <w:t xml:space="preserve">Following the earthquakes in Christchurch, </w:t>
      </w:r>
      <w:r>
        <w:rPr>
          <w:rStyle w:val="BodyTextChar"/>
        </w:rPr>
        <w:t>local</w:t>
      </w:r>
      <w:r w:rsidRPr="006F641C">
        <w:rPr>
          <w:rStyle w:val="BodyTextChar"/>
        </w:rPr>
        <w:t xml:space="preserve"> agencies recognised that the requirements of the NESCS would be widely applicable to the rebuild, as soil disturbance was required for a significant proportion of repair works. </w:t>
      </w:r>
      <w:r>
        <w:rPr>
          <w:rStyle w:val="BodyTextChar"/>
        </w:rPr>
        <w:t>T</w:t>
      </w:r>
      <w:r w:rsidRPr="006F641C">
        <w:rPr>
          <w:rStyle w:val="BodyTextChar"/>
        </w:rPr>
        <w:t>o facilitate the rebuild and remove delays associated with the NESCS, Environment Canterbury undertook large scale identification of HAIL land in greater Christchurch. This process identified a further 11,000</w:t>
      </w:r>
      <w:r w:rsidRPr="00FD4C6B">
        <w:t xml:space="preserve"> properties as HAIL</w:t>
      </w:r>
      <w:r>
        <w:t>,</w:t>
      </w:r>
      <w:r w:rsidRPr="00FD4C6B">
        <w:t xml:space="preserve"> in addition to the 8000 previously identified</w:t>
      </w:r>
      <w:r>
        <w:t xml:space="preserve"> in the Canterbury region</w:t>
      </w:r>
      <w:r w:rsidRPr="00FD4C6B">
        <w:t xml:space="preserve">. </w:t>
      </w:r>
    </w:p>
    <w:p w:rsidR="00C24F12" w:rsidRPr="00FD4C6B" w:rsidRDefault="00C24F12" w:rsidP="00C24F12">
      <w:pPr>
        <w:pStyle w:val="BodyText"/>
        <w:rPr>
          <w:rFonts w:cs="Arial"/>
          <w:lang w:eastAsia="en-US"/>
        </w:rPr>
      </w:pPr>
      <w:r>
        <w:rPr>
          <w:rFonts w:cs="Arial"/>
          <w:lang w:eastAsia="en-US"/>
        </w:rPr>
        <w:t>In this</w:t>
      </w:r>
      <w:r w:rsidRPr="00FD4C6B">
        <w:rPr>
          <w:rFonts w:cs="Arial"/>
          <w:lang w:eastAsia="en-US"/>
        </w:rPr>
        <w:t xml:space="preserve"> context</w:t>
      </w:r>
      <w:r>
        <w:rPr>
          <w:rFonts w:cs="Arial"/>
          <w:lang w:eastAsia="en-US"/>
        </w:rPr>
        <w:t xml:space="preserve">, the Ministry decided to conduct an interim review to improve our understanding </w:t>
      </w:r>
      <w:r w:rsidRPr="00FD4C6B">
        <w:rPr>
          <w:rFonts w:cs="Arial"/>
          <w:lang w:eastAsia="en-US"/>
        </w:rPr>
        <w:t xml:space="preserve">of how the NESCS was working in practice, </w:t>
      </w:r>
      <w:r>
        <w:rPr>
          <w:rFonts w:cs="Arial"/>
          <w:lang w:eastAsia="en-US"/>
        </w:rPr>
        <w:t xml:space="preserve">and </w:t>
      </w:r>
      <w:r w:rsidRPr="00FD4C6B">
        <w:rPr>
          <w:rFonts w:cs="Arial"/>
          <w:lang w:eastAsia="en-US"/>
        </w:rPr>
        <w:t xml:space="preserve">to identify the specific obstacles to effective implementation of the NESCS. </w:t>
      </w:r>
      <w:r>
        <w:rPr>
          <w:rFonts w:cs="Arial"/>
          <w:lang w:eastAsia="en-US"/>
        </w:rPr>
        <w:t>Evidence gathering for the review</w:t>
      </w:r>
      <w:r w:rsidRPr="00FD4C6B">
        <w:rPr>
          <w:rFonts w:cs="Arial"/>
          <w:lang w:eastAsia="en-US"/>
        </w:rPr>
        <w:t xml:space="preserve"> </w:t>
      </w:r>
      <w:r>
        <w:rPr>
          <w:rFonts w:cs="Arial"/>
          <w:lang w:eastAsia="en-US"/>
        </w:rPr>
        <w:t xml:space="preserve">took place </w:t>
      </w:r>
      <w:r w:rsidRPr="00FD4C6B">
        <w:rPr>
          <w:rFonts w:cs="Arial"/>
          <w:lang w:eastAsia="en-US"/>
        </w:rPr>
        <w:t xml:space="preserve">from July to December 2014. </w:t>
      </w:r>
    </w:p>
    <w:p w:rsidR="00C24F12" w:rsidRPr="00595B28" w:rsidRDefault="00C24F12" w:rsidP="00C24F12">
      <w:pPr>
        <w:pStyle w:val="Heading3"/>
      </w:pPr>
      <w:bookmarkStart w:id="30" w:name="_Toc422307705"/>
      <w:bookmarkStart w:id="31" w:name="_Toc422312866"/>
      <w:bookmarkStart w:id="32" w:name="_Toc422312938"/>
      <w:r>
        <w:t xml:space="preserve">1.3.1 </w:t>
      </w:r>
      <w:r w:rsidRPr="00595B28">
        <w:t>Scope of the interim review</w:t>
      </w:r>
      <w:bookmarkEnd w:id="30"/>
      <w:bookmarkEnd w:id="31"/>
      <w:bookmarkEnd w:id="32"/>
    </w:p>
    <w:p w:rsidR="00C24F12" w:rsidRDefault="00C24F12" w:rsidP="00C24F12">
      <w:pPr>
        <w:pStyle w:val="BodyText"/>
      </w:pPr>
      <w:r>
        <w:t>The interim review focused on three areas:</w:t>
      </w:r>
    </w:p>
    <w:p w:rsidR="00C24F12" w:rsidRPr="007755B0" w:rsidRDefault="00C24F12" w:rsidP="00C24F12">
      <w:pPr>
        <w:pStyle w:val="Bullet"/>
      </w:pPr>
      <w:r w:rsidRPr="007755B0">
        <w:t>How is the Hazardous Activities and Industries List (HAIL) framework working within the NESCS?</w:t>
      </w:r>
      <w:r>
        <w:t xml:space="preserve"> </w:t>
      </w:r>
    </w:p>
    <w:p w:rsidR="00C24F12" w:rsidRPr="007755B0" w:rsidRDefault="00C24F12" w:rsidP="00C24F12">
      <w:pPr>
        <w:pStyle w:val="Bullet"/>
      </w:pPr>
      <w:r w:rsidRPr="007755B0">
        <w:t>How</w:t>
      </w:r>
      <w:r>
        <w:t xml:space="preserve"> is the NECS being applied</w:t>
      </w:r>
      <w:r w:rsidRPr="007755B0">
        <w:t xml:space="preserve">, particularly </w:t>
      </w:r>
      <w:r w:rsidR="008E0F86">
        <w:t>for</w:t>
      </w:r>
      <w:r w:rsidRPr="007755B0">
        <w:t>:</w:t>
      </w:r>
    </w:p>
    <w:p w:rsidR="00C24F12" w:rsidRPr="007D5FDE" w:rsidRDefault="00C24F12" w:rsidP="009A0F77">
      <w:pPr>
        <w:pStyle w:val="Sub-bullet"/>
      </w:pPr>
      <w:r w:rsidRPr="007D5FDE">
        <w:t xml:space="preserve">soil disturbance </w:t>
      </w:r>
      <w:r>
        <w:t xml:space="preserve">and </w:t>
      </w:r>
      <w:r w:rsidRPr="007D5FDE">
        <w:t>removal of soil</w:t>
      </w:r>
    </w:p>
    <w:p w:rsidR="00C24F12" w:rsidRPr="00595B28" w:rsidRDefault="00C24F12" w:rsidP="009A0F77">
      <w:pPr>
        <w:pStyle w:val="Sub-bullet"/>
      </w:pPr>
      <w:r w:rsidRPr="00595B28">
        <w:t>subdivision</w:t>
      </w:r>
    </w:p>
    <w:p w:rsidR="00C24F12" w:rsidRDefault="00C24F12" w:rsidP="009A0F77">
      <w:pPr>
        <w:pStyle w:val="Sub-bullet"/>
      </w:pPr>
      <w:proofErr w:type="gramStart"/>
      <w:r w:rsidRPr="00595B28">
        <w:t>change</w:t>
      </w:r>
      <w:proofErr w:type="gramEnd"/>
      <w:r w:rsidRPr="00595B28">
        <w:t xml:space="preserve"> in land use</w:t>
      </w:r>
      <w:r>
        <w:t>?</w:t>
      </w:r>
    </w:p>
    <w:p w:rsidR="00C24F12" w:rsidRPr="006362C0" w:rsidRDefault="00C24F12" w:rsidP="00C24F12">
      <w:pPr>
        <w:pStyle w:val="Bullet"/>
      </w:pPr>
      <w:r>
        <w:t>Are sites obtaining NESCS consent being remediated, or are contaminants being managed on site? What factors are driving the approaches used?</w:t>
      </w:r>
    </w:p>
    <w:p w:rsidR="00C24F12" w:rsidRPr="00595B28" w:rsidRDefault="00C24F12" w:rsidP="00C24F12">
      <w:pPr>
        <w:pStyle w:val="BodyText"/>
      </w:pPr>
      <w:r>
        <w:t xml:space="preserve">The interim review did not look at whether the NESCS had achieved its intended outcomes. </w:t>
      </w:r>
      <w:r w:rsidRPr="00595B28">
        <w:t>A full evaluation of the NESCS outcomes will be carried out after the NESCS has been in place for at least five years.</w:t>
      </w:r>
    </w:p>
    <w:p w:rsidR="00C24F12" w:rsidRPr="00374DD3" w:rsidRDefault="00C24F12" w:rsidP="00C24F12">
      <w:pPr>
        <w:spacing w:before="0" w:after="200" w:line="276" w:lineRule="auto"/>
        <w:jc w:val="left"/>
        <w:rPr>
          <w:rFonts w:eastAsiaTheme="majorEastAsia" w:cstheme="majorBidi"/>
          <w:b/>
          <w:bCs/>
          <w:color w:val="17556C"/>
          <w:sz w:val="48"/>
          <w:szCs w:val="28"/>
        </w:rPr>
      </w:pPr>
      <w:r>
        <w:br w:type="page"/>
      </w:r>
    </w:p>
    <w:p w:rsidR="00C24F12" w:rsidRPr="0090741A" w:rsidRDefault="00C24F12" w:rsidP="00C24F12">
      <w:pPr>
        <w:pStyle w:val="Heading1"/>
      </w:pPr>
      <w:bookmarkStart w:id="33" w:name="_2._Methodology"/>
      <w:bookmarkStart w:id="34" w:name="_Toc422307706"/>
      <w:bookmarkStart w:id="35" w:name="_Toc422312867"/>
      <w:bookmarkStart w:id="36" w:name="_Toc422312939"/>
      <w:bookmarkStart w:id="37" w:name="_Toc425338551"/>
      <w:bookmarkEnd w:id="33"/>
      <w:r>
        <w:t xml:space="preserve">2. </w:t>
      </w:r>
      <w:r w:rsidRPr="0090741A">
        <w:t>Methodology</w:t>
      </w:r>
      <w:bookmarkEnd w:id="34"/>
      <w:bookmarkEnd w:id="35"/>
      <w:bookmarkEnd w:id="36"/>
      <w:bookmarkEnd w:id="37"/>
    </w:p>
    <w:p w:rsidR="00C24F12" w:rsidRPr="00263D5B" w:rsidRDefault="00C24F12" w:rsidP="00C24F12">
      <w:pPr>
        <w:pStyle w:val="BodyText"/>
      </w:pPr>
      <w:r w:rsidRPr="00263D5B">
        <w:t>The evidence</w:t>
      </w:r>
      <w:r>
        <w:t>-</w:t>
      </w:r>
      <w:r w:rsidRPr="00263D5B">
        <w:t xml:space="preserve">gathering phase of the review ran from </w:t>
      </w:r>
      <w:r>
        <w:t>July</w:t>
      </w:r>
      <w:r w:rsidRPr="00263D5B">
        <w:t xml:space="preserve"> </w:t>
      </w:r>
      <w:r>
        <w:t>to</w:t>
      </w:r>
      <w:r w:rsidRPr="00263D5B">
        <w:t xml:space="preserve"> December 2014. </w:t>
      </w:r>
      <w:r w:rsidR="00B94B15">
        <w:t>T</w:t>
      </w:r>
      <w:r w:rsidRPr="00263D5B">
        <w:t>he Ministry used a mixed methods approach to data collection</w:t>
      </w:r>
      <w:r w:rsidR="00B94B15">
        <w:t>.</w:t>
      </w:r>
      <w:r w:rsidRPr="00263D5B">
        <w:t xml:space="preserve"> </w:t>
      </w:r>
      <w:r w:rsidR="00B94B15">
        <w:t>Q</w:t>
      </w:r>
      <w:r w:rsidRPr="00263D5B">
        <w:t xml:space="preserve">uantitative and qualitative measures </w:t>
      </w:r>
      <w:r w:rsidR="00B94B15">
        <w:t xml:space="preserve">were used </w:t>
      </w:r>
      <w:r w:rsidRPr="00263D5B">
        <w:t xml:space="preserve">to provide a rounded understanding of the implementation of the NESCS. </w:t>
      </w:r>
    </w:p>
    <w:p w:rsidR="00C24F12" w:rsidRPr="00263D5B" w:rsidRDefault="00C24F12" w:rsidP="00C24F12">
      <w:pPr>
        <w:pStyle w:val="BodyText"/>
      </w:pPr>
      <w:r w:rsidRPr="00263D5B">
        <w:t xml:space="preserve">Quantitative </w:t>
      </w:r>
      <w:r>
        <w:t>data methods</w:t>
      </w:r>
      <w:r w:rsidRPr="00263D5B">
        <w:t xml:space="preserve"> were used to identify trends in the number and types of activities obtaining consents, and the types of HAIL sites being identified</w:t>
      </w:r>
      <w:r>
        <w:t>. This included</w:t>
      </w:r>
      <w:r w:rsidRPr="00263D5B">
        <w:t>:</w:t>
      </w:r>
    </w:p>
    <w:p w:rsidR="00C24F12" w:rsidRPr="00263D5B" w:rsidRDefault="00C24F12" w:rsidP="00C24F12">
      <w:pPr>
        <w:pStyle w:val="Bullet"/>
      </w:pPr>
      <w:proofErr w:type="gramStart"/>
      <w:r w:rsidRPr="00263D5B">
        <w:t>A consent</w:t>
      </w:r>
      <w:proofErr w:type="gramEnd"/>
      <w:r w:rsidRPr="00263D5B">
        <w:t xml:space="preserve"> review</w:t>
      </w:r>
      <w:r>
        <w:t>, which</w:t>
      </w:r>
      <w:r w:rsidRPr="00263D5B">
        <w:t xml:space="preserve"> collated data from 144 NESCS consent reports and site investigations. The consents and site investigations were from nine territorial authorities around the country, received between July 2013 </w:t>
      </w:r>
      <w:r>
        <w:t>and</w:t>
      </w:r>
      <w:r w:rsidRPr="00263D5B">
        <w:t xml:space="preserve"> July 2014</w:t>
      </w:r>
      <w:r>
        <w:t xml:space="preserve"> (referred to as the Consent Review in this report)</w:t>
      </w:r>
      <w:r w:rsidRPr="00263D5B">
        <w:t xml:space="preserve">. </w:t>
      </w:r>
    </w:p>
    <w:p w:rsidR="00C24F12" w:rsidRPr="00263D5B" w:rsidRDefault="00C24F12" w:rsidP="00C24F12">
      <w:pPr>
        <w:pStyle w:val="Bullet"/>
      </w:pPr>
      <w:r w:rsidRPr="00263D5B">
        <w:t>The numbers of NESCS consents</w:t>
      </w:r>
      <w:r>
        <w:t>,</w:t>
      </w:r>
      <w:r w:rsidRPr="00263D5B">
        <w:t xml:space="preserve"> and the types of activities obtaining NESCS consent</w:t>
      </w:r>
      <w:r>
        <w:t>,</w:t>
      </w:r>
      <w:r w:rsidRPr="00263D5B">
        <w:t xml:space="preserve"> were monitored in Christchurch over a six</w:t>
      </w:r>
      <w:r>
        <w:t>-</w:t>
      </w:r>
      <w:r w:rsidRPr="00263D5B">
        <w:t>month period, to understand the impact of the NESCS on the rebuild and the effectiveness of agencies’ measures</w:t>
      </w:r>
      <w:r>
        <w:t xml:space="preserve"> to streamline NESCS consenting processes</w:t>
      </w:r>
      <w:r w:rsidRPr="00263D5B">
        <w:t>.</w:t>
      </w:r>
    </w:p>
    <w:p w:rsidR="00C24F12" w:rsidRPr="00263D5B" w:rsidRDefault="00C24F12" w:rsidP="00C24F12">
      <w:pPr>
        <w:pStyle w:val="Bullet"/>
      </w:pPr>
      <w:r w:rsidRPr="00263D5B">
        <w:t xml:space="preserve">The results of the </w:t>
      </w:r>
      <w:hyperlink r:id="rId21" w:history="1">
        <w:r w:rsidRPr="008A21CF">
          <w:rPr>
            <w:rStyle w:val="Hyperlink"/>
            <w:i/>
            <w:u w:val="none"/>
          </w:rPr>
          <w:t>Resource Management Act: Two-yearly Survey of Local Authorities 201</w:t>
        </w:r>
        <w:r w:rsidR="00A34F66" w:rsidRPr="008A21CF">
          <w:rPr>
            <w:rStyle w:val="Hyperlink"/>
            <w:i/>
            <w:u w:val="none"/>
          </w:rPr>
          <w:t>2</w:t>
        </w:r>
        <w:r w:rsidRPr="008A21CF">
          <w:rPr>
            <w:rStyle w:val="Hyperlink"/>
            <w:i/>
            <w:u w:val="none"/>
          </w:rPr>
          <w:t>/1</w:t>
        </w:r>
        <w:r w:rsidR="00A34F66" w:rsidRPr="008A21CF">
          <w:rPr>
            <w:rStyle w:val="Hyperlink"/>
            <w:i/>
            <w:u w:val="none"/>
          </w:rPr>
          <w:t>3</w:t>
        </w:r>
      </w:hyperlink>
      <w:r w:rsidRPr="00263D5B">
        <w:t xml:space="preserve"> </w:t>
      </w:r>
      <w:r>
        <w:t>(</w:t>
      </w:r>
      <w:proofErr w:type="spellStart"/>
      <w:r>
        <w:t>MfE</w:t>
      </w:r>
      <w:proofErr w:type="spellEnd"/>
      <w:r>
        <w:t xml:space="preserve">, 2014) </w:t>
      </w:r>
      <w:proofErr w:type="gramStart"/>
      <w:r w:rsidRPr="00263D5B">
        <w:t>were</w:t>
      </w:r>
      <w:proofErr w:type="gramEnd"/>
      <w:r w:rsidRPr="00263D5B">
        <w:t xml:space="preserve"> reviewed.</w:t>
      </w:r>
    </w:p>
    <w:p w:rsidR="00C24F12" w:rsidRPr="00263D5B" w:rsidRDefault="00C24F12" w:rsidP="00C24F12">
      <w:pPr>
        <w:pStyle w:val="BodyText"/>
      </w:pPr>
      <w:r w:rsidRPr="00263D5B">
        <w:t xml:space="preserve">Qualitative </w:t>
      </w:r>
      <w:r>
        <w:t>data methods</w:t>
      </w:r>
      <w:r w:rsidRPr="00263D5B">
        <w:t xml:space="preserve"> were used to understand </w:t>
      </w:r>
      <w:r>
        <w:t xml:space="preserve">trends in how the NESCS was working and </w:t>
      </w:r>
      <w:r w:rsidRPr="00263D5B">
        <w:t>the drivers of trends. The intent was to gain the perspectives of a wide range of stakeholders:</w:t>
      </w:r>
    </w:p>
    <w:p w:rsidR="00C24F12" w:rsidRPr="00263D5B" w:rsidRDefault="00C24F12" w:rsidP="00C24F12">
      <w:pPr>
        <w:pStyle w:val="Bullet"/>
      </w:pPr>
      <w:r w:rsidRPr="00263D5B">
        <w:t xml:space="preserve">Five focus groups were held with representatives from territorial authorities, regional councils and contaminated land practitioners. The groups </w:t>
      </w:r>
      <w:r>
        <w:t>had a range</w:t>
      </w:r>
      <w:r w:rsidRPr="00263D5B">
        <w:t xml:space="preserve"> of representatives, from large and small organisations</w:t>
      </w:r>
      <w:r>
        <w:t>.</w:t>
      </w:r>
      <w:r w:rsidRPr="00263D5B">
        <w:t xml:space="preserve"> </w:t>
      </w:r>
    </w:p>
    <w:p w:rsidR="00C24F12" w:rsidRPr="00263D5B" w:rsidRDefault="00C24F12" w:rsidP="00C24F12">
      <w:pPr>
        <w:pStyle w:val="Bullet"/>
      </w:pPr>
      <w:r w:rsidRPr="00263D5B">
        <w:t xml:space="preserve">A survey targeting the private sector was undertaken in September 2014, </w:t>
      </w:r>
      <w:r>
        <w:t>which</w:t>
      </w:r>
      <w:r w:rsidRPr="00263D5B">
        <w:t xml:space="preserve"> gathered information on the experiences of the private sector such as the types of consents being obtained and </w:t>
      </w:r>
      <w:r>
        <w:t xml:space="preserve">sources of </w:t>
      </w:r>
      <w:r w:rsidRPr="00263D5B">
        <w:t>inconsistencies</w:t>
      </w:r>
      <w:r>
        <w:t xml:space="preserve"> in the NESCS process.</w:t>
      </w:r>
    </w:p>
    <w:p w:rsidR="00C24F12" w:rsidRPr="00263D5B" w:rsidRDefault="00C24F12" w:rsidP="00C24F12">
      <w:pPr>
        <w:pStyle w:val="Bullet"/>
      </w:pPr>
      <w:r w:rsidRPr="00263D5B">
        <w:t>Meetings were held with industry representatives</w:t>
      </w:r>
      <w:r>
        <w:t>.</w:t>
      </w:r>
    </w:p>
    <w:p w:rsidR="00C24F12" w:rsidRPr="00263D5B" w:rsidRDefault="00C24F12" w:rsidP="00C24F12">
      <w:pPr>
        <w:pStyle w:val="Bullet"/>
      </w:pPr>
      <w:r w:rsidRPr="00263D5B">
        <w:t xml:space="preserve">Correspondence and reports received by the Ministry </w:t>
      </w:r>
      <w:r w:rsidR="00B94B15">
        <w:t>following implementation of the NESCS</w:t>
      </w:r>
      <w:r w:rsidRPr="00263D5B">
        <w:t xml:space="preserve"> were reviewed</w:t>
      </w:r>
      <w:r>
        <w:t xml:space="preserve">. </w:t>
      </w:r>
    </w:p>
    <w:p w:rsidR="00C24F12" w:rsidRPr="0066004A" w:rsidRDefault="00C24F12" w:rsidP="00C24F12">
      <w:pPr>
        <w:pStyle w:val="BodyText"/>
      </w:pPr>
      <w:r w:rsidRPr="0066004A">
        <w:t>This report summarises the</w:t>
      </w:r>
      <w:r>
        <w:t xml:space="preserve"> key</w:t>
      </w:r>
      <w:r w:rsidRPr="0066004A">
        <w:t xml:space="preserve"> findings of the </w:t>
      </w:r>
      <w:r>
        <w:t>interim review. It</w:t>
      </w:r>
      <w:r w:rsidRPr="0066004A">
        <w:t xml:space="preserve"> is based on a synthesis of the best available sources of quantitative and qualitative information at the time</w:t>
      </w:r>
      <w:r>
        <w:t>.</w:t>
      </w:r>
      <w:r w:rsidRPr="0066004A">
        <w:t xml:space="preserve"> </w:t>
      </w:r>
    </w:p>
    <w:p w:rsidR="00C24F12" w:rsidRPr="0090741A" w:rsidRDefault="00C24F12" w:rsidP="00C24F12">
      <w:pPr>
        <w:pStyle w:val="Heading2"/>
      </w:pPr>
      <w:bookmarkStart w:id="38" w:name="_Toc422307707"/>
      <w:bookmarkStart w:id="39" w:name="_Toc422312868"/>
      <w:bookmarkStart w:id="40" w:name="_Toc422312940"/>
      <w:bookmarkStart w:id="41" w:name="_Toc425338552"/>
      <w:r>
        <w:t>2.1</w:t>
      </w:r>
      <w:r>
        <w:tab/>
        <w:t>Structure of this report</w:t>
      </w:r>
      <w:bookmarkEnd w:id="38"/>
      <w:bookmarkEnd w:id="39"/>
      <w:bookmarkEnd w:id="40"/>
      <w:bookmarkEnd w:id="41"/>
    </w:p>
    <w:p w:rsidR="00C24F12" w:rsidRDefault="00C24F12" w:rsidP="00C24F12">
      <w:pPr>
        <w:pStyle w:val="BodyText"/>
      </w:pPr>
      <w:r>
        <w:t>This report presents the findings of the interim review in three sections:</w:t>
      </w:r>
    </w:p>
    <w:p w:rsidR="00C24F12" w:rsidRPr="008A21CF" w:rsidRDefault="00326135" w:rsidP="00C24F12">
      <w:pPr>
        <w:pStyle w:val="Bullet"/>
      </w:pPr>
      <w:hyperlink w:anchor="_3._Hazardous_Activities" w:history="1">
        <w:r w:rsidR="00C24F12" w:rsidRPr="008A21CF">
          <w:rPr>
            <w:rStyle w:val="Hyperlink"/>
            <w:u w:val="none"/>
          </w:rPr>
          <w:t>HAIL and the NESCS</w:t>
        </w:r>
      </w:hyperlink>
    </w:p>
    <w:p w:rsidR="00C24F12" w:rsidRPr="008A21CF" w:rsidRDefault="00326135" w:rsidP="00C24F12">
      <w:pPr>
        <w:pStyle w:val="Bullet"/>
      </w:pPr>
      <w:hyperlink w:anchor="_4._Management_approaches" w:history="1">
        <w:r w:rsidR="00C24F12" w:rsidRPr="008A21CF">
          <w:rPr>
            <w:rStyle w:val="Hyperlink"/>
            <w:u w:val="none"/>
          </w:rPr>
          <w:t>management approaches for sites obtaining NESCS consents</w:t>
        </w:r>
      </w:hyperlink>
    </w:p>
    <w:p w:rsidR="00C24F12" w:rsidRDefault="00326135" w:rsidP="00C24F12">
      <w:pPr>
        <w:pStyle w:val="Bullet"/>
      </w:pPr>
      <w:hyperlink w:anchor="_5._How_the" w:history="1">
        <w:proofErr w:type="gramStart"/>
        <w:r w:rsidR="00C24F12" w:rsidRPr="008A21CF">
          <w:rPr>
            <w:rStyle w:val="Hyperlink"/>
            <w:u w:val="none"/>
          </w:rPr>
          <w:t>how</w:t>
        </w:r>
        <w:proofErr w:type="gramEnd"/>
        <w:r w:rsidR="00C24F12" w:rsidRPr="008A21CF">
          <w:rPr>
            <w:rStyle w:val="Hyperlink"/>
            <w:u w:val="none"/>
          </w:rPr>
          <w:t xml:space="preserve"> the NESCS is applied</w:t>
        </w:r>
      </w:hyperlink>
      <w:r w:rsidR="00C24F12">
        <w:t>.</w:t>
      </w:r>
    </w:p>
    <w:p w:rsidR="00C24F12" w:rsidRPr="00263D5B" w:rsidRDefault="00C24F12" w:rsidP="00C24F12">
      <w:pPr>
        <w:pStyle w:val="BodyText"/>
      </w:pPr>
      <w:r>
        <w:t xml:space="preserve">Key conclusions from the review are outlined in </w:t>
      </w:r>
      <w:hyperlink w:anchor="_6._Conclusions" w:history="1">
        <w:r w:rsidR="00A34F66" w:rsidRPr="008A21CF">
          <w:rPr>
            <w:rStyle w:val="Hyperlink"/>
            <w:u w:val="none"/>
          </w:rPr>
          <w:t xml:space="preserve">section </w:t>
        </w:r>
        <w:r w:rsidRPr="008A21CF">
          <w:rPr>
            <w:rStyle w:val="Hyperlink"/>
            <w:u w:val="none"/>
          </w:rPr>
          <w:t>6</w:t>
        </w:r>
      </w:hyperlink>
      <w:r>
        <w:t>.</w:t>
      </w:r>
    </w:p>
    <w:p w:rsidR="00C24F12" w:rsidRPr="00F82008" w:rsidRDefault="00C24F12" w:rsidP="00C24F12">
      <w:pPr>
        <w:pStyle w:val="Heading1"/>
      </w:pPr>
      <w:bookmarkStart w:id="42" w:name="_3._Hazardous_Activities"/>
      <w:bookmarkStart w:id="43" w:name="_Toc422307708"/>
      <w:bookmarkStart w:id="44" w:name="_Toc422312869"/>
      <w:bookmarkStart w:id="45" w:name="_Toc422312941"/>
      <w:bookmarkStart w:id="46" w:name="_Toc425338553"/>
      <w:bookmarkEnd w:id="42"/>
      <w:r>
        <w:t xml:space="preserve">3. </w:t>
      </w:r>
      <w:r w:rsidRPr="007755B0">
        <w:t xml:space="preserve">Hazardous Activities and Industries List (HAIL) </w:t>
      </w:r>
      <w:r>
        <w:t>and the NESCS</w:t>
      </w:r>
      <w:bookmarkEnd w:id="43"/>
      <w:bookmarkEnd w:id="44"/>
      <w:bookmarkEnd w:id="45"/>
      <w:bookmarkEnd w:id="46"/>
    </w:p>
    <w:p w:rsidR="00C24F12" w:rsidRDefault="00B94B15" w:rsidP="00C24F12">
      <w:pPr>
        <w:pStyle w:val="BodyText"/>
      </w:pPr>
      <w:r w:rsidRPr="008926F9">
        <w:rPr>
          <w:bCs/>
        </w:rPr>
        <w:t>The NESCS only applies to</w:t>
      </w:r>
      <w:r>
        <w:rPr>
          <w:bCs/>
        </w:rPr>
        <w:t xml:space="preserve"> the piece of</w:t>
      </w:r>
      <w:r w:rsidRPr="008926F9">
        <w:rPr>
          <w:bCs/>
        </w:rPr>
        <w:t xml:space="preserve"> land on which </w:t>
      </w:r>
      <w:r w:rsidRPr="008926F9">
        <w:t xml:space="preserve">an activity or industry on the HAIL is, has been, or is more likely than not to have been undertaken. </w:t>
      </w:r>
      <w:r w:rsidR="00C24F12">
        <w:t>Referencing</w:t>
      </w:r>
      <w:r w:rsidR="00C24F12" w:rsidRPr="00674D31">
        <w:t xml:space="preserve"> the HAIL was intended to target the NESCS to land where t</w:t>
      </w:r>
      <w:r w:rsidR="00C24F12">
        <w:t>here was a risk to human health,</w:t>
      </w:r>
      <w:r w:rsidR="00C24F12" w:rsidRPr="00674D31">
        <w:t xml:space="preserve"> </w:t>
      </w:r>
      <w:r w:rsidR="00C24F12" w:rsidRPr="00D300B0">
        <w:t xml:space="preserve">by identifying land uses </w:t>
      </w:r>
      <w:r w:rsidR="00C24F12">
        <w:t>that</w:t>
      </w:r>
      <w:r w:rsidR="00C24F12" w:rsidRPr="00D300B0">
        <w:t xml:space="preserve"> are more likely to have used or stored hazardous substances</w:t>
      </w:r>
      <w:r w:rsidR="00C24F12">
        <w:t>,</w:t>
      </w:r>
      <w:r w:rsidR="00C24F12" w:rsidRPr="00D300B0">
        <w:t xml:space="preserve"> and therefore have a greater probability of site contamination</w:t>
      </w:r>
      <w:r>
        <w:t xml:space="preserve">. </w:t>
      </w:r>
      <w:r w:rsidR="00C24F12" w:rsidRPr="004E4FFB">
        <w:t xml:space="preserve">The efficient functioning of the NESCS is therefore dependent on the identification of HAIL sites. </w:t>
      </w:r>
    </w:p>
    <w:p w:rsidR="00C24F12" w:rsidRDefault="00C24F12" w:rsidP="00C24F12">
      <w:pPr>
        <w:pStyle w:val="BodyText"/>
      </w:pPr>
      <w:r>
        <w:t xml:space="preserve">In practice, identification of HAIL sites is largely undertaken by regional councils. </w:t>
      </w:r>
      <w:r>
        <w:rPr>
          <w:rFonts w:cs="Arial"/>
        </w:rPr>
        <w:t>Most territorial authorities do not hold their own HAIL database and so are</w:t>
      </w:r>
      <w:r w:rsidRPr="00BE7E98">
        <w:rPr>
          <w:rFonts w:cs="Arial"/>
        </w:rPr>
        <w:t xml:space="preserve"> </w:t>
      </w:r>
      <w:r>
        <w:rPr>
          <w:rFonts w:cs="Arial"/>
        </w:rPr>
        <w:t>reliant on the information held by their regional council when implementing the NESCS</w:t>
      </w:r>
      <w:r>
        <w:t xml:space="preserve"> (see </w:t>
      </w:r>
      <w:hyperlink w:anchor="_1.1.1_Council_roles" w:history="1">
        <w:r w:rsidRPr="008A21CF">
          <w:rPr>
            <w:rStyle w:val="Hyperlink"/>
            <w:u w:val="none"/>
          </w:rPr>
          <w:t>section 1.1.1</w:t>
        </w:r>
      </w:hyperlink>
      <w:r>
        <w:t xml:space="preserve">). </w:t>
      </w:r>
      <w:r w:rsidRPr="00BE7E98">
        <w:t xml:space="preserve">Sources of information such as aerial photos, telephone books, complaints and previous planning files are used to identify the location of historical activities and industries. Councils will generally </w:t>
      </w:r>
      <w:r>
        <w:t>not</w:t>
      </w:r>
      <w:r w:rsidRPr="00BE7E98">
        <w:t>ify landowners once they have two pieces of</w:t>
      </w:r>
      <w:r>
        <w:t xml:space="preserve"> evidence that a</w:t>
      </w:r>
      <w:r w:rsidRPr="00BE7E98">
        <w:t xml:space="preserve"> HAIL activity took place on the</w:t>
      </w:r>
      <w:r>
        <w:t>ir</w:t>
      </w:r>
      <w:r w:rsidRPr="00BE7E98">
        <w:t xml:space="preserve"> site</w:t>
      </w:r>
      <w:r>
        <w:t xml:space="preserve">, in accordance with </w:t>
      </w:r>
      <w:hyperlink r:id="rId22" w:history="1">
        <w:r w:rsidRPr="008A21CF">
          <w:rPr>
            <w:rStyle w:val="Hyperlink"/>
            <w:i/>
            <w:u w:val="none"/>
          </w:rPr>
          <w:t>Contaminated Land Management Guideline 4</w:t>
        </w:r>
      </w:hyperlink>
      <w:r w:rsidRPr="003D5B55">
        <w:rPr>
          <w:i/>
        </w:rPr>
        <w:t xml:space="preserve"> </w:t>
      </w:r>
      <w:r>
        <w:t>(</w:t>
      </w:r>
      <w:proofErr w:type="spellStart"/>
      <w:r>
        <w:t>MfE</w:t>
      </w:r>
      <w:proofErr w:type="spellEnd"/>
      <w:r>
        <w:t>, 2006)</w:t>
      </w:r>
      <w:r w:rsidRPr="00BE7E98">
        <w:t>. A landowner</w:t>
      </w:r>
      <w:r>
        <w:t xml:space="preserve"> will</w:t>
      </w:r>
      <w:r w:rsidRPr="00BE7E98">
        <w:t xml:space="preserve"> then</w:t>
      </w:r>
      <w:r w:rsidR="007C660E">
        <w:t xml:space="preserve"> usually</w:t>
      </w:r>
      <w:r>
        <w:t xml:space="preserve"> have</w:t>
      </w:r>
      <w:r w:rsidRPr="00BE7E98">
        <w:t xml:space="preserve"> the opportunity to provide alternative information</w:t>
      </w:r>
      <w:r>
        <w:t>,</w:t>
      </w:r>
      <w:r w:rsidRPr="00BE7E98">
        <w:t xml:space="preserve"> or cha</w:t>
      </w:r>
      <w:r>
        <w:t xml:space="preserve">llenge the information, before the council records their property as a </w:t>
      </w:r>
      <w:r w:rsidRPr="00BE7E98">
        <w:t>verified</w:t>
      </w:r>
      <w:r>
        <w:t xml:space="preserve"> HAIL site</w:t>
      </w:r>
      <w:r w:rsidRPr="00BE7E98">
        <w:t xml:space="preserve">. </w:t>
      </w:r>
    </w:p>
    <w:p w:rsidR="00C24F12" w:rsidRDefault="00C24F12" w:rsidP="00C24F12">
      <w:pPr>
        <w:pStyle w:val="Heading2"/>
      </w:pPr>
      <w:bookmarkStart w:id="47" w:name="_Toc425338554"/>
      <w:bookmarkStart w:id="48" w:name="_Toc422307709"/>
      <w:bookmarkStart w:id="49" w:name="_Toc422312870"/>
      <w:bookmarkStart w:id="50" w:name="_Toc422312942"/>
      <w:r>
        <w:t xml:space="preserve">3.1 </w:t>
      </w:r>
      <w:r w:rsidR="00B94B15">
        <w:t>S</w:t>
      </w:r>
      <w:r>
        <w:t>cale of HAIL land in New Zealand</w:t>
      </w:r>
      <w:bookmarkEnd w:id="47"/>
      <w:r>
        <w:t xml:space="preserve"> </w:t>
      </w:r>
      <w:bookmarkEnd w:id="48"/>
      <w:bookmarkEnd w:id="49"/>
      <w:bookmarkEnd w:id="50"/>
    </w:p>
    <w:p w:rsidR="00C24F12" w:rsidRDefault="00C24F12" w:rsidP="00C24F12">
      <w:pPr>
        <w:pStyle w:val="BodyText"/>
        <w:rPr>
          <w:rFonts w:asciiTheme="minorHAnsi" w:hAnsiTheme="minorHAnsi"/>
        </w:rPr>
      </w:pPr>
      <w:r>
        <w:t xml:space="preserve">During the development of the NESCS, it was unclear how much land would be identified as HAIL, and so potentially subject to the NESCS requirements. It is now apparent that the scale of HAIL land in New Zealand is significant. </w:t>
      </w:r>
      <w:r w:rsidRPr="00B140E4">
        <w:rPr>
          <w:rFonts w:asciiTheme="minorHAnsi" w:hAnsiTheme="minorHAnsi"/>
        </w:rPr>
        <w:t>The inclusion of ‘use’ in the description</w:t>
      </w:r>
      <w:r>
        <w:rPr>
          <w:rFonts w:asciiTheme="minorHAnsi" w:hAnsiTheme="minorHAnsi"/>
        </w:rPr>
        <w:t>s of a number of categories in the HAIL</w:t>
      </w:r>
      <w:r w:rsidRPr="00B140E4">
        <w:rPr>
          <w:rFonts w:asciiTheme="minorHAnsi" w:hAnsiTheme="minorHAnsi"/>
        </w:rPr>
        <w:t xml:space="preserve"> </w:t>
      </w:r>
      <w:r w:rsidR="00DB56A6">
        <w:rPr>
          <w:rFonts w:asciiTheme="minorHAnsi" w:hAnsiTheme="minorHAnsi"/>
        </w:rPr>
        <w:t xml:space="preserve">is one of the reasons </w:t>
      </w:r>
      <w:r w:rsidRPr="00B140E4">
        <w:rPr>
          <w:rFonts w:asciiTheme="minorHAnsi" w:hAnsiTheme="minorHAnsi"/>
        </w:rPr>
        <w:t>large areas of land</w:t>
      </w:r>
      <w:r>
        <w:rPr>
          <w:rFonts w:asciiTheme="minorHAnsi" w:hAnsiTheme="minorHAnsi"/>
        </w:rPr>
        <w:t xml:space="preserve">, such as former orchards, </w:t>
      </w:r>
      <w:r w:rsidR="00DB56A6">
        <w:rPr>
          <w:rFonts w:asciiTheme="minorHAnsi" w:hAnsiTheme="minorHAnsi"/>
        </w:rPr>
        <w:t xml:space="preserve">are </w:t>
      </w:r>
      <w:r>
        <w:rPr>
          <w:rFonts w:asciiTheme="minorHAnsi" w:hAnsiTheme="minorHAnsi"/>
        </w:rPr>
        <w:t>being identified.</w:t>
      </w:r>
    </w:p>
    <w:p w:rsidR="00C24F12" w:rsidRDefault="00C24F12" w:rsidP="00C24F12">
      <w:pPr>
        <w:pStyle w:val="BodyText"/>
      </w:pPr>
      <w:r>
        <w:t>I</w:t>
      </w:r>
      <w:r w:rsidRPr="0001733B">
        <w:t>t is uncertain exactly how many sites in New Zealand are affected or potentially affected by contaminants.</w:t>
      </w:r>
      <w:r>
        <w:t xml:space="preserve"> </w:t>
      </w:r>
      <w:r w:rsidRPr="0001733B">
        <w:rPr>
          <w:rFonts w:asciiTheme="minorHAnsi" w:hAnsiTheme="minorHAnsi"/>
        </w:rPr>
        <w:t xml:space="preserve">The </w:t>
      </w:r>
      <w:r w:rsidRPr="00A80E4D">
        <w:rPr>
          <w:i/>
        </w:rPr>
        <w:t>Resource Management Act: Two-yearly Survey of Local Authorities 2012/13</w:t>
      </w:r>
      <w:r w:rsidRPr="0001733B">
        <w:rPr>
          <w:rFonts w:asciiTheme="minorHAnsi" w:hAnsiTheme="minorHAnsi"/>
        </w:rPr>
        <w:t xml:space="preserve"> </w:t>
      </w:r>
      <w:r>
        <w:rPr>
          <w:rFonts w:asciiTheme="minorHAnsi" w:hAnsiTheme="minorHAnsi"/>
        </w:rPr>
        <w:t>(</w:t>
      </w:r>
      <w:proofErr w:type="spellStart"/>
      <w:r>
        <w:rPr>
          <w:rFonts w:asciiTheme="minorHAnsi" w:hAnsiTheme="minorHAnsi"/>
        </w:rPr>
        <w:t>MfE</w:t>
      </w:r>
      <w:proofErr w:type="spellEnd"/>
      <w:r>
        <w:rPr>
          <w:rFonts w:asciiTheme="minorHAnsi" w:hAnsiTheme="minorHAnsi"/>
        </w:rPr>
        <w:t xml:space="preserve">, 2014) </w:t>
      </w:r>
      <w:r w:rsidRPr="0001733B">
        <w:rPr>
          <w:rFonts w:asciiTheme="minorHAnsi" w:hAnsiTheme="minorHAnsi"/>
        </w:rPr>
        <w:t>reported a total of 19,568 sites nationwide that had been identified as HAIL land.</w:t>
      </w:r>
      <w:r>
        <w:rPr>
          <w:rFonts w:asciiTheme="minorHAnsi" w:hAnsiTheme="minorHAnsi"/>
        </w:rPr>
        <w:t xml:space="preserve"> Since then, many regional </w:t>
      </w:r>
      <w:proofErr w:type="gramStart"/>
      <w:r>
        <w:rPr>
          <w:rFonts w:asciiTheme="minorHAnsi" w:hAnsiTheme="minorHAnsi"/>
        </w:rPr>
        <w:t>councils</w:t>
      </w:r>
      <w:proofErr w:type="gramEnd"/>
      <w:r>
        <w:rPr>
          <w:rFonts w:asciiTheme="minorHAnsi" w:hAnsiTheme="minorHAnsi"/>
        </w:rPr>
        <w:t xml:space="preserve"> have continued to identify HAIL sites. </w:t>
      </w:r>
      <w:r w:rsidRPr="0001733B">
        <w:rPr>
          <w:rFonts w:asciiTheme="minorHAnsi" w:hAnsiTheme="minorHAnsi"/>
        </w:rPr>
        <w:t>However, i</w:t>
      </w:r>
      <w:r w:rsidRPr="0001733B">
        <w:t xml:space="preserve">t is widely accepted that </w:t>
      </w:r>
      <w:r>
        <w:t>a significant proportion of</w:t>
      </w:r>
      <w:r w:rsidRPr="0001733B">
        <w:t xml:space="preserve"> </w:t>
      </w:r>
      <w:r>
        <w:t>HAIL</w:t>
      </w:r>
      <w:r w:rsidRPr="0001733B">
        <w:t xml:space="preserve"> </w:t>
      </w:r>
      <w:r>
        <w:t xml:space="preserve">sites remain unidentified. </w:t>
      </w:r>
      <w:r w:rsidR="00DB56A6">
        <w:t xml:space="preserve">Many regional </w:t>
      </w:r>
      <w:proofErr w:type="gramStart"/>
      <w:r w:rsidR="00DB56A6">
        <w:t>councils</w:t>
      </w:r>
      <w:proofErr w:type="gramEnd"/>
      <w:r w:rsidR="00DB56A6">
        <w:t xml:space="preserve"> estimated that up to </w:t>
      </w:r>
      <w:r w:rsidR="00697E10">
        <w:t xml:space="preserve">three </w:t>
      </w:r>
      <w:r w:rsidR="00DB56A6">
        <w:t>times as many HAIL sites could b</w:t>
      </w:r>
      <w:r w:rsidR="00584319">
        <w:t>e identified in their regions.</w:t>
      </w:r>
    </w:p>
    <w:p w:rsidR="00C24F12" w:rsidRDefault="00C24F12" w:rsidP="00C24F12">
      <w:pPr>
        <w:pStyle w:val="BodyText"/>
        <w:rPr>
          <w:rFonts w:cs="Times New Roman"/>
          <w:b/>
          <w:sz w:val="20"/>
          <w:szCs w:val="20"/>
        </w:rPr>
      </w:pPr>
      <w:r w:rsidRPr="0001733B">
        <w:t>There is significant variation in the number of HAIL s</w:t>
      </w:r>
      <w:r>
        <w:t>ites identified between regions. While this is to be expected to some extent, given historic differences in dominant industry types, the variation is partially the result of regional councils taking different</w:t>
      </w:r>
      <w:r w:rsidRPr="0001733B">
        <w:rPr>
          <w:rFonts w:asciiTheme="minorHAnsi" w:hAnsiTheme="minorHAnsi" w:cs="Arial"/>
        </w:rPr>
        <w:t xml:space="preserve"> approach</w:t>
      </w:r>
      <w:r>
        <w:rPr>
          <w:rFonts w:asciiTheme="minorHAnsi" w:hAnsiTheme="minorHAnsi" w:cs="Arial"/>
        </w:rPr>
        <w:t xml:space="preserve">es </w:t>
      </w:r>
      <w:r w:rsidRPr="0001733B">
        <w:rPr>
          <w:rFonts w:asciiTheme="minorHAnsi" w:hAnsiTheme="minorHAnsi" w:cs="Arial"/>
        </w:rPr>
        <w:t>to identifying</w:t>
      </w:r>
      <w:r>
        <w:rPr>
          <w:rFonts w:asciiTheme="minorHAnsi" w:hAnsiTheme="minorHAnsi" w:cs="Arial"/>
        </w:rPr>
        <w:t xml:space="preserve"> and recording HAIL information</w:t>
      </w:r>
      <w:r w:rsidRPr="0001733B">
        <w:rPr>
          <w:rFonts w:asciiTheme="minorHAnsi" w:hAnsiTheme="minorHAnsi" w:cs="Arial"/>
        </w:rPr>
        <w:t>.</w:t>
      </w:r>
      <w:r>
        <w:rPr>
          <w:rFonts w:asciiTheme="minorHAnsi" w:hAnsiTheme="minorHAnsi" w:cs="Arial"/>
        </w:rPr>
        <w:t xml:space="preserve"> </w:t>
      </w:r>
      <w:r>
        <w:rPr>
          <w:rFonts w:asciiTheme="minorHAnsi" w:hAnsiTheme="minorHAnsi"/>
        </w:rPr>
        <w:t>Before</w:t>
      </w:r>
      <w:r w:rsidRPr="00415183">
        <w:rPr>
          <w:rFonts w:asciiTheme="minorHAnsi" w:hAnsiTheme="minorHAnsi"/>
        </w:rPr>
        <w:t xml:space="preserve"> </w:t>
      </w:r>
      <w:r>
        <w:rPr>
          <w:rFonts w:asciiTheme="minorHAnsi" w:hAnsiTheme="minorHAnsi"/>
        </w:rPr>
        <w:t xml:space="preserve">the </w:t>
      </w:r>
      <w:r w:rsidRPr="00415183">
        <w:rPr>
          <w:rFonts w:asciiTheme="minorHAnsi" w:hAnsiTheme="minorHAnsi"/>
        </w:rPr>
        <w:t xml:space="preserve">NESCS </w:t>
      </w:r>
      <w:r>
        <w:rPr>
          <w:rFonts w:asciiTheme="minorHAnsi" w:hAnsiTheme="minorHAnsi"/>
        </w:rPr>
        <w:t>came</w:t>
      </w:r>
      <w:r w:rsidRPr="00415183">
        <w:rPr>
          <w:rFonts w:asciiTheme="minorHAnsi" w:hAnsiTheme="minorHAnsi"/>
        </w:rPr>
        <w:t xml:space="preserve"> into effect, most reg</w:t>
      </w:r>
      <w:r>
        <w:rPr>
          <w:rFonts w:asciiTheme="minorHAnsi" w:hAnsiTheme="minorHAnsi"/>
        </w:rPr>
        <w:t xml:space="preserve">ional councils were passive and reactive in </w:t>
      </w:r>
      <w:r w:rsidRPr="00415183">
        <w:rPr>
          <w:rFonts w:asciiTheme="minorHAnsi" w:hAnsiTheme="minorHAnsi"/>
        </w:rPr>
        <w:t>identifying potentially</w:t>
      </w:r>
      <w:r>
        <w:rPr>
          <w:rFonts w:asciiTheme="minorHAnsi" w:hAnsiTheme="minorHAnsi"/>
        </w:rPr>
        <w:t xml:space="preserve"> contaminated sites. Since the introduction of the NESCS, there is an</w:t>
      </w:r>
      <w:r w:rsidRPr="00BE7E98">
        <w:rPr>
          <w:rFonts w:asciiTheme="minorHAnsi" w:hAnsiTheme="minorHAnsi"/>
        </w:rPr>
        <w:t xml:space="preserve"> </w:t>
      </w:r>
      <w:r>
        <w:rPr>
          <w:rFonts w:asciiTheme="minorHAnsi" w:hAnsiTheme="minorHAnsi"/>
        </w:rPr>
        <w:t>increasing focus on HAIL identification amongst regional councils. During the review</w:t>
      </w:r>
      <w:r w:rsidRPr="00BE7E98">
        <w:rPr>
          <w:rFonts w:asciiTheme="minorHAnsi" w:hAnsiTheme="minorHAnsi"/>
        </w:rPr>
        <w:t xml:space="preserve"> most regional councils indicat</w:t>
      </w:r>
      <w:r>
        <w:rPr>
          <w:rFonts w:asciiTheme="minorHAnsi" w:hAnsiTheme="minorHAnsi"/>
        </w:rPr>
        <w:t>ed</w:t>
      </w:r>
      <w:r w:rsidRPr="00BE7E98">
        <w:rPr>
          <w:rFonts w:asciiTheme="minorHAnsi" w:hAnsiTheme="minorHAnsi"/>
        </w:rPr>
        <w:t xml:space="preserve"> that they have started a proactive HAIL id</w:t>
      </w:r>
      <w:r>
        <w:rPr>
          <w:rFonts w:asciiTheme="minorHAnsi" w:hAnsiTheme="minorHAnsi"/>
        </w:rPr>
        <w:t>entification</w:t>
      </w:r>
      <w:r w:rsidRPr="00BE7E98">
        <w:rPr>
          <w:rFonts w:asciiTheme="minorHAnsi" w:hAnsiTheme="minorHAnsi"/>
        </w:rPr>
        <w:t xml:space="preserve"> process or that they intend</w:t>
      </w:r>
      <w:r>
        <w:rPr>
          <w:rFonts w:asciiTheme="minorHAnsi" w:hAnsiTheme="minorHAnsi"/>
        </w:rPr>
        <w:t>ed</w:t>
      </w:r>
      <w:r w:rsidRPr="00BE7E98">
        <w:rPr>
          <w:rFonts w:asciiTheme="minorHAnsi" w:hAnsiTheme="minorHAnsi"/>
        </w:rPr>
        <w:t xml:space="preserve"> to start </w:t>
      </w:r>
      <w:r>
        <w:rPr>
          <w:rFonts w:asciiTheme="minorHAnsi" w:hAnsiTheme="minorHAnsi"/>
        </w:rPr>
        <w:t>a proactive process</w:t>
      </w:r>
      <w:r w:rsidRPr="00BE7E98">
        <w:rPr>
          <w:rFonts w:asciiTheme="minorHAnsi" w:hAnsiTheme="minorHAnsi"/>
        </w:rPr>
        <w:t xml:space="preserve">. </w:t>
      </w:r>
      <w:r w:rsidRPr="00E52C12">
        <w:rPr>
          <w:rFonts w:asciiTheme="minorHAnsi" w:hAnsiTheme="minorHAnsi"/>
        </w:rPr>
        <w:t xml:space="preserve">On a national scale </w:t>
      </w:r>
      <w:r>
        <w:rPr>
          <w:rFonts w:asciiTheme="minorHAnsi" w:hAnsiTheme="minorHAnsi"/>
        </w:rPr>
        <w:t>this suggests that numbers of identified HAIL sites will continue to track upwards.</w:t>
      </w:r>
      <w:r>
        <w:rPr>
          <w:rFonts w:cs="Times New Roman"/>
          <w:b/>
          <w:sz w:val="20"/>
          <w:szCs w:val="20"/>
        </w:rPr>
        <w:br w:type="page"/>
      </w:r>
    </w:p>
    <w:p w:rsidR="00C24F12" w:rsidRPr="0030249B" w:rsidRDefault="00C24F12" w:rsidP="00BA2127">
      <w:pPr>
        <w:pStyle w:val="Tableheading"/>
        <w:ind w:left="709" w:hanging="709"/>
      </w:pPr>
      <w:r w:rsidRPr="00845FEF">
        <w:t xml:space="preserve">Table </w:t>
      </w:r>
      <w:r>
        <w:t>2</w:t>
      </w:r>
      <w:r w:rsidR="00077BFC">
        <w:t>:</w:t>
      </w:r>
      <w:r w:rsidR="00077BFC">
        <w:tab/>
      </w:r>
      <w:r w:rsidRPr="00845FEF">
        <w:t>Number of identified HAIL sites by region</w:t>
      </w:r>
      <w:r w:rsidR="00697E10">
        <w:t>,</w:t>
      </w:r>
      <w:r w:rsidR="00697E10" w:rsidRPr="00845FEF">
        <w:t xml:space="preserve"> </w:t>
      </w:r>
      <w:r w:rsidRPr="00845FEF">
        <w:t>reported by focus group attendees in October 2014</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388"/>
        <w:gridCol w:w="2148"/>
      </w:tblGrid>
      <w:tr w:rsidR="00C24F12" w:rsidRPr="004E4FFB" w:rsidTr="00E34FC4">
        <w:tc>
          <w:tcPr>
            <w:tcW w:w="2388" w:type="dxa"/>
            <w:tcBorders>
              <w:top w:val="single" w:sz="4" w:space="0" w:color="17556C"/>
              <w:bottom w:val="single" w:sz="4" w:space="0" w:color="17556C"/>
              <w:right w:val="single" w:sz="4" w:space="0" w:color="17556C"/>
            </w:tcBorders>
            <w:shd w:val="clear" w:color="auto" w:fill="17556C"/>
          </w:tcPr>
          <w:p w:rsidR="00C24F12" w:rsidRPr="00887783" w:rsidRDefault="00C24F12" w:rsidP="001B38C1">
            <w:pPr>
              <w:spacing w:before="60" w:after="60" w:line="240" w:lineRule="auto"/>
              <w:ind w:left="284"/>
              <w:rPr>
                <w:rFonts w:asciiTheme="minorHAnsi" w:hAnsiTheme="minorHAnsi" w:cs="Arial"/>
                <w:b/>
                <w:color w:val="FFFFFF" w:themeColor="background1"/>
                <w:sz w:val="18"/>
                <w:szCs w:val="18"/>
              </w:rPr>
            </w:pPr>
            <w:r w:rsidRPr="00887783">
              <w:rPr>
                <w:rFonts w:asciiTheme="minorHAnsi" w:hAnsiTheme="minorHAnsi" w:cs="Arial"/>
                <w:b/>
                <w:color w:val="FFFFFF" w:themeColor="background1"/>
                <w:sz w:val="18"/>
                <w:szCs w:val="18"/>
              </w:rPr>
              <w:t xml:space="preserve">Regional </w:t>
            </w:r>
            <w:r w:rsidR="001B38C1">
              <w:rPr>
                <w:rFonts w:asciiTheme="minorHAnsi" w:hAnsiTheme="minorHAnsi" w:cs="Arial"/>
                <w:b/>
                <w:color w:val="FFFFFF" w:themeColor="background1"/>
                <w:sz w:val="18"/>
                <w:szCs w:val="18"/>
              </w:rPr>
              <w:t>c</w:t>
            </w:r>
            <w:r w:rsidR="001B38C1" w:rsidRPr="00887783">
              <w:rPr>
                <w:rFonts w:asciiTheme="minorHAnsi" w:hAnsiTheme="minorHAnsi" w:cs="Arial"/>
                <w:b/>
                <w:color w:val="FFFFFF" w:themeColor="background1"/>
                <w:sz w:val="18"/>
                <w:szCs w:val="18"/>
              </w:rPr>
              <w:t>ouncil</w:t>
            </w:r>
          </w:p>
        </w:tc>
        <w:tc>
          <w:tcPr>
            <w:tcW w:w="2148" w:type="dxa"/>
            <w:tcBorders>
              <w:top w:val="single" w:sz="4" w:space="0" w:color="17556C"/>
              <w:left w:val="single" w:sz="4" w:space="0" w:color="17556C"/>
              <w:bottom w:val="single" w:sz="4" w:space="0" w:color="17556C"/>
            </w:tcBorders>
            <w:shd w:val="clear" w:color="auto" w:fill="17556C"/>
          </w:tcPr>
          <w:p w:rsidR="00C24F12" w:rsidRPr="00887783" w:rsidRDefault="00C24F12" w:rsidP="00D36515">
            <w:pPr>
              <w:spacing w:before="60" w:after="60" w:line="240" w:lineRule="auto"/>
              <w:ind w:left="284"/>
              <w:jc w:val="center"/>
              <w:rPr>
                <w:rFonts w:asciiTheme="minorHAnsi" w:hAnsiTheme="minorHAnsi" w:cs="Arial"/>
                <w:b/>
                <w:color w:val="FFFFFF" w:themeColor="background1"/>
                <w:sz w:val="18"/>
                <w:szCs w:val="18"/>
              </w:rPr>
            </w:pPr>
            <w:r w:rsidRPr="00887783">
              <w:rPr>
                <w:rFonts w:asciiTheme="minorHAnsi" w:hAnsiTheme="minorHAnsi" w:cs="Arial"/>
                <w:b/>
                <w:color w:val="FFFFFF" w:themeColor="background1"/>
                <w:sz w:val="18"/>
                <w:szCs w:val="18"/>
              </w:rPr>
              <w:t>Number of HAIL sites</w:t>
            </w:r>
          </w:p>
        </w:tc>
      </w:tr>
      <w:tr w:rsidR="00C24F12" w:rsidRPr="004E4FFB" w:rsidTr="00E34FC4">
        <w:tc>
          <w:tcPr>
            <w:tcW w:w="2388" w:type="dxa"/>
            <w:tcBorders>
              <w:top w:val="single" w:sz="4" w:space="0" w:color="17556C"/>
              <w:bottom w:val="single" w:sz="4" w:space="0" w:color="17556C"/>
              <w:right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Otago</w:t>
            </w:r>
          </w:p>
        </w:tc>
        <w:tc>
          <w:tcPr>
            <w:tcW w:w="2148" w:type="dxa"/>
            <w:tcBorders>
              <w:top w:val="single" w:sz="4" w:space="0" w:color="17556C"/>
              <w:left w:val="single" w:sz="4" w:space="0" w:color="17556C"/>
              <w:bottom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618</w:t>
            </w:r>
          </w:p>
        </w:tc>
      </w:tr>
      <w:tr w:rsidR="00C24F12" w:rsidRPr="004E4FFB" w:rsidTr="00E34FC4">
        <w:tc>
          <w:tcPr>
            <w:tcW w:w="2388" w:type="dxa"/>
            <w:tcBorders>
              <w:top w:val="single" w:sz="4" w:space="0" w:color="17556C"/>
              <w:bottom w:val="single" w:sz="4" w:space="0" w:color="17556C"/>
              <w:right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Tasman</w:t>
            </w:r>
          </w:p>
        </w:tc>
        <w:tc>
          <w:tcPr>
            <w:tcW w:w="2148" w:type="dxa"/>
            <w:tcBorders>
              <w:top w:val="single" w:sz="4" w:space="0" w:color="17556C"/>
              <w:left w:val="single" w:sz="4" w:space="0" w:color="17556C"/>
              <w:bottom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1</w:t>
            </w:r>
            <w:r w:rsidR="001B38C1">
              <w:rPr>
                <w:rFonts w:asciiTheme="minorHAnsi" w:hAnsiTheme="minorHAnsi" w:cs="Arial"/>
                <w:sz w:val="18"/>
                <w:szCs w:val="18"/>
              </w:rPr>
              <w:t>,</w:t>
            </w:r>
            <w:r w:rsidRPr="00887783">
              <w:rPr>
                <w:rFonts w:asciiTheme="minorHAnsi" w:hAnsiTheme="minorHAnsi" w:cs="Arial"/>
                <w:sz w:val="18"/>
                <w:szCs w:val="18"/>
              </w:rPr>
              <w:t>133</w:t>
            </w:r>
          </w:p>
        </w:tc>
      </w:tr>
      <w:tr w:rsidR="00C24F12" w:rsidRPr="004E4FFB" w:rsidTr="00E34FC4">
        <w:tc>
          <w:tcPr>
            <w:tcW w:w="2388" w:type="dxa"/>
            <w:tcBorders>
              <w:top w:val="single" w:sz="4" w:space="0" w:color="17556C"/>
              <w:bottom w:val="single" w:sz="4" w:space="0" w:color="17556C"/>
              <w:right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Bay of Plenty</w:t>
            </w:r>
          </w:p>
        </w:tc>
        <w:tc>
          <w:tcPr>
            <w:tcW w:w="2148" w:type="dxa"/>
            <w:tcBorders>
              <w:top w:val="single" w:sz="4" w:space="0" w:color="17556C"/>
              <w:left w:val="single" w:sz="4" w:space="0" w:color="17556C"/>
              <w:bottom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1</w:t>
            </w:r>
            <w:r w:rsidR="001B38C1">
              <w:rPr>
                <w:rFonts w:asciiTheme="minorHAnsi" w:hAnsiTheme="minorHAnsi" w:cs="Arial"/>
                <w:sz w:val="18"/>
                <w:szCs w:val="18"/>
              </w:rPr>
              <w:t>,</w:t>
            </w:r>
            <w:r w:rsidRPr="00887783">
              <w:rPr>
                <w:rFonts w:asciiTheme="minorHAnsi" w:hAnsiTheme="minorHAnsi" w:cs="Arial"/>
                <w:sz w:val="18"/>
                <w:szCs w:val="18"/>
              </w:rPr>
              <w:t>547</w:t>
            </w:r>
          </w:p>
        </w:tc>
      </w:tr>
      <w:tr w:rsidR="00C24F12" w:rsidRPr="004E4FFB" w:rsidTr="00E34FC4">
        <w:tc>
          <w:tcPr>
            <w:tcW w:w="2388" w:type="dxa"/>
            <w:tcBorders>
              <w:top w:val="single" w:sz="4" w:space="0" w:color="17556C"/>
              <w:bottom w:val="single" w:sz="4" w:space="0" w:color="17556C"/>
              <w:right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Taranaki</w:t>
            </w:r>
          </w:p>
        </w:tc>
        <w:tc>
          <w:tcPr>
            <w:tcW w:w="2148" w:type="dxa"/>
            <w:tcBorders>
              <w:top w:val="single" w:sz="4" w:space="0" w:color="17556C"/>
              <w:left w:val="single" w:sz="4" w:space="0" w:color="17556C"/>
              <w:bottom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1</w:t>
            </w:r>
            <w:r w:rsidR="001B38C1">
              <w:rPr>
                <w:rFonts w:asciiTheme="minorHAnsi" w:hAnsiTheme="minorHAnsi" w:cs="Arial"/>
                <w:sz w:val="18"/>
                <w:szCs w:val="18"/>
              </w:rPr>
              <w:t>,</w:t>
            </w:r>
            <w:r w:rsidRPr="00887783">
              <w:rPr>
                <w:rFonts w:asciiTheme="minorHAnsi" w:hAnsiTheme="minorHAnsi" w:cs="Arial"/>
                <w:sz w:val="18"/>
                <w:szCs w:val="18"/>
              </w:rPr>
              <w:t>836</w:t>
            </w:r>
          </w:p>
        </w:tc>
      </w:tr>
      <w:tr w:rsidR="00C24F12" w:rsidRPr="004E4FFB" w:rsidTr="00E34FC4">
        <w:tc>
          <w:tcPr>
            <w:tcW w:w="2388" w:type="dxa"/>
            <w:tcBorders>
              <w:top w:val="single" w:sz="4" w:space="0" w:color="17556C"/>
              <w:bottom w:val="single" w:sz="4" w:space="0" w:color="17556C"/>
              <w:right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Wellington</w:t>
            </w:r>
          </w:p>
        </w:tc>
        <w:tc>
          <w:tcPr>
            <w:tcW w:w="2148" w:type="dxa"/>
            <w:tcBorders>
              <w:top w:val="single" w:sz="4" w:space="0" w:color="17556C"/>
              <w:left w:val="single" w:sz="4" w:space="0" w:color="17556C"/>
              <w:bottom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2</w:t>
            </w:r>
            <w:r w:rsidR="001B38C1">
              <w:rPr>
                <w:rFonts w:asciiTheme="minorHAnsi" w:hAnsiTheme="minorHAnsi" w:cs="Arial"/>
                <w:sz w:val="18"/>
                <w:szCs w:val="18"/>
              </w:rPr>
              <w:t>,</w:t>
            </w:r>
            <w:r w:rsidRPr="00887783">
              <w:rPr>
                <w:rFonts w:asciiTheme="minorHAnsi" w:hAnsiTheme="minorHAnsi" w:cs="Arial"/>
                <w:sz w:val="18"/>
                <w:szCs w:val="18"/>
              </w:rPr>
              <w:t>087</w:t>
            </w:r>
          </w:p>
        </w:tc>
      </w:tr>
      <w:tr w:rsidR="00C24F12" w:rsidRPr="004E4FFB" w:rsidTr="00E34FC4">
        <w:tc>
          <w:tcPr>
            <w:tcW w:w="2388" w:type="dxa"/>
            <w:tcBorders>
              <w:top w:val="single" w:sz="4" w:space="0" w:color="17556C"/>
              <w:bottom w:val="single" w:sz="4" w:space="0" w:color="17556C"/>
              <w:right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Canterbury</w:t>
            </w:r>
          </w:p>
        </w:tc>
        <w:tc>
          <w:tcPr>
            <w:tcW w:w="2148" w:type="dxa"/>
            <w:tcBorders>
              <w:top w:val="single" w:sz="4" w:space="0" w:color="17556C"/>
              <w:left w:val="single" w:sz="4" w:space="0" w:color="17556C"/>
              <w:bottom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5</w:t>
            </w:r>
            <w:r w:rsidR="001B38C1">
              <w:rPr>
                <w:rFonts w:asciiTheme="minorHAnsi" w:hAnsiTheme="minorHAnsi" w:cs="Arial"/>
                <w:sz w:val="18"/>
                <w:szCs w:val="18"/>
              </w:rPr>
              <w:t>,</w:t>
            </w:r>
            <w:r w:rsidRPr="00887783">
              <w:rPr>
                <w:rFonts w:asciiTheme="minorHAnsi" w:hAnsiTheme="minorHAnsi" w:cs="Arial"/>
                <w:sz w:val="18"/>
                <w:szCs w:val="18"/>
              </w:rPr>
              <w:t xml:space="preserve">500 </w:t>
            </w:r>
          </w:p>
        </w:tc>
      </w:tr>
      <w:tr w:rsidR="00C24F12" w:rsidRPr="004E4FFB" w:rsidTr="00E34FC4">
        <w:tc>
          <w:tcPr>
            <w:tcW w:w="2388" w:type="dxa"/>
            <w:tcBorders>
              <w:top w:val="single" w:sz="4" w:space="0" w:color="17556C"/>
              <w:bottom w:val="single" w:sz="4" w:space="0" w:color="17556C"/>
              <w:right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Waikato</w:t>
            </w:r>
          </w:p>
        </w:tc>
        <w:tc>
          <w:tcPr>
            <w:tcW w:w="2148" w:type="dxa"/>
            <w:tcBorders>
              <w:top w:val="single" w:sz="4" w:space="0" w:color="17556C"/>
              <w:left w:val="single" w:sz="4" w:space="0" w:color="17556C"/>
              <w:bottom w:val="single" w:sz="4" w:space="0" w:color="17556C"/>
            </w:tcBorders>
          </w:tcPr>
          <w:p w:rsidR="00C24F12" w:rsidRPr="00887783" w:rsidRDefault="00C24F12" w:rsidP="00D36515">
            <w:pPr>
              <w:spacing w:before="60" w:after="60" w:line="240" w:lineRule="auto"/>
              <w:ind w:left="284"/>
              <w:rPr>
                <w:rFonts w:asciiTheme="minorHAnsi" w:hAnsiTheme="minorHAnsi" w:cs="Arial"/>
                <w:sz w:val="18"/>
                <w:szCs w:val="18"/>
              </w:rPr>
            </w:pPr>
            <w:r w:rsidRPr="00887783">
              <w:rPr>
                <w:rFonts w:asciiTheme="minorHAnsi" w:hAnsiTheme="minorHAnsi" w:cs="Arial"/>
                <w:sz w:val="18"/>
                <w:szCs w:val="18"/>
              </w:rPr>
              <w:t>6</w:t>
            </w:r>
            <w:r w:rsidR="001B38C1">
              <w:rPr>
                <w:rFonts w:asciiTheme="minorHAnsi" w:hAnsiTheme="minorHAnsi" w:cs="Arial"/>
                <w:sz w:val="18"/>
                <w:szCs w:val="18"/>
              </w:rPr>
              <w:t>,</w:t>
            </w:r>
            <w:r w:rsidRPr="00887783">
              <w:rPr>
                <w:rFonts w:asciiTheme="minorHAnsi" w:hAnsiTheme="minorHAnsi" w:cs="Arial"/>
                <w:sz w:val="18"/>
                <w:szCs w:val="18"/>
              </w:rPr>
              <w:t>250</w:t>
            </w:r>
          </w:p>
        </w:tc>
      </w:tr>
    </w:tbl>
    <w:p w:rsidR="00C24F12" w:rsidRPr="00872D8C" w:rsidRDefault="00C24F12" w:rsidP="00C24F12">
      <w:pPr>
        <w:pStyle w:val="Heading3"/>
      </w:pPr>
      <w:bookmarkStart w:id="51" w:name="_Toc422307710"/>
      <w:bookmarkStart w:id="52" w:name="_Toc422312871"/>
      <w:bookmarkStart w:id="53" w:name="_Toc422312943"/>
      <w:r w:rsidRPr="001A3A46">
        <w:t>3.</w:t>
      </w:r>
      <w:r w:rsidRPr="00953096">
        <w:t>1.</w:t>
      </w:r>
      <w:r w:rsidRPr="00872D8C">
        <w:t>1 Types of HAIL sites being identified</w:t>
      </w:r>
      <w:bookmarkEnd w:id="51"/>
      <w:bookmarkEnd w:id="52"/>
      <w:bookmarkEnd w:id="53"/>
    </w:p>
    <w:p w:rsidR="00C24F12" w:rsidRPr="009034DB" w:rsidRDefault="00C24F12" w:rsidP="00C24F12">
      <w:pPr>
        <w:pStyle w:val="BodyText"/>
      </w:pPr>
      <w:r>
        <w:t xml:space="preserve">The HAIL is comprised of seven broad categories (labelled A to I), which are broken down into </w:t>
      </w:r>
      <w:r w:rsidRPr="009034DB">
        <w:t>51 subcategories, each relating to specific industries and activities. Category A of the HAIL</w:t>
      </w:r>
      <w:r>
        <w:t xml:space="preserve"> </w:t>
      </w:r>
      <w:r w:rsidRPr="009034DB">
        <w:t xml:space="preserve">– Chemical manufacture, application and bulk storage </w:t>
      </w:r>
      <w:r>
        <w:t>–</w:t>
      </w:r>
      <w:r w:rsidRPr="009034DB">
        <w:t xml:space="preserve"> is the most commonly identified HAIL category. Sixty per</w:t>
      </w:r>
      <w:r>
        <w:t xml:space="preserve"> </w:t>
      </w:r>
      <w:r w:rsidRPr="009034DB">
        <w:t xml:space="preserve">cent of the 144 NESCS consents in the </w:t>
      </w:r>
      <w:r w:rsidR="001B38C1">
        <w:t>c</w:t>
      </w:r>
      <w:r w:rsidR="001B38C1" w:rsidRPr="009034DB">
        <w:t xml:space="preserve">onsent </w:t>
      </w:r>
      <w:r w:rsidR="001B38C1">
        <w:t>r</w:t>
      </w:r>
      <w:r w:rsidR="001B38C1" w:rsidRPr="009034DB">
        <w:t xml:space="preserve">eview </w:t>
      </w:r>
      <w:r w:rsidRPr="009034DB">
        <w:t xml:space="preserve">were on HAIL category </w:t>
      </w:r>
      <w:proofErr w:type="gramStart"/>
      <w:r w:rsidRPr="009034DB">
        <w:t>A</w:t>
      </w:r>
      <w:proofErr w:type="gramEnd"/>
      <w:r w:rsidRPr="009034DB">
        <w:t xml:space="preserve"> sites. </w:t>
      </w:r>
    </w:p>
    <w:p w:rsidR="00C24F12" w:rsidRPr="009034DB" w:rsidRDefault="00C24F12" w:rsidP="00C24F12">
      <w:pPr>
        <w:pStyle w:val="BodyText"/>
      </w:pPr>
      <w:r w:rsidRPr="009034DB">
        <w:t>Category A is broken down into 18 subcategories. Of these subcategories, Category A10 refers to persistent pesticide bulk storage or use</w:t>
      </w:r>
      <w:r>
        <w:t>,</w:t>
      </w:r>
      <w:r w:rsidRPr="009034DB">
        <w:t xml:space="preserve"> including sports turfs, market gardens, orchards, glass houses</w:t>
      </w:r>
      <w:r w:rsidR="001B38C1">
        <w:t>,</w:t>
      </w:r>
      <w:r w:rsidRPr="009034DB">
        <w:t xml:space="preserve"> or spray sheds. This is the mostly commonly identified HAIL subcategory. Category A10 sites made up 25</w:t>
      </w:r>
      <w:r>
        <w:t xml:space="preserve"> per cent</w:t>
      </w:r>
      <w:r w:rsidRPr="009034DB">
        <w:t xml:space="preserve"> of all the consents or site investigations looked at in the </w:t>
      </w:r>
      <w:r w:rsidR="001B38C1">
        <w:t>c</w:t>
      </w:r>
      <w:r w:rsidR="001B38C1" w:rsidRPr="009034DB">
        <w:t xml:space="preserve">onsent </w:t>
      </w:r>
      <w:r w:rsidR="001B38C1">
        <w:t>r</w:t>
      </w:r>
      <w:r w:rsidR="001B38C1" w:rsidRPr="009034DB">
        <w:t>eview</w:t>
      </w:r>
      <w:r>
        <w:t>,</w:t>
      </w:r>
      <w:r w:rsidRPr="009034DB">
        <w:t xml:space="preserve"> and comprised 42</w:t>
      </w:r>
      <w:r>
        <w:t xml:space="preserve"> per cent</w:t>
      </w:r>
      <w:r w:rsidRPr="009034DB">
        <w:t xml:space="preserve"> of the HAIL parcels identified by Environment Canterbury within greater Christchurch. </w:t>
      </w:r>
    </w:p>
    <w:p w:rsidR="00C24F12" w:rsidRPr="009034DB" w:rsidRDefault="00C24F12" w:rsidP="00C24F12">
      <w:pPr>
        <w:pStyle w:val="BodyText"/>
      </w:pPr>
      <w:r w:rsidRPr="009034DB">
        <w:t>Category F was the second most commonly identified HAIL category, covering Vehicle refuelling, service and repair. Council staff commented that sites that are well known and easily identifiable are the ones that are more likely to have been added to registers</w:t>
      </w:r>
      <w:r>
        <w:t xml:space="preserve">, so activities in </w:t>
      </w:r>
      <w:r w:rsidR="009F4FD2">
        <w:t xml:space="preserve">Category </w:t>
      </w:r>
      <w:r>
        <w:t>F such as</w:t>
      </w:r>
      <w:r w:rsidRPr="009034DB">
        <w:t xml:space="preserve"> petrol stations and storage tanks</w:t>
      </w:r>
      <w:r>
        <w:t xml:space="preserve"> are commonly identified in council registers</w:t>
      </w:r>
      <w:r w:rsidRPr="009034DB">
        <w:t>, whereas</w:t>
      </w:r>
      <w:r>
        <w:t xml:space="preserve"> activities such as</w:t>
      </w:r>
      <w:r w:rsidRPr="009034DB">
        <w:t xml:space="preserve"> sheep dips and P-labs are more difficult to identify and therefore less likely to have been added. This likely explains why </w:t>
      </w:r>
      <w:r w:rsidR="009F4FD2">
        <w:t>C</w:t>
      </w:r>
      <w:r w:rsidR="009F4FD2" w:rsidRPr="009034DB">
        <w:t xml:space="preserve">ategory </w:t>
      </w:r>
      <w:r w:rsidRPr="009034DB">
        <w:t xml:space="preserve">F is the second most commonly recorded HAIL category, and may not reflect a real predominance of those types of past uses in New Zealand. </w:t>
      </w:r>
    </w:p>
    <w:p w:rsidR="00C24F12" w:rsidRDefault="00C24F12" w:rsidP="00C24F12">
      <w:pPr>
        <w:spacing w:before="0" w:after="200" w:line="276" w:lineRule="auto"/>
        <w:jc w:val="left"/>
        <w:rPr>
          <w:rFonts w:cs="Times New Roman"/>
          <w:b/>
          <w:sz w:val="20"/>
          <w:szCs w:val="20"/>
        </w:rPr>
      </w:pPr>
      <w:r>
        <w:rPr>
          <w:rFonts w:cs="Times New Roman"/>
          <w:b/>
          <w:sz w:val="20"/>
          <w:szCs w:val="20"/>
        </w:rPr>
        <w:br w:type="page"/>
      </w:r>
    </w:p>
    <w:p w:rsidR="00C24F12" w:rsidRPr="00845FEF" w:rsidRDefault="00C24F12" w:rsidP="00C24F12">
      <w:pPr>
        <w:pStyle w:val="Figureheading"/>
      </w:pPr>
      <w:bookmarkStart w:id="54" w:name="_Toc422578272"/>
      <w:r w:rsidRPr="00845FEF">
        <w:t>F</w:t>
      </w:r>
      <w:r w:rsidR="00077BFC">
        <w:t xml:space="preserve">igure 1: </w:t>
      </w:r>
      <w:r w:rsidRPr="00845FEF">
        <w:t xml:space="preserve">HAIL categories of sites obtaining NESCS consent in the </w:t>
      </w:r>
      <w:r w:rsidR="009F4FD2">
        <w:t>c</w:t>
      </w:r>
      <w:r w:rsidR="009F4FD2" w:rsidRPr="00845FEF">
        <w:t xml:space="preserve">onsent </w:t>
      </w:r>
      <w:bookmarkEnd w:id="54"/>
      <w:r w:rsidR="009F4FD2">
        <w:t>r</w:t>
      </w:r>
      <w:r w:rsidR="009F4FD2" w:rsidRPr="00845FEF">
        <w:t>eview</w:t>
      </w:r>
    </w:p>
    <w:p w:rsidR="00C24F12" w:rsidRPr="00B40A0A" w:rsidRDefault="00C24F12" w:rsidP="00C24F12">
      <w:pPr>
        <w:jc w:val="center"/>
        <w:rPr>
          <w:rFonts w:asciiTheme="minorHAnsi" w:hAnsiTheme="minorHAnsi"/>
        </w:rPr>
      </w:pPr>
      <w:r w:rsidRPr="001B4971">
        <w:rPr>
          <w:rFonts w:ascii="Estrangelo Edessa" w:hAnsi="Estrangelo Edessa" w:cs="Estrangelo Edessa"/>
          <w:noProof/>
          <w:color w:val="677719"/>
          <w:sz w:val="36"/>
        </w:rPr>
        <w:drawing>
          <wp:inline distT="0" distB="0" distL="0" distR="0" wp14:anchorId="16D38992" wp14:editId="4C515398">
            <wp:extent cx="5124450" cy="2724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24F12" w:rsidRPr="00EC46EB" w:rsidRDefault="00C24F12" w:rsidP="00C24F12">
      <w:pPr>
        <w:pStyle w:val="Heading2"/>
      </w:pPr>
      <w:bookmarkStart w:id="55" w:name="_Toc422307711"/>
      <w:bookmarkStart w:id="56" w:name="_Toc422312872"/>
      <w:bookmarkStart w:id="57" w:name="_Toc422312944"/>
      <w:bookmarkStart w:id="58" w:name="_Toc425338555"/>
      <w:r>
        <w:t>3.2 Status of</w:t>
      </w:r>
      <w:r w:rsidRPr="00EC46EB">
        <w:t xml:space="preserve"> HAIL sites following testing</w:t>
      </w:r>
      <w:bookmarkEnd w:id="55"/>
      <w:bookmarkEnd w:id="56"/>
      <w:bookmarkEnd w:id="57"/>
      <w:bookmarkEnd w:id="58"/>
    </w:p>
    <w:p w:rsidR="00C24F12" w:rsidRPr="009034DB" w:rsidRDefault="00C24F12" w:rsidP="00C24F12">
      <w:pPr>
        <w:pStyle w:val="BodyText"/>
      </w:pPr>
      <w:r>
        <w:t>Before</w:t>
      </w:r>
      <w:r w:rsidRPr="009034DB">
        <w:t xml:space="preserve"> the HAIL </w:t>
      </w:r>
      <w:r>
        <w:t xml:space="preserve">was incorporated </w:t>
      </w:r>
      <w:r w:rsidRPr="009034DB">
        <w:t>into the NESCS it was unc</w:t>
      </w:r>
      <w:r>
        <w:t>lear how often activities on the HAIL would result in soil contamination to</w:t>
      </w:r>
      <w:r w:rsidRPr="009034DB">
        <w:t xml:space="preserve"> levels </w:t>
      </w:r>
      <w:r>
        <w:t>that posed a</w:t>
      </w:r>
      <w:r w:rsidRPr="009034DB">
        <w:t xml:space="preserve"> risk to health. Identifying potentially contaminated land is </w:t>
      </w:r>
      <w:r>
        <w:t>essential for</w:t>
      </w:r>
      <w:r w:rsidRPr="009034DB">
        <w:t xml:space="preserve"> the NESCS </w:t>
      </w:r>
      <w:r>
        <w:t xml:space="preserve">to </w:t>
      </w:r>
      <w:r w:rsidRPr="009034DB">
        <w:t xml:space="preserve">work. Identifying potentially contaminated sites </w:t>
      </w:r>
      <w:r>
        <w:t>based on</w:t>
      </w:r>
      <w:r w:rsidRPr="009034DB">
        <w:t xml:space="preserve"> past use will always </w:t>
      </w:r>
      <w:r>
        <w:t xml:space="preserve">mean that a </w:t>
      </w:r>
      <w:r w:rsidRPr="009034DB">
        <w:t xml:space="preserve">proportion of properties </w:t>
      </w:r>
      <w:r>
        <w:t>are later</w:t>
      </w:r>
      <w:r w:rsidRPr="009034DB">
        <w:t xml:space="preserve"> found to be free from contaminants </w:t>
      </w:r>
      <w:r>
        <w:t>after</w:t>
      </w:r>
      <w:r w:rsidRPr="009034DB">
        <w:t xml:space="preserve"> testing. However, there is some evidence that a significant proportion of HAIL sites investigated for the purposes of the NESCS are fou</w:t>
      </w:r>
      <w:r w:rsidR="00224517">
        <w:t>nd to be below guideline values</w:t>
      </w:r>
      <w:r w:rsidRPr="009034DB">
        <w:t xml:space="preserve">. </w:t>
      </w:r>
      <w:r w:rsidR="005A5179">
        <w:t>Anecdotal reports also suggest that a substantial proportion of sites only slightly exceed the guideline values.</w:t>
      </w:r>
    </w:p>
    <w:p w:rsidR="00C24F12" w:rsidRPr="009034DB" w:rsidRDefault="00C24F12" w:rsidP="00C24F12">
      <w:pPr>
        <w:pStyle w:val="BodyText"/>
      </w:pPr>
      <w:r w:rsidRPr="009034DB">
        <w:t>For example, more than 60 per</w:t>
      </w:r>
      <w:r>
        <w:t xml:space="preserve"> </w:t>
      </w:r>
      <w:r w:rsidRPr="009034DB">
        <w:t>cent of the 83 detailed site investigations (DSIs) provided to Christchurch City Council during the six</w:t>
      </w:r>
      <w:r>
        <w:t>-</w:t>
      </w:r>
      <w:r w:rsidRPr="009034DB">
        <w:t xml:space="preserve">month monitoring period found site contamination levels to be below guideline values. </w:t>
      </w:r>
    </w:p>
    <w:p w:rsidR="00C24F12" w:rsidRPr="009034DB" w:rsidRDefault="00C24F12" w:rsidP="00C24F12">
      <w:pPr>
        <w:pStyle w:val="BodyText"/>
      </w:pPr>
      <w:r w:rsidRPr="009034DB">
        <w:t>There are varied reports among stakeholders regarding which, if any, HAIL categories are consistently found to be below guideline values. For example, approximately half of the councils at the focus groups reported that in their region</w:t>
      </w:r>
      <w:r>
        <w:t>,</w:t>
      </w:r>
      <w:r w:rsidRPr="009034DB">
        <w:t xml:space="preserve"> sites in HAIL </w:t>
      </w:r>
      <w:r w:rsidR="005314F5">
        <w:t>C</w:t>
      </w:r>
      <w:r w:rsidR="005314F5" w:rsidRPr="009034DB">
        <w:t xml:space="preserve">ategory </w:t>
      </w:r>
      <w:r w:rsidRPr="009034DB">
        <w:t>A10 consistently exceed</w:t>
      </w:r>
      <w:r>
        <w:t xml:space="preserve"> guideline values</w:t>
      </w:r>
      <w:r w:rsidRPr="009034DB">
        <w:t>, whil</w:t>
      </w:r>
      <w:r>
        <w:t>e</w:t>
      </w:r>
      <w:r w:rsidRPr="009034DB">
        <w:t xml:space="preserve"> the other half considered that A10 sites are consistently below </w:t>
      </w:r>
      <w:r>
        <w:t>them</w:t>
      </w:r>
      <w:r w:rsidRPr="009034DB">
        <w:t xml:space="preserve">. This contradictory evidence makes it </w:t>
      </w:r>
      <w:r w:rsidR="00DB56A6">
        <w:t>difficult to draw a conclusion on</w:t>
      </w:r>
      <w:r>
        <w:t xml:space="preserve"> </w:t>
      </w:r>
      <w:r w:rsidRPr="009034DB">
        <w:t>whether any specific categories of HAIL are consistently below guideline values following site investigations</w:t>
      </w:r>
      <w:r>
        <w:t xml:space="preserve">. </w:t>
      </w:r>
    </w:p>
    <w:p w:rsidR="00C24F12" w:rsidRDefault="00DB56A6" w:rsidP="00C24F12">
      <w:pPr>
        <w:spacing w:before="0" w:after="200" w:line="276" w:lineRule="auto"/>
        <w:jc w:val="left"/>
        <w:rPr>
          <w:rFonts w:cs="Times New Roman"/>
          <w:b/>
          <w:sz w:val="20"/>
          <w:szCs w:val="20"/>
        </w:rPr>
      </w:pPr>
      <w:r>
        <w:t xml:space="preserve">Consequently, the relationship between being identified as </w:t>
      </w:r>
      <w:proofErr w:type="gramStart"/>
      <w:r>
        <w:t>HAIL,</w:t>
      </w:r>
      <w:proofErr w:type="gramEnd"/>
      <w:r>
        <w:t xml:space="preserve"> and a site actually being contaminated is unclear. However</w:t>
      </w:r>
      <w:r w:rsidR="008B26E6">
        <w:t xml:space="preserve">, </w:t>
      </w:r>
      <w:r w:rsidRPr="009034DB">
        <w:t>there is widespread concern among landowners that being listed in council HAIL databases will impact on property values</w:t>
      </w:r>
      <w:r w:rsidR="008B26E6">
        <w:t xml:space="preserve">, due to assumptions that being identified on a council’s </w:t>
      </w:r>
      <w:r w:rsidR="00224517">
        <w:t>listed</w:t>
      </w:r>
      <w:r w:rsidR="008B26E6">
        <w:t xml:space="preserve"> land</w:t>
      </w:r>
      <w:r w:rsidR="00224517">
        <w:t>-use</w:t>
      </w:r>
      <w:r w:rsidR="008B26E6">
        <w:t xml:space="preserve"> register means that a site is contaminated.</w:t>
      </w:r>
      <w:r w:rsidR="00C24F12">
        <w:rPr>
          <w:rFonts w:cs="Times New Roman"/>
          <w:b/>
          <w:sz w:val="20"/>
          <w:szCs w:val="20"/>
        </w:rPr>
        <w:br w:type="page"/>
      </w:r>
    </w:p>
    <w:p w:rsidR="00C24F12" w:rsidRPr="00845FEF" w:rsidRDefault="00C24F12" w:rsidP="005314F5">
      <w:pPr>
        <w:pStyle w:val="Figureheading"/>
        <w:ind w:left="851" w:hanging="851"/>
      </w:pPr>
      <w:bookmarkStart w:id="59" w:name="_Toc422578273"/>
      <w:r w:rsidRPr="00845FEF">
        <w:t>Figure 2:</w:t>
      </w:r>
      <w:r w:rsidR="00077BFC">
        <w:t xml:space="preserve"> </w:t>
      </w:r>
      <w:r w:rsidRPr="00845FEF">
        <w:t xml:space="preserve">Findings of </w:t>
      </w:r>
      <w:r w:rsidR="005314F5">
        <w:t>d</w:t>
      </w:r>
      <w:r w:rsidR="005314F5" w:rsidRPr="00845FEF">
        <w:t xml:space="preserve">etailed </w:t>
      </w:r>
      <w:r w:rsidR="005314F5">
        <w:t>s</w:t>
      </w:r>
      <w:r w:rsidR="005314F5" w:rsidRPr="00845FEF">
        <w:t xml:space="preserve">ite </w:t>
      </w:r>
      <w:r w:rsidR="005314F5">
        <w:t>i</w:t>
      </w:r>
      <w:r w:rsidR="005314F5" w:rsidRPr="00845FEF">
        <w:t xml:space="preserve">nvestigations </w:t>
      </w:r>
      <w:r w:rsidRPr="00845FEF">
        <w:t>provided with resource consent applications in Christchurch between July and December 2014</w:t>
      </w:r>
      <w:bookmarkEnd w:id="59"/>
    </w:p>
    <w:p w:rsidR="00C24F12" w:rsidRDefault="00C24F12" w:rsidP="00C24F12">
      <w:pPr>
        <w:rPr>
          <w:rFonts w:ascii="Arial" w:hAnsi="Arial" w:cs="Arial"/>
        </w:rPr>
      </w:pPr>
      <w:r>
        <w:rPr>
          <w:noProof/>
        </w:rPr>
        <w:drawing>
          <wp:inline distT="0" distB="0" distL="0" distR="0" wp14:anchorId="6700D8D7" wp14:editId="268B9C27">
            <wp:extent cx="5339751" cy="3157268"/>
            <wp:effectExtent l="0" t="0" r="0"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24F12" w:rsidRPr="00866195" w:rsidRDefault="00C24F12" w:rsidP="00C24F12">
      <w:pPr>
        <w:pStyle w:val="Heading3"/>
      </w:pPr>
      <w:bookmarkStart w:id="60" w:name="_Toc422307712"/>
      <w:bookmarkStart w:id="61" w:name="_Toc422312873"/>
      <w:bookmarkStart w:id="62" w:name="_Toc422312945"/>
      <w:r>
        <w:t xml:space="preserve">3.2.1 Inconsistencies in interpretation of HAIL categories </w:t>
      </w:r>
      <w:bookmarkEnd w:id="60"/>
      <w:bookmarkEnd w:id="61"/>
      <w:bookmarkEnd w:id="62"/>
    </w:p>
    <w:p w:rsidR="00C24F12" w:rsidRDefault="00A77D8C" w:rsidP="00C24F12">
      <w:pPr>
        <w:pStyle w:val="BodyText"/>
      </w:pPr>
      <w:r>
        <w:t>The wording of m</w:t>
      </w:r>
      <w:r w:rsidR="00C24F12" w:rsidRPr="00B140E4">
        <w:t>any of the</w:t>
      </w:r>
      <w:r w:rsidR="00C24F12">
        <w:t xml:space="preserve"> HAIL</w:t>
      </w:r>
      <w:r w:rsidR="00C24F12" w:rsidRPr="00B140E4">
        <w:t xml:space="preserve"> categories </w:t>
      </w:r>
      <w:r>
        <w:t>is</w:t>
      </w:r>
      <w:r w:rsidR="00C24F12" w:rsidRPr="00B140E4">
        <w:t xml:space="preserve"> broad</w:t>
      </w:r>
      <w:r w:rsidR="00C24F12">
        <w:t>, leading to</w:t>
      </w:r>
      <w:r w:rsidR="00C24F12" w:rsidRPr="00B140E4">
        <w:t xml:space="preserve"> inconsistency </w:t>
      </w:r>
      <w:r w:rsidR="00C24F12">
        <w:t>in stakeholders’ interpretation and application of these categories</w:t>
      </w:r>
      <w:r w:rsidR="00C24F12" w:rsidRPr="00B140E4">
        <w:t>. For example</w:t>
      </w:r>
      <w:r w:rsidR="00C24F12">
        <w:t xml:space="preserve">, </w:t>
      </w:r>
      <w:r w:rsidR="00C24F12" w:rsidRPr="00B140E4">
        <w:t xml:space="preserve">HAIL refers to </w:t>
      </w:r>
      <w:r w:rsidR="00C24F12" w:rsidRPr="0092454B">
        <w:t>‘</w:t>
      </w:r>
      <w:r w:rsidR="00C24F12" w:rsidRPr="00727546">
        <w:t>bulk storage and use’</w:t>
      </w:r>
      <w:r w:rsidR="00C24F12" w:rsidRPr="00B140E4">
        <w:rPr>
          <w:i/>
        </w:rPr>
        <w:t xml:space="preserve"> </w:t>
      </w:r>
      <w:r w:rsidR="00C24F12" w:rsidRPr="00B140E4">
        <w:t xml:space="preserve">in a number of places. </w:t>
      </w:r>
      <w:r w:rsidR="003A118E">
        <w:t>Councils use a range of interpretations for</w:t>
      </w:r>
      <w:r w:rsidR="00C24F12" w:rsidRPr="00B140E4">
        <w:t xml:space="preserve"> the size, duration, scale and volumes </w:t>
      </w:r>
      <w:r w:rsidR="00C24F12">
        <w:t xml:space="preserve">that equate to bulk storage or </w:t>
      </w:r>
      <w:r w:rsidR="00C24F12" w:rsidRPr="00B140E4">
        <w:t xml:space="preserve">use. </w:t>
      </w:r>
    </w:p>
    <w:p w:rsidR="00C24F12" w:rsidRDefault="00C24F12" w:rsidP="00C24F12">
      <w:pPr>
        <w:pStyle w:val="BodyText"/>
      </w:pPr>
      <w:r w:rsidRPr="00B140E4">
        <w:t xml:space="preserve">Another category refers to </w:t>
      </w:r>
      <w:r w:rsidRPr="00727546">
        <w:t>‘storing wool or leather products’</w:t>
      </w:r>
      <w:r w:rsidRPr="00B140E4">
        <w:t>. A literal interpretation of this could result in a saddlery or carpet warehouses being listed as HAIL</w:t>
      </w:r>
      <w:r w:rsidR="00A77D8C">
        <w:t>,</w:t>
      </w:r>
      <w:r w:rsidR="0085750E">
        <w:t xml:space="preserve"> when it is reasonable to assume that these uses won’t pose a risk to health</w:t>
      </w:r>
      <w:r w:rsidRPr="00B140E4">
        <w:t xml:space="preserve">. </w:t>
      </w:r>
      <w:r>
        <w:t xml:space="preserve">There is a possibility that variable interpretation and application of the HAIL list is increasing the number of HAIL sites that are later found not to exceed guideline values. More evidence would be required before a conclusion could be drawn on this. </w:t>
      </w:r>
    </w:p>
    <w:p w:rsidR="009B5594" w:rsidRDefault="009B5594" w:rsidP="004B2502">
      <w:pPr>
        <w:pStyle w:val="Heading2"/>
      </w:pPr>
      <w:bookmarkStart w:id="63" w:name="_Toc425338556"/>
      <w:r>
        <w:t>3.</w:t>
      </w:r>
      <w:r w:rsidR="004B2502">
        <w:t>3</w:t>
      </w:r>
      <w:r>
        <w:t xml:space="preserve"> Summary</w:t>
      </w:r>
      <w:bookmarkEnd w:id="63"/>
    </w:p>
    <w:p w:rsidR="009B5594" w:rsidRDefault="009B5594" w:rsidP="00C24F12">
      <w:pPr>
        <w:pStyle w:val="BodyText"/>
      </w:pPr>
      <w:r>
        <w:t xml:space="preserve">The key findings of the interim review </w:t>
      </w:r>
      <w:r w:rsidR="003A118E">
        <w:t>about</w:t>
      </w:r>
      <w:r>
        <w:t xml:space="preserve"> the role of the HAIL are:</w:t>
      </w:r>
    </w:p>
    <w:p w:rsidR="00CF29AD" w:rsidRDefault="009B5594" w:rsidP="006352B5">
      <w:pPr>
        <w:pStyle w:val="Bullet"/>
      </w:pPr>
      <w:r>
        <w:t>The scale of HAIL land in New Zealand is significant, and the known area</w:t>
      </w:r>
      <w:r w:rsidR="00CF29AD">
        <w:t xml:space="preserve"> of HAIL land</w:t>
      </w:r>
      <w:r>
        <w:t xml:space="preserve"> </w:t>
      </w:r>
      <w:r w:rsidR="00CF29AD">
        <w:t>w</w:t>
      </w:r>
      <w:r>
        <w:t xml:space="preserve">ill continue to increase as councils </w:t>
      </w:r>
      <w:r w:rsidR="00CF29AD">
        <w:t>progress work to identify HAIL sites in their region.</w:t>
      </w:r>
    </w:p>
    <w:p w:rsidR="00CF29AD" w:rsidRDefault="00CF29AD" w:rsidP="006352B5">
      <w:pPr>
        <w:pStyle w:val="Bullet"/>
      </w:pPr>
      <w:r>
        <w:t>A significant proportion of HAIL sites are found to</w:t>
      </w:r>
      <w:r w:rsidR="005A5179">
        <w:t xml:space="preserve"> </w:t>
      </w:r>
      <w:r>
        <w:t>be below the soil contaminant standards after testing.</w:t>
      </w:r>
    </w:p>
    <w:p w:rsidR="00CF29AD" w:rsidRDefault="00CF29AD" w:rsidP="006352B5">
      <w:pPr>
        <w:pStyle w:val="Bullet"/>
      </w:pPr>
      <w:r>
        <w:t>Interpretation and application of the HAIL is inconsistent.</w:t>
      </w:r>
    </w:p>
    <w:p w:rsidR="009B5594" w:rsidRDefault="009B5594" w:rsidP="00C24F12">
      <w:pPr>
        <w:pStyle w:val="BodyText"/>
      </w:pPr>
    </w:p>
    <w:p w:rsidR="00C24F12" w:rsidRPr="00374DD3" w:rsidRDefault="00C24F12" w:rsidP="00C24F12">
      <w:pPr>
        <w:spacing w:before="0" w:after="200" w:line="276" w:lineRule="auto"/>
        <w:jc w:val="left"/>
        <w:rPr>
          <w:rFonts w:eastAsiaTheme="majorEastAsia" w:cstheme="majorBidi"/>
          <w:b/>
          <w:bCs/>
          <w:color w:val="17556C"/>
          <w:sz w:val="48"/>
          <w:szCs w:val="28"/>
        </w:rPr>
      </w:pPr>
      <w:r>
        <w:br w:type="page"/>
      </w:r>
    </w:p>
    <w:p w:rsidR="00C24F12" w:rsidRPr="003E644B" w:rsidRDefault="00C24F12" w:rsidP="00C24F12">
      <w:pPr>
        <w:pStyle w:val="Heading1"/>
      </w:pPr>
      <w:bookmarkStart w:id="64" w:name="_4._Management_approaches"/>
      <w:bookmarkStart w:id="65" w:name="_Toc422307713"/>
      <w:bookmarkStart w:id="66" w:name="_Toc422312874"/>
      <w:bookmarkStart w:id="67" w:name="_Toc422312946"/>
      <w:bookmarkStart w:id="68" w:name="_Toc425338557"/>
      <w:bookmarkEnd w:id="64"/>
      <w:r>
        <w:t>4. Management approaches for sites obtaining NESCS consent</w:t>
      </w:r>
      <w:bookmarkEnd w:id="65"/>
      <w:bookmarkEnd w:id="66"/>
      <w:bookmarkEnd w:id="67"/>
      <w:bookmarkEnd w:id="68"/>
      <w:r>
        <w:rPr>
          <w:rFonts w:asciiTheme="minorHAnsi" w:hAnsiTheme="minorHAnsi"/>
        </w:rPr>
        <w:t xml:space="preserve"> </w:t>
      </w:r>
      <w:r>
        <w:t xml:space="preserve"> </w:t>
      </w:r>
    </w:p>
    <w:p w:rsidR="00C24F12" w:rsidRPr="00974693" w:rsidRDefault="00C24F12" w:rsidP="00C24F12">
      <w:pPr>
        <w:pStyle w:val="BodyText"/>
        <w:rPr>
          <w:rFonts w:asciiTheme="minorHAnsi" w:hAnsiTheme="minorHAnsi"/>
        </w:rPr>
      </w:pPr>
      <w:r w:rsidRPr="00E55EE8">
        <w:t xml:space="preserve">The NESCS uses soil contaminant standards </w:t>
      </w:r>
      <w:r>
        <w:t>and guideline values</w:t>
      </w:r>
      <w:r w:rsidRPr="00E55EE8">
        <w:t xml:space="preserve"> to determine whether </w:t>
      </w:r>
      <w:r w:rsidR="0054633D">
        <w:t xml:space="preserve">management or mitigation of risks is required. </w:t>
      </w:r>
      <w:r w:rsidRPr="00974693">
        <w:rPr>
          <w:rFonts w:asciiTheme="minorHAnsi" w:hAnsiTheme="minorHAnsi"/>
        </w:rPr>
        <w:t>If a site exceeds the soil contaminant standards,</w:t>
      </w:r>
      <w:r w:rsidR="0054633D">
        <w:rPr>
          <w:rFonts w:asciiTheme="minorHAnsi" w:hAnsiTheme="minorHAnsi"/>
        </w:rPr>
        <w:t xml:space="preserve"> </w:t>
      </w:r>
      <w:r w:rsidR="0054633D">
        <w:t xml:space="preserve">and an activity does not meet the permitted activity requirements, </w:t>
      </w:r>
      <w:r w:rsidRPr="00974693">
        <w:rPr>
          <w:rFonts w:asciiTheme="minorHAnsi" w:hAnsiTheme="minorHAnsi"/>
        </w:rPr>
        <w:t>the</w:t>
      </w:r>
      <w:r>
        <w:rPr>
          <w:rFonts w:asciiTheme="minorHAnsi" w:hAnsiTheme="minorHAnsi"/>
        </w:rPr>
        <w:t xml:space="preserve"> landowner </w:t>
      </w:r>
      <w:r w:rsidRPr="00974693">
        <w:rPr>
          <w:rFonts w:asciiTheme="minorHAnsi" w:hAnsiTheme="minorHAnsi"/>
        </w:rPr>
        <w:t xml:space="preserve">will be required to </w:t>
      </w:r>
      <w:r w:rsidR="0054633D">
        <w:rPr>
          <w:rFonts w:asciiTheme="minorHAnsi" w:hAnsiTheme="minorHAnsi"/>
        </w:rPr>
        <w:t>obtain</w:t>
      </w:r>
      <w:r w:rsidRPr="00974693">
        <w:rPr>
          <w:rFonts w:asciiTheme="minorHAnsi" w:hAnsiTheme="minorHAnsi"/>
        </w:rPr>
        <w:t xml:space="preserve"> NESCS resource consent. </w:t>
      </w:r>
      <w:r w:rsidRPr="0080144F">
        <w:rPr>
          <w:rFonts w:asciiTheme="minorHAnsi" w:hAnsiTheme="minorHAnsi"/>
        </w:rPr>
        <w:t xml:space="preserve">Risks to human health from contamination in soil </w:t>
      </w:r>
      <w:r>
        <w:rPr>
          <w:rFonts w:asciiTheme="minorHAnsi" w:hAnsiTheme="minorHAnsi"/>
        </w:rPr>
        <w:t xml:space="preserve">can be managed </w:t>
      </w:r>
      <w:r w:rsidR="00CF63A4">
        <w:rPr>
          <w:rFonts w:asciiTheme="minorHAnsi" w:hAnsiTheme="minorHAnsi"/>
        </w:rPr>
        <w:t>in a</w:t>
      </w:r>
      <w:r w:rsidR="00CF63A4" w:rsidRPr="0080144F">
        <w:rPr>
          <w:rFonts w:asciiTheme="minorHAnsi" w:hAnsiTheme="minorHAnsi"/>
        </w:rPr>
        <w:t xml:space="preserve"> </w:t>
      </w:r>
      <w:r w:rsidRPr="0080144F">
        <w:rPr>
          <w:rFonts w:asciiTheme="minorHAnsi" w:hAnsiTheme="minorHAnsi"/>
        </w:rPr>
        <w:t xml:space="preserve">variety of </w:t>
      </w:r>
      <w:r w:rsidR="00CF63A4">
        <w:rPr>
          <w:rFonts w:asciiTheme="minorHAnsi" w:hAnsiTheme="minorHAnsi"/>
        </w:rPr>
        <w:t>ways</w:t>
      </w:r>
      <w:r w:rsidRPr="0080144F">
        <w:rPr>
          <w:rFonts w:asciiTheme="minorHAnsi" w:hAnsiTheme="minorHAnsi"/>
        </w:rPr>
        <w:t>, which can broadly be split into remediation or on-site management.</w:t>
      </w:r>
      <w:r w:rsidRPr="0080144F">
        <w:rPr>
          <w:rStyle w:val="FootnoteReference"/>
          <w:rFonts w:asciiTheme="minorHAnsi" w:hAnsiTheme="minorHAnsi"/>
        </w:rPr>
        <w:footnoteReference w:id="4"/>
      </w:r>
      <w:r>
        <w:rPr>
          <w:rFonts w:asciiTheme="minorHAnsi" w:hAnsiTheme="minorHAnsi"/>
        </w:rPr>
        <w:t xml:space="preserve"> </w:t>
      </w:r>
      <w:r w:rsidRPr="00974693">
        <w:rPr>
          <w:rFonts w:asciiTheme="minorHAnsi" w:hAnsiTheme="minorHAnsi"/>
        </w:rPr>
        <w:t>Th</w:t>
      </w:r>
      <w:r>
        <w:rPr>
          <w:rFonts w:asciiTheme="minorHAnsi" w:hAnsiTheme="minorHAnsi"/>
        </w:rPr>
        <w:t>e NESCS does not dictate how</w:t>
      </w:r>
      <w:r w:rsidRPr="00974693">
        <w:rPr>
          <w:rFonts w:asciiTheme="minorHAnsi" w:hAnsiTheme="minorHAnsi"/>
        </w:rPr>
        <w:t xml:space="preserve"> a site should be</w:t>
      </w:r>
      <w:r>
        <w:rPr>
          <w:rFonts w:asciiTheme="minorHAnsi" w:hAnsiTheme="minorHAnsi"/>
        </w:rPr>
        <w:t xml:space="preserve"> managed</w:t>
      </w:r>
      <w:r w:rsidRPr="00974693">
        <w:rPr>
          <w:rFonts w:asciiTheme="minorHAnsi" w:hAnsiTheme="minorHAnsi"/>
        </w:rPr>
        <w:t xml:space="preserve">, to provide flexibility for the variable characteristics of contaminated sites. </w:t>
      </w:r>
      <w:r>
        <w:rPr>
          <w:rFonts w:asciiTheme="minorHAnsi" w:hAnsiTheme="minorHAnsi"/>
        </w:rPr>
        <w:t>C</w:t>
      </w:r>
      <w:r w:rsidRPr="0080144F">
        <w:rPr>
          <w:rFonts w:asciiTheme="minorHAnsi" w:hAnsiTheme="minorHAnsi"/>
        </w:rPr>
        <w:t>ouncils</w:t>
      </w:r>
      <w:r>
        <w:rPr>
          <w:rFonts w:asciiTheme="minorHAnsi" w:hAnsiTheme="minorHAnsi"/>
        </w:rPr>
        <w:t xml:space="preserve"> have discretion</w:t>
      </w:r>
      <w:r w:rsidRPr="0080144F">
        <w:rPr>
          <w:rFonts w:asciiTheme="minorHAnsi" w:hAnsiTheme="minorHAnsi"/>
        </w:rPr>
        <w:t xml:space="preserve"> to determine whether </w:t>
      </w:r>
      <w:r>
        <w:rPr>
          <w:rFonts w:asciiTheme="minorHAnsi" w:hAnsiTheme="minorHAnsi"/>
        </w:rPr>
        <w:t>a</w:t>
      </w:r>
      <w:r w:rsidRPr="00974693">
        <w:rPr>
          <w:rFonts w:asciiTheme="minorHAnsi" w:hAnsiTheme="minorHAnsi"/>
        </w:rPr>
        <w:t xml:space="preserve"> proposal will adequately manage the risks to human health. </w:t>
      </w:r>
    </w:p>
    <w:p w:rsidR="00C24F12" w:rsidRPr="0080144F" w:rsidRDefault="00C24F12" w:rsidP="00C24F12">
      <w:pPr>
        <w:pStyle w:val="Heading2"/>
      </w:pPr>
      <w:bookmarkStart w:id="69" w:name="_Toc422307714"/>
      <w:bookmarkStart w:id="70" w:name="_Toc422312875"/>
      <w:bookmarkStart w:id="71" w:name="_Toc422312947"/>
      <w:bookmarkStart w:id="72" w:name="_Toc425338558"/>
      <w:r>
        <w:t xml:space="preserve">4.1 Types of management approaches </w:t>
      </w:r>
      <w:r w:rsidR="0054633D">
        <w:t xml:space="preserve">used on sites with </w:t>
      </w:r>
      <w:r>
        <w:t>an NESCS consent</w:t>
      </w:r>
      <w:bookmarkEnd w:id="69"/>
      <w:bookmarkEnd w:id="70"/>
      <w:bookmarkEnd w:id="71"/>
      <w:bookmarkEnd w:id="72"/>
    </w:p>
    <w:p w:rsidR="00C24F12" w:rsidRDefault="00C24F12" w:rsidP="00C24F12">
      <w:pPr>
        <w:pStyle w:val="BodyText"/>
      </w:pPr>
      <w:r>
        <w:t xml:space="preserve">The </w:t>
      </w:r>
      <w:r w:rsidRPr="00A80E4D">
        <w:rPr>
          <w:i/>
        </w:rPr>
        <w:t>Resource Management Act: Two-yearly Survey of Local Authorities 2012/13</w:t>
      </w:r>
      <w:r>
        <w:t xml:space="preserve"> (</w:t>
      </w:r>
      <w:proofErr w:type="spellStart"/>
      <w:r>
        <w:t>MfE</w:t>
      </w:r>
      <w:proofErr w:type="spellEnd"/>
      <w:r>
        <w:t xml:space="preserve">, 2014) asked councils how many sites required remediation or management to comply with the NESCS. Councils reported 171 sites had some form of management or remediation during 2012/13, but did not provide detail on what approach was used. </w:t>
      </w:r>
    </w:p>
    <w:p w:rsidR="00C24F12" w:rsidRDefault="00C24F12" w:rsidP="00C24F12">
      <w:pPr>
        <w:pStyle w:val="BodyText"/>
      </w:pPr>
      <w:r w:rsidRPr="0080144F">
        <w:t xml:space="preserve">The interim review investigated the types of management </w:t>
      </w:r>
      <w:r>
        <w:t>approache</w:t>
      </w:r>
      <w:r w:rsidRPr="0080144F">
        <w:t>s occurring on sites triggering the NESCS. Data collected from the nationwide consent review and from Christchurch City Council consents indicate that the majority of consents</w:t>
      </w:r>
      <w:r>
        <w:t xml:space="preserve"> that require some form of </w:t>
      </w:r>
      <w:r w:rsidR="0054633D">
        <w:t>mitigation</w:t>
      </w:r>
      <w:r w:rsidRPr="0080144F">
        <w:t xml:space="preserve"> are being granted for on-site management</w:t>
      </w:r>
      <w:r>
        <w:t xml:space="preserve"> of contaminants. However,</w:t>
      </w:r>
      <w:r w:rsidRPr="0080144F">
        <w:t xml:space="preserve"> </w:t>
      </w:r>
      <w:r>
        <w:t>landowners</w:t>
      </w:r>
      <w:r w:rsidRPr="0080144F">
        <w:t xml:space="preserve"> will </w:t>
      </w:r>
      <w:r>
        <w:t xml:space="preserve">often </w:t>
      </w:r>
      <w:r w:rsidRPr="0080144F">
        <w:t>use a combination of both techniques</w:t>
      </w:r>
      <w:r>
        <w:t xml:space="preserve"> on their site</w:t>
      </w:r>
      <w:r w:rsidRPr="0080144F">
        <w:t xml:space="preserve">, partially cleaning up contaminants where it is cost effective or feasible, and using on-site management for the remaining contamination. </w:t>
      </w:r>
      <w:r>
        <w:t xml:space="preserve">Many sites obtaining NESCS consent do not require any form of management, as they are found to be below guideline values. </w:t>
      </w:r>
    </w:p>
    <w:p w:rsidR="00C24F12" w:rsidRDefault="00C24F12" w:rsidP="00C24F12">
      <w:pPr>
        <w:spacing w:before="0" w:after="200" w:line="276" w:lineRule="auto"/>
        <w:jc w:val="left"/>
        <w:rPr>
          <w:rFonts w:cs="Times New Roman"/>
          <w:b/>
          <w:sz w:val="20"/>
          <w:szCs w:val="20"/>
        </w:rPr>
      </w:pPr>
      <w:r>
        <w:rPr>
          <w:rFonts w:cs="Times New Roman"/>
          <w:b/>
          <w:sz w:val="20"/>
          <w:szCs w:val="20"/>
        </w:rPr>
        <w:br w:type="page"/>
      </w:r>
    </w:p>
    <w:p w:rsidR="00C24F12" w:rsidRPr="00906937" w:rsidRDefault="00C24F12" w:rsidP="00077BFC">
      <w:pPr>
        <w:pStyle w:val="Figureheading"/>
        <w:ind w:left="851" w:hanging="851"/>
      </w:pPr>
      <w:bookmarkStart w:id="73" w:name="_Toc422578274"/>
      <w:r w:rsidRPr="00906937">
        <w:t>Figure 3:</w:t>
      </w:r>
      <w:r w:rsidR="00077BFC">
        <w:t xml:space="preserve"> </w:t>
      </w:r>
      <w:r w:rsidRPr="00906937">
        <w:t xml:space="preserve">Proposed management approaches for NESCS consents issued by Christchurch City Council between July </w:t>
      </w:r>
      <w:r>
        <w:t>and</w:t>
      </w:r>
      <w:r w:rsidRPr="00906937">
        <w:t xml:space="preserve"> December 2014</w:t>
      </w:r>
      <w:bookmarkEnd w:id="73"/>
    </w:p>
    <w:p w:rsidR="00C24F12" w:rsidRDefault="00C24F12" w:rsidP="00C24F12">
      <w:pPr>
        <w:pStyle w:val="NoSpacing"/>
        <w:numPr>
          <w:ilvl w:val="0"/>
          <w:numId w:val="0"/>
        </w:numPr>
        <w:jc w:val="center"/>
        <w:rPr>
          <w:rFonts w:asciiTheme="minorHAnsi" w:hAnsiTheme="minorHAnsi"/>
        </w:rPr>
      </w:pPr>
      <w:r w:rsidRPr="001B4971">
        <w:rPr>
          <w:noProof/>
          <w:shd w:val="clear" w:color="auto" w:fill="677719"/>
          <w:lang w:eastAsia="en-NZ"/>
        </w:rPr>
        <w:drawing>
          <wp:inline distT="0" distB="0" distL="0" distR="0" wp14:anchorId="54F25B29" wp14:editId="70A0094F">
            <wp:extent cx="5676900" cy="29908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24F12" w:rsidRDefault="00C24F12" w:rsidP="00C24F12">
      <w:pPr>
        <w:pStyle w:val="Heading2"/>
      </w:pPr>
      <w:bookmarkStart w:id="74" w:name="_Toc422307715"/>
      <w:bookmarkStart w:id="75" w:name="_Toc422312876"/>
      <w:bookmarkStart w:id="76" w:name="_Toc422312948"/>
      <w:bookmarkStart w:id="77" w:name="_Toc425338559"/>
      <w:r>
        <w:t>4.2 Drivers of approaches to managing contaminated sites</w:t>
      </w:r>
      <w:bookmarkEnd w:id="74"/>
      <w:bookmarkEnd w:id="75"/>
      <w:bookmarkEnd w:id="76"/>
      <w:bookmarkEnd w:id="77"/>
    </w:p>
    <w:p w:rsidR="00C24F12" w:rsidRDefault="00C24F12" w:rsidP="00C24F12">
      <w:pPr>
        <w:pStyle w:val="BodyText"/>
      </w:pPr>
      <w:r w:rsidRPr="0080144F">
        <w:t xml:space="preserve">Stakeholders </w:t>
      </w:r>
      <w:r>
        <w:t>consistently reported</w:t>
      </w:r>
      <w:r w:rsidRPr="0080144F">
        <w:t xml:space="preserve"> that in the</w:t>
      </w:r>
      <w:r>
        <w:t xml:space="preserve"> vast</w:t>
      </w:r>
      <w:r w:rsidRPr="0080144F">
        <w:t xml:space="preserve"> majority of cases, landowners propose the approach they will use</w:t>
      </w:r>
      <w:r>
        <w:t xml:space="preserve"> to manage contamination</w:t>
      </w:r>
      <w:r w:rsidRPr="0080144F">
        <w:t xml:space="preserve"> on a site, and if it is sufficient to mitigate the risks, councils</w:t>
      </w:r>
      <w:r>
        <w:t xml:space="preserve"> </w:t>
      </w:r>
      <w:r w:rsidRPr="0080144F">
        <w:t xml:space="preserve">will </w:t>
      </w:r>
      <w:r>
        <w:t>generally</w:t>
      </w:r>
      <w:r w:rsidRPr="0080144F">
        <w:t xml:space="preserve"> accept the proposal. </w:t>
      </w:r>
      <w:r>
        <w:t xml:space="preserve">However, there are reports that some </w:t>
      </w:r>
      <w:proofErr w:type="gramStart"/>
      <w:r>
        <w:t>councils</w:t>
      </w:r>
      <w:proofErr w:type="gramEnd"/>
      <w:r>
        <w:t xml:space="preserve"> are unwilling to grant resource consent for proposals that do not remove the contaminated soil, due to concerns that other approaches will not sufficiently address the risks. </w:t>
      </w:r>
    </w:p>
    <w:p w:rsidR="00C24F12" w:rsidRPr="00552877" w:rsidRDefault="00C24F12" w:rsidP="00C24F12">
      <w:pPr>
        <w:pStyle w:val="BodyText"/>
      </w:pPr>
      <w:r>
        <w:t xml:space="preserve">Cost was identified as the most significant </w:t>
      </w:r>
      <w:r w:rsidRPr="0080144F">
        <w:t xml:space="preserve">factor </w:t>
      </w:r>
      <w:r>
        <w:t>in determining the</w:t>
      </w:r>
      <w:r w:rsidRPr="0080144F">
        <w:t xml:space="preserve"> management approach preferred by a landowner</w:t>
      </w:r>
      <w:r>
        <w:t>. Another major factor is individual l</w:t>
      </w:r>
      <w:r w:rsidRPr="00552877">
        <w:t>andowner motivations</w:t>
      </w:r>
      <w:r>
        <w:t xml:space="preserve"> and interests, which</w:t>
      </w:r>
      <w:r w:rsidRPr="00552877">
        <w:t xml:space="preserve"> vary depending on who they are. For example</w:t>
      </w:r>
      <w:r>
        <w:t>,</w:t>
      </w:r>
      <w:r w:rsidRPr="00552877">
        <w:t xml:space="preserve"> commercial premises often have their own standards</w:t>
      </w:r>
      <w:r>
        <w:t>,</w:t>
      </w:r>
      <w:r w:rsidRPr="00552877">
        <w:t xml:space="preserve"> which require sites to be remediated to a certain level. Many landowners </w:t>
      </w:r>
      <w:r>
        <w:t xml:space="preserve">also </w:t>
      </w:r>
      <w:r w:rsidRPr="00552877">
        <w:t>prefer to have contaminants removed from their site, due to perception</w:t>
      </w:r>
      <w:r>
        <w:t>s</w:t>
      </w:r>
      <w:r w:rsidRPr="00552877">
        <w:t xml:space="preserve"> of potential hazard,</w:t>
      </w:r>
      <w:r>
        <w:t xml:space="preserve"> and</w:t>
      </w:r>
      <w:r w:rsidRPr="00552877">
        <w:t xml:space="preserve"> concerns about future liability and property values.</w:t>
      </w:r>
    </w:p>
    <w:p w:rsidR="00C24F12" w:rsidRDefault="00C24F12" w:rsidP="00C24F12">
      <w:pPr>
        <w:pStyle w:val="BodyText"/>
      </w:pPr>
      <w:r>
        <w:t>Other important factors for landowners include</w:t>
      </w:r>
      <w:r w:rsidRPr="0080144F">
        <w:t xml:space="preserve"> the proposed use of the site, </w:t>
      </w:r>
      <w:r>
        <w:t xml:space="preserve">and </w:t>
      </w:r>
      <w:r w:rsidRPr="0080144F">
        <w:t xml:space="preserve">the type and extent of contaminants. </w:t>
      </w:r>
      <w:r>
        <w:t>In the case of fuel storage systems, oil industry representatives commented that by allowing 30</w:t>
      </w:r>
      <w:r w:rsidRPr="007D1982">
        <w:t xml:space="preserve"> </w:t>
      </w:r>
      <w:r>
        <w:t xml:space="preserve">cubic metres of soil to be disposed of as a permitted activity, the NESCS is in effect encouraging sites to be cleaned up at the time of a fuel tank removal or replacement. </w:t>
      </w:r>
    </w:p>
    <w:p w:rsidR="00C24F12" w:rsidRDefault="00C24F12" w:rsidP="00C24F12">
      <w:pPr>
        <w:pStyle w:val="Heading2"/>
      </w:pPr>
      <w:bookmarkStart w:id="78" w:name="_Toc425338560"/>
      <w:bookmarkStart w:id="79" w:name="_Toc422307716"/>
      <w:bookmarkStart w:id="80" w:name="_Toc422312877"/>
      <w:bookmarkStart w:id="81" w:name="_Toc422312949"/>
      <w:r>
        <w:t>4.3 Costs of disposing of contaminated soil</w:t>
      </w:r>
      <w:bookmarkEnd w:id="78"/>
      <w:r>
        <w:t xml:space="preserve"> </w:t>
      </w:r>
      <w:bookmarkEnd w:id="79"/>
      <w:bookmarkEnd w:id="80"/>
      <w:bookmarkEnd w:id="81"/>
    </w:p>
    <w:p w:rsidR="00C24F12" w:rsidRPr="0080144F" w:rsidRDefault="00C24F12" w:rsidP="00C24F12">
      <w:pPr>
        <w:pStyle w:val="BodyText"/>
      </w:pPr>
      <w:r>
        <w:t>C</w:t>
      </w:r>
      <w:r w:rsidRPr="0080144F">
        <w:t>ost</w:t>
      </w:r>
      <w:r>
        <w:t>s</w:t>
      </w:r>
      <w:r w:rsidRPr="0080144F">
        <w:t xml:space="preserve"> for </w:t>
      </w:r>
      <w:r>
        <w:t>disposing</w:t>
      </w:r>
      <w:r w:rsidRPr="0080144F">
        <w:t xml:space="preserve"> of soil with contaminant levels above</w:t>
      </w:r>
      <w:r>
        <w:t xml:space="preserve"> background concentrations can be high. This is particularly an issue in areas that do not have a managed fill site. Many managed fills accept soil with low levels of contamination, so if a managed </w:t>
      </w:r>
      <w:proofErr w:type="gramStart"/>
      <w:r>
        <w:t>fill</w:t>
      </w:r>
      <w:proofErr w:type="gramEnd"/>
      <w:r>
        <w:t xml:space="preserve"> is not available, or contamination is present above managed fill levels, contaminated soil will generally need to be disposed of to a landfill. This can pose a significant cost. For example, there have been reports of costs of </w:t>
      </w:r>
      <w:r w:rsidRPr="009902BD">
        <w:t>$40,000</w:t>
      </w:r>
      <w:r>
        <w:t>–</w:t>
      </w:r>
      <w:r w:rsidR="00E6787B">
        <w:t>$</w:t>
      </w:r>
      <w:r w:rsidRPr="009902BD">
        <w:t>50,000</w:t>
      </w:r>
      <w:r>
        <w:t xml:space="preserve"> to dispose of the contaminated topsoil layer from a </w:t>
      </w:r>
      <w:r w:rsidRPr="009902BD">
        <w:t>700</w:t>
      </w:r>
      <w:r>
        <w:t xml:space="preserve"> </w:t>
      </w:r>
      <w:r w:rsidRPr="009902BD">
        <w:t>sq</w:t>
      </w:r>
      <w:r>
        <w:t>uare</w:t>
      </w:r>
      <w:r w:rsidRPr="009902BD">
        <w:t xml:space="preserve"> met</w:t>
      </w:r>
      <w:r>
        <w:t>r</w:t>
      </w:r>
      <w:r w:rsidRPr="009902BD">
        <w:t>e</w:t>
      </w:r>
      <w:r>
        <w:t xml:space="preserve"> residential site.</w:t>
      </w:r>
      <w:r w:rsidRPr="009902BD">
        <w:t xml:space="preserve"> </w:t>
      </w:r>
      <w:r>
        <w:t>A</w:t>
      </w:r>
      <w:r w:rsidRPr="0080144F">
        <w:t xml:space="preserve">s a result many </w:t>
      </w:r>
      <w:r>
        <w:t xml:space="preserve">landowners </w:t>
      </w:r>
      <w:r w:rsidRPr="0080144F">
        <w:t>opt for on-site management</w:t>
      </w:r>
      <w:r>
        <w:t xml:space="preserve"> of contaminants</w:t>
      </w:r>
      <w:r w:rsidRPr="0080144F">
        <w:t xml:space="preserve">, rather than remediation through soil disposal. </w:t>
      </w:r>
    </w:p>
    <w:p w:rsidR="00C24F12" w:rsidRPr="00E04885" w:rsidRDefault="00C24F12" w:rsidP="00C24F12">
      <w:pPr>
        <w:pStyle w:val="BodyText"/>
      </w:pPr>
      <w:r>
        <w:t xml:space="preserve">In some instances, due to the location or type of contaminant, or the proposed use of the site, removal of contaminated soil may be the </w:t>
      </w:r>
      <w:r w:rsidRPr="004D21D7">
        <w:t>only</w:t>
      </w:r>
      <w:r>
        <w:t xml:space="preserve"> </w:t>
      </w:r>
      <w:r w:rsidRPr="004D21D7">
        <w:t xml:space="preserve">practical option </w:t>
      </w:r>
      <w:r>
        <w:t>to</w:t>
      </w:r>
      <w:r w:rsidRPr="004D21D7">
        <w:t xml:space="preserve"> effectively address risks to human health</w:t>
      </w:r>
      <w:r>
        <w:t>. In these circumstances, landowners may not be able to choose how their site will be managed</w:t>
      </w:r>
      <w:r w:rsidR="008B26E6">
        <w:t>, and the costs can be significant</w:t>
      </w:r>
      <w:r>
        <w:t xml:space="preserve">. There are also anecdotal reports that some contaminated land practitioners recommend ‘dig and dump’ of contaminated soil as a default, and do not consider alternative options. For landowners obtaining advice from these practitioners, this can have significant cost implications, when there may have been other options for addressing the risk at a lower cost. In particular, for sites where contamination is present at levels that only slightly exceed the soil contaminants standards, </w:t>
      </w:r>
      <w:r w:rsidR="0087059B">
        <w:t xml:space="preserve">the relationship between </w:t>
      </w:r>
      <w:r>
        <w:t xml:space="preserve">costs of removing soil </w:t>
      </w:r>
      <w:r w:rsidR="0087059B">
        <w:t>and</w:t>
      </w:r>
      <w:r>
        <w:t xml:space="preserve"> the potential benefits to human health</w:t>
      </w:r>
      <w:r w:rsidR="0087059B">
        <w:t xml:space="preserve"> are unclear</w:t>
      </w:r>
      <w:r>
        <w:t xml:space="preserve">. </w:t>
      </w:r>
    </w:p>
    <w:p w:rsidR="00C24F12" w:rsidRPr="00A61C48" w:rsidRDefault="00C24F12" w:rsidP="00C24F12">
      <w:pPr>
        <w:pStyle w:val="Heading2"/>
      </w:pPr>
      <w:bookmarkStart w:id="82" w:name="_Toc422307717"/>
      <w:bookmarkStart w:id="83" w:name="_Toc422312878"/>
      <w:bookmarkStart w:id="84" w:name="_Toc422312950"/>
      <w:bookmarkStart w:id="85" w:name="_Toc425338561"/>
      <w:r>
        <w:t>4.4 Ongoing maintenance of on-site management plans</w:t>
      </w:r>
      <w:bookmarkEnd w:id="82"/>
      <w:bookmarkEnd w:id="83"/>
      <w:bookmarkEnd w:id="84"/>
      <w:bookmarkEnd w:id="85"/>
    </w:p>
    <w:p w:rsidR="00C24F12" w:rsidRDefault="00C24F12" w:rsidP="00C24F12">
      <w:pPr>
        <w:pStyle w:val="BodyText"/>
      </w:pPr>
      <w:r>
        <w:t xml:space="preserve">A significant proportion of landowners are opting to use site management plans to manage exposure pathways and protect human health. Site management plans can provide cost-effective solutions for managing risks on some sites. For example, a site management plan for a residential property could require that grass in kept longer than 5 cm, and no vegetables are to be grown on the site, which for some sites will be sufficient to manage risks to health to an acceptable level. </w:t>
      </w:r>
      <w:r w:rsidR="0087059B">
        <w:t xml:space="preserve">Such an approach may be appropriate for a rural residential property where cadmium in the soil slightly exceeds the </w:t>
      </w:r>
      <w:r w:rsidR="00E6787B">
        <w:t>soil contaminant standards</w:t>
      </w:r>
      <w:r w:rsidR="0087059B">
        <w:t>. One of the main exposure pathways for cadmium is through consumption of root vegetables, so by removing the pathway, and minimising exposure by keeping the grass long, the risks may be sufficiently managed.</w:t>
      </w:r>
    </w:p>
    <w:p w:rsidR="00C24F12" w:rsidRPr="00E00BC2" w:rsidRDefault="00C24F12" w:rsidP="00C24F12">
      <w:pPr>
        <w:pStyle w:val="BodyText"/>
      </w:pPr>
      <w:r>
        <w:t xml:space="preserve">Site management plans usually have </w:t>
      </w:r>
      <w:r w:rsidRPr="00E00BC2">
        <w:t>ongoing compliance requirements</w:t>
      </w:r>
      <w:r>
        <w:t xml:space="preserve"> to remain effective. There is currently no consistency in the way c</w:t>
      </w:r>
      <w:r w:rsidRPr="00E00BC2">
        <w:t>ouncils record site management plans against the property file. If a si</w:t>
      </w:r>
      <w:r>
        <w:t xml:space="preserve">te management plan is part of </w:t>
      </w:r>
      <w:proofErr w:type="gramStart"/>
      <w:r>
        <w:t xml:space="preserve">a </w:t>
      </w:r>
      <w:r w:rsidRPr="00E00BC2">
        <w:t>subdivision</w:t>
      </w:r>
      <w:proofErr w:type="gramEnd"/>
      <w:r w:rsidRPr="00E00BC2">
        <w:t xml:space="preserve"> consent, it</w:t>
      </w:r>
      <w:r>
        <w:t xml:space="preserve"> is sometimes</w:t>
      </w:r>
      <w:r w:rsidRPr="00E00BC2">
        <w:t xml:space="preserve"> recorded on th</w:t>
      </w:r>
      <w:r>
        <w:t>e title as a consent notice. Some</w:t>
      </w:r>
      <w:r w:rsidRPr="00E00BC2">
        <w:t xml:space="preserve"> </w:t>
      </w:r>
      <w:proofErr w:type="gramStart"/>
      <w:r w:rsidRPr="00E00BC2">
        <w:t>councils</w:t>
      </w:r>
      <w:proofErr w:type="gramEnd"/>
      <w:r w:rsidRPr="00E00BC2">
        <w:t xml:space="preserve"> will record in their contaminated land database that there is a site management plan, and others will place the information on the LIM.</w:t>
      </w:r>
      <w:r>
        <w:t xml:space="preserve"> Councils and contaminated land practitioners </w:t>
      </w:r>
      <w:r w:rsidR="00FB5973">
        <w:t>commented</w:t>
      </w:r>
      <w:r>
        <w:t xml:space="preserve"> that </w:t>
      </w:r>
      <w:r w:rsidR="005E5634">
        <w:t xml:space="preserve">as a result of these inconsistencies, </w:t>
      </w:r>
      <w:r>
        <w:t>site management plans</w:t>
      </w:r>
      <w:r w:rsidRPr="00E00BC2">
        <w:t xml:space="preserve"> </w:t>
      </w:r>
      <w:r w:rsidR="00FB5973">
        <w:t>may not be</w:t>
      </w:r>
      <w:r>
        <w:t xml:space="preserve"> well </w:t>
      </w:r>
      <w:r w:rsidRPr="00E00BC2">
        <w:t>communicated to pote</w:t>
      </w:r>
      <w:r>
        <w:t>ntial future owners of the land.</w:t>
      </w:r>
      <w:r w:rsidRPr="00E00BC2">
        <w:t xml:space="preserve"> </w:t>
      </w:r>
      <w:r w:rsidR="005E5634">
        <w:t xml:space="preserve">There are questions about whether future landowners will be </w:t>
      </w:r>
      <w:r w:rsidRPr="00E00BC2">
        <w:t>aware of the</w:t>
      </w:r>
      <w:r w:rsidR="005E5634">
        <w:t xml:space="preserve"> on-site management</w:t>
      </w:r>
      <w:r w:rsidRPr="00E00BC2">
        <w:t xml:space="preserve"> measures </w:t>
      </w:r>
      <w:r w:rsidR="005E5634">
        <w:t>needed</w:t>
      </w:r>
      <w:r w:rsidRPr="00E00BC2">
        <w:t xml:space="preserve"> to</w:t>
      </w:r>
      <w:r>
        <w:t xml:space="preserve"> mitigate risks to human health, which could result in them exposing themselves to contaminants in the soil. </w:t>
      </w:r>
    </w:p>
    <w:p w:rsidR="0054633D" w:rsidRDefault="004B2502" w:rsidP="004B2502">
      <w:pPr>
        <w:pStyle w:val="Heading2"/>
      </w:pPr>
      <w:bookmarkStart w:id="86" w:name="_Toc425338562"/>
      <w:r>
        <w:t xml:space="preserve">4.5 </w:t>
      </w:r>
      <w:r w:rsidR="0054633D">
        <w:t>Summary</w:t>
      </w:r>
      <w:bookmarkEnd w:id="86"/>
    </w:p>
    <w:p w:rsidR="004B2502" w:rsidRDefault="004B2502" w:rsidP="00C24F12">
      <w:pPr>
        <w:spacing w:before="0" w:after="200" w:line="276" w:lineRule="auto"/>
        <w:jc w:val="left"/>
      </w:pPr>
      <w:r>
        <w:t xml:space="preserve">The interim review’s key findings </w:t>
      </w:r>
      <w:r w:rsidR="00E6787B">
        <w:t>about</w:t>
      </w:r>
      <w:r>
        <w:t xml:space="preserve"> management approaches are:</w:t>
      </w:r>
    </w:p>
    <w:p w:rsidR="0054633D" w:rsidRDefault="0054633D" w:rsidP="006352B5">
      <w:pPr>
        <w:pStyle w:val="Bullet"/>
      </w:pPr>
      <w:r>
        <w:t>In most cases</w:t>
      </w:r>
      <w:r w:rsidR="001514F2">
        <w:t xml:space="preserve"> councils will grant consent for a </w:t>
      </w:r>
      <w:r>
        <w:t>landowner</w:t>
      </w:r>
      <w:r w:rsidR="001514F2">
        <w:t>’</w:t>
      </w:r>
      <w:r>
        <w:t>s propose</w:t>
      </w:r>
      <w:r w:rsidR="001514F2">
        <w:t>d</w:t>
      </w:r>
      <w:r w:rsidR="004B2502" w:rsidRPr="0080144F">
        <w:t xml:space="preserve"> approach </w:t>
      </w:r>
      <w:r w:rsidR="004B2502">
        <w:t>to manage contamination</w:t>
      </w:r>
      <w:r>
        <w:t xml:space="preserve">. This is resulting in many </w:t>
      </w:r>
      <w:r w:rsidR="001514F2">
        <w:t xml:space="preserve">landowners </w:t>
      </w:r>
      <w:r>
        <w:t>opting for on-site management of contamination</w:t>
      </w:r>
      <w:r w:rsidR="001514F2">
        <w:t>, rather than remediation, as the costs are often lower</w:t>
      </w:r>
      <w:r w:rsidR="00302C6E">
        <w:t>.</w:t>
      </w:r>
    </w:p>
    <w:p w:rsidR="004B2502" w:rsidRDefault="0054633D" w:rsidP="006352B5">
      <w:pPr>
        <w:pStyle w:val="Bullet"/>
      </w:pPr>
      <w:r>
        <w:t>In some instances</w:t>
      </w:r>
      <w:r w:rsidR="001514F2">
        <w:t xml:space="preserve"> landowners are required to remediate</w:t>
      </w:r>
      <w:r>
        <w:t>,</w:t>
      </w:r>
      <w:r w:rsidR="004B2502">
        <w:t xml:space="preserve"> due to the nature of</w:t>
      </w:r>
      <w:r w:rsidR="001514F2">
        <w:t xml:space="preserve"> a site or council expectations</w:t>
      </w:r>
      <w:r>
        <w:t xml:space="preserve">. This can </w:t>
      </w:r>
      <w:r w:rsidR="00302C6E">
        <w:t>result in</w:t>
      </w:r>
      <w:r>
        <w:t xml:space="preserve"> significant costs for landowners.  </w:t>
      </w:r>
    </w:p>
    <w:p w:rsidR="00C24F12" w:rsidRPr="00374DD3" w:rsidRDefault="00C24F12" w:rsidP="00C24F12">
      <w:pPr>
        <w:spacing w:before="0" w:after="200" w:line="276" w:lineRule="auto"/>
        <w:jc w:val="left"/>
        <w:rPr>
          <w:rFonts w:eastAsiaTheme="majorEastAsia" w:cstheme="majorBidi"/>
          <w:b/>
          <w:bCs/>
          <w:color w:val="17556C"/>
          <w:sz w:val="48"/>
          <w:szCs w:val="28"/>
        </w:rPr>
      </w:pPr>
      <w:r>
        <w:br w:type="page"/>
      </w:r>
    </w:p>
    <w:p w:rsidR="00C24F12" w:rsidRDefault="00C24F12" w:rsidP="00C24F12">
      <w:pPr>
        <w:pStyle w:val="Heading1"/>
      </w:pPr>
      <w:bookmarkStart w:id="87" w:name="_5._How_the"/>
      <w:bookmarkStart w:id="88" w:name="_Toc422307718"/>
      <w:bookmarkStart w:id="89" w:name="_Toc422312879"/>
      <w:bookmarkStart w:id="90" w:name="_Toc422312951"/>
      <w:bookmarkStart w:id="91" w:name="_Toc425338563"/>
      <w:bookmarkEnd w:id="87"/>
      <w:r>
        <w:t xml:space="preserve">5. </w:t>
      </w:r>
      <w:r w:rsidRPr="007755B0">
        <w:t>How</w:t>
      </w:r>
      <w:r>
        <w:t xml:space="preserve"> the NECS is applied</w:t>
      </w:r>
      <w:bookmarkEnd w:id="88"/>
      <w:bookmarkEnd w:id="89"/>
      <w:bookmarkEnd w:id="90"/>
      <w:bookmarkEnd w:id="91"/>
      <w:r>
        <w:t xml:space="preserve">  </w:t>
      </w:r>
    </w:p>
    <w:p w:rsidR="00C24F12" w:rsidRDefault="00C24F12" w:rsidP="00C24F12">
      <w:pPr>
        <w:pStyle w:val="BodyText"/>
      </w:pPr>
      <w:r w:rsidRPr="007A646D">
        <w:t>The NESCS applies to five specified activities:</w:t>
      </w:r>
      <w:r>
        <w:t xml:space="preserve"> </w:t>
      </w:r>
    </w:p>
    <w:p w:rsidR="00C24F12" w:rsidRDefault="00C24F12" w:rsidP="00C24F12">
      <w:pPr>
        <w:pStyle w:val="Bullet"/>
      </w:pPr>
      <w:r>
        <w:t>r</w:t>
      </w:r>
      <w:r w:rsidRPr="007A646D">
        <w:t>emoving or replacing all, or part of, a fuel storage system</w:t>
      </w:r>
    </w:p>
    <w:p w:rsidR="00C24F12" w:rsidRDefault="00C24F12" w:rsidP="00C24F12">
      <w:pPr>
        <w:pStyle w:val="Bullet"/>
      </w:pPr>
      <w:r>
        <w:t>s</w:t>
      </w:r>
      <w:r w:rsidRPr="007A646D">
        <w:t>ampling the soil</w:t>
      </w:r>
    </w:p>
    <w:p w:rsidR="00C24F12" w:rsidRDefault="00C24F12" w:rsidP="00C24F12">
      <w:pPr>
        <w:pStyle w:val="Bullet"/>
      </w:pPr>
      <w:r>
        <w:t>d</w:t>
      </w:r>
      <w:r w:rsidRPr="007A646D">
        <w:t>isturbing the soil</w:t>
      </w:r>
    </w:p>
    <w:p w:rsidR="00C24F12" w:rsidRDefault="00C24F12" w:rsidP="00C24F12">
      <w:pPr>
        <w:pStyle w:val="Bullet"/>
      </w:pPr>
      <w:r>
        <w:t>s</w:t>
      </w:r>
      <w:r w:rsidRPr="007A646D">
        <w:t>ubdividing the land</w:t>
      </w:r>
    </w:p>
    <w:p w:rsidR="00C24F12" w:rsidRDefault="00C24F12" w:rsidP="00C24F12">
      <w:pPr>
        <w:pStyle w:val="Bullet"/>
      </w:pPr>
      <w:proofErr w:type="gramStart"/>
      <w:r>
        <w:t>c</w:t>
      </w:r>
      <w:r w:rsidRPr="007A646D">
        <w:t>hanging</w:t>
      </w:r>
      <w:proofErr w:type="gramEnd"/>
      <w:r w:rsidRPr="007A646D">
        <w:t xml:space="preserve"> the land use.</w:t>
      </w:r>
      <w:r>
        <w:t xml:space="preserve"> </w:t>
      </w:r>
    </w:p>
    <w:p w:rsidR="00C24F12" w:rsidRDefault="00C24F12" w:rsidP="00C24F12">
      <w:pPr>
        <w:pStyle w:val="BodyText"/>
      </w:pPr>
      <w:r>
        <w:t>These activities can all be carried out as permitted activities if certain criteria are met. The criteria vary, depending on the activity</w:t>
      </w:r>
      <w:r w:rsidR="0087059B">
        <w:rPr>
          <w:rStyle w:val="FootnoteReference"/>
        </w:rPr>
        <w:footnoteReference w:id="5"/>
      </w:r>
      <w:r>
        <w:t>. The intent of the NESCS is that a</w:t>
      </w:r>
      <w:r w:rsidRPr="007A646D">
        <w:t>ctivities considered to have a low potential for</w:t>
      </w:r>
      <w:r w:rsidR="005E5634">
        <w:t xml:space="preserve"> significant</w:t>
      </w:r>
      <w:r w:rsidRPr="007A646D">
        <w:t xml:space="preserve"> adverse effects on human health </w:t>
      </w:r>
      <w:r w:rsidR="00451CC4">
        <w:t>are</w:t>
      </w:r>
      <w:r w:rsidRPr="007A646D">
        <w:t xml:space="preserve"> permitted, provided the activities meet the requirements set in the regulations. Where activities cannot meet the permitted activity requirements</w:t>
      </w:r>
      <w:r>
        <w:t xml:space="preserve">, resource consent is required in one of three categories (controlled, restricted discretionary, and discretionary), based on the risk posed to human health on the site. </w:t>
      </w:r>
    </w:p>
    <w:p w:rsidR="00C24F12" w:rsidRPr="0030249B" w:rsidRDefault="00C24F12" w:rsidP="00C24F12">
      <w:pPr>
        <w:pStyle w:val="Tableheading"/>
      </w:pPr>
      <w:r w:rsidRPr="00906937" w:rsidDel="000D1F0F">
        <w:t xml:space="preserve">Table </w:t>
      </w:r>
      <w:r>
        <w:t>3</w:t>
      </w:r>
      <w:r w:rsidRPr="00906937" w:rsidDel="000D1F0F">
        <w:t>: Types of resource consent under the NESCS and relationship to risk</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552"/>
        <w:gridCol w:w="6060"/>
      </w:tblGrid>
      <w:tr w:rsidR="00C24F12" w:rsidRPr="001E5E7C" w:rsidTr="00AF6603">
        <w:tc>
          <w:tcPr>
            <w:tcW w:w="2552" w:type="dxa"/>
            <w:tcBorders>
              <w:top w:val="single" w:sz="4" w:space="0" w:color="17556C"/>
              <w:bottom w:val="single" w:sz="4" w:space="0" w:color="17556C"/>
              <w:right w:val="single" w:sz="4" w:space="0" w:color="17556C"/>
            </w:tcBorders>
            <w:shd w:val="clear" w:color="auto" w:fill="17556C"/>
          </w:tcPr>
          <w:p w:rsidR="00C24F12" w:rsidRPr="00ED1C82" w:rsidRDefault="00C24F12" w:rsidP="00D36515">
            <w:pPr>
              <w:spacing w:before="60" w:after="60" w:line="240" w:lineRule="auto"/>
              <w:jc w:val="left"/>
              <w:rPr>
                <w:b/>
                <w:color w:val="FFFFFF" w:themeColor="background1"/>
                <w:sz w:val="18"/>
                <w:szCs w:val="18"/>
              </w:rPr>
            </w:pPr>
            <w:r w:rsidRPr="00ED1C82">
              <w:rPr>
                <w:b/>
                <w:color w:val="FFFFFF" w:themeColor="background1"/>
                <w:sz w:val="18"/>
                <w:szCs w:val="18"/>
              </w:rPr>
              <w:t>Types of NESCS consents</w:t>
            </w:r>
          </w:p>
        </w:tc>
        <w:tc>
          <w:tcPr>
            <w:tcW w:w="6060" w:type="dxa"/>
            <w:tcBorders>
              <w:top w:val="single" w:sz="4" w:space="0" w:color="17556C"/>
              <w:left w:val="single" w:sz="4" w:space="0" w:color="17556C"/>
              <w:bottom w:val="single" w:sz="4" w:space="0" w:color="17556C"/>
            </w:tcBorders>
            <w:shd w:val="clear" w:color="auto" w:fill="17556C"/>
          </w:tcPr>
          <w:p w:rsidR="00C24F12" w:rsidRPr="00ED1C82" w:rsidRDefault="00C24F12" w:rsidP="00D36515">
            <w:pPr>
              <w:spacing w:before="60" w:after="60" w:line="240" w:lineRule="auto"/>
              <w:jc w:val="left"/>
              <w:rPr>
                <w:b/>
                <w:color w:val="FFFFFF" w:themeColor="background1"/>
                <w:sz w:val="18"/>
                <w:szCs w:val="18"/>
              </w:rPr>
            </w:pPr>
            <w:r w:rsidRPr="00ED1C82">
              <w:rPr>
                <w:b/>
                <w:color w:val="FFFFFF" w:themeColor="background1"/>
                <w:sz w:val="18"/>
                <w:szCs w:val="18"/>
              </w:rPr>
              <w:t>Risk to human health</w:t>
            </w:r>
          </w:p>
        </w:tc>
      </w:tr>
      <w:tr w:rsidR="00C24F12" w:rsidTr="00AF6603">
        <w:tc>
          <w:tcPr>
            <w:tcW w:w="2552" w:type="dxa"/>
            <w:tcBorders>
              <w:top w:val="single" w:sz="4" w:space="0" w:color="17556C"/>
              <w:bottom w:val="single" w:sz="4" w:space="0" w:color="17556C"/>
              <w:right w:val="single" w:sz="4" w:space="0" w:color="17556C"/>
            </w:tcBorders>
          </w:tcPr>
          <w:p w:rsidR="00C24F12" w:rsidRPr="00ED1C82" w:rsidRDefault="00C24F12" w:rsidP="00D36515">
            <w:pPr>
              <w:spacing w:before="60" w:after="60" w:line="240" w:lineRule="auto"/>
              <w:jc w:val="left"/>
              <w:rPr>
                <w:sz w:val="18"/>
                <w:szCs w:val="18"/>
              </w:rPr>
            </w:pPr>
            <w:r w:rsidRPr="00ED1C82">
              <w:rPr>
                <w:sz w:val="18"/>
                <w:szCs w:val="18"/>
              </w:rPr>
              <w:t xml:space="preserve">Controlled </w:t>
            </w:r>
          </w:p>
        </w:tc>
        <w:tc>
          <w:tcPr>
            <w:tcW w:w="6060" w:type="dxa"/>
            <w:tcBorders>
              <w:top w:val="single" w:sz="4" w:space="0" w:color="17556C"/>
              <w:left w:val="single" w:sz="4" w:space="0" w:color="17556C"/>
              <w:bottom w:val="single" w:sz="4" w:space="0" w:color="17556C"/>
            </w:tcBorders>
          </w:tcPr>
          <w:p w:rsidR="00C24F12" w:rsidRPr="00ED1C82" w:rsidRDefault="00C24F12" w:rsidP="00016CAC">
            <w:pPr>
              <w:spacing w:before="60" w:after="60" w:line="240" w:lineRule="auto"/>
              <w:jc w:val="left"/>
              <w:rPr>
                <w:sz w:val="18"/>
                <w:szCs w:val="18"/>
              </w:rPr>
            </w:pPr>
            <w:r w:rsidRPr="00ED1C82">
              <w:rPr>
                <w:sz w:val="18"/>
                <w:szCs w:val="18"/>
              </w:rPr>
              <w:t xml:space="preserve">A </w:t>
            </w:r>
            <w:r w:rsidR="00016CAC">
              <w:rPr>
                <w:sz w:val="18"/>
                <w:szCs w:val="18"/>
              </w:rPr>
              <w:t>d</w:t>
            </w:r>
            <w:r w:rsidR="00016CAC" w:rsidRPr="00ED1C82">
              <w:rPr>
                <w:sz w:val="18"/>
                <w:szCs w:val="18"/>
              </w:rPr>
              <w:t xml:space="preserve">etailed </w:t>
            </w:r>
            <w:r w:rsidR="00016CAC">
              <w:rPr>
                <w:sz w:val="18"/>
                <w:szCs w:val="18"/>
              </w:rPr>
              <w:t>s</w:t>
            </w:r>
            <w:r w:rsidR="00016CAC" w:rsidRPr="00ED1C82">
              <w:rPr>
                <w:sz w:val="18"/>
                <w:szCs w:val="18"/>
              </w:rPr>
              <w:t xml:space="preserve">ite </w:t>
            </w:r>
            <w:r w:rsidR="00016CAC">
              <w:rPr>
                <w:sz w:val="18"/>
                <w:szCs w:val="18"/>
              </w:rPr>
              <w:t>i</w:t>
            </w:r>
            <w:r w:rsidR="00016CAC" w:rsidRPr="00ED1C82">
              <w:rPr>
                <w:sz w:val="18"/>
                <w:szCs w:val="18"/>
              </w:rPr>
              <w:t xml:space="preserve">nvestigation </w:t>
            </w:r>
            <w:r w:rsidRPr="00ED1C82">
              <w:rPr>
                <w:sz w:val="18"/>
                <w:szCs w:val="18"/>
              </w:rPr>
              <w:t>has found that the contaminants present on site are below human health guideline values but above background concentrations.</w:t>
            </w:r>
          </w:p>
        </w:tc>
      </w:tr>
      <w:tr w:rsidR="00C24F12" w:rsidTr="00AF6603">
        <w:tc>
          <w:tcPr>
            <w:tcW w:w="2552" w:type="dxa"/>
            <w:tcBorders>
              <w:top w:val="single" w:sz="4" w:space="0" w:color="17556C"/>
              <w:bottom w:val="single" w:sz="4" w:space="0" w:color="17556C"/>
              <w:right w:val="single" w:sz="4" w:space="0" w:color="17556C"/>
            </w:tcBorders>
          </w:tcPr>
          <w:p w:rsidR="00C24F12" w:rsidRPr="00ED1C82" w:rsidRDefault="00C24F12" w:rsidP="00D36515">
            <w:pPr>
              <w:spacing w:before="60" w:after="60" w:line="240" w:lineRule="auto"/>
              <w:jc w:val="left"/>
              <w:rPr>
                <w:sz w:val="18"/>
                <w:szCs w:val="18"/>
              </w:rPr>
            </w:pPr>
            <w:r w:rsidRPr="00ED1C82">
              <w:rPr>
                <w:sz w:val="18"/>
                <w:szCs w:val="18"/>
              </w:rPr>
              <w:t>Restricted discretionary</w:t>
            </w:r>
          </w:p>
        </w:tc>
        <w:tc>
          <w:tcPr>
            <w:tcW w:w="6060" w:type="dxa"/>
            <w:tcBorders>
              <w:top w:val="single" w:sz="4" w:space="0" w:color="17556C"/>
              <w:left w:val="single" w:sz="4" w:space="0" w:color="17556C"/>
              <w:bottom w:val="single" w:sz="4" w:space="0" w:color="17556C"/>
            </w:tcBorders>
          </w:tcPr>
          <w:p w:rsidR="00C24F12" w:rsidRPr="00ED1C82" w:rsidRDefault="00C24F12" w:rsidP="00016CAC">
            <w:pPr>
              <w:spacing w:before="60" w:after="60" w:line="240" w:lineRule="auto"/>
              <w:jc w:val="left"/>
              <w:rPr>
                <w:sz w:val="18"/>
                <w:szCs w:val="18"/>
              </w:rPr>
            </w:pPr>
            <w:r w:rsidRPr="00ED1C82">
              <w:rPr>
                <w:sz w:val="18"/>
                <w:szCs w:val="18"/>
              </w:rPr>
              <w:t xml:space="preserve">A </w:t>
            </w:r>
            <w:r w:rsidR="00016CAC">
              <w:rPr>
                <w:sz w:val="18"/>
                <w:szCs w:val="18"/>
              </w:rPr>
              <w:t>detailed site investigation</w:t>
            </w:r>
            <w:r w:rsidR="00016CAC" w:rsidRPr="00ED1C82">
              <w:rPr>
                <w:sz w:val="18"/>
                <w:szCs w:val="18"/>
              </w:rPr>
              <w:t xml:space="preserve"> </w:t>
            </w:r>
            <w:r w:rsidRPr="00ED1C82">
              <w:rPr>
                <w:sz w:val="18"/>
                <w:szCs w:val="18"/>
              </w:rPr>
              <w:t xml:space="preserve">has found that contaminant concentrations </w:t>
            </w:r>
            <w:r w:rsidR="00451CC4">
              <w:rPr>
                <w:sz w:val="18"/>
                <w:szCs w:val="18"/>
              </w:rPr>
              <w:t>on site exceed guideline values</w:t>
            </w:r>
            <w:r>
              <w:rPr>
                <w:sz w:val="18"/>
                <w:szCs w:val="18"/>
              </w:rPr>
              <w:t>.</w:t>
            </w:r>
          </w:p>
        </w:tc>
      </w:tr>
      <w:tr w:rsidR="00C24F12" w:rsidTr="00AF6603">
        <w:tc>
          <w:tcPr>
            <w:tcW w:w="2552" w:type="dxa"/>
            <w:tcBorders>
              <w:top w:val="single" w:sz="4" w:space="0" w:color="17556C"/>
              <w:bottom w:val="single" w:sz="4" w:space="0" w:color="17556C"/>
              <w:right w:val="single" w:sz="4" w:space="0" w:color="17556C"/>
            </w:tcBorders>
          </w:tcPr>
          <w:p w:rsidR="00C24F12" w:rsidRPr="00ED1C82" w:rsidRDefault="00C24F12" w:rsidP="00D36515">
            <w:pPr>
              <w:spacing w:before="60" w:after="60" w:line="240" w:lineRule="auto"/>
              <w:jc w:val="left"/>
              <w:rPr>
                <w:sz w:val="18"/>
                <w:szCs w:val="18"/>
              </w:rPr>
            </w:pPr>
            <w:r w:rsidRPr="00ED1C82">
              <w:rPr>
                <w:sz w:val="18"/>
                <w:szCs w:val="18"/>
              </w:rPr>
              <w:t>Discretionary</w:t>
            </w:r>
          </w:p>
        </w:tc>
        <w:tc>
          <w:tcPr>
            <w:tcW w:w="6060" w:type="dxa"/>
            <w:tcBorders>
              <w:top w:val="single" w:sz="4" w:space="0" w:color="17556C"/>
              <w:left w:val="single" w:sz="4" w:space="0" w:color="17556C"/>
              <w:bottom w:val="single" w:sz="4" w:space="0" w:color="17556C"/>
            </w:tcBorders>
          </w:tcPr>
          <w:p w:rsidR="00C24F12" w:rsidRPr="00ED1C82" w:rsidRDefault="00451CC4" w:rsidP="00016CAC">
            <w:pPr>
              <w:spacing w:before="60" w:after="60" w:line="240" w:lineRule="auto"/>
              <w:jc w:val="left"/>
              <w:rPr>
                <w:sz w:val="18"/>
                <w:szCs w:val="18"/>
              </w:rPr>
            </w:pPr>
            <w:r>
              <w:rPr>
                <w:sz w:val="18"/>
                <w:szCs w:val="18"/>
              </w:rPr>
              <w:t>A</w:t>
            </w:r>
            <w:r w:rsidR="00C24F12" w:rsidRPr="00ED1C82">
              <w:rPr>
                <w:sz w:val="18"/>
                <w:szCs w:val="18"/>
              </w:rPr>
              <w:t xml:space="preserve"> </w:t>
            </w:r>
            <w:r w:rsidR="00016CAC">
              <w:rPr>
                <w:sz w:val="18"/>
                <w:szCs w:val="18"/>
              </w:rPr>
              <w:t>detailed site investigation</w:t>
            </w:r>
            <w:r w:rsidR="00016CAC" w:rsidRPr="00ED1C82">
              <w:rPr>
                <w:sz w:val="18"/>
                <w:szCs w:val="18"/>
              </w:rPr>
              <w:t xml:space="preserve"> </w:t>
            </w:r>
            <w:r w:rsidR="00C24F12" w:rsidRPr="00ED1C82">
              <w:rPr>
                <w:sz w:val="18"/>
                <w:szCs w:val="18"/>
              </w:rPr>
              <w:t>has</w:t>
            </w:r>
            <w:r>
              <w:rPr>
                <w:sz w:val="18"/>
                <w:szCs w:val="18"/>
              </w:rPr>
              <w:t xml:space="preserve"> not</w:t>
            </w:r>
            <w:r w:rsidR="00C24F12" w:rsidRPr="00ED1C82">
              <w:rPr>
                <w:sz w:val="18"/>
                <w:szCs w:val="18"/>
              </w:rPr>
              <w:t xml:space="preserve"> been undertaken, and as such the risks to human health on the site have not been established.</w:t>
            </w:r>
          </w:p>
        </w:tc>
      </w:tr>
    </w:tbl>
    <w:p w:rsidR="00C24F12" w:rsidRDefault="00C24F12" w:rsidP="00C24F12">
      <w:pPr>
        <w:pStyle w:val="Heading2"/>
      </w:pPr>
      <w:bookmarkStart w:id="92" w:name="_5.1_Types_and"/>
      <w:bookmarkStart w:id="93" w:name="_Toc422307719"/>
      <w:bookmarkStart w:id="94" w:name="_Toc422312880"/>
      <w:bookmarkStart w:id="95" w:name="_Toc422312952"/>
      <w:bookmarkStart w:id="96" w:name="_Toc425338564"/>
      <w:bookmarkEnd w:id="92"/>
      <w:r>
        <w:t>5.1 Types and numbers of NESCS consents being issued</w:t>
      </w:r>
      <w:bookmarkEnd w:id="93"/>
      <w:bookmarkEnd w:id="94"/>
      <w:bookmarkEnd w:id="95"/>
      <w:bookmarkEnd w:id="96"/>
    </w:p>
    <w:p w:rsidR="00C24F12" w:rsidRDefault="00451CC4" w:rsidP="00C24F12">
      <w:pPr>
        <w:pStyle w:val="BodyText"/>
        <w:rPr>
          <w:rFonts w:eastAsia="Times New Roman"/>
        </w:rPr>
      </w:pPr>
      <w:r>
        <w:rPr>
          <w:rFonts w:eastAsia="Times New Roman"/>
        </w:rPr>
        <w:t>In most districts t</w:t>
      </w:r>
      <w:r w:rsidR="00C24F12" w:rsidRPr="00834271">
        <w:rPr>
          <w:rFonts w:eastAsia="Times New Roman"/>
        </w:rPr>
        <w:t xml:space="preserve">he NESCS is </w:t>
      </w:r>
      <w:r w:rsidR="00D36515">
        <w:rPr>
          <w:rFonts w:eastAsia="Times New Roman"/>
        </w:rPr>
        <w:t>largely</w:t>
      </w:r>
      <w:r w:rsidR="005E5634">
        <w:rPr>
          <w:rFonts w:eastAsia="Times New Roman"/>
        </w:rPr>
        <w:t xml:space="preserve"> </w:t>
      </w:r>
      <w:r w:rsidR="00C24F12" w:rsidRPr="00834271">
        <w:rPr>
          <w:rFonts w:eastAsia="Times New Roman"/>
        </w:rPr>
        <w:t xml:space="preserve">triggered around urban fringes, </w:t>
      </w:r>
      <w:r w:rsidR="00C24F12">
        <w:rPr>
          <w:rFonts w:eastAsia="Times New Roman"/>
        </w:rPr>
        <w:t>as</w:t>
      </w:r>
      <w:r w:rsidR="00C24F12" w:rsidRPr="00834271">
        <w:rPr>
          <w:rFonts w:eastAsia="Times New Roman"/>
        </w:rPr>
        <w:t xml:space="preserve"> existing subdivisions are built on, lifestyle blocks are consented, and orchards and pasture land are converted to residential or rural residential use.</w:t>
      </w:r>
      <w:r w:rsidR="00C24F12">
        <w:rPr>
          <w:rFonts w:eastAsia="Times New Roman"/>
        </w:rPr>
        <w:t xml:space="preserve"> </w:t>
      </w:r>
      <w:r w:rsidR="00C24F12" w:rsidRPr="00834271">
        <w:rPr>
          <w:rFonts w:eastAsia="Times New Roman"/>
        </w:rPr>
        <w:t xml:space="preserve">The same </w:t>
      </w:r>
      <w:r w:rsidR="00C24F12">
        <w:rPr>
          <w:rFonts w:eastAsia="Times New Roman"/>
        </w:rPr>
        <w:t>property</w:t>
      </w:r>
      <w:r w:rsidR="00C24F12" w:rsidRPr="00834271">
        <w:rPr>
          <w:rFonts w:eastAsia="Times New Roman"/>
        </w:rPr>
        <w:t xml:space="preserve"> may </w:t>
      </w:r>
      <w:r w:rsidR="00C24F12">
        <w:rPr>
          <w:rFonts w:eastAsia="Times New Roman"/>
        </w:rPr>
        <w:t xml:space="preserve">require multiple NESCS consents if a project is carried out in stages over time, unless a </w:t>
      </w:r>
      <w:r w:rsidR="00322007">
        <w:rPr>
          <w:rFonts w:eastAsia="Times New Roman"/>
        </w:rPr>
        <w:t xml:space="preserve">detailed site investigation </w:t>
      </w:r>
      <w:r w:rsidR="00C24F12">
        <w:rPr>
          <w:rFonts w:eastAsia="Times New Roman"/>
        </w:rPr>
        <w:t>shows contamination on the site is at or below background concentrations, in which case the NESCS will not apply. For example, a site may be subdivided, then later a house will be built (</w:t>
      </w:r>
      <w:r>
        <w:rPr>
          <w:rFonts w:eastAsia="Times New Roman"/>
        </w:rPr>
        <w:t xml:space="preserve">often considered a </w:t>
      </w:r>
      <w:r w:rsidR="00C24F12">
        <w:rPr>
          <w:rFonts w:eastAsia="Times New Roman"/>
        </w:rPr>
        <w:t xml:space="preserve">change of use), followed by the construction of an in-ground swimming pool several years later (soil disturbance).The NESCS is also </w:t>
      </w:r>
      <w:r w:rsidR="005E5634">
        <w:rPr>
          <w:rFonts w:eastAsia="Times New Roman"/>
        </w:rPr>
        <w:t>regularly</w:t>
      </w:r>
      <w:r w:rsidR="00C24F12">
        <w:rPr>
          <w:rFonts w:eastAsia="Times New Roman"/>
        </w:rPr>
        <w:t xml:space="preserve"> triggered on existing land</w:t>
      </w:r>
      <w:r w:rsidR="00322007">
        <w:rPr>
          <w:rFonts w:eastAsia="Times New Roman"/>
        </w:rPr>
        <w:t xml:space="preserve"> </w:t>
      </w:r>
      <w:r w:rsidR="00C24F12">
        <w:rPr>
          <w:rFonts w:eastAsia="Times New Roman"/>
        </w:rPr>
        <w:t xml:space="preserve">uses, where landowners undertake soil disturbance or boundary adjustments. </w:t>
      </w:r>
    </w:p>
    <w:p w:rsidR="00C24F12" w:rsidRPr="009034DB" w:rsidRDefault="00C24F12" w:rsidP="00C24F12">
      <w:pPr>
        <w:pStyle w:val="BodyText"/>
      </w:pPr>
      <w:r>
        <w:t xml:space="preserve">There is no data available on a national scale on the number of NESCS consents issued. The majority of council systems do not currently record or identify consents issued under national environmental standards, and therefore it is difficult to report on numbers of NESCS </w:t>
      </w:r>
      <w:r w:rsidRPr="009034DB">
        <w:t xml:space="preserve">consents retrospectively. The National Monitoring System will allow for this sort of information to be reported in the future. The </w:t>
      </w:r>
      <w:r w:rsidR="00963A70">
        <w:t>c</w:t>
      </w:r>
      <w:r w:rsidR="00963A70" w:rsidRPr="009034DB">
        <w:t xml:space="preserve">onsent </w:t>
      </w:r>
      <w:r w:rsidR="00963A70">
        <w:t>r</w:t>
      </w:r>
      <w:r w:rsidR="00963A70" w:rsidRPr="009034DB">
        <w:t xml:space="preserve">eview </w:t>
      </w:r>
      <w:r w:rsidRPr="009034DB">
        <w:t>was undertaken to compile data from around the country on the volume and type of consents being obtained (</w:t>
      </w:r>
      <w:r w:rsidR="00963A70">
        <w:t>s</w:t>
      </w:r>
      <w:r w:rsidR="00963A70" w:rsidRPr="009034DB">
        <w:t xml:space="preserve">ee </w:t>
      </w:r>
      <w:hyperlink w:anchor="_2._Methodology" w:history="1">
        <w:r w:rsidRPr="00BD0F6F">
          <w:rPr>
            <w:rStyle w:val="Hyperlink"/>
            <w:u w:val="none"/>
          </w:rPr>
          <w:t>section 2</w:t>
        </w:r>
      </w:hyperlink>
      <w:r w:rsidRPr="009034DB">
        <w:t xml:space="preserve"> for details). </w:t>
      </w:r>
    </w:p>
    <w:p w:rsidR="00C24F12" w:rsidRPr="00773AEC" w:rsidRDefault="00C24F12" w:rsidP="00C24F12">
      <w:pPr>
        <w:pStyle w:val="Figureheading"/>
      </w:pPr>
      <w:bookmarkStart w:id="97" w:name="_Toc422578275"/>
      <w:r w:rsidRPr="00773AEC">
        <w:t>Figure 4: Types of NESCS consents</w:t>
      </w:r>
      <w:r w:rsidR="009F5083">
        <w:t xml:space="preserve"> identified</w:t>
      </w:r>
      <w:r w:rsidRPr="00773AEC">
        <w:t xml:space="preserve"> in</w:t>
      </w:r>
      <w:r w:rsidR="009F5083">
        <w:t xml:space="preserve"> the</w:t>
      </w:r>
      <w:r w:rsidRPr="00773AEC">
        <w:t xml:space="preserve"> </w:t>
      </w:r>
      <w:r w:rsidR="00963A70">
        <w:t>c</w:t>
      </w:r>
      <w:r w:rsidR="00963A70" w:rsidRPr="00773AEC">
        <w:t xml:space="preserve">onsent </w:t>
      </w:r>
      <w:bookmarkEnd w:id="97"/>
      <w:r w:rsidR="00963A70">
        <w:t>r</w:t>
      </w:r>
      <w:r w:rsidR="00963A70" w:rsidRPr="00773AEC">
        <w:t>eview</w:t>
      </w:r>
    </w:p>
    <w:p w:rsidR="00C24F12" w:rsidRDefault="00C24F12" w:rsidP="00C24F12">
      <w:pPr>
        <w:pStyle w:val="NoSpacing"/>
        <w:numPr>
          <w:ilvl w:val="0"/>
          <w:numId w:val="0"/>
        </w:numPr>
        <w:rPr>
          <w:rFonts w:asciiTheme="minorHAnsi" w:hAnsiTheme="minorHAnsi"/>
        </w:rPr>
      </w:pPr>
      <w:r>
        <w:rPr>
          <w:noProof/>
          <w:lang w:eastAsia="en-NZ"/>
        </w:rPr>
        <w:drawing>
          <wp:inline distT="0" distB="0" distL="0" distR="0" wp14:anchorId="46921E99" wp14:editId="6EACBA02">
            <wp:extent cx="5400040" cy="3041015"/>
            <wp:effectExtent l="0" t="0" r="0" b="69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24F12" w:rsidRDefault="00C24F12" w:rsidP="00C24F12">
      <w:pPr>
        <w:pStyle w:val="BodyText"/>
      </w:pPr>
      <w:r>
        <w:t xml:space="preserve">The </w:t>
      </w:r>
      <w:r w:rsidR="0060071B">
        <w:t xml:space="preserve">consent review </w:t>
      </w:r>
      <w:r>
        <w:t xml:space="preserve">found that discretionary consents </w:t>
      </w:r>
      <w:r w:rsidR="00D36515">
        <w:t>make up a little over half of all NESCS</w:t>
      </w:r>
      <w:r>
        <w:t xml:space="preserve"> resource consent</w:t>
      </w:r>
      <w:r w:rsidR="00D36515">
        <w:t>s</w:t>
      </w:r>
      <w:r>
        <w:t xml:space="preserve"> obtained, meaning landowners chose not to undertake a </w:t>
      </w:r>
      <w:r w:rsidR="0060071B">
        <w:t>detailed site investigation</w:t>
      </w:r>
      <w:r w:rsidR="00584319">
        <w:t xml:space="preserve"> </w:t>
      </w:r>
      <w:r w:rsidR="0060071B">
        <w:t xml:space="preserve">(DSI) </w:t>
      </w:r>
      <w:r>
        <w:t xml:space="preserve">before applying for consent. As there is no DSI, it is not possible to establish from the consent documents the risks to human health posed on the sites. Of the sites that were tested, just over a third </w:t>
      </w:r>
      <w:proofErr w:type="gramStart"/>
      <w:r>
        <w:t>were</w:t>
      </w:r>
      <w:proofErr w:type="gramEnd"/>
      <w:r>
        <w:t xml:space="preserve"> found to have contamination above guideline values. These sites would likely have been required to undertake measures to protect human health as part of obtaining resource consent. </w:t>
      </w:r>
    </w:p>
    <w:p w:rsidR="00C24F12" w:rsidRPr="00EE0F8F" w:rsidRDefault="00C24F12" w:rsidP="00C24F12">
      <w:pPr>
        <w:pStyle w:val="BodyText"/>
      </w:pPr>
      <w:r>
        <w:t xml:space="preserve">Territorial authority staff estimated that at least 50 per cent of resource consent and building consent applications reviewed to establish compliance with the NESCS will meet the permitted activity criteria, or will be determined to have not had a HAIL use following further investigation. However, the actual numbers of permitted activities are unknown as they are not recorded and landowners are not always required to notify the council. </w:t>
      </w:r>
    </w:p>
    <w:p w:rsidR="00C24F12" w:rsidRPr="00E51ED5" w:rsidRDefault="00C24F12" w:rsidP="00C24F12">
      <w:pPr>
        <w:pStyle w:val="Heading3"/>
      </w:pPr>
      <w:bookmarkStart w:id="98" w:name="_Toc422307720"/>
      <w:bookmarkStart w:id="99" w:name="_Toc422312881"/>
      <w:bookmarkStart w:id="100" w:name="_Toc422312953"/>
      <w:r>
        <w:t>5.1.1 NESCS consents for sites below guideline values</w:t>
      </w:r>
      <w:bookmarkEnd w:id="98"/>
      <w:bookmarkEnd w:id="99"/>
      <w:bookmarkEnd w:id="100"/>
    </w:p>
    <w:p w:rsidR="00C24F12" w:rsidRDefault="00C24F12" w:rsidP="00C24F12">
      <w:pPr>
        <w:pStyle w:val="BodyText"/>
        <w:rPr>
          <w:rFonts w:asciiTheme="minorHAnsi" w:hAnsiTheme="minorHAnsi" w:cs="Arial"/>
        </w:rPr>
      </w:pPr>
      <w:r>
        <w:t xml:space="preserve">Controlled resource consent is required when a DSI has found that the contaminants present on site are below human health guideline values but above background concentrations. Controlled consents comprised almost 30 per cent of all consents in the </w:t>
      </w:r>
      <w:r w:rsidR="004D7885">
        <w:t>consent review</w:t>
      </w:r>
      <w:r>
        <w:t xml:space="preserve">, and more than 60 per cent of the consents that had provided a </w:t>
      </w:r>
      <w:r w:rsidR="004D7885">
        <w:t>DSI</w:t>
      </w:r>
      <w:r>
        <w:t xml:space="preserve">. Consent requirements for sites below guideline values were included in the NESCS </w:t>
      </w:r>
      <w:r w:rsidR="004D7885">
        <w:t>to allow</w:t>
      </w:r>
      <w:r>
        <w:t xml:space="preserve"> councils to thoroughly review site investigations, and recover costs for doing so. </w:t>
      </w:r>
      <w:r w:rsidRPr="00E51ED5">
        <w:rPr>
          <w:rFonts w:asciiTheme="minorHAnsi" w:hAnsiTheme="minorHAnsi" w:cs="Arial"/>
        </w:rPr>
        <w:t xml:space="preserve">Data from Christchurch and the nationwide </w:t>
      </w:r>
      <w:r w:rsidR="004D7885">
        <w:rPr>
          <w:rFonts w:asciiTheme="minorHAnsi" w:hAnsiTheme="minorHAnsi" w:cs="Arial"/>
        </w:rPr>
        <w:t>c</w:t>
      </w:r>
      <w:r w:rsidR="004D7885" w:rsidRPr="00E51ED5">
        <w:rPr>
          <w:rFonts w:asciiTheme="minorHAnsi" w:hAnsiTheme="minorHAnsi" w:cs="Arial"/>
        </w:rPr>
        <w:t xml:space="preserve">onsent </w:t>
      </w:r>
      <w:r w:rsidR="004D7885">
        <w:rPr>
          <w:rFonts w:asciiTheme="minorHAnsi" w:hAnsiTheme="minorHAnsi" w:cs="Arial"/>
        </w:rPr>
        <w:t>r</w:t>
      </w:r>
      <w:r w:rsidR="004D7885" w:rsidRPr="00E51ED5">
        <w:rPr>
          <w:rFonts w:asciiTheme="minorHAnsi" w:hAnsiTheme="minorHAnsi" w:cs="Arial"/>
        </w:rPr>
        <w:t xml:space="preserve">eview </w:t>
      </w:r>
      <w:r w:rsidRPr="00E51ED5">
        <w:rPr>
          <w:rFonts w:asciiTheme="minorHAnsi" w:hAnsiTheme="minorHAnsi" w:cs="Arial"/>
        </w:rPr>
        <w:t xml:space="preserve">has identified that </w:t>
      </w:r>
      <w:r>
        <w:rPr>
          <w:rFonts w:asciiTheme="minorHAnsi" w:hAnsiTheme="minorHAnsi" w:cs="Arial"/>
        </w:rPr>
        <w:t xml:space="preserve">the second most common type of NESCS consent is for controlled activities. </w:t>
      </w:r>
    </w:p>
    <w:p w:rsidR="00C24F12" w:rsidRPr="0069131F" w:rsidRDefault="00C24F12" w:rsidP="004D7885">
      <w:pPr>
        <w:jc w:val="left"/>
        <w:rPr>
          <w:rFonts w:asciiTheme="minorHAnsi" w:hAnsiTheme="minorHAnsi" w:cs="Arial"/>
        </w:rPr>
      </w:pPr>
      <w:r w:rsidRPr="009034DB">
        <w:rPr>
          <w:rStyle w:val="BodyTextChar"/>
        </w:rPr>
        <w:t xml:space="preserve">It is not entirely clear why there are significant numbers of </w:t>
      </w:r>
      <w:r>
        <w:rPr>
          <w:rStyle w:val="BodyTextChar"/>
        </w:rPr>
        <w:t>controlled resource consents</w:t>
      </w:r>
      <w:r w:rsidRPr="009034DB">
        <w:rPr>
          <w:rStyle w:val="BodyTextChar"/>
        </w:rPr>
        <w:t>. In part it is due to a lack of data on background concentrations of contaminants in soil around the country. Background concentrations of contaminants will vary locally, but most regional councils have a lack of data</w:t>
      </w:r>
      <w:r>
        <w:t xml:space="preserve"> </w:t>
      </w:r>
      <w:r w:rsidRPr="009034DB">
        <w:rPr>
          <w:rStyle w:val="BodyTextChar"/>
        </w:rPr>
        <w:t xml:space="preserve">on background concentrations in their region. </w:t>
      </w:r>
      <w:r w:rsidR="00D36515">
        <w:rPr>
          <w:rStyle w:val="BodyTextChar"/>
        </w:rPr>
        <w:t xml:space="preserve">Because many </w:t>
      </w:r>
      <w:proofErr w:type="gramStart"/>
      <w:r w:rsidR="00D36515">
        <w:rPr>
          <w:rStyle w:val="BodyTextChar"/>
        </w:rPr>
        <w:t>councils</w:t>
      </w:r>
      <w:proofErr w:type="gramEnd"/>
      <w:r w:rsidR="00D36515">
        <w:rPr>
          <w:rStyle w:val="BodyTextChar"/>
        </w:rPr>
        <w:t xml:space="preserve"> do not hold information on background concentrations, sites are often considered </w:t>
      </w:r>
      <w:r w:rsidR="007158E5">
        <w:rPr>
          <w:rStyle w:val="BodyTextChar"/>
        </w:rPr>
        <w:t xml:space="preserve">to </w:t>
      </w:r>
      <w:r w:rsidRPr="009034DB">
        <w:rPr>
          <w:rStyle w:val="BodyTextChar"/>
        </w:rPr>
        <w:t>be above background</w:t>
      </w:r>
      <w:r w:rsidR="00D36515">
        <w:rPr>
          <w:rStyle w:val="BodyTextChar"/>
        </w:rPr>
        <w:t>, even with very low concentrations of contaminants</w:t>
      </w:r>
      <w:r w:rsidR="007158E5">
        <w:rPr>
          <w:rStyle w:val="BodyTextChar"/>
        </w:rPr>
        <w:t xml:space="preserve">, </w:t>
      </w:r>
      <w:r w:rsidR="00B75A65">
        <w:rPr>
          <w:rStyle w:val="BodyTextChar"/>
        </w:rPr>
        <w:t>and will therefore be required to obtain NESCS consent</w:t>
      </w:r>
      <w:r w:rsidRPr="009034DB">
        <w:rPr>
          <w:rStyle w:val="BodyTextChar"/>
        </w:rPr>
        <w:t xml:space="preserve">. </w:t>
      </w:r>
    </w:p>
    <w:p w:rsidR="00C24F12" w:rsidRPr="009D1D81" w:rsidRDefault="00C24F12" w:rsidP="00C24F12">
      <w:pPr>
        <w:pStyle w:val="Heading2"/>
      </w:pPr>
      <w:bookmarkStart w:id="101" w:name="_Toc422307721"/>
      <w:bookmarkStart w:id="102" w:name="_Toc422312882"/>
      <w:bookmarkStart w:id="103" w:name="_Toc422312954"/>
      <w:bookmarkStart w:id="104" w:name="_Toc425338565"/>
      <w:r>
        <w:t>5</w:t>
      </w:r>
      <w:r w:rsidRPr="000D270A">
        <w:t>.2 Activities obtaining NESCS</w:t>
      </w:r>
      <w:r w:rsidRPr="009D1D81">
        <w:t xml:space="preserve"> </w:t>
      </w:r>
      <w:r w:rsidRPr="009B2C2F">
        <w:t>consent</w:t>
      </w:r>
      <w:bookmarkEnd w:id="101"/>
      <w:bookmarkEnd w:id="102"/>
      <w:bookmarkEnd w:id="103"/>
      <w:bookmarkEnd w:id="104"/>
    </w:p>
    <w:p w:rsidR="00C24F12" w:rsidRDefault="00C24F12" w:rsidP="00C24F12">
      <w:pPr>
        <w:pStyle w:val="BodyText"/>
      </w:pPr>
      <w:r w:rsidRPr="00E217BC">
        <w:t xml:space="preserve">Of the activities covered by the NESCS, </w:t>
      </w:r>
      <w:r>
        <w:t xml:space="preserve">the review indicated that </w:t>
      </w:r>
      <w:r w:rsidRPr="00E217BC">
        <w:t>soil disturbance and dispo</w:t>
      </w:r>
      <w:r>
        <w:t>sal is the most common activity requiring</w:t>
      </w:r>
      <w:r w:rsidRPr="00E217BC">
        <w:t xml:space="preserve"> resource consent, followed by subdivision and change of use. </w:t>
      </w:r>
      <w:r w:rsidR="009F5083">
        <w:t>Very</w:t>
      </w:r>
      <w:r w:rsidRPr="00E217BC">
        <w:t xml:space="preserve"> low numbers of consents </w:t>
      </w:r>
      <w:r w:rsidR="009F5083">
        <w:t xml:space="preserve">are </w:t>
      </w:r>
      <w:r>
        <w:t>being obtained</w:t>
      </w:r>
      <w:r w:rsidRPr="00E217BC">
        <w:t xml:space="preserve"> for soil sampling or removing/replacing fuel storage systems. These trends were refl</w:t>
      </w:r>
      <w:r>
        <w:t>ected across all data sources in</w:t>
      </w:r>
      <w:r w:rsidRPr="00E217BC">
        <w:t xml:space="preserve"> the review. </w:t>
      </w:r>
    </w:p>
    <w:p w:rsidR="00C24F12" w:rsidRPr="00773AEC" w:rsidRDefault="00C24F12" w:rsidP="00C24F12">
      <w:pPr>
        <w:pStyle w:val="Figureheading"/>
      </w:pPr>
      <w:bookmarkStart w:id="105" w:name="_Toc422578276"/>
      <w:r w:rsidRPr="00773AEC">
        <w:t>Figure 5: Activities obtaining NESCS consent</w:t>
      </w:r>
      <w:r w:rsidR="009F5083">
        <w:t xml:space="preserve"> identified</w:t>
      </w:r>
      <w:r w:rsidRPr="00773AEC">
        <w:t xml:space="preserve"> in</w:t>
      </w:r>
      <w:r w:rsidR="009F5083">
        <w:t xml:space="preserve"> the</w:t>
      </w:r>
      <w:r w:rsidRPr="00773AEC">
        <w:t xml:space="preserve"> </w:t>
      </w:r>
      <w:r w:rsidR="009F5083">
        <w:t>c</w:t>
      </w:r>
      <w:r w:rsidR="009F5083" w:rsidRPr="00773AEC">
        <w:t xml:space="preserve">onsent </w:t>
      </w:r>
      <w:bookmarkEnd w:id="105"/>
      <w:r w:rsidR="009F5083">
        <w:t>r</w:t>
      </w:r>
      <w:r w:rsidR="009F5083" w:rsidRPr="00773AEC">
        <w:t>eview</w:t>
      </w:r>
    </w:p>
    <w:p w:rsidR="00C24F12" w:rsidRDefault="00C24F12" w:rsidP="00C24F12">
      <w:pPr>
        <w:jc w:val="center"/>
        <w:rPr>
          <w:rFonts w:asciiTheme="minorHAnsi" w:hAnsiTheme="minorHAnsi" w:cs="Arial"/>
        </w:rPr>
      </w:pPr>
      <w:r>
        <w:rPr>
          <w:noProof/>
        </w:rPr>
        <w:drawing>
          <wp:inline distT="0" distB="0" distL="0" distR="0" wp14:anchorId="7368C42D" wp14:editId="153AF04E">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24F12" w:rsidRPr="00E07FC5" w:rsidRDefault="00AB63BA" w:rsidP="006352B5">
      <w:pPr>
        <w:pStyle w:val="Heading3"/>
      </w:pPr>
      <w:r>
        <w:t xml:space="preserve">5.2.1 </w:t>
      </w:r>
      <w:r w:rsidR="00C24F12" w:rsidRPr="00E07FC5">
        <w:t>Soil disturbance</w:t>
      </w:r>
    </w:p>
    <w:p w:rsidR="00C24F12" w:rsidRDefault="00C24F12" w:rsidP="00C24F12">
      <w:pPr>
        <w:pStyle w:val="BodyText"/>
      </w:pPr>
      <w:r>
        <w:t>Nearly half of all NESCS consents are for soil disturbance. Consents for soil disturbance are obtained for a wide range of projects – from installing a swimming pool on a residential property to resurfacing a soccer field. The NESCS allows for up to 25 cubic metres of soil disturbance</w:t>
      </w:r>
      <w:r w:rsidR="0085750E">
        <w:t xml:space="preserve"> per 500 square metres</w:t>
      </w:r>
      <w:r>
        <w:t xml:space="preserve"> and up to 5 cubic metres</w:t>
      </w:r>
      <w:r w:rsidR="00195FFA">
        <w:t xml:space="preserve"> of soil</w:t>
      </w:r>
      <w:r>
        <w:t xml:space="preserve"> per 500 square metres</w:t>
      </w:r>
      <w:r w:rsidR="0085750E">
        <w:t xml:space="preserve"> can be disposed </w:t>
      </w:r>
      <w:r w:rsidR="00195FFA">
        <w:t xml:space="preserve">of </w:t>
      </w:r>
      <w:r>
        <w:t xml:space="preserve">as a permitted activity on HAIL land. The consent review found that the average volume of soil disturbance obtaining NESCS consent was 1780 cubic metres, with a median volume of 600 cubic metres. </w:t>
      </w:r>
    </w:p>
    <w:p w:rsidR="00C24F12" w:rsidRPr="00475DE3" w:rsidRDefault="00C24F12" w:rsidP="006352B5">
      <w:pPr>
        <w:pStyle w:val="Heading4"/>
      </w:pPr>
      <w:r w:rsidRPr="00475DE3">
        <w:t>Globa</w:t>
      </w:r>
      <w:r>
        <w:t>l consents for soil disturbance</w:t>
      </w:r>
    </w:p>
    <w:p w:rsidR="00C24F12" w:rsidRDefault="00C24F12" w:rsidP="00C24F12">
      <w:pPr>
        <w:pStyle w:val="BodyText"/>
      </w:pPr>
      <w:r>
        <w:t xml:space="preserve">Large operators, such as utility organisations, regularly undertake earthworks and often exceed the permitted activity standards of the NESCS. Global consents can cover resource consent requirements for multiple properties or multiple activities within the area of a territorial authority. As such, the potential to obtain a global consent represents an opportunity to make significant cost and time savings on resource consent processes for large operators. Nationwide, several global consents have been issued under the NESCS. </w:t>
      </w:r>
    </w:p>
    <w:p w:rsidR="00C24F12" w:rsidRDefault="00C24F12" w:rsidP="00C24F12">
      <w:pPr>
        <w:spacing w:before="0" w:after="200" w:line="276" w:lineRule="auto"/>
        <w:jc w:val="left"/>
      </w:pPr>
      <w:r>
        <w:br w:type="page"/>
      </w:r>
    </w:p>
    <w:p w:rsidR="00C24F12" w:rsidRDefault="00C24F12" w:rsidP="00C24F12">
      <w:pPr>
        <w:pStyle w:val="BodyText"/>
      </w:pPr>
      <w:r>
        <w:t>For example:</w:t>
      </w:r>
    </w:p>
    <w:p w:rsidR="00C24F12" w:rsidRDefault="00C24F12" w:rsidP="00C24F12">
      <w:pPr>
        <w:pStyle w:val="Bullet"/>
      </w:pPr>
      <w:r>
        <w:t xml:space="preserve">Chorus has a global consent allowing them to install broadband cables across the Auckland region without obtaining numerous consents. </w:t>
      </w:r>
    </w:p>
    <w:p w:rsidR="00C24F12" w:rsidRDefault="00C24F12" w:rsidP="00C24F12">
      <w:pPr>
        <w:pStyle w:val="Bullet"/>
      </w:pPr>
      <w:r>
        <w:t xml:space="preserve">An insurer in Christchurch has obtained a global consent, which is expected to cover resource consent requirements for up to 2500 properties as part of the rebuild. </w:t>
      </w:r>
    </w:p>
    <w:p w:rsidR="00C24F12" w:rsidRDefault="00C24F12" w:rsidP="00C24F12">
      <w:pPr>
        <w:pStyle w:val="BodyText"/>
      </w:pPr>
      <w:r>
        <w:t>The use of global consents is not consistent, with the majority of councils indicating that they are unsure whether global consents can be issued under the NESCS. As a result, operators are unwilling to invest the time and money in developing an application, as there is a significant risk that the council will not accept their proposal. This may explain why only a small number of global consents have been issued to date.</w:t>
      </w:r>
    </w:p>
    <w:p w:rsidR="00C24F12" w:rsidRDefault="00AB63BA" w:rsidP="006352B5">
      <w:pPr>
        <w:pStyle w:val="Heading3"/>
      </w:pPr>
      <w:r>
        <w:t xml:space="preserve">5.2.2 </w:t>
      </w:r>
      <w:r w:rsidR="00C24F12">
        <w:t>Subdivision and change of use</w:t>
      </w:r>
    </w:p>
    <w:p w:rsidR="00C24F12" w:rsidRDefault="00C24F12" w:rsidP="00C24F12">
      <w:pPr>
        <w:pStyle w:val="BodyText"/>
      </w:pPr>
      <w:r>
        <w:t xml:space="preserve">Subdivision and change of use collectively make up the majority of the remaining activities </w:t>
      </w:r>
      <w:r w:rsidR="00B75A65">
        <w:t>obtain</w:t>
      </w:r>
      <w:r>
        <w:t xml:space="preserve">ing NESCS consent. The NESCS requirements for subdivisions and changes of use are very similar. Both are permitted activities if a </w:t>
      </w:r>
      <w:r w:rsidR="00EB0DEE">
        <w:t xml:space="preserve">preliminary site investigation </w:t>
      </w:r>
      <w:r>
        <w:t>(PSI) has been undertaken that certifies that it is highly unlikely that the activity will pose a risk to human health. The NESCS only applies to changes of use that are ‘</w:t>
      </w:r>
      <w:r w:rsidR="00EB0DEE">
        <w:t xml:space="preserve">reasonably </w:t>
      </w:r>
      <w:r>
        <w:t xml:space="preserve">likely’ to harm human health, but applies to all types of subdivision. </w:t>
      </w:r>
    </w:p>
    <w:p w:rsidR="00C24F12" w:rsidRDefault="00C24F12" w:rsidP="00C24F12">
      <w:pPr>
        <w:pStyle w:val="BodyText"/>
      </w:pPr>
      <w:r>
        <w:t xml:space="preserve">Change of use consents are obtained for a variety of reasons, including changes from industrial to residential, orchard land to lifestyle blocks, and recreational land to an education facility. Of the 69 subdivision consents received in the </w:t>
      </w:r>
      <w:r w:rsidR="00EB0DEE">
        <w:t>consent review</w:t>
      </w:r>
      <w:r>
        <w:t>, 58 were for the creation of new lots. However, because the NESCS applies to all types of subdivision, consents were obtained for a range of different types of subdivision, including cross-lease to freehold u</w:t>
      </w:r>
      <w:r w:rsidR="002F20D6">
        <w:t xml:space="preserve">pdates and boundary adjustments, where there were no changes in activity on the site. </w:t>
      </w:r>
      <w:r>
        <w:t xml:space="preserve"> </w:t>
      </w:r>
    </w:p>
    <w:p w:rsidR="00C24F12" w:rsidRDefault="00C24F12" w:rsidP="00C24F12">
      <w:pPr>
        <w:pStyle w:val="Heading2"/>
      </w:pPr>
      <w:bookmarkStart w:id="106" w:name="_Toc422307722"/>
      <w:bookmarkStart w:id="107" w:name="_Toc422312883"/>
      <w:bookmarkStart w:id="108" w:name="_Toc422312955"/>
      <w:bookmarkStart w:id="109" w:name="_Toc425338566"/>
      <w:r>
        <w:t>5.3 Variation in application of NESCS permitted activity criteria</w:t>
      </w:r>
      <w:bookmarkEnd w:id="106"/>
      <w:bookmarkEnd w:id="107"/>
      <w:bookmarkEnd w:id="108"/>
      <w:bookmarkEnd w:id="109"/>
    </w:p>
    <w:p w:rsidR="00C24F12" w:rsidRPr="002763D6" w:rsidRDefault="00C24F12" w:rsidP="00C24F12">
      <w:pPr>
        <w:pStyle w:val="BodyText"/>
        <w:rPr>
          <w:rFonts w:asciiTheme="minorHAnsi" w:hAnsiTheme="minorHAnsi" w:cs="Arial"/>
        </w:rPr>
      </w:pPr>
      <w:r>
        <w:t xml:space="preserve">The NESCS provides for a range of permitted activities, as long as certain criteria are met. There are a number of key terms within the NESCS that are inconsistently interpreted and applied. These terms determine whether </w:t>
      </w:r>
      <w:r w:rsidR="0003552C">
        <w:t>a subdivision, change of use</w:t>
      </w:r>
      <w:r w:rsidR="006C2B8B">
        <w:t>,</w:t>
      </w:r>
      <w:r w:rsidR="0003552C">
        <w:t xml:space="preserve"> or soil disturbance</w:t>
      </w:r>
      <w:r>
        <w:t xml:space="preserve"> is permitted or requires consent. The inconsistency makes it difficult to know whether an activity will be considered permitted, so landowners have to spend time and money to find out if the council requires them to obtain consent. </w:t>
      </w:r>
      <w:r w:rsidR="00C4681B">
        <w:t>G</w:t>
      </w:r>
      <w:r w:rsidR="0003552C">
        <w:t xml:space="preserve">uidance on </w:t>
      </w:r>
      <w:r w:rsidR="006C2B8B">
        <w:t>interpreting</w:t>
      </w:r>
      <w:r w:rsidR="0003552C">
        <w:t xml:space="preserve"> the NESCS is provided in the </w:t>
      </w:r>
      <w:r w:rsidR="0003552C" w:rsidRPr="006352B5">
        <w:rPr>
          <w:i/>
        </w:rPr>
        <w:t>Users’ Guide</w:t>
      </w:r>
      <w:r w:rsidR="0003552C">
        <w:t xml:space="preserve"> (</w:t>
      </w:r>
      <w:proofErr w:type="spellStart"/>
      <w:r w:rsidR="0003552C">
        <w:t>MfE</w:t>
      </w:r>
      <w:proofErr w:type="spellEnd"/>
      <w:r w:rsidR="0003552C">
        <w:t xml:space="preserve">, 2012). However, the guidance is not always followed and does not cover all scenarios. </w:t>
      </w:r>
    </w:p>
    <w:p w:rsidR="00C24F12" w:rsidRDefault="002F20D6" w:rsidP="006352B5">
      <w:pPr>
        <w:pStyle w:val="Heading3"/>
      </w:pPr>
      <w:r>
        <w:t>Determining whether</w:t>
      </w:r>
      <w:r w:rsidR="00C24F12">
        <w:t xml:space="preserve"> soil disturbance</w:t>
      </w:r>
      <w:r>
        <w:t xml:space="preserve"> is permitted</w:t>
      </w:r>
    </w:p>
    <w:p w:rsidR="00C24F12" w:rsidRDefault="00C24F12" w:rsidP="00C24F12">
      <w:pPr>
        <w:pStyle w:val="BodyText"/>
      </w:pPr>
      <w:r w:rsidRPr="00C36342">
        <w:t xml:space="preserve">There are three key terms, </w:t>
      </w:r>
      <w:r w:rsidR="002F20D6" w:rsidRPr="00C36342">
        <w:t>which are critical for determining whether a soil disturbance proposal will be permitted, that have varied interpretation and application</w:t>
      </w:r>
      <w:r w:rsidRPr="00C36342">
        <w:t>:</w:t>
      </w:r>
    </w:p>
    <w:p w:rsidR="00C24F12" w:rsidRDefault="00C24F12" w:rsidP="00C24F12">
      <w:pPr>
        <w:pStyle w:val="Bullet"/>
      </w:pPr>
      <w:r>
        <w:t>piece of land</w:t>
      </w:r>
    </w:p>
    <w:p w:rsidR="00C24F12" w:rsidRDefault="00C24F12" w:rsidP="00C24F12">
      <w:pPr>
        <w:pStyle w:val="Bullet"/>
      </w:pPr>
      <w:r>
        <w:t>soil disturbance ratio</w:t>
      </w:r>
    </w:p>
    <w:p w:rsidR="00C24F12" w:rsidRPr="00DB1109" w:rsidRDefault="00C24F12" w:rsidP="00C24F12">
      <w:pPr>
        <w:pStyle w:val="Bullet"/>
      </w:pPr>
      <w:proofErr w:type="gramStart"/>
      <w:r>
        <w:t>year</w:t>
      </w:r>
      <w:proofErr w:type="gramEnd"/>
      <w:r>
        <w:t>.</w:t>
      </w:r>
    </w:p>
    <w:p w:rsidR="00C24F12" w:rsidRDefault="00C24F12" w:rsidP="00C24F12">
      <w:pPr>
        <w:pStyle w:val="BodyText"/>
      </w:pPr>
      <w:r>
        <w:t>As a result</w:t>
      </w:r>
      <w:r w:rsidR="00C36342">
        <w:t xml:space="preserve"> of the varied interpretation of these terms</w:t>
      </w:r>
      <w:r>
        <w:t xml:space="preserve">, soil disturbances on HAIL sites are affected by uncertain regulatory requirements. In a broad sense, the different interpretations mean a landowner could carry out the same activity across different districts – in some districts the council would consider it to be a permitted activity, while in others it would require consent. </w:t>
      </w:r>
    </w:p>
    <w:p w:rsidR="00291C45" w:rsidRPr="002F20D6" w:rsidRDefault="00291C45" w:rsidP="006352B5">
      <w:pPr>
        <w:pStyle w:val="Heading4"/>
      </w:pPr>
      <w:r w:rsidRPr="002F20D6">
        <w:t>Piece of land</w:t>
      </w:r>
    </w:p>
    <w:p w:rsidR="00F321AA" w:rsidRDefault="00291C45" w:rsidP="00291C45">
      <w:pPr>
        <w:pStyle w:val="BodyText"/>
        <w:rPr>
          <w:rFonts w:cs="Arial"/>
        </w:rPr>
      </w:pPr>
      <w:r w:rsidRPr="002A1DB1">
        <w:rPr>
          <w:rFonts w:cs="Arial"/>
        </w:rPr>
        <w:t>The NESCS only applies to the area identified as the ‘piece of land’.</w:t>
      </w:r>
      <w:r>
        <w:rPr>
          <w:rFonts w:cs="Arial"/>
        </w:rPr>
        <w:t xml:space="preserve"> </w:t>
      </w:r>
      <w:r w:rsidRPr="002A1DB1">
        <w:t xml:space="preserve">The NESCS </w:t>
      </w:r>
      <w:r>
        <w:t>defines a piece of land as an</w:t>
      </w:r>
      <w:r w:rsidRPr="002A1DB1">
        <w:t xml:space="preserve"> area where a </w:t>
      </w:r>
      <w:r>
        <w:t>HAIL activity or industry has,</w:t>
      </w:r>
      <w:r w:rsidRPr="002A1DB1">
        <w:t xml:space="preserve"> had been</w:t>
      </w:r>
      <w:r>
        <w:t>, or more likely than not had been,</w:t>
      </w:r>
      <w:r w:rsidRPr="002A1DB1">
        <w:t xml:space="preserve"> undertaken. Depending on the HAIL activity, this could cover a small area of a single site (</w:t>
      </w:r>
      <w:proofErr w:type="spellStart"/>
      <w:r w:rsidRPr="002A1DB1">
        <w:t>eg</w:t>
      </w:r>
      <w:proofErr w:type="spellEnd"/>
      <w:r>
        <w:t>,</w:t>
      </w:r>
      <w:r w:rsidRPr="002A1DB1">
        <w:t xml:space="preserve"> a sheep dip), or it could cover multiple site parcels where each site is held in different ownership (</w:t>
      </w:r>
      <w:proofErr w:type="spellStart"/>
      <w:r w:rsidRPr="002A1DB1">
        <w:t>eg</w:t>
      </w:r>
      <w:proofErr w:type="spellEnd"/>
      <w:r>
        <w:t>,</w:t>
      </w:r>
      <w:r w:rsidRPr="002A1DB1">
        <w:t xml:space="preserve"> a former orchard). </w:t>
      </w:r>
      <w:r>
        <w:t xml:space="preserve">The permitted activity volume is linked to the size of the piece of land, so different interpretations of the piece of land can have significant implications for the volume of disturbance permitted. </w:t>
      </w:r>
      <w:r>
        <w:rPr>
          <w:rFonts w:cs="Arial"/>
        </w:rPr>
        <w:t>It is particularly significant if the HAIL activity extended beyond the current site boundaries, as is often the case for former horticultural land.</w:t>
      </w:r>
      <w:r w:rsidRPr="002A1DB1">
        <w:rPr>
          <w:rFonts w:cs="Arial"/>
        </w:rPr>
        <w:t xml:space="preserve"> </w:t>
      </w:r>
    </w:p>
    <w:p w:rsidR="00291C45" w:rsidRDefault="00652468" w:rsidP="00291C45">
      <w:pPr>
        <w:pStyle w:val="BodyText"/>
      </w:pPr>
      <w:r>
        <w:t>C</w:t>
      </w:r>
      <w:r w:rsidRPr="002A1DB1">
        <w:t>ouncils and contaminated land practitioners</w:t>
      </w:r>
      <w:r>
        <w:t xml:space="preserve"> use</w:t>
      </w:r>
      <w:r w:rsidR="00291C45" w:rsidRPr="002A1DB1">
        <w:t xml:space="preserve"> at least three different </w:t>
      </w:r>
      <w:r w:rsidR="00291C45">
        <w:t>approaches to define what the</w:t>
      </w:r>
      <w:r w:rsidR="00291C45" w:rsidRPr="002A1DB1">
        <w:t xml:space="preserve"> ‘piece of</w:t>
      </w:r>
      <w:r w:rsidR="00291C45">
        <w:t xml:space="preserve"> </w:t>
      </w:r>
      <w:r w:rsidR="00291C45" w:rsidRPr="002A1DB1">
        <w:t>land’</w:t>
      </w:r>
      <w:r w:rsidR="00291C45">
        <w:t xml:space="preserve"> is, when the former HAIL activity extends beyond the property boundary. These are</w:t>
      </w:r>
      <w:r>
        <w:t xml:space="preserve"> the</w:t>
      </w:r>
      <w:r w:rsidR="00291C45">
        <w:t>:</w:t>
      </w:r>
    </w:p>
    <w:p w:rsidR="00291C45" w:rsidRDefault="00291C45" w:rsidP="00291C45">
      <w:pPr>
        <w:pStyle w:val="Bullet"/>
      </w:pPr>
      <w:r>
        <w:t>area where the HAIL activity and the area of soil disturbance intersect</w:t>
      </w:r>
    </w:p>
    <w:p w:rsidR="00291C45" w:rsidRDefault="00291C45" w:rsidP="00291C45">
      <w:pPr>
        <w:pStyle w:val="Bullet"/>
      </w:pPr>
      <w:r>
        <w:t>applicant’s property boundary</w:t>
      </w:r>
    </w:p>
    <w:p w:rsidR="00291C45" w:rsidRDefault="00291C45" w:rsidP="00291C45">
      <w:pPr>
        <w:pStyle w:val="Bullet"/>
      </w:pPr>
      <w:proofErr w:type="gramStart"/>
      <w:r>
        <w:t>area</w:t>
      </w:r>
      <w:proofErr w:type="gramEnd"/>
      <w:r>
        <w:t xml:space="preserve"> of the entire former HAIL activity.</w:t>
      </w:r>
    </w:p>
    <w:p w:rsidR="00291C45" w:rsidRDefault="00291C45" w:rsidP="00291C45">
      <w:pPr>
        <w:pStyle w:val="BodyText"/>
      </w:pPr>
      <w:r w:rsidRPr="002A1DB1">
        <w:t>The different interpretations allow for vastly different volumes to be considered permitted in different districts arou</w:t>
      </w:r>
      <w:r>
        <w:t xml:space="preserve">nd the country. </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8505"/>
      </w:tblGrid>
      <w:tr w:rsidR="00291C45" w:rsidRPr="00CC1943" w:rsidDel="00D5390D" w:rsidTr="00C86B3D">
        <w:trPr>
          <w:cantSplit/>
        </w:trPr>
        <w:tc>
          <w:tcPr>
            <w:tcW w:w="8505" w:type="dxa"/>
            <w:tcBorders>
              <w:top w:val="single" w:sz="4" w:space="0" w:color="17556C"/>
              <w:left w:val="single" w:sz="4" w:space="0" w:color="17556C"/>
              <w:bottom w:val="single" w:sz="4" w:space="0" w:color="17556C"/>
              <w:right w:val="single" w:sz="4" w:space="0" w:color="17556C"/>
            </w:tcBorders>
            <w:shd w:val="clear" w:color="auto" w:fill="17556C"/>
          </w:tcPr>
          <w:p w:rsidR="00291C45" w:rsidRPr="00CC1943" w:rsidDel="00D5390D" w:rsidRDefault="00291C45" w:rsidP="00D36515">
            <w:pPr>
              <w:pStyle w:val="Casestudyheading"/>
              <w:rPr>
                <w:rFonts w:ascii="Arial" w:hAnsi="Arial"/>
                <w:color w:val="FFFFFF" w:themeColor="background1"/>
              </w:rPr>
            </w:pPr>
            <w:r>
              <w:rPr>
                <w:color w:val="FFFFFF" w:themeColor="background1"/>
              </w:rPr>
              <w:t>example</w:t>
            </w:r>
          </w:p>
        </w:tc>
      </w:tr>
      <w:tr w:rsidR="00291C45" w:rsidRPr="00CC1943" w:rsidTr="00C86B3D">
        <w:trPr>
          <w:cantSplit/>
        </w:trPr>
        <w:tc>
          <w:tcPr>
            <w:tcW w:w="8505" w:type="dxa"/>
            <w:tcBorders>
              <w:top w:val="single" w:sz="4" w:space="0" w:color="17556C"/>
              <w:left w:val="single" w:sz="4" w:space="0" w:color="8BAAB6"/>
              <w:bottom w:val="single" w:sz="4" w:space="0" w:color="8BAAB6"/>
              <w:right w:val="single" w:sz="4" w:space="0" w:color="8BAAB6"/>
            </w:tcBorders>
            <w:shd w:val="clear" w:color="auto" w:fill="8BAAB6"/>
          </w:tcPr>
          <w:p w:rsidR="00291C45" w:rsidRPr="00374DD3" w:rsidRDefault="00291C45" w:rsidP="00D36515">
            <w:pPr>
              <w:ind w:left="284"/>
              <w:jc w:val="left"/>
              <w:rPr>
                <w:rFonts w:eastAsia="Times New Roman"/>
                <w:b/>
                <w:color w:val="17556C"/>
              </w:rPr>
            </w:pPr>
            <w:r w:rsidRPr="00374DD3">
              <w:rPr>
                <w:rFonts w:eastAsia="Times New Roman"/>
                <w:b/>
                <w:color w:val="17556C"/>
              </w:rPr>
              <w:t>Impact of different interpretations of the ‘piece of land’</w:t>
            </w:r>
          </w:p>
          <w:p w:rsidR="00291C45" w:rsidRPr="00374DD3" w:rsidRDefault="00291C45" w:rsidP="00D36515">
            <w:pPr>
              <w:pStyle w:val="Greentext-tables"/>
              <w:spacing w:after="240"/>
              <w:rPr>
                <w:color w:val="17556C"/>
              </w:rPr>
            </w:pPr>
            <w:r w:rsidRPr="00374DD3">
              <w:rPr>
                <w:color w:val="17556C"/>
              </w:rPr>
              <w:t>A landowner owns a 2000 square metres property on a former orchard – the orchard was 10,000 square metres. They want to undertake soil disturbance over a 500 square metre area, to create a building platform.</w:t>
            </w:r>
          </w:p>
          <w:p w:rsidR="00291C45" w:rsidRPr="00374DD3" w:rsidRDefault="00291C45" w:rsidP="00D36515">
            <w:pPr>
              <w:pStyle w:val="Greentext-tables"/>
              <w:spacing w:after="240"/>
              <w:rPr>
                <w:color w:val="17556C"/>
              </w:rPr>
            </w:pPr>
            <w:r w:rsidRPr="00374DD3">
              <w:rPr>
                <w:color w:val="17556C"/>
              </w:rPr>
              <w:t xml:space="preserve">If the council considers that the piece of land is the area where the former HAIL activity and soil disturbance intersect (500 square metres), the landowner will be able to undertake up to 25 cubic metres of soil disturbance before requiring consent. </w:t>
            </w:r>
          </w:p>
          <w:p w:rsidR="00291C45" w:rsidRPr="00374DD3" w:rsidRDefault="00291C45" w:rsidP="00D36515">
            <w:pPr>
              <w:pStyle w:val="Greentext-tables"/>
              <w:spacing w:after="240"/>
              <w:rPr>
                <w:color w:val="17556C"/>
              </w:rPr>
            </w:pPr>
            <w:r w:rsidRPr="00374DD3">
              <w:rPr>
                <w:color w:val="17556C"/>
              </w:rPr>
              <w:t xml:space="preserve">If the piece of land is based on the boundary of the property (2000 square metres), up to 100 cubic metres will be permitted. </w:t>
            </w:r>
          </w:p>
          <w:p w:rsidR="00291C45" w:rsidRPr="00652468" w:rsidRDefault="00291C45" w:rsidP="00652468">
            <w:pPr>
              <w:pStyle w:val="Greentext-tables"/>
              <w:spacing w:after="240"/>
            </w:pPr>
            <w:r w:rsidRPr="00374DD3">
              <w:rPr>
                <w:color w:val="17556C"/>
              </w:rPr>
              <w:t>If it is based on the area of the former orchard (10,000 square metres), up to 500 cubic metres of soil disturbance could be undertaken before NESCS consent was required.</w:t>
            </w:r>
          </w:p>
        </w:tc>
      </w:tr>
    </w:tbl>
    <w:p w:rsidR="00291C45" w:rsidRPr="00F321AA" w:rsidRDefault="00291C45" w:rsidP="006352B5">
      <w:pPr>
        <w:pStyle w:val="Heading4"/>
      </w:pPr>
      <w:r w:rsidRPr="00F321AA">
        <w:t>Soil disturbance ratio</w:t>
      </w:r>
    </w:p>
    <w:p w:rsidR="00291C45" w:rsidRDefault="00291C45" w:rsidP="00291C45">
      <w:pPr>
        <w:pStyle w:val="BodyText"/>
      </w:pPr>
      <w:r w:rsidRPr="00A81966">
        <w:t>The NESCS allows for 25</w:t>
      </w:r>
      <w:r>
        <w:t xml:space="preserve"> cubic metres</w:t>
      </w:r>
      <w:r w:rsidRPr="00A81966">
        <w:t xml:space="preserve"> per 500</w:t>
      </w:r>
      <w:r>
        <w:t> square metres</w:t>
      </w:r>
      <w:r w:rsidRPr="00A81966">
        <w:t xml:space="preserve"> of soil to be disturbed as a permitted activity. In practice, at least two different approaches are commonly used by councils to calculate how much soil can be disturbed as a permitted activity</w:t>
      </w:r>
      <w:r>
        <w:t xml:space="preserve">: </w:t>
      </w:r>
    </w:p>
    <w:p w:rsidR="00291C45" w:rsidRDefault="00DD5A82" w:rsidP="00291C45">
      <w:pPr>
        <w:pStyle w:val="Bullet"/>
      </w:pPr>
      <w:r>
        <w:t>a</w:t>
      </w:r>
      <w:r w:rsidRPr="00D76F60">
        <w:t xml:space="preserve"> </w:t>
      </w:r>
      <w:r w:rsidR="00291C45">
        <w:t>‘</w:t>
      </w:r>
      <w:r w:rsidR="00291C45" w:rsidRPr="00D76F60">
        <w:t>pro-rata</w:t>
      </w:r>
      <w:r w:rsidR="00291C45">
        <w:t xml:space="preserve">’ approach, with the permitted volume calculated in a ratio relative to the size of the piece of land </w:t>
      </w:r>
    </w:p>
    <w:p w:rsidR="00291C45" w:rsidRDefault="00DD5A82" w:rsidP="00291C45">
      <w:pPr>
        <w:pStyle w:val="Bullet"/>
      </w:pPr>
      <w:r>
        <w:t xml:space="preserve">permitted </w:t>
      </w:r>
      <w:r w:rsidR="00291C45">
        <w:t>volume a</w:t>
      </w:r>
      <w:r w:rsidR="00291C45" w:rsidRPr="00D76F60">
        <w:t>llocate</w:t>
      </w:r>
      <w:r w:rsidR="00291C45">
        <w:t xml:space="preserve">d </w:t>
      </w:r>
      <w:r w:rsidR="00291C45" w:rsidRPr="00D76F60">
        <w:t>in ‘blocks’ – for each 500</w:t>
      </w:r>
      <w:r w:rsidR="00291C45">
        <w:t xml:space="preserve"> square metre block</w:t>
      </w:r>
      <w:r w:rsidR="00291C45" w:rsidRPr="00D76F60">
        <w:t xml:space="preserve"> or part thereof, 25</w:t>
      </w:r>
      <w:r w:rsidR="00291C45">
        <w:t xml:space="preserve"> cubic metres</w:t>
      </w:r>
      <w:r w:rsidR="00291C45" w:rsidRPr="00D76F60">
        <w:t xml:space="preserve"> is permitted.</w:t>
      </w:r>
    </w:p>
    <w:p w:rsidR="00291C45" w:rsidRDefault="00291C45" w:rsidP="00291C45">
      <w:pPr>
        <w:pStyle w:val="BodyText"/>
      </w:pPr>
      <w:r>
        <w:t xml:space="preserve">The different interpretations can result in significant differences in the volumes considered </w:t>
      </w:r>
      <w:r w:rsidRPr="00D76F60">
        <w:t>permitted between districts, depending on the approach the local council takes</w:t>
      </w:r>
      <w:r>
        <w:t>.</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8505"/>
      </w:tblGrid>
      <w:tr w:rsidR="00291C45" w:rsidRPr="00CC1943" w:rsidDel="00D5390D" w:rsidTr="00C86B3D">
        <w:trPr>
          <w:cantSplit/>
        </w:trPr>
        <w:tc>
          <w:tcPr>
            <w:tcW w:w="8505" w:type="dxa"/>
            <w:tcBorders>
              <w:top w:val="single" w:sz="4" w:space="0" w:color="17556C"/>
              <w:left w:val="single" w:sz="4" w:space="0" w:color="17556C"/>
              <w:bottom w:val="single" w:sz="4" w:space="0" w:color="17556C"/>
              <w:right w:val="single" w:sz="4" w:space="0" w:color="17556C"/>
            </w:tcBorders>
            <w:shd w:val="clear" w:color="auto" w:fill="17556C"/>
          </w:tcPr>
          <w:p w:rsidR="00291C45" w:rsidRPr="00CC1943" w:rsidDel="00D5390D" w:rsidRDefault="00291C45" w:rsidP="00D36515">
            <w:pPr>
              <w:pStyle w:val="Casestudyheading"/>
              <w:rPr>
                <w:rFonts w:ascii="Arial" w:hAnsi="Arial"/>
                <w:color w:val="FFFFFF" w:themeColor="background1"/>
              </w:rPr>
            </w:pPr>
            <w:r>
              <w:rPr>
                <w:color w:val="FFFFFF" w:themeColor="background1"/>
              </w:rPr>
              <w:t>example</w:t>
            </w:r>
          </w:p>
        </w:tc>
      </w:tr>
      <w:tr w:rsidR="00291C45" w:rsidRPr="00CC1943" w:rsidTr="00C86B3D">
        <w:trPr>
          <w:cantSplit/>
        </w:trPr>
        <w:tc>
          <w:tcPr>
            <w:tcW w:w="8505" w:type="dxa"/>
            <w:tcBorders>
              <w:top w:val="single" w:sz="4" w:space="0" w:color="17556C"/>
              <w:left w:val="single" w:sz="4" w:space="0" w:color="8BAAB6"/>
              <w:bottom w:val="single" w:sz="4" w:space="0" w:color="8BAAB6"/>
              <w:right w:val="single" w:sz="4" w:space="0" w:color="8BAAB6"/>
            </w:tcBorders>
            <w:shd w:val="clear" w:color="auto" w:fill="8BAAB6"/>
          </w:tcPr>
          <w:p w:rsidR="00291C45" w:rsidRPr="00374DD3" w:rsidRDefault="00291C45" w:rsidP="00D36515">
            <w:pPr>
              <w:ind w:left="284"/>
              <w:rPr>
                <w:rFonts w:eastAsia="Times New Roman"/>
                <w:b/>
                <w:color w:val="17556C"/>
              </w:rPr>
            </w:pPr>
            <w:r w:rsidRPr="00374DD3">
              <w:rPr>
                <w:rFonts w:eastAsia="Times New Roman"/>
                <w:b/>
                <w:color w:val="17556C"/>
              </w:rPr>
              <w:t xml:space="preserve">Different approaches to calculate permitted activity volumes of soil disturbance </w:t>
            </w:r>
          </w:p>
          <w:p w:rsidR="00291C45" w:rsidRPr="00374DD3" w:rsidRDefault="00291C45" w:rsidP="00D36515">
            <w:pPr>
              <w:pStyle w:val="Greentext-tables"/>
              <w:spacing w:after="240"/>
              <w:rPr>
                <w:color w:val="17556C"/>
              </w:rPr>
            </w:pPr>
            <w:r w:rsidRPr="00374DD3">
              <w:rPr>
                <w:color w:val="17556C"/>
              </w:rPr>
              <w:t xml:space="preserve">A landowner wants to carry out 25 cubic metres of soil disturbance on their 400 square metre site, to put in a new swimming pool. </w:t>
            </w:r>
          </w:p>
          <w:p w:rsidR="00291C45" w:rsidRPr="00374DD3" w:rsidRDefault="00291C45" w:rsidP="00D36515">
            <w:pPr>
              <w:pStyle w:val="Greentext-tables"/>
              <w:spacing w:after="240"/>
              <w:rPr>
                <w:color w:val="17556C"/>
              </w:rPr>
            </w:pPr>
            <w:r w:rsidRPr="00374DD3">
              <w:rPr>
                <w:color w:val="17556C"/>
              </w:rPr>
              <w:t xml:space="preserve">In districts where the council uses a ‘block approach’ the landowner would not require consent, as these councils interpret the permitted activity ratio as 25 cubic metres for any piece of land up to 500 square metres. </w:t>
            </w:r>
          </w:p>
          <w:p w:rsidR="00E62EFF" w:rsidRPr="00E62EFF" w:rsidRDefault="00291C45" w:rsidP="00E62EFF">
            <w:pPr>
              <w:pStyle w:val="Greentext-tables"/>
              <w:spacing w:after="240"/>
              <w:rPr>
                <w:color w:val="17556C"/>
              </w:rPr>
            </w:pPr>
            <w:r w:rsidRPr="00374DD3">
              <w:rPr>
                <w:color w:val="17556C"/>
              </w:rPr>
              <w:t>In districts that interpret the ratio on a pro rata basis the landowner could undertake up to 20 cubic metres of soil disturbance on their 400 square metre site as a permitted activity. The landowner would require consent for the further 5 cubic metres of disturbance needed for the pool’s construction.</w:t>
            </w:r>
          </w:p>
        </w:tc>
      </w:tr>
    </w:tbl>
    <w:p w:rsidR="00291C45" w:rsidRPr="00F321AA" w:rsidRDefault="00291C45" w:rsidP="006352B5">
      <w:pPr>
        <w:pStyle w:val="Heading4"/>
      </w:pPr>
      <w:r w:rsidRPr="00F321AA">
        <w:t xml:space="preserve">A year </w:t>
      </w:r>
    </w:p>
    <w:p w:rsidR="00291C45" w:rsidRDefault="00F321AA" w:rsidP="00C24F12">
      <w:pPr>
        <w:pStyle w:val="BodyText"/>
      </w:pPr>
      <w:r>
        <w:t>The term</w:t>
      </w:r>
      <w:r w:rsidR="00291C45">
        <w:t xml:space="preserve"> ‘year’ is</w:t>
      </w:r>
      <w:r>
        <w:t xml:space="preserve"> also interpreted differently across the country, causing difficulties for landowners trying to establish whether their activity is permitted</w:t>
      </w:r>
      <w:r w:rsidR="00291C45">
        <w:t xml:space="preserve">. The NESCS allows for up to </w:t>
      </w:r>
      <w:r w:rsidR="00DD5A82">
        <w:br/>
      </w:r>
      <w:r w:rsidR="00291C45">
        <w:t xml:space="preserve">5 cubic metres of soil to be disposed of from a HAIL site </w:t>
      </w:r>
      <w:r>
        <w:t>‘</w:t>
      </w:r>
      <w:r w:rsidR="00291C45">
        <w:t>per year</w:t>
      </w:r>
      <w:r>
        <w:t>’</w:t>
      </w:r>
      <w:r w:rsidR="00291C45">
        <w:t xml:space="preserve"> as a permitted activity. Year is not defined, and as a result, some consider it to be once per calendar year, while others consider it to be once per 365 days. </w:t>
      </w:r>
      <w:r>
        <w:t>The</w:t>
      </w:r>
      <w:r w:rsidR="00291C45">
        <w:t xml:space="preserve"> latter interpretation </w:t>
      </w:r>
      <w:r>
        <w:t xml:space="preserve">allows someone </w:t>
      </w:r>
      <w:r w:rsidR="00291C45">
        <w:t xml:space="preserve">to carry out disposal of soil on two consecutive days, by claiming that one day is the end of one year, and the following </w:t>
      </w:r>
      <w:r w:rsidR="00C4681B">
        <w:t>day as the start of a new year.</w:t>
      </w:r>
    </w:p>
    <w:p w:rsidR="00C24F12" w:rsidRDefault="00C24F12" w:rsidP="00F321AA">
      <w:pPr>
        <w:pStyle w:val="Heading4"/>
      </w:pPr>
      <w:r>
        <w:t>Inconsistent practice amongst council officers and contaminated land practitioners</w:t>
      </w:r>
    </w:p>
    <w:p w:rsidR="00C24F12" w:rsidRDefault="00C24F12" w:rsidP="00C24F12">
      <w:pPr>
        <w:pStyle w:val="BodyText"/>
      </w:pPr>
      <w:r>
        <w:t xml:space="preserve">Under the provisions of the NESCS, subdivisions and changes of use certified as ‘highly unlikely’ to pose a risk to human health are able to proceed as a permitted activity. </w:t>
      </w:r>
      <w:r>
        <w:rPr>
          <w:rFonts w:asciiTheme="minorHAnsi" w:hAnsiTheme="minorHAnsi" w:cs="Arial"/>
        </w:rPr>
        <w:t>T</w:t>
      </w:r>
      <w:r w:rsidRPr="00076070">
        <w:rPr>
          <w:rFonts w:asciiTheme="minorHAnsi" w:hAnsiTheme="minorHAnsi" w:cs="Arial"/>
        </w:rPr>
        <w:t xml:space="preserve">he NESCS </w:t>
      </w:r>
      <w:r>
        <w:rPr>
          <w:rFonts w:asciiTheme="minorHAnsi" w:hAnsiTheme="minorHAnsi" w:cs="Arial"/>
        </w:rPr>
        <w:t xml:space="preserve">also </w:t>
      </w:r>
      <w:r w:rsidRPr="00076070">
        <w:rPr>
          <w:rFonts w:asciiTheme="minorHAnsi" w:hAnsiTheme="minorHAnsi" w:cs="Arial"/>
        </w:rPr>
        <w:t xml:space="preserve">only applies to changes of use </w:t>
      </w:r>
      <w:r>
        <w:rPr>
          <w:rFonts w:asciiTheme="minorHAnsi" w:hAnsiTheme="minorHAnsi" w:cs="Arial"/>
        </w:rPr>
        <w:t>that</w:t>
      </w:r>
      <w:r w:rsidRPr="00076070">
        <w:rPr>
          <w:rFonts w:asciiTheme="minorHAnsi" w:hAnsiTheme="minorHAnsi" w:cs="Arial"/>
        </w:rPr>
        <w:t xml:space="preserve"> are ‘reasonably likely’ to harm human health.</w:t>
      </w:r>
      <w:r>
        <w:rPr>
          <w:rFonts w:asciiTheme="minorHAnsi" w:hAnsiTheme="minorHAnsi" w:cs="Arial"/>
        </w:rPr>
        <w:t xml:space="preserve"> </w:t>
      </w:r>
      <w:r>
        <w:t xml:space="preserve">The ‘reasonably likely’ and ‘highly unlikely’ tests require councils and suitably qualified and experienced practitioners (SQEPs) to make judgement calls about the relationship between an activity and the likelihood of harm to human health. </w:t>
      </w:r>
    </w:p>
    <w:p w:rsidR="00C24F12" w:rsidRDefault="00C24F12" w:rsidP="00C24F12">
      <w:pPr>
        <w:pStyle w:val="BodyText"/>
      </w:pPr>
      <w:r>
        <w:t xml:space="preserve">However, </w:t>
      </w:r>
      <w:r w:rsidR="00C36342">
        <w:t>s</w:t>
      </w:r>
      <w:r>
        <w:t xml:space="preserve">takeholders consistently commented that they </w:t>
      </w:r>
      <w:r w:rsidRPr="00076070">
        <w:rPr>
          <w:rFonts w:asciiTheme="minorHAnsi" w:hAnsiTheme="minorHAnsi" w:cs="Arial"/>
        </w:rPr>
        <w:t>cannot predict before talking to the council whether a change of use</w:t>
      </w:r>
      <w:r>
        <w:rPr>
          <w:rFonts w:asciiTheme="minorHAnsi" w:hAnsiTheme="minorHAnsi" w:cs="Arial"/>
        </w:rPr>
        <w:t xml:space="preserve"> or subdivision</w:t>
      </w:r>
      <w:r w:rsidRPr="00076070">
        <w:rPr>
          <w:rFonts w:asciiTheme="minorHAnsi" w:hAnsiTheme="minorHAnsi" w:cs="Arial"/>
        </w:rPr>
        <w:t xml:space="preserve"> will be </w:t>
      </w:r>
      <w:r>
        <w:rPr>
          <w:rFonts w:asciiTheme="minorHAnsi" w:hAnsiTheme="minorHAnsi" w:cs="Arial"/>
        </w:rPr>
        <w:t xml:space="preserve">considered permitted or will be </w:t>
      </w:r>
      <w:r w:rsidRPr="00076070">
        <w:rPr>
          <w:rFonts w:asciiTheme="minorHAnsi" w:hAnsiTheme="minorHAnsi" w:cs="Arial"/>
        </w:rPr>
        <w:t>required to address the NESCS</w:t>
      </w:r>
      <w:r>
        <w:rPr>
          <w:rFonts w:asciiTheme="minorHAnsi" w:hAnsiTheme="minorHAnsi" w:cs="Arial"/>
        </w:rPr>
        <w:t xml:space="preserve">. </w:t>
      </w:r>
      <w:r w:rsidRPr="00076070">
        <w:rPr>
          <w:rFonts w:asciiTheme="minorHAnsi" w:hAnsiTheme="minorHAnsi" w:cs="Arial"/>
        </w:rPr>
        <w:t xml:space="preserve">This was highlighted </w:t>
      </w:r>
      <w:r>
        <w:rPr>
          <w:rFonts w:asciiTheme="minorHAnsi" w:hAnsiTheme="minorHAnsi" w:cs="Arial"/>
        </w:rPr>
        <w:t>in</w:t>
      </w:r>
      <w:r w:rsidRPr="00076070">
        <w:rPr>
          <w:rFonts w:asciiTheme="minorHAnsi" w:hAnsiTheme="minorHAnsi" w:cs="Arial"/>
        </w:rPr>
        <w:t xml:space="preserve"> the survey responses, with only 41</w:t>
      </w:r>
      <w:r>
        <w:rPr>
          <w:rFonts w:asciiTheme="minorHAnsi" w:hAnsiTheme="minorHAnsi" w:cs="Arial"/>
        </w:rPr>
        <w:t xml:space="preserve"> per cent</w:t>
      </w:r>
      <w:r w:rsidRPr="00076070">
        <w:rPr>
          <w:rFonts w:asciiTheme="minorHAnsi" w:hAnsiTheme="minorHAnsi" w:cs="Arial"/>
        </w:rPr>
        <w:t xml:space="preserve"> of respondents considering it is clear which change of use </w:t>
      </w:r>
      <w:r>
        <w:rPr>
          <w:rFonts w:asciiTheme="minorHAnsi" w:hAnsiTheme="minorHAnsi" w:cs="Arial"/>
        </w:rPr>
        <w:t xml:space="preserve">types </w:t>
      </w:r>
      <w:r w:rsidRPr="00076070">
        <w:rPr>
          <w:rFonts w:asciiTheme="minorHAnsi" w:hAnsiTheme="minorHAnsi" w:cs="Arial"/>
        </w:rPr>
        <w:t>will be covered by the NESCS before an application is made to council</w:t>
      </w:r>
      <w:r>
        <w:rPr>
          <w:rFonts w:asciiTheme="minorHAnsi" w:hAnsiTheme="minorHAnsi" w:cs="Arial"/>
        </w:rPr>
        <w:t xml:space="preserve">. </w:t>
      </w:r>
    </w:p>
    <w:p w:rsidR="00C24F12" w:rsidRPr="007426AD" w:rsidRDefault="00C24F12" w:rsidP="00C24F12">
      <w:pPr>
        <w:pStyle w:val="BodyText"/>
        <w:rPr>
          <w:rFonts w:asciiTheme="minorHAnsi" w:hAnsiTheme="minorHAnsi" w:cs="Arial"/>
        </w:rPr>
      </w:pPr>
      <w:r>
        <w:rPr>
          <w:rFonts w:asciiTheme="minorHAnsi" w:hAnsiTheme="minorHAnsi" w:cs="Arial"/>
        </w:rPr>
        <w:t>If a council officer or SQEP does not have a good understanding of the potential risks from contaminated land, they tend to take a conservative approach to interpreting whether a proposal poses a risk (either ‘reasonably likely’ or ‘highly unlikely’). This results in activities obtaining NESCS consent, where a more experienced practitioner or council officer could have determined that the relationship between the proposal and the risks to health met the criteria to allow it to proceed as a permitted activity.</w:t>
      </w:r>
    </w:p>
    <w:p w:rsidR="00C24F12" w:rsidRDefault="00C24F12" w:rsidP="00C24F12">
      <w:pPr>
        <w:pStyle w:val="Heading3"/>
      </w:pPr>
      <w:bookmarkStart w:id="110" w:name="_Toc422307723"/>
      <w:bookmarkStart w:id="111" w:name="_Toc422312884"/>
      <w:bookmarkStart w:id="112" w:name="_Toc422312956"/>
      <w:r>
        <w:t xml:space="preserve">5.3.1 Resource consent requirements </w:t>
      </w:r>
      <w:bookmarkEnd w:id="110"/>
      <w:bookmarkEnd w:id="111"/>
      <w:bookmarkEnd w:id="112"/>
    </w:p>
    <w:p w:rsidR="00C24F12" w:rsidRDefault="00C24F12" w:rsidP="00C4681B">
      <w:pPr>
        <w:pStyle w:val="BodyText"/>
        <w:rPr>
          <w:rFonts w:eastAsiaTheme="majorEastAsia" w:cstheme="majorBidi"/>
          <w:b/>
          <w:bCs/>
          <w:color w:val="183C47"/>
          <w:sz w:val="28"/>
        </w:rPr>
      </w:pPr>
      <w:r>
        <w:t xml:space="preserve">Contaminated land practitioners consistently commented that the effects controlled through NESCS consents vary considerably. The consent conditions in NESCS consents for soil disturbance demonstrate this point well. Some </w:t>
      </w:r>
      <w:proofErr w:type="gramStart"/>
      <w:r>
        <w:t>councils</w:t>
      </w:r>
      <w:proofErr w:type="gramEnd"/>
      <w:r>
        <w:t xml:space="preserve"> are issuing consents for soil disturbance with broad requirements, such as site remedial planning and health and safety management plans, while other councils are issuing consents with few to no requirements beyond standard consent conditions for earthworks. A number of council officers reported that they are uncertain of the effects associated with soil disturbance on contaminated land, which may explain the variation, and in some instances conservatism, of NESCS consent conditions. </w:t>
      </w:r>
      <w:bookmarkStart w:id="113" w:name="_Toc422307724"/>
    </w:p>
    <w:p w:rsidR="00C24F12" w:rsidRDefault="00C24F12" w:rsidP="00C24F12">
      <w:pPr>
        <w:pStyle w:val="Heading2"/>
      </w:pPr>
      <w:bookmarkStart w:id="114" w:name="_Toc422312885"/>
      <w:bookmarkStart w:id="115" w:name="_Toc422312957"/>
      <w:bookmarkStart w:id="116" w:name="_Toc425338567"/>
      <w:r>
        <w:t>5.4 Site investigations</w:t>
      </w:r>
      <w:bookmarkEnd w:id="113"/>
      <w:bookmarkEnd w:id="114"/>
      <w:bookmarkEnd w:id="115"/>
      <w:bookmarkEnd w:id="116"/>
    </w:p>
    <w:p w:rsidR="00C24F12" w:rsidRPr="000F1BCD" w:rsidRDefault="00C24F12" w:rsidP="000F1BCD">
      <w:pPr>
        <w:pStyle w:val="BodyText"/>
      </w:pPr>
      <w:r>
        <w:t>Two types of site investigations can be provided under the NESCS, both of which must be certified by a SQEP:</w:t>
      </w:r>
    </w:p>
    <w:p w:rsidR="00C24F12" w:rsidRPr="00443746" w:rsidRDefault="00C24F12" w:rsidP="00C24F12">
      <w:pPr>
        <w:pStyle w:val="Bullet"/>
      </w:pPr>
      <w:r w:rsidRPr="00443746">
        <w:rPr>
          <w:b/>
          <w:bCs/>
        </w:rPr>
        <w:t xml:space="preserve">Preliminary </w:t>
      </w:r>
      <w:r w:rsidR="000F1BCD">
        <w:rPr>
          <w:b/>
          <w:bCs/>
        </w:rPr>
        <w:t>s</w:t>
      </w:r>
      <w:r w:rsidR="000F1BCD" w:rsidRPr="00443746">
        <w:rPr>
          <w:b/>
          <w:bCs/>
        </w:rPr>
        <w:t xml:space="preserve">ite </w:t>
      </w:r>
      <w:r w:rsidR="000F1BCD">
        <w:rPr>
          <w:b/>
          <w:bCs/>
        </w:rPr>
        <w:t>i</w:t>
      </w:r>
      <w:r w:rsidR="000F1BCD" w:rsidRPr="00443746">
        <w:rPr>
          <w:b/>
          <w:bCs/>
        </w:rPr>
        <w:t xml:space="preserve">nvestigation </w:t>
      </w:r>
      <w:r w:rsidRPr="00F023F8">
        <w:rPr>
          <w:b/>
        </w:rPr>
        <w:t>(PSI)</w:t>
      </w:r>
      <w:r w:rsidRPr="00443746">
        <w:t xml:space="preserve">: </w:t>
      </w:r>
      <w:r>
        <w:t>Primarily a</w:t>
      </w:r>
      <w:r w:rsidRPr="00443746">
        <w:t xml:space="preserve"> desktop study in accordance with </w:t>
      </w:r>
      <w:r w:rsidRPr="00532ED7">
        <w:rPr>
          <w:i/>
          <w:iCs/>
        </w:rPr>
        <w:t>Contaminated Land Management Guideline No.1</w:t>
      </w:r>
      <w:r w:rsidRPr="00532ED7">
        <w:rPr>
          <w:i/>
        </w:rPr>
        <w:t xml:space="preserve">. </w:t>
      </w:r>
      <w:r w:rsidRPr="00443746">
        <w:t>A PSI determines whether a landowner needs to obtain NESCS consent</w:t>
      </w:r>
      <w:r>
        <w:t xml:space="preserve">. </w:t>
      </w:r>
      <w:r w:rsidRPr="00443746">
        <w:t>A PSI can be used to establish that a HAIL use has not occurred, which would mean that the NESCS does not apply to the property; or for a SQEP to certify that the proposed subdivision or change of use is highly unlikely to harm human health, making the proposed subdivision or change of use permitted.</w:t>
      </w:r>
    </w:p>
    <w:p w:rsidR="00C24F12" w:rsidRDefault="00C24F12" w:rsidP="00C24F12">
      <w:pPr>
        <w:pStyle w:val="Bullet"/>
      </w:pPr>
      <w:r w:rsidRPr="00C71F61">
        <w:rPr>
          <w:b/>
          <w:bCs/>
        </w:rPr>
        <w:t xml:space="preserve"> Detailed </w:t>
      </w:r>
      <w:r w:rsidR="0033163F">
        <w:rPr>
          <w:b/>
          <w:bCs/>
        </w:rPr>
        <w:t>s</w:t>
      </w:r>
      <w:r w:rsidR="0033163F" w:rsidRPr="00C71F61">
        <w:rPr>
          <w:b/>
          <w:bCs/>
        </w:rPr>
        <w:t xml:space="preserve">ite </w:t>
      </w:r>
      <w:r w:rsidR="0033163F">
        <w:rPr>
          <w:b/>
          <w:bCs/>
        </w:rPr>
        <w:t>i</w:t>
      </w:r>
      <w:r w:rsidR="0033163F" w:rsidRPr="00C71F61">
        <w:rPr>
          <w:b/>
          <w:bCs/>
        </w:rPr>
        <w:t>nvestigation</w:t>
      </w:r>
      <w:r w:rsidR="0033163F" w:rsidRPr="00C71F61">
        <w:t xml:space="preserve"> </w:t>
      </w:r>
      <w:r w:rsidRPr="00F023F8">
        <w:rPr>
          <w:b/>
        </w:rPr>
        <w:t>(DSI)</w:t>
      </w:r>
      <w:r w:rsidRPr="00C71F61">
        <w:t xml:space="preserve">: Involves soil testing in accordance with </w:t>
      </w:r>
      <w:r w:rsidRPr="00532ED7">
        <w:rPr>
          <w:iCs/>
        </w:rPr>
        <w:t xml:space="preserve">CLMG1 </w:t>
      </w:r>
      <w:r>
        <w:rPr>
          <w:iCs/>
        </w:rPr>
        <w:t>and</w:t>
      </w:r>
      <w:r w:rsidRPr="00532ED7">
        <w:rPr>
          <w:iCs/>
        </w:rPr>
        <w:t xml:space="preserve"> </w:t>
      </w:r>
      <w:r>
        <w:rPr>
          <w:iCs/>
        </w:rPr>
        <w:t>CLMG</w:t>
      </w:r>
      <w:r w:rsidRPr="00532ED7">
        <w:rPr>
          <w:iCs/>
        </w:rPr>
        <w:t>5</w:t>
      </w:r>
      <w:r w:rsidRPr="00532ED7">
        <w:t>.</w:t>
      </w:r>
      <w:r w:rsidRPr="00C71F61">
        <w:t xml:space="preserve"> A DSI is used to establish the concentration of contaminants. The findings of a DSI determine whether a landowner requires NESCS consent, and if so, the type of resource consent required. </w:t>
      </w:r>
    </w:p>
    <w:p w:rsidR="00C24F12" w:rsidRPr="00C71F61" w:rsidRDefault="00C24F12" w:rsidP="00C24F12">
      <w:pPr>
        <w:pStyle w:val="BodyText"/>
      </w:pPr>
      <w:r w:rsidRPr="00C71F61">
        <w:t>The territorial authority determines whether a site investigation meets the criteria in the NESCS.</w:t>
      </w:r>
    </w:p>
    <w:p w:rsidR="00C24F12" w:rsidRDefault="00C24F12" w:rsidP="00C24F12">
      <w:pPr>
        <w:pStyle w:val="Heading3"/>
      </w:pPr>
      <w:bookmarkStart w:id="117" w:name="_Toc422307725"/>
      <w:bookmarkStart w:id="118" w:name="_Toc422312886"/>
      <w:bookmarkStart w:id="119" w:name="_Toc422312958"/>
      <w:r>
        <w:t>5.4.1 Types and numbers of site investigations</w:t>
      </w:r>
      <w:bookmarkEnd w:id="117"/>
      <w:bookmarkEnd w:id="118"/>
      <w:bookmarkEnd w:id="119"/>
    </w:p>
    <w:p w:rsidR="00C24F12" w:rsidRDefault="00C24F12" w:rsidP="00C24F12">
      <w:pPr>
        <w:pStyle w:val="BodyText"/>
      </w:pPr>
      <w:r>
        <w:t xml:space="preserve">Councils reported in the </w:t>
      </w:r>
      <w:r w:rsidRPr="00A80E4D">
        <w:rPr>
          <w:i/>
        </w:rPr>
        <w:t>Resource Management Act: Two-yearly Survey of Local Authorities 2012/13</w:t>
      </w:r>
      <w:r w:rsidRPr="00532ED7">
        <w:t xml:space="preserve"> (</w:t>
      </w:r>
      <w:proofErr w:type="spellStart"/>
      <w:r>
        <w:t>MfE</w:t>
      </w:r>
      <w:proofErr w:type="spellEnd"/>
      <w:r>
        <w:t xml:space="preserve">, 2014) that 131 PSIs and 284 DSIs were carried out to comply with the NESCS. The </w:t>
      </w:r>
      <w:r w:rsidR="0033163F">
        <w:t xml:space="preserve">consent review </w:t>
      </w:r>
      <w:r>
        <w:t xml:space="preserve">also found that DSIs were more common than PSIs, but the split was </w:t>
      </w:r>
      <w:r w:rsidR="00C4681B">
        <w:t>more</w:t>
      </w:r>
      <w:r>
        <w:t xml:space="preserve"> even, with 43 PSIs and 50 DSIs. In most cases consent applications provided for the </w:t>
      </w:r>
      <w:r w:rsidR="0033163F">
        <w:t xml:space="preserve">consent review </w:t>
      </w:r>
      <w:r>
        <w:t>had either a PSI or DSI, but 18 of the</w:t>
      </w:r>
      <w:r w:rsidR="00C4681B">
        <w:t xml:space="preserve"> 144</w:t>
      </w:r>
      <w:r>
        <w:t xml:space="preserve"> applications had both a PSI and a DSI undertaken.</w:t>
      </w:r>
      <w:r>
        <w:rPr>
          <w:rStyle w:val="FootnoteReference"/>
        </w:rPr>
        <w:footnoteReference w:id="6"/>
      </w:r>
      <w:r>
        <w:t xml:space="preserve"> </w:t>
      </w:r>
    </w:p>
    <w:p w:rsidR="00C24F12" w:rsidRDefault="00C24F12" w:rsidP="00C24F12">
      <w:pPr>
        <w:pStyle w:val="BodyText"/>
      </w:pPr>
      <w:r>
        <w:t xml:space="preserve">As mentioned in </w:t>
      </w:r>
      <w:hyperlink w:anchor="_5.1_Types_and" w:history="1">
        <w:r w:rsidRPr="00A61027">
          <w:rPr>
            <w:rStyle w:val="Hyperlink"/>
            <w:u w:val="none"/>
          </w:rPr>
          <w:t>section 5.1</w:t>
        </w:r>
      </w:hyperlink>
      <w:r>
        <w:t xml:space="preserve">, the </w:t>
      </w:r>
      <w:r w:rsidR="00AB2C28">
        <w:t xml:space="preserve">consent review </w:t>
      </w:r>
      <w:r>
        <w:t xml:space="preserve">found that 54 per cent of consents were for discretionary activities, meaning the majority of landowners were opting to apply for NESCS consent </w:t>
      </w:r>
      <w:r w:rsidR="00AB2C28">
        <w:t>before</w:t>
      </w:r>
      <w:r>
        <w:t xml:space="preserve"> undertaking a site investigation. </w:t>
      </w:r>
      <w:r w:rsidR="00C4681B">
        <w:t>There are likely to be a range of factors driving</w:t>
      </w:r>
      <w:r>
        <w:t xml:space="preserve"> </w:t>
      </w:r>
      <w:r w:rsidR="00C4681B">
        <w:t>this</w:t>
      </w:r>
      <w:r>
        <w:t>, including:</w:t>
      </w:r>
    </w:p>
    <w:p w:rsidR="00C24F12" w:rsidRDefault="00C24F12" w:rsidP="00C24F12">
      <w:pPr>
        <w:pStyle w:val="Bullet"/>
      </w:pPr>
      <w:r>
        <w:t xml:space="preserve">Applicants </w:t>
      </w:r>
      <w:r w:rsidR="00C4681B">
        <w:t>may prefer</w:t>
      </w:r>
      <w:r>
        <w:t xml:space="preserve"> the certainty of obtaining consent </w:t>
      </w:r>
      <w:r w:rsidR="00AB2C28">
        <w:t>before</w:t>
      </w:r>
      <w:r>
        <w:t xml:space="preserve"> spending money on a DSI. </w:t>
      </w:r>
    </w:p>
    <w:p w:rsidR="00C24F12" w:rsidRDefault="00C24F12" w:rsidP="00C24F12">
      <w:pPr>
        <w:pStyle w:val="Bullet"/>
      </w:pPr>
      <w:r>
        <w:t>Costs of site investigations. The costs of PSIs and DSIs are highly variable, depending on the SQEP, type of site</w:t>
      </w:r>
      <w:r w:rsidR="00AB2C28">
        <w:t>,</w:t>
      </w:r>
      <w:r>
        <w:t xml:space="preserve"> and type of contaminants being tested for. PSIs usually cost upwards of $2,000, while DSIs can be upwards of $5,000. A common estimate from stakeholders is $10,000 for a DSI on a standard residential property. </w:t>
      </w:r>
    </w:p>
    <w:p w:rsidR="00C24F12" w:rsidRDefault="00C24F12" w:rsidP="00C24F12">
      <w:pPr>
        <w:pStyle w:val="Bullet"/>
      </w:pPr>
      <w:r>
        <w:t xml:space="preserve">In some circumstances it is impractical to obtain a site investigation before works have begun. This is particularly an issue for fuel storage systems – most of the contamination is likely to be concentrated below the fuel tanks, making it difficult to sample the most contaminated soil </w:t>
      </w:r>
      <w:r w:rsidR="00B64B13">
        <w:t>before</w:t>
      </w:r>
      <w:r>
        <w:t xml:space="preserve"> exposing the tank. Industry representatives commented that this can become an issue when a tank removal cannot be undertaken as a permitted activity, as they are then required to apply for a discretionary consent, which is a less certain consenting process. </w:t>
      </w:r>
    </w:p>
    <w:p w:rsidR="00C24F12" w:rsidRDefault="00C24F12" w:rsidP="00C24F12">
      <w:pPr>
        <w:pStyle w:val="Heading3"/>
      </w:pPr>
      <w:bookmarkStart w:id="120" w:name="_Toc422307726"/>
      <w:bookmarkStart w:id="121" w:name="_Toc422312887"/>
      <w:bookmarkStart w:id="122" w:name="_Toc422312959"/>
      <w:r>
        <w:t xml:space="preserve">5.4.2 Capability and site investigations </w:t>
      </w:r>
      <w:bookmarkEnd w:id="120"/>
      <w:bookmarkEnd w:id="121"/>
      <w:bookmarkEnd w:id="122"/>
    </w:p>
    <w:p w:rsidR="00C24F12" w:rsidRDefault="00C24F12" w:rsidP="00C24F12">
      <w:pPr>
        <w:pStyle w:val="BodyText"/>
      </w:pPr>
      <w:r w:rsidRPr="00560ED5">
        <w:rPr>
          <w:rStyle w:val="BodyTextChar"/>
        </w:rPr>
        <w:t>Stakeholders provided</w:t>
      </w:r>
      <w:r>
        <w:rPr>
          <w:rStyle w:val="BodyTextChar"/>
        </w:rPr>
        <w:t xml:space="preserve"> consistent</w:t>
      </w:r>
      <w:r w:rsidRPr="00560ED5">
        <w:rPr>
          <w:rStyle w:val="BodyTextChar"/>
        </w:rPr>
        <w:t xml:space="preserve"> feedback that the quality of site investigations being undertaken for the NESCS is highly variable. This is largely </w:t>
      </w:r>
      <w:r w:rsidR="00B64B13">
        <w:rPr>
          <w:rStyle w:val="BodyTextChar"/>
        </w:rPr>
        <w:t>because of</w:t>
      </w:r>
      <w:r w:rsidRPr="00560ED5">
        <w:rPr>
          <w:rStyle w:val="BodyTextChar"/>
        </w:rPr>
        <w:t xml:space="preserve"> </w:t>
      </w:r>
      <w:r>
        <w:rPr>
          <w:rStyle w:val="BodyTextChar"/>
        </w:rPr>
        <w:t xml:space="preserve">the </w:t>
      </w:r>
      <w:r w:rsidRPr="00560ED5">
        <w:rPr>
          <w:rStyle w:val="BodyTextChar"/>
        </w:rPr>
        <w:t xml:space="preserve">varied capability among SQEPs and councils. The NESCS requires that preliminary and detailed site investigations are certified by a SQEP. SQEP is not defined within the NESCS, and until recently there were no accreditation schemes for contaminated land practitioners in New Zealand. Because there are no </w:t>
      </w:r>
      <w:r w:rsidR="00C4681B">
        <w:rPr>
          <w:rStyle w:val="BodyTextChar"/>
        </w:rPr>
        <w:t>fixed</w:t>
      </w:r>
      <w:r w:rsidRPr="00560ED5">
        <w:rPr>
          <w:rStyle w:val="BodyTextChar"/>
        </w:rPr>
        <w:t xml:space="preserve"> qualifications or requirements for a SQEP, people</w:t>
      </w:r>
      <w:r w:rsidRPr="00144AF6">
        <w:t xml:space="preserve"> </w:t>
      </w:r>
      <w:r w:rsidR="00C4681B">
        <w:t xml:space="preserve">may wrongly </w:t>
      </w:r>
      <w:r w:rsidRPr="00144AF6">
        <w:t>assume that they are appropriately qualified</w:t>
      </w:r>
      <w:r>
        <w:t>.</w:t>
      </w:r>
      <w:r w:rsidRPr="00144AF6">
        <w:t xml:space="preserve"> </w:t>
      </w:r>
      <w:r>
        <w:t>Consequently, a</w:t>
      </w:r>
      <w:r w:rsidRPr="00144AF6">
        <w:t xml:space="preserve"> wide range of practitioners are carrying out </w:t>
      </w:r>
      <w:r>
        <w:t xml:space="preserve">preliminary and detailed </w:t>
      </w:r>
      <w:r w:rsidRPr="00144AF6">
        <w:t>site investigations, from</w:t>
      </w:r>
      <w:r>
        <w:t xml:space="preserve"> planners and</w:t>
      </w:r>
      <w:r w:rsidRPr="00144AF6">
        <w:t xml:space="preserve"> surveyors to contaminated soil experts</w:t>
      </w:r>
      <w:r>
        <w:t xml:space="preserve">, many of whom would not meet the suggested level of experience in the NESCS </w:t>
      </w:r>
      <w:r w:rsidRPr="006352B5">
        <w:rPr>
          <w:i/>
        </w:rPr>
        <w:t>Users’ Guide</w:t>
      </w:r>
      <w:r>
        <w:t xml:space="preserve"> (2012).</w:t>
      </w:r>
      <w:r>
        <w:rPr>
          <w:rStyle w:val="FootnoteReference"/>
          <w:rFonts w:cs="Arial"/>
        </w:rPr>
        <w:footnoteReference w:id="7"/>
      </w:r>
      <w:r w:rsidRPr="00144AF6">
        <w:t xml:space="preserve"> </w:t>
      </w:r>
      <w:r>
        <w:t>This results in a high degree of variability in the quality of site investigations.</w:t>
      </w:r>
    </w:p>
    <w:p w:rsidR="00C24F12" w:rsidRPr="00076070" w:rsidRDefault="00C24F12" w:rsidP="00C24F12">
      <w:pPr>
        <w:pStyle w:val="BodyText"/>
      </w:pPr>
      <w:r>
        <w:t xml:space="preserve">Limited </w:t>
      </w:r>
      <w:r w:rsidR="00B2681F">
        <w:t>experience or expertise</w:t>
      </w:r>
      <w:r>
        <w:t xml:space="preserve"> in some councils </w:t>
      </w:r>
      <w:r w:rsidR="00B2681F">
        <w:t>in</w:t>
      </w:r>
      <w:r>
        <w:t xml:space="preserve"> interpret</w:t>
      </w:r>
      <w:r w:rsidR="00B2681F">
        <w:t>ing</w:t>
      </w:r>
      <w:r>
        <w:t xml:space="preserve"> and understand</w:t>
      </w:r>
      <w:r w:rsidR="00B2681F">
        <w:t>ing</w:t>
      </w:r>
      <w:r>
        <w:t xml:space="preserve"> site investigations increases the impact of variable capability in those acting as SQEPs. </w:t>
      </w:r>
      <w:r w:rsidRPr="00076070">
        <w:t xml:space="preserve">This is a significant issue, particularly for smaller councils. </w:t>
      </w:r>
      <w:r>
        <w:t>Many</w:t>
      </w:r>
      <w:r w:rsidRPr="00076070">
        <w:t xml:space="preserve"> larger authorities have officers with a scientific background, whose role </w:t>
      </w:r>
      <w:r>
        <w:t>is dedicated to contaminated land. However, i</w:t>
      </w:r>
      <w:r w:rsidRPr="00076070">
        <w:t>n smaller councils decisions on the NESCS are often made by council planners, who may not have contaminated land</w:t>
      </w:r>
      <w:r>
        <w:t xml:space="preserve"> expertise</w:t>
      </w:r>
      <w:r w:rsidRPr="00076070">
        <w:t xml:space="preserve">. </w:t>
      </w:r>
    </w:p>
    <w:p w:rsidR="00C24F12" w:rsidRDefault="00C24F12" w:rsidP="00C24F12">
      <w:pPr>
        <w:pStyle w:val="BodyText"/>
      </w:pPr>
      <w:r w:rsidRPr="00076070">
        <w:t xml:space="preserve">Council expectations and requirements </w:t>
      </w:r>
      <w:r>
        <w:t xml:space="preserve">for site investigations </w:t>
      </w:r>
      <w:r w:rsidR="00B2681F">
        <w:t>vary considerably</w:t>
      </w:r>
      <w:r w:rsidRPr="00076070">
        <w:t xml:space="preserve">. </w:t>
      </w:r>
      <w:r>
        <w:t xml:space="preserve">Council officers without a </w:t>
      </w:r>
      <w:r w:rsidR="00B2681F">
        <w:t>strong</w:t>
      </w:r>
      <w:r>
        <w:t xml:space="preserve"> understanding of the </w:t>
      </w:r>
      <w:r w:rsidR="00B2681F">
        <w:t xml:space="preserve">specific </w:t>
      </w:r>
      <w:r>
        <w:t>risks posed by a proposal can either require unwarranted investigation or management of a site, or accept inadequate site investigations and proposals, which may not sufficiently protect human health. For example, councils have varying expectations for the extent of investigation needed to determine whether the soil contaminant standards are exceeded; in some districts sites may be under-investigated, while in others a large area might be extensively investigated at high cost, out of proportion to the risks.</w:t>
      </w:r>
    </w:p>
    <w:p w:rsidR="00C24F12" w:rsidRPr="00B46CC8" w:rsidRDefault="00C24F12" w:rsidP="00C24F12">
      <w:pPr>
        <w:pStyle w:val="Heading3"/>
      </w:pPr>
      <w:bookmarkStart w:id="123" w:name="_Toc422307727"/>
      <w:bookmarkStart w:id="124" w:name="_Toc422312888"/>
      <w:bookmarkStart w:id="125" w:name="_Toc422312960"/>
      <w:r>
        <w:t xml:space="preserve">5.4.3 Risk and site investigations </w:t>
      </w:r>
      <w:bookmarkEnd w:id="123"/>
      <w:bookmarkEnd w:id="124"/>
      <w:bookmarkEnd w:id="125"/>
    </w:p>
    <w:p w:rsidR="00C24F12" w:rsidRDefault="00C24F12" w:rsidP="00C24F12">
      <w:pPr>
        <w:pStyle w:val="BodyText"/>
      </w:pPr>
      <w:r>
        <w:t xml:space="preserve">The NESCS requires that site investigations be carried out in accordance with </w:t>
      </w:r>
      <w:r w:rsidR="00D13F53">
        <w:t xml:space="preserve">Contaminated Land Management Guidelines </w:t>
      </w:r>
      <w:r>
        <w:t>1 and 5. However, in practice site investigations are more often carried out in general accordance with the requirements set out in the guidelines. Participants in the review commented that the site investigation requirements in CLMG 1 and CLMG</w:t>
      </w:r>
      <w:r w:rsidR="00D13F53">
        <w:t xml:space="preserve"> </w:t>
      </w:r>
      <w:r>
        <w:t>5 often seem overly onerous for the level of risk, and it is not always necessary to undertake a full PSI or DSI, as the findings/result may be obvious and a full investigation and report would be excessive. However, stakeholders commented that a minority of councils are unwilling in any circumstance to accept site investigations that do not address all of the criteria. This can result in expensive investigations and reports that are not justified by the risk.</w:t>
      </w:r>
    </w:p>
    <w:p w:rsidR="00CA159E" w:rsidRDefault="00CA159E" w:rsidP="00CA159E">
      <w:pPr>
        <w:pStyle w:val="Heading2"/>
      </w:pPr>
      <w:bookmarkStart w:id="126" w:name="_Toc425338568"/>
      <w:r>
        <w:t>5.5 Summary</w:t>
      </w:r>
      <w:bookmarkEnd w:id="126"/>
    </w:p>
    <w:p w:rsidR="00CA159E" w:rsidRDefault="00CA159E" w:rsidP="00D13F53">
      <w:pPr>
        <w:pStyle w:val="BodyText"/>
      </w:pPr>
      <w:r>
        <w:t>The interim review’s key findings on application of the NESCS are:</w:t>
      </w:r>
    </w:p>
    <w:p w:rsidR="00CA159E" w:rsidRDefault="00CA159E" w:rsidP="006352B5">
      <w:pPr>
        <w:pStyle w:val="Bullet"/>
      </w:pPr>
      <w:r>
        <w:t>There are significant inconsistencies in how the NESCS is being interpreted and applied. For instance, the quality of site investigations is highly variable.</w:t>
      </w:r>
    </w:p>
    <w:p w:rsidR="00CA159E" w:rsidRPr="00CA159E" w:rsidRDefault="00CA159E" w:rsidP="006352B5">
      <w:pPr>
        <w:pStyle w:val="Bullet"/>
      </w:pPr>
      <w:r>
        <w:t>Variable application of the NESCS delays projects, increases costs, and sometimes results in consents being obtained when not required by the NESCS.</w:t>
      </w:r>
    </w:p>
    <w:p w:rsidR="00A51BF0" w:rsidRPr="00374DD3" w:rsidRDefault="00A51BF0">
      <w:pPr>
        <w:spacing w:before="0" w:after="200" w:line="276" w:lineRule="auto"/>
        <w:jc w:val="left"/>
        <w:rPr>
          <w:rFonts w:eastAsiaTheme="majorEastAsia" w:cstheme="majorBidi"/>
          <w:b/>
          <w:bCs/>
          <w:color w:val="17556C"/>
          <w:sz w:val="48"/>
          <w:szCs w:val="28"/>
        </w:rPr>
      </w:pPr>
      <w:bookmarkStart w:id="127" w:name="_6._Conclusions"/>
      <w:bookmarkStart w:id="128" w:name="_Toc422307728"/>
      <w:bookmarkStart w:id="129" w:name="_Toc422312889"/>
      <w:bookmarkStart w:id="130" w:name="_Toc422312961"/>
      <w:bookmarkStart w:id="131" w:name="_Toc425338569"/>
      <w:bookmarkEnd w:id="127"/>
      <w:r>
        <w:br w:type="page"/>
      </w:r>
    </w:p>
    <w:p w:rsidR="00C24F12" w:rsidRDefault="00C24F12" w:rsidP="00C24F12">
      <w:pPr>
        <w:pStyle w:val="Heading1"/>
      </w:pPr>
      <w:r>
        <w:t>6. Conclusions</w:t>
      </w:r>
      <w:bookmarkEnd w:id="128"/>
      <w:bookmarkEnd w:id="129"/>
      <w:bookmarkEnd w:id="130"/>
      <w:bookmarkEnd w:id="131"/>
      <w:r>
        <w:t xml:space="preserve"> </w:t>
      </w:r>
    </w:p>
    <w:p w:rsidR="00C24F12" w:rsidRDefault="00C24F12" w:rsidP="00C24F12">
      <w:pPr>
        <w:pStyle w:val="BodyText"/>
      </w:pPr>
      <w:r>
        <w:t>The NESCS was implemented in 2012, with the aim of providing a nationally consistent set of planning controls</w:t>
      </w:r>
      <w:r w:rsidR="008D44C6">
        <w:t xml:space="preserve"> and soil contaminant standards. The NESCS was intended</w:t>
      </w:r>
      <w:r>
        <w:t xml:space="preserve"> to ensure land affected by contaminants was appropriately identified, assessed and managed at the time of being developed. Evidence gathering for the interim review took place from July to December 2014 in response to feedback on implementation issues, to assess how the NESCS was being implemented and the scale of any issues occurring. </w:t>
      </w:r>
    </w:p>
    <w:p w:rsidR="00C24F12" w:rsidRDefault="00C24F12" w:rsidP="00C24F12">
      <w:pPr>
        <w:pStyle w:val="BodyText"/>
      </w:pPr>
      <w:r>
        <w:t xml:space="preserve">The interim review drew information from councils, </w:t>
      </w:r>
      <w:r w:rsidR="00023AEE">
        <w:t>suitably qualified and experienced practitioners</w:t>
      </w:r>
      <w:r>
        <w:t>, industry representatives</w:t>
      </w:r>
      <w:r w:rsidR="00023AEE">
        <w:t>,</w:t>
      </w:r>
      <w:r>
        <w:t xml:space="preserve"> and correspondence from landowners. The findings highlighted that while the NESCS increased awareness of contamination issues, and resulted in more land having risks to health addressed at the time of development, there is potential to improve how the NESCS applies in practice. The major findings of the review have been:</w:t>
      </w:r>
    </w:p>
    <w:p w:rsidR="00F600C1" w:rsidRDefault="00F600C1" w:rsidP="006352B5">
      <w:pPr>
        <w:pStyle w:val="Bullet"/>
      </w:pPr>
      <w:r>
        <w:t>How</w:t>
      </w:r>
      <w:r w:rsidRPr="00157DBF">
        <w:t xml:space="preserve"> the HAIL is applied by councils </w:t>
      </w:r>
      <w:r>
        <w:t>varies considerably</w:t>
      </w:r>
      <w:r w:rsidRPr="00157DBF">
        <w:t xml:space="preserve">, resulting in different sites in each region being identified as needing to be listed on the HAIL. </w:t>
      </w:r>
      <w:r w:rsidRPr="00190FBE">
        <w:t>This creates</w:t>
      </w:r>
      <w:r w:rsidRPr="00192D45">
        <w:t xml:space="preserve"> costs and delays for</w:t>
      </w:r>
      <w:r>
        <w:t xml:space="preserve"> landowners during development.</w:t>
      </w:r>
    </w:p>
    <w:p w:rsidR="002756E8" w:rsidRDefault="002756E8" w:rsidP="002756E8">
      <w:pPr>
        <w:pStyle w:val="Bullet"/>
      </w:pPr>
      <w:r>
        <w:t>The area of HAIL land in New Zealand is extensive. Significantly more land than originally anticipated is being identified as HAIL and is subject to the provisions of the NESCS.</w:t>
      </w:r>
      <w:r w:rsidR="006F461D" w:rsidRPr="006F461D">
        <w:rPr>
          <w:rFonts w:asciiTheme="minorHAnsi" w:eastAsiaTheme="minorHAnsi" w:hAnsiTheme="minorHAnsi" w:cstheme="minorBidi"/>
          <w:szCs w:val="22"/>
          <w:lang w:eastAsia="en-US"/>
        </w:rPr>
        <w:t xml:space="preserve"> </w:t>
      </w:r>
      <w:r w:rsidR="006F461D" w:rsidRPr="006F461D">
        <w:t>The known area of HAIL land will continue to increase, as more regional councils undertake a process of identifying HAIL sites in their region. This is expected to magnify variation in the application of the HAIL as the number of identified HAIL sites increases</w:t>
      </w:r>
    </w:p>
    <w:p w:rsidR="005A5179" w:rsidRDefault="005A5179" w:rsidP="005A5179">
      <w:pPr>
        <w:pStyle w:val="Bullet"/>
      </w:pPr>
      <w:r>
        <w:t>A substantial proportion of HAIL sites are found to be below the soil contaminant standards after testing.</w:t>
      </w:r>
      <w:r w:rsidR="009F12AE" w:rsidRPr="009F12AE">
        <w:rPr>
          <w:rFonts w:asciiTheme="minorHAnsi" w:eastAsiaTheme="minorHAnsi" w:hAnsiTheme="minorHAnsi" w:cstheme="minorBidi"/>
          <w:szCs w:val="22"/>
          <w:lang w:eastAsia="en-US"/>
        </w:rPr>
        <w:t xml:space="preserve"> </w:t>
      </w:r>
      <w:r w:rsidR="009F12AE" w:rsidRPr="009F12AE">
        <w:t>This means a considerable percentage of land captured by the NESCS is later found not to pose a risk to human health.</w:t>
      </w:r>
    </w:p>
    <w:p w:rsidR="002756E8" w:rsidRDefault="009F12AE" w:rsidP="002756E8">
      <w:pPr>
        <w:pStyle w:val="Bullet"/>
      </w:pPr>
      <w:r w:rsidRPr="009F12AE">
        <w:t xml:space="preserve">The NESCS is requiring landowners to obtain resource consent in circumstances where the risk to human health could be managed in other ways. </w:t>
      </w:r>
      <w:r w:rsidR="002756E8">
        <w:t xml:space="preserve">In most cases landowners are able to obtain resource consent for their preferred </w:t>
      </w:r>
      <w:r w:rsidR="002756E8" w:rsidRPr="0080144F">
        <w:t xml:space="preserve">approach </w:t>
      </w:r>
      <w:r w:rsidR="002756E8">
        <w:t>to managing contamination</w:t>
      </w:r>
      <w:r w:rsidR="002756E8" w:rsidRPr="0080144F">
        <w:t xml:space="preserve"> on a site</w:t>
      </w:r>
      <w:r w:rsidR="002756E8">
        <w:t>. Many are opting for on-site manage</w:t>
      </w:r>
      <w:r w:rsidR="00147088">
        <w:t xml:space="preserve">ment, rather than remediation. </w:t>
      </w:r>
      <w:r w:rsidR="002756E8">
        <w:t>However, in some instances landowners are required to remediate their property when obtaining NESCS consent. This can result in significant costs for landowners.</w:t>
      </w:r>
    </w:p>
    <w:p w:rsidR="0080591A" w:rsidRDefault="00147088" w:rsidP="002756E8">
      <w:pPr>
        <w:pStyle w:val="Bullet"/>
      </w:pPr>
      <w:r>
        <w:t>How</w:t>
      </w:r>
      <w:r w:rsidR="009F12AE" w:rsidRPr="009F12AE">
        <w:t xml:space="preserve"> the NESCS planning controls are being applied by councils and practitioners </w:t>
      </w:r>
      <w:r>
        <w:t xml:space="preserve">varies </w:t>
      </w:r>
      <w:r w:rsidR="009F12AE" w:rsidRPr="009F12AE">
        <w:t xml:space="preserve">across the country. </w:t>
      </w:r>
      <w:r w:rsidR="002756E8">
        <w:t>This means there are differences between districts in which activities need resource consent. In particular, determining whether a proposal is permitted can be a cumbersome process for some lan</w:t>
      </w:r>
      <w:r>
        <w:t xml:space="preserve">downers. </w:t>
      </w:r>
      <w:r w:rsidR="002756E8">
        <w:t>This delays projects</w:t>
      </w:r>
      <w:r w:rsidR="009F12AE">
        <w:t xml:space="preserve">, </w:t>
      </w:r>
      <w:r w:rsidR="002756E8">
        <w:t xml:space="preserve">increases costs and </w:t>
      </w:r>
      <w:r w:rsidR="009F12AE">
        <w:t xml:space="preserve">inefficiencies for landowners, and </w:t>
      </w:r>
      <w:r w:rsidR="002756E8">
        <w:t>sometimes results in consents being obtained when not required by the NESCS</w:t>
      </w:r>
      <w:r w:rsidR="0080591A">
        <w:t xml:space="preserve">. </w:t>
      </w:r>
    </w:p>
    <w:p w:rsidR="0080591A" w:rsidRDefault="0080591A" w:rsidP="0080591A">
      <w:pPr>
        <w:pStyle w:val="BodyText"/>
      </w:pPr>
      <w:r>
        <w:t xml:space="preserve">The findings and evidence from the interim review will inform the Ministry’s future work programme on contaminated land management. Nationwide, the scale of the impact of the NESCS is greater than originally anticipated. This is </w:t>
      </w:r>
      <w:r w:rsidR="008D4B6B">
        <w:t xml:space="preserve">partly </w:t>
      </w:r>
      <w:r>
        <w:t>a result of more properties being identified as HAIL than expected.</w:t>
      </w:r>
      <w:r w:rsidR="008D4B6B">
        <w:t xml:space="preserve"> There are also questions about the actual level of health protection being achieved by the NESCS.</w:t>
      </w:r>
      <w:r>
        <w:t xml:space="preserve"> </w:t>
      </w:r>
      <w:r w:rsidR="008D4B6B">
        <w:t>In addition, t</w:t>
      </w:r>
      <w:r>
        <w:t xml:space="preserve">here have been a number of implementation difficulties, which are </w:t>
      </w:r>
      <w:r w:rsidRPr="00F3515D">
        <w:t>resulting in costs, delays and uncertainty for landowners</w:t>
      </w:r>
      <w:r>
        <w:t>.</w:t>
      </w:r>
    </w:p>
    <w:p w:rsidR="00C24F12" w:rsidRPr="00374DD3" w:rsidRDefault="00C24F12" w:rsidP="00C24F12">
      <w:pPr>
        <w:spacing w:before="0" w:after="200" w:line="276" w:lineRule="auto"/>
        <w:jc w:val="left"/>
        <w:rPr>
          <w:rFonts w:eastAsiaTheme="majorEastAsia" w:cstheme="majorBidi"/>
          <w:b/>
          <w:bCs/>
          <w:color w:val="17556C"/>
          <w:sz w:val="48"/>
          <w:szCs w:val="28"/>
        </w:rPr>
      </w:pPr>
      <w:r>
        <w:br w:type="page"/>
      </w:r>
    </w:p>
    <w:p w:rsidR="00C24F12" w:rsidRPr="004718B6" w:rsidRDefault="00C24F12" w:rsidP="00C24F12">
      <w:pPr>
        <w:pStyle w:val="Heading1"/>
      </w:pPr>
      <w:bookmarkStart w:id="132" w:name="_Toc422307729"/>
      <w:bookmarkStart w:id="133" w:name="_Toc422312890"/>
      <w:bookmarkStart w:id="134" w:name="_Toc422312962"/>
      <w:bookmarkStart w:id="135" w:name="_Toc425338570"/>
      <w:r w:rsidRPr="004718B6">
        <w:t>References</w:t>
      </w:r>
      <w:bookmarkEnd w:id="132"/>
      <w:bookmarkEnd w:id="133"/>
      <w:bookmarkEnd w:id="134"/>
      <w:bookmarkEnd w:id="135"/>
    </w:p>
    <w:p w:rsidR="00C24F12" w:rsidRPr="00A80E4D" w:rsidRDefault="00C24F12" w:rsidP="00A61027">
      <w:pPr>
        <w:jc w:val="left"/>
      </w:pPr>
      <w:proofErr w:type="gramStart"/>
      <w:r>
        <w:t>Ministry for the Environment.</w:t>
      </w:r>
      <w:proofErr w:type="gramEnd"/>
      <w:r>
        <w:t xml:space="preserve"> 2011. </w:t>
      </w:r>
      <w:r>
        <w:rPr>
          <w:i/>
        </w:rPr>
        <w:t xml:space="preserve">Contaminated Land Management Guideline No. 1 – Reporting on Contaminated Sites in New </w:t>
      </w:r>
      <w:r w:rsidRPr="00DA36BC">
        <w:rPr>
          <w:i/>
        </w:rPr>
        <w:t>Zealand (CLMG</w:t>
      </w:r>
      <w:r w:rsidRPr="00886E91">
        <w:rPr>
          <w:i/>
        </w:rPr>
        <w:t>1)</w:t>
      </w:r>
      <w:r>
        <w:rPr>
          <w:i/>
        </w:rPr>
        <w:t xml:space="preserve">. </w:t>
      </w:r>
      <w:r>
        <w:t>Wellington: Ministry for the Environment</w:t>
      </w:r>
      <w:r w:rsidR="00C365D8">
        <w:t>.</w:t>
      </w:r>
    </w:p>
    <w:p w:rsidR="00C24F12" w:rsidRPr="00A80E4D" w:rsidRDefault="00C24F12" w:rsidP="00A61027">
      <w:pPr>
        <w:jc w:val="left"/>
      </w:pPr>
      <w:proofErr w:type="gramStart"/>
      <w:r>
        <w:t>Ministry for the Environment.</w:t>
      </w:r>
      <w:proofErr w:type="gramEnd"/>
      <w:r>
        <w:t xml:space="preserve"> 2006. </w:t>
      </w:r>
      <w:r w:rsidRPr="00A80E4D">
        <w:rPr>
          <w:i/>
        </w:rPr>
        <w:t>Contaminated land management guidelines No. 4: Classification and information management pr</w:t>
      </w:r>
      <w:r w:rsidRPr="00DA36BC">
        <w:rPr>
          <w:i/>
        </w:rPr>
        <w:t>otocols</w:t>
      </w:r>
      <w:r w:rsidRPr="00886E91">
        <w:rPr>
          <w:i/>
        </w:rPr>
        <w:t xml:space="preserve"> </w:t>
      </w:r>
      <w:r w:rsidRPr="00DA36BC">
        <w:rPr>
          <w:i/>
        </w:rPr>
        <w:t>(</w:t>
      </w:r>
      <w:r w:rsidRPr="00886E91">
        <w:rPr>
          <w:i/>
        </w:rPr>
        <w:t>CLMG4)</w:t>
      </w:r>
      <w:r>
        <w:rPr>
          <w:i/>
        </w:rPr>
        <w:t xml:space="preserve">. </w:t>
      </w:r>
      <w:r>
        <w:t>Wellington: Ministry for the Environment</w:t>
      </w:r>
      <w:r w:rsidR="00C365D8">
        <w:t>.</w:t>
      </w:r>
      <w:r>
        <w:t xml:space="preserve"> </w:t>
      </w:r>
    </w:p>
    <w:p w:rsidR="00C24F12" w:rsidRDefault="00C24F12" w:rsidP="00A61027">
      <w:pPr>
        <w:jc w:val="left"/>
      </w:pPr>
      <w:proofErr w:type="gramStart"/>
      <w:r>
        <w:t>Ministry for the Environment.</w:t>
      </w:r>
      <w:proofErr w:type="gramEnd"/>
      <w:r>
        <w:t xml:space="preserve"> 2011. </w:t>
      </w:r>
      <w:r w:rsidRPr="00A80E4D">
        <w:rPr>
          <w:i/>
          <w:iCs/>
        </w:rPr>
        <w:t>Contaminated Land Management Guidelines No.5 – Site Investigation and Analysis of Soi</w:t>
      </w:r>
      <w:r w:rsidRPr="00DA36BC">
        <w:rPr>
          <w:i/>
          <w:iCs/>
        </w:rPr>
        <w:t>l (</w:t>
      </w:r>
      <w:r w:rsidRPr="00886E91">
        <w:rPr>
          <w:i/>
        </w:rPr>
        <w:t>CLMG5)</w:t>
      </w:r>
      <w:r>
        <w:rPr>
          <w:i/>
          <w:iCs/>
        </w:rPr>
        <w:t xml:space="preserve">. </w:t>
      </w:r>
      <w:r>
        <w:t>Wellington: Ministry for the Environment</w:t>
      </w:r>
      <w:r w:rsidR="00C365D8">
        <w:t>.</w:t>
      </w:r>
    </w:p>
    <w:p w:rsidR="00C24F12" w:rsidRDefault="00C24F12" w:rsidP="00A61027">
      <w:pPr>
        <w:jc w:val="left"/>
        <w:rPr>
          <w:rFonts w:asciiTheme="minorHAnsi" w:eastAsiaTheme="minorHAnsi" w:hAnsiTheme="minorHAnsi" w:cs="Arial"/>
          <w:lang w:eastAsia="en-US"/>
        </w:rPr>
      </w:pPr>
      <w:proofErr w:type="gramStart"/>
      <w:r w:rsidRPr="009C5E85">
        <w:rPr>
          <w:rFonts w:asciiTheme="minorHAnsi" w:eastAsiaTheme="minorHAnsi" w:hAnsiTheme="minorHAnsi" w:cs="Arial"/>
          <w:lang w:eastAsia="en-US"/>
        </w:rPr>
        <w:t>Ministry for the Environment.</w:t>
      </w:r>
      <w:proofErr w:type="gramEnd"/>
      <w:r w:rsidRPr="009C5E85">
        <w:rPr>
          <w:rFonts w:asciiTheme="minorHAnsi" w:eastAsiaTheme="minorHAnsi" w:hAnsiTheme="minorHAnsi" w:cs="Arial"/>
          <w:lang w:eastAsia="en-US"/>
        </w:rPr>
        <w:t xml:space="preserve"> 2010. </w:t>
      </w:r>
      <w:r w:rsidRPr="009C5E85">
        <w:rPr>
          <w:rFonts w:asciiTheme="minorHAnsi" w:eastAsiaTheme="minorHAnsi" w:hAnsiTheme="minorHAnsi" w:cs="Arial"/>
          <w:i/>
          <w:iCs/>
          <w:lang w:eastAsia="en-US"/>
        </w:rPr>
        <w:t>Proposed National Environmental Standard for</w:t>
      </w:r>
      <w:r>
        <w:rPr>
          <w:rFonts w:asciiTheme="minorHAnsi" w:eastAsiaTheme="minorHAnsi" w:hAnsiTheme="minorHAnsi" w:cs="Arial"/>
          <w:i/>
          <w:iCs/>
          <w:lang w:eastAsia="en-US"/>
        </w:rPr>
        <w:t xml:space="preserve"> </w:t>
      </w:r>
      <w:r w:rsidRPr="009C5E85">
        <w:rPr>
          <w:rFonts w:asciiTheme="minorHAnsi" w:eastAsiaTheme="minorHAnsi" w:hAnsiTheme="minorHAnsi" w:cs="Arial"/>
          <w:i/>
          <w:iCs/>
          <w:lang w:eastAsia="en-US"/>
        </w:rPr>
        <w:t>Assessing and Managing Contaminants in Soil: Discussion Document</w:t>
      </w:r>
      <w:r w:rsidRPr="009C5E85">
        <w:rPr>
          <w:rFonts w:asciiTheme="minorHAnsi" w:eastAsiaTheme="minorHAnsi" w:hAnsiTheme="minorHAnsi" w:cs="Arial"/>
          <w:lang w:eastAsia="en-US"/>
        </w:rPr>
        <w:t>. Wellington:</w:t>
      </w:r>
      <w:r>
        <w:rPr>
          <w:rFonts w:asciiTheme="minorHAnsi" w:eastAsiaTheme="minorHAnsi" w:hAnsiTheme="minorHAnsi" w:cs="Arial"/>
          <w:lang w:eastAsia="en-US"/>
        </w:rPr>
        <w:t xml:space="preserve"> </w:t>
      </w:r>
      <w:r w:rsidRPr="009C5E85">
        <w:rPr>
          <w:rFonts w:asciiTheme="minorHAnsi" w:eastAsiaTheme="minorHAnsi" w:hAnsiTheme="minorHAnsi" w:cs="Arial"/>
          <w:lang w:eastAsia="en-US"/>
        </w:rPr>
        <w:t>Ministry for the Environment</w:t>
      </w:r>
      <w:r w:rsidR="00C365D8">
        <w:rPr>
          <w:rFonts w:asciiTheme="minorHAnsi" w:eastAsiaTheme="minorHAnsi" w:hAnsiTheme="minorHAnsi" w:cs="Arial"/>
          <w:lang w:eastAsia="en-US"/>
        </w:rPr>
        <w:t>.</w:t>
      </w:r>
    </w:p>
    <w:p w:rsidR="00C24F12" w:rsidRDefault="00C24F12" w:rsidP="00A61027">
      <w:pPr>
        <w:jc w:val="left"/>
      </w:pPr>
      <w:proofErr w:type="gramStart"/>
      <w:r>
        <w:t>Ministry for the Environment.</w:t>
      </w:r>
      <w:proofErr w:type="gramEnd"/>
      <w:r>
        <w:t xml:space="preserve"> 2014. </w:t>
      </w:r>
      <w:proofErr w:type="gramStart"/>
      <w:r w:rsidRPr="00886E91">
        <w:rPr>
          <w:i/>
        </w:rPr>
        <w:t>About</w:t>
      </w:r>
      <w:proofErr w:type="gramEnd"/>
      <w:r w:rsidRPr="00886E91">
        <w:rPr>
          <w:i/>
        </w:rPr>
        <w:t xml:space="preserve"> the NES for Assessing and Managing Contaminants in Soil to Protect Human Health</w:t>
      </w:r>
      <w:r>
        <w:t>. Wellington: Ministry for the Environment</w:t>
      </w:r>
      <w:r w:rsidR="004C53A4">
        <w:t>.</w:t>
      </w:r>
      <w:r>
        <w:t xml:space="preserve"> </w:t>
      </w:r>
      <w:r w:rsidR="004C53A4">
        <w:t xml:space="preserve">Retrieved from </w:t>
      </w:r>
      <w:hyperlink r:id="rId28" w:history="1">
        <w:r w:rsidR="004C53A4" w:rsidRPr="003D2BAF">
          <w:rPr>
            <w:rStyle w:val="Hyperlink"/>
            <w:u w:val="none"/>
          </w:rPr>
          <w:t>http://www.mfe.govt.nz/land/nes-assessing-and-managing-contaminants-soil-protect-human-health/about-nes</w:t>
        </w:r>
      </w:hyperlink>
      <w:r w:rsidR="004C53A4">
        <w:t xml:space="preserve"> (June 2015</w:t>
      </w:r>
      <w:r>
        <w:t>)</w:t>
      </w:r>
      <w:r w:rsidR="00C365D8">
        <w:t>.</w:t>
      </w:r>
    </w:p>
    <w:p w:rsidR="00C24F12" w:rsidRDefault="00C24F12" w:rsidP="00A61027">
      <w:pPr>
        <w:jc w:val="left"/>
      </w:pPr>
      <w:proofErr w:type="gramStart"/>
      <w:r>
        <w:t>Ministry for the Environment.</w:t>
      </w:r>
      <w:proofErr w:type="gramEnd"/>
      <w:r>
        <w:t xml:space="preserve"> 2014. </w:t>
      </w:r>
      <w:r w:rsidRPr="00A80E4D">
        <w:rPr>
          <w:i/>
        </w:rPr>
        <w:t>Resource Management Act: Two-yearly Survey of Local Authorities 2012/13</w:t>
      </w:r>
      <w:r>
        <w:rPr>
          <w:i/>
        </w:rPr>
        <w:t xml:space="preserve">. </w:t>
      </w:r>
      <w:r>
        <w:t>Wellington: Ministry for the Environment</w:t>
      </w:r>
      <w:r w:rsidR="00C365D8">
        <w:t>.</w:t>
      </w:r>
    </w:p>
    <w:p w:rsidR="00C24F12" w:rsidRDefault="00C24F12" w:rsidP="00A61027">
      <w:pPr>
        <w:jc w:val="left"/>
      </w:pPr>
      <w:proofErr w:type="gramStart"/>
      <w:r>
        <w:t>Ministry for the Environment.</w:t>
      </w:r>
      <w:proofErr w:type="gramEnd"/>
      <w:r>
        <w:t xml:space="preserve"> 2011. </w:t>
      </w:r>
      <w:r w:rsidRPr="00A80E4D">
        <w:rPr>
          <w:i/>
        </w:rPr>
        <w:t>Users' guide: National Environmental Standard for Assessing and Managing Contaminants in Soil to Protect Human Health</w:t>
      </w:r>
      <w:r>
        <w:rPr>
          <w:i/>
        </w:rPr>
        <w:t xml:space="preserve">. </w:t>
      </w:r>
      <w:r>
        <w:t>Wellington: Ministry for the Environment</w:t>
      </w:r>
      <w:r w:rsidR="00C365D8">
        <w:t>.</w:t>
      </w:r>
    </w:p>
    <w:p w:rsidR="0041775F" w:rsidRPr="0041775F" w:rsidRDefault="0041775F" w:rsidP="00A61027">
      <w:pPr>
        <w:pStyle w:val="BodyText"/>
      </w:pPr>
      <w:bookmarkStart w:id="136" w:name="what"/>
      <w:bookmarkEnd w:id="0"/>
      <w:bookmarkEnd w:id="1"/>
      <w:bookmarkEnd w:id="2"/>
      <w:bookmarkEnd w:id="3"/>
      <w:bookmarkEnd w:id="136"/>
    </w:p>
    <w:sectPr w:rsidR="0041775F" w:rsidRPr="0041775F" w:rsidSect="00D564DF">
      <w:headerReference w:type="even" r:id="rId29"/>
      <w:headerReference w:type="default" r:id="rId30"/>
      <w:footerReference w:type="even" r:id="rId31"/>
      <w:footerReference w:type="default" r:id="rId32"/>
      <w:endnotePr>
        <w:numFmt w:val="decimal"/>
      </w:endnotePr>
      <w:pgSz w:w="11907" w:h="16840" w:code="9"/>
      <w:pgMar w:top="1134" w:right="1418" w:bottom="1134" w:left="1418" w:header="567" w:footer="567"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7C" w:rsidRDefault="00B0597C" w:rsidP="004E5C57">
      <w:pPr>
        <w:spacing w:before="0" w:after="0" w:line="240" w:lineRule="auto"/>
      </w:pPr>
      <w:r>
        <w:separator/>
      </w:r>
    </w:p>
  </w:endnote>
  <w:endnote w:type="continuationSeparator" w:id="0">
    <w:p w:rsidR="00B0597C" w:rsidRDefault="00B0597C" w:rsidP="004E5C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Default="00B0597C" w:rsidP="00D36515">
    <w:pPr>
      <w:pStyle w:val="Footerodd"/>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Pr="003211A3" w:rsidRDefault="00B0597C" w:rsidP="00D564DF">
    <w:pPr>
      <w:pStyle w:val="Footer"/>
      <w:tabs>
        <w:tab w:val="clear" w:pos="4513"/>
        <w:tab w:val="clear" w:pos="9026"/>
      </w:tabs>
      <w:ind w:left="-57"/>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Default="00B0597C" w:rsidP="00D36515">
    <w:pPr>
      <w:pStyle w:val="Footereven"/>
    </w:pPr>
    <w:r w:rsidRPr="00CB44C4">
      <w:rPr>
        <w:rStyle w:val="PageNumber"/>
        <w:b w:val="0"/>
        <w:bCs w:val="0"/>
      </w:rPr>
      <w:fldChar w:fldCharType="begin"/>
    </w:r>
    <w:r w:rsidRPr="00CB44C4">
      <w:rPr>
        <w:rStyle w:val="PageNumber"/>
      </w:rPr>
      <w:instrText xml:space="preserve"> PAGE </w:instrText>
    </w:r>
    <w:r w:rsidRPr="00CB44C4">
      <w:rPr>
        <w:rStyle w:val="PageNumber"/>
        <w:b w:val="0"/>
        <w:bCs w:val="0"/>
      </w:rPr>
      <w:fldChar w:fldCharType="separate"/>
    </w:r>
    <w:r>
      <w:rPr>
        <w:rStyle w:val="PageNumber"/>
        <w:noProof/>
      </w:rPr>
      <w:t>4</w:t>
    </w:r>
    <w:r w:rsidRPr="00CB44C4">
      <w:rPr>
        <w:rStyle w:val="PageNumber"/>
        <w:b w:val="0"/>
        <w:bCs w:val="0"/>
      </w:rPr>
      <w:fldChar w:fldCharType="end"/>
    </w:r>
    <w:r w:rsidRPr="00CB44C4">
      <w:tab/>
    </w:r>
    <w:r>
      <w:rPr>
        <w:szCs w:val="18"/>
      </w:rPr>
      <w:t>Interim review of the National Environmental Standard for Assessing and Managing Contaminant in Soil to Protect Human Health: Summary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Pr="00F866C3" w:rsidRDefault="00B0597C" w:rsidP="00D36515">
    <w:pPr>
      <w:pStyle w:val="Footerodd"/>
      <w:rPr>
        <w:szCs w:val="18"/>
      </w:rPr>
    </w:pPr>
    <w:r>
      <w:rPr>
        <w:szCs w:val="18"/>
      </w:rPr>
      <w:t>Interim Review of the NES for Assessing and Managing Contaminant in Soil to Protect Human Health</w:t>
    </w:r>
    <w:r w:rsidRPr="00F866C3">
      <w:rPr>
        <w:szCs w:val="18"/>
      </w:rPr>
      <w:tab/>
    </w:r>
    <w:r w:rsidRPr="00AA1A16">
      <w:rPr>
        <w:rStyle w:val="PageNumber"/>
        <w:rFonts w:asciiTheme="minorHAnsi" w:hAnsiTheme="minorHAnsi"/>
        <w:b w:val="0"/>
        <w:sz w:val="18"/>
        <w:szCs w:val="18"/>
      </w:rPr>
      <w:fldChar w:fldCharType="begin"/>
    </w:r>
    <w:r w:rsidRPr="00AA1A16">
      <w:rPr>
        <w:rStyle w:val="PageNumber"/>
        <w:rFonts w:asciiTheme="minorHAnsi" w:hAnsiTheme="minorHAnsi"/>
        <w:b w:val="0"/>
        <w:sz w:val="18"/>
        <w:szCs w:val="18"/>
      </w:rPr>
      <w:instrText xml:space="preserve"> PAGE </w:instrText>
    </w:r>
    <w:r w:rsidRPr="00AA1A16">
      <w:rPr>
        <w:rStyle w:val="PageNumber"/>
        <w:rFonts w:asciiTheme="minorHAnsi" w:hAnsiTheme="minorHAnsi"/>
        <w:b w:val="0"/>
        <w:sz w:val="18"/>
        <w:szCs w:val="18"/>
      </w:rPr>
      <w:fldChar w:fldCharType="separate"/>
    </w:r>
    <w:r w:rsidR="00326135">
      <w:rPr>
        <w:rStyle w:val="PageNumber"/>
        <w:rFonts w:asciiTheme="minorHAnsi" w:hAnsiTheme="minorHAnsi"/>
        <w:b w:val="0"/>
        <w:noProof/>
        <w:sz w:val="18"/>
        <w:szCs w:val="18"/>
      </w:rPr>
      <w:t>3</w:t>
    </w:r>
    <w:r w:rsidRPr="00AA1A16">
      <w:rPr>
        <w:rStyle w:val="PageNumber"/>
        <w:rFonts w:asciiTheme="minorHAnsi" w:hAnsiTheme="minorHAnsi"/>
        <w:b w:val="0"/>
        <w:sz w:val="18"/>
        <w:szCs w:val="18"/>
      </w:rPr>
      <w:fldChar w:fldCharType="end"/>
    </w:r>
  </w:p>
  <w:p w:rsidR="00B0597C" w:rsidRDefault="00B0597C" w:rsidP="00D36515">
    <w:pPr>
      <w:pStyle w:val="Footerodd"/>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Pr="00CB44C4" w:rsidRDefault="00B0597C" w:rsidP="00D564DF">
    <w:pPr>
      <w:pStyle w:val="Footereven"/>
    </w:pP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Pr>
        <w:rStyle w:val="PageNumber"/>
        <w:rFonts w:ascii="Calibri" w:hAnsi="Calibri"/>
        <w:b w:val="0"/>
        <w:bCs w:val="0"/>
        <w:noProof/>
        <w:sz w:val="18"/>
        <w:szCs w:val="16"/>
      </w:rPr>
      <w:t>28</w:t>
    </w:r>
    <w:r w:rsidRPr="00CB44C4">
      <w:rPr>
        <w:rStyle w:val="PageNumber"/>
        <w:rFonts w:ascii="Calibri" w:hAnsi="Calibri"/>
        <w:b w:val="0"/>
        <w:bCs w:val="0"/>
        <w:sz w:val="18"/>
        <w:szCs w:val="16"/>
      </w:rPr>
      <w:fldChar w:fldCharType="end"/>
    </w:r>
    <w:r w:rsidRPr="00CB44C4">
      <w:tab/>
    </w:r>
    <w:r>
      <w:t>Insert running footer text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Pr="00CB44C4" w:rsidRDefault="00B0597C" w:rsidP="00D564DF">
    <w:pPr>
      <w:pStyle w:val="Footerodd"/>
    </w:pPr>
    <w:r w:rsidRPr="00CB44C4">
      <w:tab/>
    </w:r>
    <w:r w:rsidRPr="005F0D17">
      <w:rPr>
        <w:szCs w:val="18"/>
      </w:rPr>
      <w:t xml:space="preserve">Interim review of the </w:t>
    </w:r>
    <w:r>
      <w:rPr>
        <w:szCs w:val="18"/>
      </w:rPr>
      <w:t>NES</w:t>
    </w:r>
    <w:r w:rsidRPr="005F0D17">
      <w:rPr>
        <w:szCs w:val="18"/>
      </w:rPr>
      <w:t xml:space="preserve"> for Assessing and Managing Contaminants in Soil to Protect Human Health</w:t>
    </w:r>
    <w:r w:rsidRPr="00CB44C4">
      <w:tab/>
    </w: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sidR="00496442">
      <w:rPr>
        <w:rStyle w:val="PageNumber"/>
        <w:rFonts w:ascii="Calibri" w:hAnsi="Calibri"/>
        <w:b w:val="0"/>
        <w:bCs w:val="0"/>
        <w:noProof/>
        <w:sz w:val="18"/>
        <w:szCs w:val="16"/>
      </w:rPr>
      <w:t>21</w:t>
    </w:r>
    <w:r w:rsidRPr="00CB44C4">
      <w:rPr>
        <w:rStyle w:val="PageNumber"/>
        <w:rFonts w:ascii="Calibri" w:hAnsi="Calibri"/>
        <w:b w:val="0"/>
        <w:bCs w:val="0"/>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7C" w:rsidRDefault="00B0597C" w:rsidP="004E5C57">
      <w:pPr>
        <w:spacing w:before="0" w:after="0" w:line="240" w:lineRule="auto"/>
      </w:pPr>
      <w:r>
        <w:separator/>
      </w:r>
    </w:p>
  </w:footnote>
  <w:footnote w:type="continuationSeparator" w:id="0">
    <w:p w:rsidR="00B0597C" w:rsidRDefault="00B0597C" w:rsidP="004E5C57">
      <w:pPr>
        <w:spacing w:before="0" w:after="0" w:line="240" w:lineRule="auto"/>
      </w:pPr>
      <w:r>
        <w:continuationSeparator/>
      </w:r>
    </w:p>
  </w:footnote>
  <w:footnote w:id="1">
    <w:p w:rsidR="00B0597C" w:rsidRPr="005D7BBA" w:rsidRDefault="00B0597C" w:rsidP="006352B5">
      <w:pPr>
        <w:spacing w:before="0" w:after="60" w:line="240" w:lineRule="atLeast"/>
        <w:jc w:val="left"/>
        <w:rPr>
          <w:sz w:val="18"/>
          <w:szCs w:val="18"/>
        </w:rPr>
      </w:pPr>
      <w:r w:rsidRPr="005D7BBA">
        <w:rPr>
          <w:rStyle w:val="FootnoteReference"/>
          <w:sz w:val="18"/>
          <w:szCs w:val="18"/>
        </w:rPr>
        <w:footnoteRef/>
      </w:r>
      <w:r w:rsidRPr="005D7BBA">
        <w:rPr>
          <w:sz w:val="18"/>
          <w:szCs w:val="18"/>
        </w:rPr>
        <w:t xml:space="preserve"> </w:t>
      </w:r>
      <w:r w:rsidRPr="00FF3BE4">
        <w:rPr>
          <w:rStyle w:val="FootnoteTextChar"/>
          <w:rFonts w:eastAsia="Calibri"/>
        </w:rPr>
        <w:t xml:space="preserve">HAIL is also used outside of the NESCS framework for identifying sites that could pose risks to the environment. The majority of </w:t>
      </w:r>
      <w:r>
        <w:rPr>
          <w:rStyle w:val="FootnoteTextChar"/>
          <w:rFonts w:eastAsiaTheme="minorEastAsia"/>
          <w:lang w:val="en-NZ"/>
        </w:rPr>
        <w:t>r</w:t>
      </w:r>
      <w:proofErr w:type="spellStart"/>
      <w:r w:rsidRPr="00FF3BE4">
        <w:rPr>
          <w:rStyle w:val="FootnoteTextChar"/>
          <w:rFonts w:eastAsiaTheme="minorEastAsia"/>
        </w:rPr>
        <w:t>egional</w:t>
      </w:r>
      <w:proofErr w:type="spellEnd"/>
      <w:r w:rsidRPr="00FF3BE4">
        <w:rPr>
          <w:rStyle w:val="FootnoteTextChar"/>
          <w:rFonts w:eastAsiaTheme="minorEastAsia"/>
        </w:rPr>
        <w:t xml:space="preserve"> </w:t>
      </w:r>
      <w:r>
        <w:rPr>
          <w:rStyle w:val="FootnoteTextChar"/>
          <w:rFonts w:eastAsiaTheme="minorEastAsia"/>
          <w:lang w:val="en-NZ"/>
        </w:rPr>
        <w:t>c</w:t>
      </w:r>
      <w:proofErr w:type="spellStart"/>
      <w:r w:rsidRPr="00FF3BE4">
        <w:rPr>
          <w:rStyle w:val="FootnoteTextChar"/>
          <w:rFonts w:eastAsiaTheme="minorEastAsia"/>
        </w:rPr>
        <w:t>ouncils</w:t>
      </w:r>
      <w:proofErr w:type="spellEnd"/>
      <w:r w:rsidRPr="00FF3BE4">
        <w:rPr>
          <w:rStyle w:val="FootnoteTextChar"/>
          <w:rFonts w:eastAsiaTheme="minorEastAsia"/>
        </w:rPr>
        <w:t xml:space="preserve"> use HAIL as a starting point for identifying and monitoring contaminated land, in accordance with their functions under s</w:t>
      </w:r>
      <w:r>
        <w:rPr>
          <w:rStyle w:val="FootnoteTextChar"/>
          <w:rFonts w:eastAsiaTheme="minorEastAsia"/>
          <w:lang w:val="en-NZ"/>
        </w:rPr>
        <w:t xml:space="preserve">ection </w:t>
      </w:r>
      <w:r w:rsidRPr="00FF3BE4">
        <w:rPr>
          <w:rStyle w:val="FootnoteTextChar"/>
          <w:rFonts w:eastAsiaTheme="minorEastAsia"/>
        </w:rPr>
        <w:t>30 of the Resource Management Act 1991 (RMA).</w:t>
      </w:r>
      <w:r w:rsidRPr="005D7BBA">
        <w:rPr>
          <w:sz w:val="18"/>
          <w:szCs w:val="18"/>
        </w:rPr>
        <w:t xml:space="preserve"> </w:t>
      </w:r>
    </w:p>
  </w:footnote>
  <w:footnote w:id="2">
    <w:p w:rsidR="00B0597C" w:rsidRPr="005D7BBA" w:rsidRDefault="00B0597C" w:rsidP="00C24F12">
      <w:pPr>
        <w:pStyle w:val="FootnoteText"/>
        <w:rPr>
          <w:szCs w:val="18"/>
          <w:lang w:val="en-GB"/>
        </w:rPr>
      </w:pPr>
      <w:r w:rsidRPr="005D7BBA">
        <w:rPr>
          <w:rStyle w:val="FootnoteReference"/>
          <w:sz w:val="18"/>
          <w:szCs w:val="18"/>
        </w:rPr>
        <w:footnoteRef/>
      </w:r>
      <w:r w:rsidRPr="005D7BBA">
        <w:rPr>
          <w:szCs w:val="18"/>
        </w:rPr>
        <w:t xml:space="preserve"> </w:t>
      </w:r>
      <w:r w:rsidRPr="005D7BBA">
        <w:rPr>
          <w:rFonts w:eastAsiaTheme="minorEastAsia" w:cstheme="minorBidi"/>
          <w:szCs w:val="18"/>
          <w:lang w:val="en-NZ" w:eastAsia="en-NZ"/>
        </w:rPr>
        <w:t>Section 31(1</w:t>
      </w:r>
      <w:proofErr w:type="gramStart"/>
      <w:r w:rsidRPr="005D7BBA">
        <w:rPr>
          <w:rFonts w:eastAsiaTheme="minorEastAsia" w:cstheme="minorBidi"/>
          <w:szCs w:val="18"/>
          <w:lang w:val="en-NZ" w:eastAsia="en-NZ"/>
        </w:rPr>
        <w:t>)(</w:t>
      </w:r>
      <w:proofErr w:type="gramEnd"/>
      <w:r w:rsidRPr="005D7BBA">
        <w:rPr>
          <w:rFonts w:eastAsiaTheme="minorEastAsia" w:cstheme="minorBidi"/>
          <w:szCs w:val="18"/>
          <w:lang w:val="en-NZ" w:eastAsia="en-NZ"/>
        </w:rPr>
        <w:t>b)(</w:t>
      </w:r>
      <w:proofErr w:type="spellStart"/>
      <w:r w:rsidRPr="005D7BBA">
        <w:rPr>
          <w:rFonts w:eastAsiaTheme="minorEastAsia" w:cstheme="minorBidi"/>
          <w:szCs w:val="18"/>
          <w:lang w:val="en-NZ" w:eastAsia="en-NZ"/>
        </w:rPr>
        <w:t>iia</w:t>
      </w:r>
      <w:proofErr w:type="spellEnd"/>
      <w:r w:rsidRPr="005D7BBA">
        <w:rPr>
          <w:rFonts w:eastAsiaTheme="minorEastAsia" w:cstheme="minorBidi"/>
          <w:szCs w:val="18"/>
          <w:lang w:val="en-NZ" w:eastAsia="en-NZ"/>
        </w:rPr>
        <w:t>)</w:t>
      </w:r>
      <w:r>
        <w:rPr>
          <w:rFonts w:eastAsiaTheme="minorEastAsia" w:cstheme="minorBidi"/>
          <w:szCs w:val="18"/>
          <w:lang w:val="en-NZ" w:eastAsia="en-NZ"/>
        </w:rPr>
        <w:t>.</w:t>
      </w:r>
    </w:p>
  </w:footnote>
  <w:footnote w:id="3">
    <w:p w:rsidR="00B0597C" w:rsidRPr="009E3652" w:rsidRDefault="00B0597C" w:rsidP="00C24F12">
      <w:pPr>
        <w:pStyle w:val="FootnoteText"/>
        <w:ind w:left="0" w:firstLine="0"/>
        <w:rPr>
          <w:lang w:val="en-NZ"/>
        </w:rPr>
      </w:pPr>
      <w:r w:rsidRPr="005D7BBA">
        <w:rPr>
          <w:rStyle w:val="FootnoteReference"/>
          <w:sz w:val="18"/>
          <w:szCs w:val="18"/>
        </w:rPr>
        <w:footnoteRef/>
      </w:r>
      <w:r w:rsidRPr="005D7BBA">
        <w:rPr>
          <w:szCs w:val="18"/>
        </w:rPr>
        <w:t xml:space="preserve"> </w:t>
      </w:r>
      <w:r w:rsidRPr="005D7BBA">
        <w:rPr>
          <w:szCs w:val="18"/>
          <w:lang w:val="en-NZ"/>
        </w:rPr>
        <w:t xml:space="preserve">The NESCS only relates to human health. Territorial authorities may develop rules to control other effects of the development, subdivision or use of contaminated land. </w:t>
      </w:r>
    </w:p>
  </w:footnote>
  <w:footnote w:id="4">
    <w:p w:rsidR="00B0597C" w:rsidRPr="008624B5" w:rsidRDefault="00B0597C" w:rsidP="00C24F12">
      <w:pPr>
        <w:pStyle w:val="FootnoteText"/>
        <w:rPr>
          <w:lang w:val="en-NZ"/>
        </w:rPr>
      </w:pPr>
      <w:r>
        <w:rPr>
          <w:rStyle w:val="FootnoteReference"/>
        </w:rPr>
        <w:footnoteRef/>
      </w:r>
      <w:r>
        <w:t xml:space="preserve"> </w:t>
      </w:r>
      <w:r>
        <w:rPr>
          <w:lang w:val="en-NZ"/>
        </w:rPr>
        <w:t>F</w:t>
      </w:r>
      <w:r>
        <w:t>or the purposes of the interim review</w:t>
      </w:r>
      <w:r>
        <w:rPr>
          <w:lang w:val="en-GB"/>
        </w:rPr>
        <w:t>,</w:t>
      </w:r>
      <w:r>
        <w:t xml:space="preserve"> remediation means a reduction of the mass of contaminants on site to achieve concentrations of soil contaminants below guideline values. On-site management means no change in the mass of contaminants.</w:t>
      </w:r>
    </w:p>
  </w:footnote>
  <w:footnote w:id="5">
    <w:p w:rsidR="00B0597C" w:rsidRPr="0087059B" w:rsidRDefault="00B0597C">
      <w:pPr>
        <w:pStyle w:val="FootnoteText"/>
        <w:rPr>
          <w:lang w:val="en-NZ"/>
        </w:rPr>
      </w:pPr>
      <w:r>
        <w:rPr>
          <w:rStyle w:val="FootnoteReference"/>
        </w:rPr>
        <w:footnoteRef/>
      </w:r>
      <w:r>
        <w:t xml:space="preserve"> </w:t>
      </w:r>
      <w:r>
        <w:rPr>
          <w:lang w:val="en-NZ"/>
        </w:rPr>
        <w:t>Refer to regulation 8 of the NESCS.</w:t>
      </w:r>
    </w:p>
  </w:footnote>
  <w:footnote w:id="6">
    <w:p w:rsidR="00B0597C" w:rsidRPr="00CA159E" w:rsidRDefault="00B0597C" w:rsidP="00C24F12">
      <w:pPr>
        <w:autoSpaceDE w:val="0"/>
        <w:autoSpaceDN w:val="0"/>
        <w:adjustRightInd w:val="0"/>
        <w:spacing w:before="0" w:after="0" w:line="288" w:lineRule="auto"/>
        <w:contextualSpacing/>
        <w:rPr>
          <w:rFonts w:cs="Calibri"/>
          <w:color w:val="000000"/>
          <w:sz w:val="18"/>
          <w:szCs w:val="18"/>
        </w:rPr>
      </w:pPr>
      <w:r w:rsidRPr="00CA159E">
        <w:rPr>
          <w:rStyle w:val="FootnoteReference"/>
          <w:sz w:val="18"/>
          <w:szCs w:val="18"/>
        </w:rPr>
        <w:footnoteRef/>
      </w:r>
      <w:r w:rsidRPr="00CA159E">
        <w:rPr>
          <w:sz w:val="18"/>
          <w:szCs w:val="18"/>
        </w:rPr>
        <w:t xml:space="preserve"> </w:t>
      </w:r>
      <w:r w:rsidRPr="00CA159E">
        <w:rPr>
          <w:rFonts w:cs="Calibri"/>
          <w:color w:val="000000"/>
          <w:sz w:val="18"/>
          <w:szCs w:val="18"/>
        </w:rPr>
        <w:t xml:space="preserve">A DSI usually covers off the requirements of a PSI (site history </w:t>
      </w:r>
      <w:proofErr w:type="spellStart"/>
      <w:r w:rsidRPr="00CA159E">
        <w:rPr>
          <w:rFonts w:cs="Calibri"/>
          <w:color w:val="000000"/>
          <w:sz w:val="18"/>
          <w:szCs w:val="18"/>
        </w:rPr>
        <w:t>etc</w:t>
      </w:r>
      <w:proofErr w:type="spellEnd"/>
      <w:r w:rsidRPr="00CA159E">
        <w:rPr>
          <w:rFonts w:cs="Calibri"/>
          <w:color w:val="000000"/>
          <w:sz w:val="18"/>
          <w:szCs w:val="18"/>
        </w:rPr>
        <w:t>), which is why applications usually have either a PSI or a DSI, depending on the purpose of the site investigation in the consent application.</w:t>
      </w:r>
    </w:p>
    <w:p w:rsidR="00B0597C" w:rsidRPr="00C71F61" w:rsidRDefault="00B0597C" w:rsidP="00C24F12">
      <w:pPr>
        <w:pStyle w:val="FootnoteText"/>
        <w:rPr>
          <w:lang w:val="en-NZ"/>
        </w:rPr>
      </w:pPr>
    </w:p>
  </w:footnote>
  <w:footnote w:id="7">
    <w:p w:rsidR="00B0597C" w:rsidRPr="00204B8C" w:rsidRDefault="00B0597C" w:rsidP="00C24F12">
      <w:pPr>
        <w:pStyle w:val="FootnoteText"/>
        <w:rPr>
          <w:lang w:val="en-NZ"/>
        </w:rPr>
      </w:pPr>
      <w:r>
        <w:rPr>
          <w:rStyle w:val="FootnoteReference"/>
        </w:rPr>
        <w:footnoteRef/>
      </w:r>
      <w:r>
        <w:t xml:space="preserve"> </w:t>
      </w:r>
      <w:r>
        <w:rPr>
          <w:rFonts w:asciiTheme="minorHAnsi" w:hAnsiTheme="minorHAnsi"/>
        </w:rPr>
        <w:t>T</w:t>
      </w:r>
      <w:r w:rsidRPr="00144AF6">
        <w:rPr>
          <w:rFonts w:asciiTheme="minorHAnsi" w:hAnsiTheme="minorHAnsi"/>
        </w:rPr>
        <w:t xml:space="preserve">he </w:t>
      </w:r>
      <w:r w:rsidRPr="006352B5">
        <w:rPr>
          <w:rFonts w:asciiTheme="minorHAnsi" w:hAnsiTheme="minorHAnsi"/>
          <w:i/>
        </w:rPr>
        <w:t>Users</w:t>
      </w:r>
      <w:r w:rsidRPr="006352B5">
        <w:rPr>
          <w:rFonts w:asciiTheme="minorHAnsi" w:hAnsiTheme="minorHAnsi"/>
          <w:i/>
          <w:lang w:val="en-GB"/>
        </w:rPr>
        <w:t>’</w:t>
      </w:r>
      <w:r w:rsidRPr="006352B5">
        <w:rPr>
          <w:rFonts w:asciiTheme="minorHAnsi" w:hAnsiTheme="minorHAnsi"/>
          <w:i/>
        </w:rPr>
        <w:t xml:space="preserve"> Guide</w:t>
      </w:r>
      <w:r w:rsidRPr="00144AF6">
        <w:rPr>
          <w:rFonts w:asciiTheme="minorHAnsi" w:hAnsiTheme="minorHAnsi"/>
        </w:rPr>
        <w:t xml:space="preserve"> </w:t>
      </w:r>
      <w:r>
        <w:rPr>
          <w:rFonts w:asciiTheme="minorHAnsi" w:hAnsiTheme="minorHAnsi"/>
        </w:rPr>
        <w:t>states</w:t>
      </w:r>
      <w:r w:rsidRPr="00144AF6">
        <w:rPr>
          <w:rFonts w:asciiTheme="minorHAnsi" w:hAnsiTheme="minorHAnsi"/>
        </w:rPr>
        <w:t xml:space="preserve"> that the person certifying a site investigation report should have at least </w:t>
      </w:r>
      <w:r>
        <w:rPr>
          <w:rFonts w:asciiTheme="minorHAnsi" w:hAnsiTheme="minorHAnsi"/>
          <w:lang w:val="en-NZ"/>
        </w:rPr>
        <w:t>10</w:t>
      </w:r>
      <w:r w:rsidRPr="00144AF6">
        <w:rPr>
          <w:rFonts w:asciiTheme="minorHAnsi" w:hAnsiTheme="minorHAnsi"/>
        </w:rPr>
        <w:t xml:space="preserve"> years contaminated land experience</w:t>
      </w:r>
      <w:r>
        <w:rPr>
          <w:rFonts w:asciiTheme="minorHAnsi" w:hAnsiTheme="minorHAnsi"/>
        </w:rPr>
        <w:t xml:space="preserve"> and be able to testify in court.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Default="00B0597C" w:rsidP="00D564DF">
    <w:pPr>
      <w:pStyle w:val="Header"/>
      <w:tabs>
        <w:tab w:val="clear" w:pos="4513"/>
        <w:tab w:val="clear" w:pos="9026"/>
      </w:tabs>
      <w:ind w:left="-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Default="00B059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C" w:rsidRDefault="00B0597C" w:rsidP="00D564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2C07858"/>
    <w:lvl w:ilvl="0">
      <w:numFmt w:val="bullet"/>
      <w:lvlText w:val="*"/>
      <w:lvlJc w:val="left"/>
    </w:lvl>
  </w:abstractNum>
  <w:abstractNum w:abstractNumId="1">
    <w:nsid w:val="017A6555"/>
    <w:multiLevelType w:val="hybridMultilevel"/>
    <w:tmpl w:val="537AE06A"/>
    <w:lvl w:ilvl="0" w:tplc="DDF0C086">
      <w:start w:val="1"/>
      <w:numFmt w:val="bullet"/>
      <w:lvlText w:val="•"/>
      <w:lvlJc w:val="left"/>
      <w:pPr>
        <w:tabs>
          <w:tab w:val="num" w:pos="720"/>
        </w:tabs>
        <w:ind w:left="720" w:hanging="360"/>
      </w:pPr>
      <w:rPr>
        <w:rFonts w:ascii="Arial" w:hAnsi="Arial" w:hint="default"/>
      </w:rPr>
    </w:lvl>
    <w:lvl w:ilvl="1" w:tplc="80745644" w:tentative="1">
      <w:start w:val="1"/>
      <w:numFmt w:val="bullet"/>
      <w:lvlText w:val="•"/>
      <w:lvlJc w:val="left"/>
      <w:pPr>
        <w:tabs>
          <w:tab w:val="num" w:pos="1440"/>
        </w:tabs>
        <w:ind w:left="1440" w:hanging="360"/>
      </w:pPr>
      <w:rPr>
        <w:rFonts w:ascii="Arial" w:hAnsi="Arial" w:hint="default"/>
      </w:rPr>
    </w:lvl>
    <w:lvl w:ilvl="2" w:tplc="F384BB38" w:tentative="1">
      <w:start w:val="1"/>
      <w:numFmt w:val="bullet"/>
      <w:lvlText w:val="•"/>
      <w:lvlJc w:val="left"/>
      <w:pPr>
        <w:tabs>
          <w:tab w:val="num" w:pos="2160"/>
        </w:tabs>
        <w:ind w:left="2160" w:hanging="360"/>
      </w:pPr>
      <w:rPr>
        <w:rFonts w:ascii="Arial" w:hAnsi="Arial" w:hint="default"/>
      </w:rPr>
    </w:lvl>
    <w:lvl w:ilvl="3" w:tplc="DA22DFD8" w:tentative="1">
      <w:start w:val="1"/>
      <w:numFmt w:val="bullet"/>
      <w:lvlText w:val="•"/>
      <w:lvlJc w:val="left"/>
      <w:pPr>
        <w:tabs>
          <w:tab w:val="num" w:pos="2880"/>
        </w:tabs>
        <w:ind w:left="2880" w:hanging="360"/>
      </w:pPr>
      <w:rPr>
        <w:rFonts w:ascii="Arial" w:hAnsi="Arial" w:hint="default"/>
      </w:rPr>
    </w:lvl>
    <w:lvl w:ilvl="4" w:tplc="152ECFB4" w:tentative="1">
      <w:start w:val="1"/>
      <w:numFmt w:val="bullet"/>
      <w:lvlText w:val="•"/>
      <w:lvlJc w:val="left"/>
      <w:pPr>
        <w:tabs>
          <w:tab w:val="num" w:pos="3600"/>
        </w:tabs>
        <w:ind w:left="3600" w:hanging="360"/>
      </w:pPr>
      <w:rPr>
        <w:rFonts w:ascii="Arial" w:hAnsi="Arial" w:hint="default"/>
      </w:rPr>
    </w:lvl>
    <w:lvl w:ilvl="5" w:tplc="DE3AD5AE" w:tentative="1">
      <w:start w:val="1"/>
      <w:numFmt w:val="bullet"/>
      <w:lvlText w:val="•"/>
      <w:lvlJc w:val="left"/>
      <w:pPr>
        <w:tabs>
          <w:tab w:val="num" w:pos="4320"/>
        </w:tabs>
        <w:ind w:left="4320" w:hanging="360"/>
      </w:pPr>
      <w:rPr>
        <w:rFonts w:ascii="Arial" w:hAnsi="Arial" w:hint="default"/>
      </w:rPr>
    </w:lvl>
    <w:lvl w:ilvl="6" w:tplc="33DAA62C" w:tentative="1">
      <w:start w:val="1"/>
      <w:numFmt w:val="bullet"/>
      <w:lvlText w:val="•"/>
      <w:lvlJc w:val="left"/>
      <w:pPr>
        <w:tabs>
          <w:tab w:val="num" w:pos="5040"/>
        </w:tabs>
        <w:ind w:left="5040" w:hanging="360"/>
      </w:pPr>
      <w:rPr>
        <w:rFonts w:ascii="Arial" w:hAnsi="Arial" w:hint="default"/>
      </w:rPr>
    </w:lvl>
    <w:lvl w:ilvl="7" w:tplc="5B46ED5E" w:tentative="1">
      <w:start w:val="1"/>
      <w:numFmt w:val="bullet"/>
      <w:lvlText w:val="•"/>
      <w:lvlJc w:val="left"/>
      <w:pPr>
        <w:tabs>
          <w:tab w:val="num" w:pos="5760"/>
        </w:tabs>
        <w:ind w:left="5760" w:hanging="360"/>
      </w:pPr>
      <w:rPr>
        <w:rFonts w:ascii="Arial" w:hAnsi="Arial" w:hint="default"/>
      </w:rPr>
    </w:lvl>
    <w:lvl w:ilvl="8" w:tplc="E5AC8152" w:tentative="1">
      <w:start w:val="1"/>
      <w:numFmt w:val="bullet"/>
      <w:lvlText w:val="•"/>
      <w:lvlJc w:val="left"/>
      <w:pPr>
        <w:tabs>
          <w:tab w:val="num" w:pos="6480"/>
        </w:tabs>
        <w:ind w:left="6480" w:hanging="360"/>
      </w:pPr>
      <w:rPr>
        <w:rFonts w:ascii="Arial" w:hAnsi="Arial" w:hint="default"/>
      </w:rPr>
    </w:lvl>
  </w:abstractNum>
  <w:abstractNum w:abstractNumId="2">
    <w:nsid w:val="04B67626"/>
    <w:multiLevelType w:val="hybridMultilevel"/>
    <w:tmpl w:val="8D184994"/>
    <w:lvl w:ilvl="0" w:tplc="DB9C7798">
      <w:start w:val="1"/>
      <w:numFmt w:val="decimal"/>
      <w:pStyle w:val="Numberedparagraph"/>
      <w:lvlText w:val="%1."/>
      <w:lvlJc w:val="left"/>
      <w:pPr>
        <w:tabs>
          <w:tab w:val="num" w:pos="397"/>
        </w:tabs>
        <w:ind w:left="397"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nsid w:val="0799321F"/>
    <w:multiLevelType w:val="hybridMultilevel"/>
    <w:tmpl w:val="AC968290"/>
    <w:lvl w:ilvl="0" w:tplc="14090001">
      <w:start w:val="1"/>
      <w:numFmt w:val="bullet"/>
      <w:lvlText w:val=""/>
      <w:lvlJc w:val="left"/>
      <w:pPr>
        <w:ind w:left="720" w:hanging="360"/>
      </w:pPr>
      <w:rPr>
        <w:rFonts w:ascii="Symbol" w:hAnsi="Symbol"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B0F5F0E"/>
    <w:multiLevelType w:val="hybridMultilevel"/>
    <w:tmpl w:val="8FFC4770"/>
    <w:lvl w:ilvl="0" w:tplc="E264C0DC">
      <w:start w:val="1"/>
      <w:numFmt w:val="bullet"/>
      <w:pStyle w:val="Greenbullet-tables"/>
      <w:lvlText w:val=""/>
      <w:lvlJc w:val="left"/>
      <w:pPr>
        <w:ind w:left="644" w:hanging="360"/>
      </w:pPr>
      <w:rPr>
        <w:rFonts w:ascii="Symbol" w:hAnsi="Symbol" w:hint="default"/>
        <w:color w:val="677719"/>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
    <w:nsid w:val="0B8A67DB"/>
    <w:multiLevelType w:val="hybridMultilevel"/>
    <w:tmpl w:val="26D88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EB0199C"/>
    <w:multiLevelType w:val="hybridMultilevel"/>
    <w:tmpl w:val="3C7E1392"/>
    <w:lvl w:ilvl="0" w:tplc="F822B5CE">
      <w:start w:val="1"/>
      <w:numFmt w:val="lowerLetter"/>
      <w:pStyle w:val="Bodytexta"/>
      <w:lvlText w:val="%1)"/>
      <w:lvlJc w:val="left"/>
      <w:pPr>
        <w:ind w:left="144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0F795003"/>
    <w:multiLevelType w:val="hybridMultilevel"/>
    <w:tmpl w:val="90F69D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E7824AD"/>
    <w:multiLevelType w:val="hybridMultilevel"/>
    <w:tmpl w:val="70FE5E90"/>
    <w:lvl w:ilvl="0" w:tplc="38BE6490">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896D12"/>
    <w:multiLevelType w:val="hybridMultilevel"/>
    <w:tmpl w:val="34A89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83F31CD"/>
    <w:multiLevelType w:val="hybridMultilevel"/>
    <w:tmpl w:val="72848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B495011"/>
    <w:multiLevelType w:val="hybridMultilevel"/>
    <w:tmpl w:val="C66EF0F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2">
    <w:nsid w:val="2DDE49ED"/>
    <w:multiLevelType w:val="hybridMultilevel"/>
    <w:tmpl w:val="B1429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ED01420"/>
    <w:multiLevelType w:val="hybridMultilevel"/>
    <w:tmpl w:val="66427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05B603E"/>
    <w:multiLevelType w:val="hybridMultilevel"/>
    <w:tmpl w:val="370C221A"/>
    <w:lvl w:ilvl="0" w:tplc="C9427B5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17764D7"/>
    <w:multiLevelType w:val="hybridMultilevel"/>
    <w:tmpl w:val="B5449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23674B9"/>
    <w:multiLevelType w:val="multilevel"/>
    <w:tmpl w:val="7248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F32B33"/>
    <w:multiLevelType w:val="hybridMultilevel"/>
    <w:tmpl w:val="89E22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41E2EA4"/>
    <w:multiLevelType w:val="hybridMultilevel"/>
    <w:tmpl w:val="AB28B9C8"/>
    <w:lvl w:ilvl="0" w:tplc="A3EABA02">
      <w:start w:val="1"/>
      <w:numFmt w:val="decimal"/>
      <w:pStyle w:val="Bodytextnumbered"/>
      <w:lvlText w:val="%1"/>
      <w:lvlJc w:val="left"/>
      <w:pPr>
        <w:ind w:left="720" w:hanging="360"/>
      </w:pPr>
      <w:rPr>
        <w:rFonts w:ascii="Calibri" w:hAnsi="Calibr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376439EF"/>
    <w:multiLevelType w:val="hybridMultilevel"/>
    <w:tmpl w:val="A1EA1C06"/>
    <w:lvl w:ilvl="0" w:tplc="76FC15F0">
      <w:start w:val="1"/>
      <w:numFmt w:val="bullet"/>
      <w:lvlText w:val="•"/>
      <w:lvlJc w:val="left"/>
      <w:pPr>
        <w:tabs>
          <w:tab w:val="num" w:pos="720"/>
        </w:tabs>
        <w:ind w:left="720" w:hanging="360"/>
      </w:pPr>
      <w:rPr>
        <w:rFonts w:ascii="Arial" w:hAnsi="Arial" w:hint="default"/>
      </w:rPr>
    </w:lvl>
    <w:lvl w:ilvl="1" w:tplc="DE84180E" w:tentative="1">
      <w:start w:val="1"/>
      <w:numFmt w:val="bullet"/>
      <w:lvlText w:val="•"/>
      <w:lvlJc w:val="left"/>
      <w:pPr>
        <w:tabs>
          <w:tab w:val="num" w:pos="1440"/>
        </w:tabs>
        <w:ind w:left="1440" w:hanging="360"/>
      </w:pPr>
      <w:rPr>
        <w:rFonts w:ascii="Arial" w:hAnsi="Arial" w:hint="default"/>
      </w:rPr>
    </w:lvl>
    <w:lvl w:ilvl="2" w:tplc="493E4C76" w:tentative="1">
      <w:start w:val="1"/>
      <w:numFmt w:val="bullet"/>
      <w:lvlText w:val="•"/>
      <w:lvlJc w:val="left"/>
      <w:pPr>
        <w:tabs>
          <w:tab w:val="num" w:pos="2160"/>
        </w:tabs>
        <w:ind w:left="2160" w:hanging="360"/>
      </w:pPr>
      <w:rPr>
        <w:rFonts w:ascii="Arial" w:hAnsi="Arial" w:hint="default"/>
      </w:rPr>
    </w:lvl>
    <w:lvl w:ilvl="3" w:tplc="DF3ED1AE" w:tentative="1">
      <w:start w:val="1"/>
      <w:numFmt w:val="bullet"/>
      <w:lvlText w:val="•"/>
      <w:lvlJc w:val="left"/>
      <w:pPr>
        <w:tabs>
          <w:tab w:val="num" w:pos="2880"/>
        </w:tabs>
        <w:ind w:left="2880" w:hanging="360"/>
      </w:pPr>
      <w:rPr>
        <w:rFonts w:ascii="Arial" w:hAnsi="Arial" w:hint="default"/>
      </w:rPr>
    </w:lvl>
    <w:lvl w:ilvl="4" w:tplc="AB06A9FC" w:tentative="1">
      <w:start w:val="1"/>
      <w:numFmt w:val="bullet"/>
      <w:lvlText w:val="•"/>
      <w:lvlJc w:val="left"/>
      <w:pPr>
        <w:tabs>
          <w:tab w:val="num" w:pos="3600"/>
        </w:tabs>
        <w:ind w:left="3600" w:hanging="360"/>
      </w:pPr>
      <w:rPr>
        <w:rFonts w:ascii="Arial" w:hAnsi="Arial" w:hint="default"/>
      </w:rPr>
    </w:lvl>
    <w:lvl w:ilvl="5" w:tplc="D010922A" w:tentative="1">
      <w:start w:val="1"/>
      <w:numFmt w:val="bullet"/>
      <w:lvlText w:val="•"/>
      <w:lvlJc w:val="left"/>
      <w:pPr>
        <w:tabs>
          <w:tab w:val="num" w:pos="4320"/>
        </w:tabs>
        <w:ind w:left="4320" w:hanging="360"/>
      </w:pPr>
      <w:rPr>
        <w:rFonts w:ascii="Arial" w:hAnsi="Arial" w:hint="default"/>
      </w:rPr>
    </w:lvl>
    <w:lvl w:ilvl="6" w:tplc="C7DCB666" w:tentative="1">
      <w:start w:val="1"/>
      <w:numFmt w:val="bullet"/>
      <w:lvlText w:val="•"/>
      <w:lvlJc w:val="left"/>
      <w:pPr>
        <w:tabs>
          <w:tab w:val="num" w:pos="5040"/>
        </w:tabs>
        <w:ind w:left="5040" w:hanging="360"/>
      </w:pPr>
      <w:rPr>
        <w:rFonts w:ascii="Arial" w:hAnsi="Arial" w:hint="default"/>
      </w:rPr>
    </w:lvl>
    <w:lvl w:ilvl="7" w:tplc="19C61E90" w:tentative="1">
      <w:start w:val="1"/>
      <w:numFmt w:val="bullet"/>
      <w:lvlText w:val="•"/>
      <w:lvlJc w:val="left"/>
      <w:pPr>
        <w:tabs>
          <w:tab w:val="num" w:pos="5760"/>
        </w:tabs>
        <w:ind w:left="5760" w:hanging="360"/>
      </w:pPr>
      <w:rPr>
        <w:rFonts w:ascii="Arial" w:hAnsi="Arial" w:hint="default"/>
      </w:rPr>
    </w:lvl>
    <w:lvl w:ilvl="8" w:tplc="E0268B3C" w:tentative="1">
      <w:start w:val="1"/>
      <w:numFmt w:val="bullet"/>
      <w:lvlText w:val="•"/>
      <w:lvlJc w:val="left"/>
      <w:pPr>
        <w:tabs>
          <w:tab w:val="num" w:pos="6480"/>
        </w:tabs>
        <w:ind w:left="6480" w:hanging="360"/>
      </w:pPr>
      <w:rPr>
        <w:rFonts w:ascii="Arial" w:hAnsi="Arial" w:hint="default"/>
      </w:rPr>
    </w:lvl>
  </w:abstractNum>
  <w:abstractNum w:abstractNumId="20">
    <w:nsid w:val="3A115307"/>
    <w:multiLevelType w:val="hybridMultilevel"/>
    <w:tmpl w:val="FE22F3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27701FB"/>
    <w:multiLevelType w:val="hybridMultilevel"/>
    <w:tmpl w:val="87A07910"/>
    <w:lvl w:ilvl="0" w:tplc="C04A679E">
      <w:start w:val="1"/>
      <w:numFmt w:val="bullet"/>
      <w:pStyle w:val="Sub-list"/>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nsid w:val="43E60EBA"/>
    <w:multiLevelType w:val="hybridMultilevel"/>
    <w:tmpl w:val="45F890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63D6104"/>
    <w:multiLevelType w:val="hybridMultilevel"/>
    <w:tmpl w:val="4ABA2070"/>
    <w:lvl w:ilvl="0" w:tplc="5308CA02">
      <w:start w:val="1"/>
      <w:numFmt w:val="lowerRoman"/>
      <w:pStyle w:val="Sub-listi"/>
      <w:lvlText w:val="%1."/>
      <w:lvlJc w:val="left"/>
      <w:pPr>
        <w:tabs>
          <w:tab w:val="num" w:pos="1191"/>
        </w:tabs>
        <w:ind w:left="1191"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4">
    <w:nsid w:val="46BC6CDA"/>
    <w:multiLevelType w:val="hybridMultilevel"/>
    <w:tmpl w:val="B1463614"/>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nsid w:val="478D1DBE"/>
    <w:multiLevelType w:val="multilevel"/>
    <w:tmpl w:val="5FCA4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093034"/>
    <w:multiLevelType w:val="hybridMultilevel"/>
    <w:tmpl w:val="D8EA176A"/>
    <w:lvl w:ilvl="0" w:tplc="84147204">
      <w:start w:val="1"/>
      <w:numFmt w:val="bullet"/>
      <w:pStyle w:val="Questionbullet"/>
      <w:lvlText w:val=""/>
      <w:lvlJc w:val="left"/>
      <w:pPr>
        <w:ind w:left="1004" w:hanging="360"/>
      </w:pPr>
      <w:rPr>
        <w:rFonts w:ascii="Symbol" w:hAnsi="Symbol" w:hint="default"/>
        <w:color w:val="C66005"/>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7">
    <w:nsid w:val="507A2FAB"/>
    <w:multiLevelType w:val="hybridMultilevel"/>
    <w:tmpl w:val="5D308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29">
    <w:nsid w:val="53792248"/>
    <w:multiLevelType w:val="hybridMultilevel"/>
    <w:tmpl w:val="9470F6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5FF5349"/>
    <w:multiLevelType w:val="multilevel"/>
    <w:tmpl w:val="B6B49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Calibri" w:eastAsia="Times New Roman" w:hAnsi="Calibri"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2439E4"/>
    <w:multiLevelType w:val="hybridMultilevel"/>
    <w:tmpl w:val="58006302"/>
    <w:lvl w:ilvl="0" w:tplc="D28CE868">
      <w:start w:val="1"/>
      <w:numFmt w:val="bullet"/>
      <w:lvlText w:val="•"/>
      <w:lvlJc w:val="left"/>
      <w:pPr>
        <w:tabs>
          <w:tab w:val="num" w:pos="720"/>
        </w:tabs>
        <w:ind w:left="720" w:hanging="360"/>
      </w:pPr>
      <w:rPr>
        <w:rFonts w:ascii="Arial" w:hAnsi="Arial" w:hint="default"/>
      </w:rPr>
    </w:lvl>
    <w:lvl w:ilvl="1" w:tplc="90629CC8" w:tentative="1">
      <w:start w:val="1"/>
      <w:numFmt w:val="bullet"/>
      <w:lvlText w:val="•"/>
      <w:lvlJc w:val="left"/>
      <w:pPr>
        <w:tabs>
          <w:tab w:val="num" w:pos="1440"/>
        </w:tabs>
        <w:ind w:left="1440" w:hanging="360"/>
      </w:pPr>
      <w:rPr>
        <w:rFonts w:ascii="Arial" w:hAnsi="Arial" w:hint="default"/>
      </w:rPr>
    </w:lvl>
    <w:lvl w:ilvl="2" w:tplc="4A949794" w:tentative="1">
      <w:start w:val="1"/>
      <w:numFmt w:val="bullet"/>
      <w:lvlText w:val="•"/>
      <w:lvlJc w:val="left"/>
      <w:pPr>
        <w:tabs>
          <w:tab w:val="num" w:pos="2160"/>
        </w:tabs>
        <w:ind w:left="2160" w:hanging="360"/>
      </w:pPr>
      <w:rPr>
        <w:rFonts w:ascii="Arial" w:hAnsi="Arial" w:hint="default"/>
      </w:rPr>
    </w:lvl>
    <w:lvl w:ilvl="3" w:tplc="89F29E0E" w:tentative="1">
      <w:start w:val="1"/>
      <w:numFmt w:val="bullet"/>
      <w:lvlText w:val="•"/>
      <w:lvlJc w:val="left"/>
      <w:pPr>
        <w:tabs>
          <w:tab w:val="num" w:pos="2880"/>
        </w:tabs>
        <w:ind w:left="2880" w:hanging="360"/>
      </w:pPr>
      <w:rPr>
        <w:rFonts w:ascii="Arial" w:hAnsi="Arial" w:hint="default"/>
      </w:rPr>
    </w:lvl>
    <w:lvl w:ilvl="4" w:tplc="F16447A2" w:tentative="1">
      <w:start w:val="1"/>
      <w:numFmt w:val="bullet"/>
      <w:lvlText w:val="•"/>
      <w:lvlJc w:val="left"/>
      <w:pPr>
        <w:tabs>
          <w:tab w:val="num" w:pos="3600"/>
        </w:tabs>
        <w:ind w:left="3600" w:hanging="360"/>
      </w:pPr>
      <w:rPr>
        <w:rFonts w:ascii="Arial" w:hAnsi="Arial" w:hint="default"/>
      </w:rPr>
    </w:lvl>
    <w:lvl w:ilvl="5" w:tplc="8D4C2354" w:tentative="1">
      <w:start w:val="1"/>
      <w:numFmt w:val="bullet"/>
      <w:lvlText w:val="•"/>
      <w:lvlJc w:val="left"/>
      <w:pPr>
        <w:tabs>
          <w:tab w:val="num" w:pos="4320"/>
        </w:tabs>
        <w:ind w:left="4320" w:hanging="360"/>
      </w:pPr>
      <w:rPr>
        <w:rFonts w:ascii="Arial" w:hAnsi="Arial" w:hint="default"/>
      </w:rPr>
    </w:lvl>
    <w:lvl w:ilvl="6" w:tplc="9F9A84EC" w:tentative="1">
      <w:start w:val="1"/>
      <w:numFmt w:val="bullet"/>
      <w:lvlText w:val="•"/>
      <w:lvlJc w:val="left"/>
      <w:pPr>
        <w:tabs>
          <w:tab w:val="num" w:pos="5040"/>
        </w:tabs>
        <w:ind w:left="5040" w:hanging="360"/>
      </w:pPr>
      <w:rPr>
        <w:rFonts w:ascii="Arial" w:hAnsi="Arial" w:hint="default"/>
      </w:rPr>
    </w:lvl>
    <w:lvl w:ilvl="7" w:tplc="B9C44C24" w:tentative="1">
      <w:start w:val="1"/>
      <w:numFmt w:val="bullet"/>
      <w:lvlText w:val="•"/>
      <w:lvlJc w:val="left"/>
      <w:pPr>
        <w:tabs>
          <w:tab w:val="num" w:pos="5760"/>
        </w:tabs>
        <w:ind w:left="5760" w:hanging="360"/>
      </w:pPr>
      <w:rPr>
        <w:rFonts w:ascii="Arial" w:hAnsi="Arial" w:hint="default"/>
      </w:rPr>
    </w:lvl>
    <w:lvl w:ilvl="8" w:tplc="78D89B62" w:tentative="1">
      <w:start w:val="1"/>
      <w:numFmt w:val="bullet"/>
      <w:lvlText w:val="•"/>
      <w:lvlJc w:val="left"/>
      <w:pPr>
        <w:tabs>
          <w:tab w:val="num" w:pos="6480"/>
        </w:tabs>
        <w:ind w:left="6480" w:hanging="360"/>
      </w:pPr>
      <w:rPr>
        <w:rFonts w:ascii="Arial" w:hAnsi="Arial" w:hint="default"/>
      </w:rPr>
    </w:lvl>
  </w:abstractNum>
  <w:abstractNum w:abstractNumId="32">
    <w:nsid w:val="58A910F2"/>
    <w:multiLevelType w:val="multilevel"/>
    <w:tmpl w:val="7FB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6B23A3"/>
    <w:multiLevelType w:val="hybridMultilevel"/>
    <w:tmpl w:val="02BE9E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5F6A33CA"/>
    <w:multiLevelType w:val="hybridMultilevel"/>
    <w:tmpl w:val="F51A9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62A77716"/>
    <w:multiLevelType w:val="hybridMultilevel"/>
    <w:tmpl w:val="939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nsid w:val="62FB0C9C"/>
    <w:multiLevelType w:val="hybridMultilevel"/>
    <w:tmpl w:val="E48C6FEC"/>
    <w:lvl w:ilvl="0" w:tplc="2D28E2DC">
      <w:start w:val="1"/>
      <w:numFmt w:val="decimal"/>
      <w:pStyle w:val="Boxnumbered"/>
      <w:lvlText w:val="%1"/>
      <w:lvlJc w:val="left"/>
      <w:pPr>
        <w:ind w:left="1004" w:hanging="360"/>
      </w:pPr>
      <w:rPr>
        <w:rFonts w:ascii="Calibri" w:hAnsi="Calibri" w:hint="default"/>
        <w:b w:val="0"/>
        <w:bCs w:val="0"/>
        <w:i w:val="0"/>
        <w:sz w:val="22"/>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37">
    <w:nsid w:val="635D222F"/>
    <w:multiLevelType w:val="hybridMultilevel"/>
    <w:tmpl w:val="37BEC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653A1DB2"/>
    <w:multiLevelType w:val="multilevel"/>
    <w:tmpl w:val="7C9A8406"/>
    <w:lvl w:ilvl="0">
      <w:start w:val="1"/>
      <w:numFmt w:val="bullet"/>
      <w:lvlText w:val=""/>
      <w:lvlJc w:val="left"/>
      <w:pPr>
        <w:tabs>
          <w:tab w:val="num" w:pos="720"/>
        </w:tabs>
        <w:ind w:left="720" w:hanging="360"/>
      </w:pPr>
      <w:rPr>
        <w:rFonts w:ascii="Symbol" w:hAnsi="Symbol" w:hint="default"/>
        <w:sz w:val="20"/>
      </w:rPr>
    </w:lvl>
    <w:lvl w:ilvl="1">
      <w:start w:val="1"/>
      <w:numFmt w:val="bullet"/>
      <w:pStyle w:val="Sub-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633BEB"/>
    <w:multiLevelType w:val="hybridMultilevel"/>
    <w:tmpl w:val="849CF252"/>
    <w:lvl w:ilvl="0" w:tplc="E5E29082">
      <w:start w:val="1"/>
      <w:numFmt w:val="decimal"/>
      <w:pStyle w:val="Browntextnumbered"/>
      <w:lvlText w:val="%1"/>
      <w:lvlJc w:val="left"/>
      <w:pPr>
        <w:ind w:left="720" w:hanging="360"/>
      </w:pPr>
      <w:rPr>
        <w:rFonts w:ascii="Calibri" w:hAnsi="Calibri" w:hint="default"/>
        <w:b w:val="0"/>
        <w:color w:val="B4701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nsid w:val="66673D11"/>
    <w:multiLevelType w:val="hybridMultilevel"/>
    <w:tmpl w:val="CD04C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682A6067"/>
    <w:multiLevelType w:val="hybridMultilevel"/>
    <w:tmpl w:val="0B4E1DEA"/>
    <w:lvl w:ilvl="0" w:tplc="EF38D28A">
      <w:start w:val="1"/>
      <w:numFmt w:val="decimal"/>
      <w:pStyle w:val="NoSpacing"/>
      <w:lvlText w:val="%1."/>
      <w:lvlJc w:val="left"/>
      <w:pPr>
        <w:ind w:left="1074" w:hanging="360"/>
      </w:pPr>
      <w:rPr>
        <w:b w:val="0"/>
        <w:i w:val="0"/>
        <w:color w:val="auto"/>
      </w:rPr>
    </w:lvl>
    <w:lvl w:ilvl="1" w:tplc="14090019">
      <w:start w:val="1"/>
      <w:numFmt w:val="lowerLetter"/>
      <w:lvlText w:val="%2."/>
      <w:lvlJc w:val="left"/>
      <w:pPr>
        <w:ind w:left="1797" w:hanging="360"/>
      </w:pPr>
    </w:lvl>
    <w:lvl w:ilvl="2" w:tplc="1409001B">
      <w:start w:val="1"/>
      <w:numFmt w:val="lowerRoman"/>
      <w:lvlText w:val="%3."/>
      <w:lvlJc w:val="right"/>
      <w:pPr>
        <w:ind w:left="2517" w:hanging="180"/>
      </w:pPr>
    </w:lvl>
    <w:lvl w:ilvl="3" w:tplc="1409000F">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42">
    <w:nsid w:val="6E614AA8"/>
    <w:multiLevelType w:val="multilevel"/>
    <w:tmpl w:val="A848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FE5AF4"/>
    <w:multiLevelType w:val="hybridMultilevel"/>
    <w:tmpl w:val="F4A620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778630BE"/>
    <w:multiLevelType w:val="hybridMultilevel"/>
    <w:tmpl w:val="370C221A"/>
    <w:lvl w:ilvl="0" w:tplc="C9427B5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nsid w:val="7B570712"/>
    <w:multiLevelType w:val="hybridMultilevel"/>
    <w:tmpl w:val="012A0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7E4D254A"/>
    <w:multiLevelType w:val="singleLevel"/>
    <w:tmpl w:val="DF2C48E8"/>
    <w:lvl w:ilvl="0">
      <w:start w:val="1"/>
      <w:numFmt w:val="bullet"/>
      <w:pStyle w:val="Bullet"/>
      <w:lvlText w:val=""/>
      <w:lvlJc w:val="left"/>
      <w:pPr>
        <w:tabs>
          <w:tab w:val="num" w:pos="567"/>
        </w:tabs>
        <w:ind w:left="567" w:hanging="567"/>
      </w:pPr>
      <w:rPr>
        <w:rFonts w:ascii="Symbol" w:hAnsi="Symbol" w:hint="default"/>
        <w:color w:val="auto"/>
        <w:sz w:val="18"/>
        <w:szCs w:val="20"/>
      </w:rPr>
    </w:lvl>
  </w:abstractNum>
  <w:num w:numId="1">
    <w:abstractNumId w:val="46"/>
  </w:num>
  <w:num w:numId="2">
    <w:abstractNumId w:val="8"/>
  </w:num>
  <w:num w:numId="3">
    <w:abstractNumId w:val="38"/>
  </w:num>
  <w:num w:numId="4">
    <w:abstractNumId w:val="28"/>
  </w:num>
  <w:num w:numId="5">
    <w:abstractNumId w:val="36"/>
  </w:num>
  <w:num w:numId="6">
    <w:abstractNumId w:val="4"/>
  </w:num>
  <w:num w:numId="7">
    <w:abstractNumId w:val="39"/>
  </w:num>
  <w:num w:numId="8">
    <w:abstractNumId w:val="18"/>
  </w:num>
  <w:num w:numId="9">
    <w:abstractNumId w:val="6"/>
  </w:num>
  <w:num w:numId="10">
    <w:abstractNumId w:val="26"/>
  </w:num>
  <w:num w:numId="11">
    <w:abstractNumId w:val="2"/>
  </w:num>
  <w:num w:numId="12">
    <w:abstractNumId w:val="21"/>
  </w:num>
  <w:num w:numId="13">
    <w:abstractNumId w:val="23"/>
  </w:num>
  <w:num w:numId="14">
    <w:abstractNumId w:val="3"/>
  </w:num>
  <w:num w:numId="15">
    <w:abstractNumId w:val="41"/>
  </w:num>
  <w:num w:numId="16">
    <w:abstractNumId w:val="15"/>
  </w:num>
  <w:num w:numId="17">
    <w:abstractNumId w:val="3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8">
    <w:abstractNumId w:val="16"/>
  </w:num>
  <w:num w:numId="19">
    <w:abstractNumId w:val="35"/>
  </w:num>
  <w:num w:numId="20">
    <w:abstractNumId w:val="25"/>
  </w:num>
  <w:num w:numId="21">
    <w:abstractNumId w:val="14"/>
  </w:num>
  <w:num w:numId="22">
    <w:abstractNumId w:val="19"/>
  </w:num>
  <w:num w:numId="23">
    <w:abstractNumId w:val="1"/>
  </w:num>
  <w:num w:numId="24">
    <w:abstractNumId w:val="31"/>
  </w:num>
  <w:num w:numId="25">
    <w:abstractNumId w:val="27"/>
  </w:num>
  <w:num w:numId="26">
    <w:abstractNumId w:val="0"/>
    <w:lvlOverride w:ilvl="0">
      <w:lvl w:ilvl="0">
        <w:numFmt w:val="bullet"/>
        <w:lvlText w:val=""/>
        <w:legacy w:legacy="1" w:legacySpace="0" w:legacyIndent="0"/>
        <w:lvlJc w:val="left"/>
        <w:rPr>
          <w:rFonts w:ascii="Symbol" w:hAnsi="Symbol" w:hint="default"/>
          <w:sz w:val="24"/>
        </w:rPr>
      </w:lvl>
    </w:lvlOverride>
  </w:num>
  <w:num w:numId="27">
    <w:abstractNumId w:val="42"/>
  </w:num>
  <w:num w:numId="28">
    <w:abstractNumId w:val="32"/>
  </w:num>
  <w:num w:numId="29">
    <w:abstractNumId w:val="34"/>
  </w:num>
  <w:num w:numId="30">
    <w:abstractNumId w:val="5"/>
  </w:num>
  <w:num w:numId="31">
    <w:abstractNumId w:val="12"/>
  </w:num>
  <w:num w:numId="32">
    <w:abstractNumId w:val="40"/>
  </w:num>
  <w:num w:numId="33">
    <w:abstractNumId w:val="33"/>
  </w:num>
  <w:num w:numId="34">
    <w:abstractNumId w:val="9"/>
  </w:num>
  <w:num w:numId="35">
    <w:abstractNumId w:val="11"/>
  </w:num>
  <w:num w:numId="36">
    <w:abstractNumId w:val="44"/>
  </w:num>
  <w:num w:numId="37">
    <w:abstractNumId w:val="7"/>
  </w:num>
  <w:num w:numId="38">
    <w:abstractNumId w:val="45"/>
  </w:num>
  <w:num w:numId="39">
    <w:abstractNumId w:val="37"/>
  </w:num>
  <w:num w:numId="40">
    <w:abstractNumId w:val="20"/>
  </w:num>
  <w:num w:numId="41">
    <w:abstractNumId w:val="10"/>
  </w:num>
  <w:num w:numId="42">
    <w:abstractNumId w:val="24"/>
  </w:num>
  <w:num w:numId="43">
    <w:abstractNumId w:val="29"/>
  </w:num>
  <w:num w:numId="44">
    <w:abstractNumId w:val="13"/>
  </w:num>
  <w:num w:numId="45">
    <w:abstractNumId w:val="22"/>
  </w:num>
  <w:num w:numId="46">
    <w:abstractNumId w:val="17"/>
  </w:num>
  <w:num w:numId="47">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57"/>
    <w:rsid w:val="00000BD3"/>
    <w:rsid w:val="00000FE2"/>
    <w:rsid w:val="00001EA8"/>
    <w:rsid w:val="000027D3"/>
    <w:rsid w:val="00002A56"/>
    <w:rsid w:val="00002BF6"/>
    <w:rsid w:val="00002DE7"/>
    <w:rsid w:val="0000405C"/>
    <w:rsid w:val="000056B9"/>
    <w:rsid w:val="0000592B"/>
    <w:rsid w:val="00005FC0"/>
    <w:rsid w:val="000060B2"/>
    <w:rsid w:val="00006B3A"/>
    <w:rsid w:val="00006F14"/>
    <w:rsid w:val="00011638"/>
    <w:rsid w:val="00012B87"/>
    <w:rsid w:val="000136FF"/>
    <w:rsid w:val="0001410C"/>
    <w:rsid w:val="000162F3"/>
    <w:rsid w:val="00016CAC"/>
    <w:rsid w:val="00016DDF"/>
    <w:rsid w:val="0001733B"/>
    <w:rsid w:val="00022B38"/>
    <w:rsid w:val="00022C9F"/>
    <w:rsid w:val="00022CD4"/>
    <w:rsid w:val="00022F18"/>
    <w:rsid w:val="00023AEE"/>
    <w:rsid w:val="00024A09"/>
    <w:rsid w:val="00025360"/>
    <w:rsid w:val="000257C8"/>
    <w:rsid w:val="00026111"/>
    <w:rsid w:val="00026222"/>
    <w:rsid w:val="00026807"/>
    <w:rsid w:val="00026F70"/>
    <w:rsid w:val="00027B23"/>
    <w:rsid w:val="00027BD2"/>
    <w:rsid w:val="00027E61"/>
    <w:rsid w:val="00030A43"/>
    <w:rsid w:val="00030F73"/>
    <w:rsid w:val="000317A7"/>
    <w:rsid w:val="00032200"/>
    <w:rsid w:val="000325E0"/>
    <w:rsid w:val="0003407F"/>
    <w:rsid w:val="0003474A"/>
    <w:rsid w:val="00034808"/>
    <w:rsid w:val="0003536B"/>
    <w:rsid w:val="0003552C"/>
    <w:rsid w:val="00035E45"/>
    <w:rsid w:val="0003602D"/>
    <w:rsid w:val="0004016B"/>
    <w:rsid w:val="00040A4F"/>
    <w:rsid w:val="000417C3"/>
    <w:rsid w:val="00041BE9"/>
    <w:rsid w:val="00042414"/>
    <w:rsid w:val="00042B0E"/>
    <w:rsid w:val="00042C81"/>
    <w:rsid w:val="00042D29"/>
    <w:rsid w:val="00043223"/>
    <w:rsid w:val="00044163"/>
    <w:rsid w:val="00044E7D"/>
    <w:rsid w:val="0004500E"/>
    <w:rsid w:val="000458FE"/>
    <w:rsid w:val="00046C3D"/>
    <w:rsid w:val="00050964"/>
    <w:rsid w:val="000516FC"/>
    <w:rsid w:val="00051DE1"/>
    <w:rsid w:val="0005277B"/>
    <w:rsid w:val="0005315B"/>
    <w:rsid w:val="00053183"/>
    <w:rsid w:val="000535B0"/>
    <w:rsid w:val="00053B69"/>
    <w:rsid w:val="00053FA4"/>
    <w:rsid w:val="00054C11"/>
    <w:rsid w:val="00054CC7"/>
    <w:rsid w:val="00055798"/>
    <w:rsid w:val="00056332"/>
    <w:rsid w:val="0005638B"/>
    <w:rsid w:val="000565F9"/>
    <w:rsid w:val="000570B0"/>
    <w:rsid w:val="00060158"/>
    <w:rsid w:val="00060704"/>
    <w:rsid w:val="00060FB4"/>
    <w:rsid w:val="00061801"/>
    <w:rsid w:val="00061C1D"/>
    <w:rsid w:val="00061CD3"/>
    <w:rsid w:val="00061DB8"/>
    <w:rsid w:val="00062246"/>
    <w:rsid w:val="00062855"/>
    <w:rsid w:val="00062F15"/>
    <w:rsid w:val="000638D9"/>
    <w:rsid w:val="00063BE1"/>
    <w:rsid w:val="00066131"/>
    <w:rsid w:val="0006654A"/>
    <w:rsid w:val="000668CC"/>
    <w:rsid w:val="000668D2"/>
    <w:rsid w:val="00070702"/>
    <w:rsid w:val="00070EFA"/>
    <w:rsid w:val="00071A81"/>
    <w:rsid w:val="0007429B"/>
    <w:rsid w:val="000757C9"/>
    <w:rsid w:val="0007703F"/>
    <w:rsid w:val="00077235"/>
    <w:rsid w:val="000778D6"/>
    <w:rsid w:val="00077AEC"/>
    <w:rsid w:val="00077BFC"/>
    <w:rsid w:val="000801B0"/>
    <w:rsid w:val="000804C8"/>
    <w:rsid w:val="000807C0"/>
    <w:rsid w:val="00081077"/>
    <w:rsid w:val="00081296"/>
    <w:rsid w:val="000817AD"/>
    <w:rsid w:val="00081AD4"/>
    <w:rsid w:val="000823A7"/>
    <w:rsid w:val="00082999"/>
    <w:rsid w:val="0008406E"/>
    <w:rsid w:val="000848E2"/>
    <w:rsid w:val="0008499E"/>
    <w:rsid w:val="00084C8F"/>
    <w:rsid w:val="000852AB"/>
    <w:rsid w:val="00085340"/>
    <w:rsid w:val="00087BA0"/>
    <w:rsid w:val="000910CD"/>
    <w:rsid w:val="00091F0F"/>
    <w:rsid w:val="0009267E"/>
    <w:rsid w:val="0009277A"/>
    <w:rsid w:val="00092FBB"/>
    <w:rsid w:val="00094B86"/>
    <w:rsid w:val="00094F88"/>
    <w:rsid w:val="0009553B"/>
    <w:rsid w:val="00095EA3"/>
    <w:rsid w:val="000963C0"/>
    <w:rsid w:val="00096B2A"/>
    <w:rsid w:val="000974AD"/>
    <w:rsid w:val="00097FFB"/>
    <w:rsid w:val="000A0731"/>
    <w:rsid w:val="000A0EAB"/>
    <w:rsid w:val="000A1616"/>
    <w:rsid w:val="000A16B4"/>
    <w:rsid w:val="000A2DB2"/>
    <w:rsid w:val="000A47AC"/>
    <w:rsid w:val="000A4B36"/>
    <w:rsid w:val="000A5D37"/>
    <w:rsid w:val="000B135D"/>
    <w:rsid w:val="000B1CD5"/>
    <w:rsid w:val="000B2889"/>
    <w:rsid w:val="000B2C53"/>
    <w:rsid w:val="000B315C"/>
    <w:rsid w:val="000B4A52"/>
    <w:rsid w:val="000B4DD3"/>
    <w:rsid w:val="000B59DC"/>
    <w:rsid w:val="000B5B25"/>
    <w:rsid w:val="000B5E22"/>
    <w:rsid w:val="000B5E44"/>
    <w:rsid w:val="000B6679"/>
    <w:rsid w:val="000B6B5F"/>
    <w:rsid w:val="000B780D"/>
    <w:rsid w:val="000B7C5F"/>
    <w:rsid w:val="000C034F"/>
    <w:rsid w:val="000C07A1"/>
    <w:rsid w:val="000C1A94"/>
    <w:rsid w:val="000C418F"/>
    <w:rsid w:val="000C4884"/>
    <w:rsid w:val="000C606F"/>
    <w:rsid w:val="000C7ADD"/>
    <w:rsid w:val="000D1BB6"/>
    <w:rsid w:val="000D1F0F"/>
    <w:rsid w:val="000D270A"/>
    <w:rsid w:val="000D297D"/>
    <w:rsid w:val="000D2B37"/>
    <w:rsid w:val="000D33BF"/>
    <w:rsid w:val="000D5C02"/>
    <w:rsid w:val="000D6B50"/>
    <w:rsid w:val="000E01F2"/>
    <w:rsid w:val="000E0DAA"/>
    <w:rsid w:val="000E11A4"/>
    <w:rsid w:val="000E1355"/>
    <w:rsid w:val="000E1AFA"/>
    <w:rsid w:val="000E1B57"/>
    <w:rsid w:val="000E1F32"/>
    <w:rsid w:val="000E2216"/>
    <w:rsid w:val="000E37E9"/>
    <w:rsid w:val="000E42EF"/>
    <w:rsid w:val="000E4DDB"/>
    <w:rsid w:val="000E53E3"/>
    <w:rsid w:val="000E6841"/>
    <w:rsid w:val="000E7136"/>
    <w:rsid w:val="000E7C28"/>
    <w:rsid w:val="000F0F3E"/>
    <w:rsid w:val="000F1652"/>
    <w:rsid w:val="000F1BCD"/>
    <w:rsid w:val="000F1F10"/>
    <w:rsid w:val="000F27F9"/>
    <w:rsid w:val="000F3F47"/>
    <w:rsid w:val="000F54E8"/>
    <w:rsid w:val="000F58BA"/>
    <w:rsid w:val="000F5C85"/>
    <w:rsid w:val="000F5FF5"/>
    <w:rsid w:val="000F6EE4"/>
    <w:rsid w:val="000F7499"/>
    <w:rsid w:val="000F7CB0"/>
    <w:rsid w:val="00100B2C"/>
    <w:rsid w:val="00100DAB"/>
    <w:rsid w:val="00102A0B"/>
    <w:rsid w:val="00102D1F"/>
    <w:rsid w:val="001030A8"/>
    <w:rsid w:val="0010423A"/>
    <w:rsid w:val="0010506E"/>
    <w:rsid w:val="00105C23"/>
    <w:rsid w:val="0010651A"/>
    <w:rsid w:val="001103A5"/>
    <w:rsid w:val="001103FF"/>
    <w:rsid w:val="00110C14"/>
    <w:rsid w:val="00110C59"/>
    <w:rsid w:val="00111877"/>
    <w:rsid w:val="00111CB6"/>
    <w:rsid w:val="00111D73"/>
    <w:rsid w:val="00112639"/>
    <w:rsid w:val="00112AD7"/>
    <w:rsid w:val="00112C77"/>
    <w:rsid w:val="00113DB2"/>
    <w:rsid w:val="00113E68"/>
    <w:rsid w:val="00116104"/>
    <w:rsid w:val="00116C4B"/>
    <w:rsid w:val="00120124"/>
    <w:rsid w:val="001203DD"/>
    <w:rsid w:val="0012074F"/>
    <w:rsid w:val="00121DD8"/>
    <w:rsid w:val="001221EC"/>
    <w:rsid w:val="00123567"/>
    <w:rsid w:val="00124012"/>
    <w:rsid w:val="00124A97"/>
    <w:rsid w:val="00125148"/>
    <w:rsid w:val="00125730"/>
    <w:rsid w:val="001265CD"/>
    <w:rsid w:val="00126B82"/>
    <w:rsid w:val="0013049F"/>
    <w:rsid w:val="00130A70"/>
    <w:rsid w:val="00131689"/>
    <w:rsid w:val="00131C09"/>
    <w:rsid w:val="001325CB"/>
    <w:rsid w:val="00132615"/>
    <w:rsid w:val="00133322"/>
    <w:rsid w:val="00133CDB"/>
    <w:rsid w:val="0013400E"/>
    <w:rsid w:val="00134737"/>
    <w:rsid w:val="001347B7"/>
    <w:rsid w:val="00134C02"/>
    <w:rsid w:val="00135DFA"/>
    <w:rsid w:val="00137226"/>
    <w:rsid w:val="0013753C"/>
    <w:rsid w:val="00141675"/>
    <w:rsid w:val="0014169B"/>
    <w:rsid w:val="00141B15"/>
    <w:rsid w:val="0014514D"/>
    <w:rsid w:val="001451ED"/>
    <w:rsid w:val="00145F50"/>
    <w:rsid w:val="00146513"/>
    <w:rsid w:val="00146B44"/>
    <w:rsid w:val="00147088"/>
    <w:rsid w:val="00150075"/>
    <w:rsid w:val="00150F4C"/>
    <w:rsid w:val="0015121E"/>
    <w:rsid w:val="001514F2"/>
    <w:rsid w:val="00151A6D"/>
    <w:rsid w:val="00152B80"/>
    <w:rsid w:val="00155483"/>
    <w:rsid w:val="00157268"/>
    <w:rsid w:val="001579CB"/>
    <w:rsid w:val="00157C26"/>
    <w:rsid w:val="00157DBF"/>
    <w:rsid w:val="00160936"/>
    <w:rsid w:val="00160FF2"/>
    <w:rsid w:val="00161648"/>
    <w:rsid w:val="0016212A"/>
    <w:rsid w:val="001626BB"/>
    <w:rsid w:val="00163BAE"/>
    <w:rsid w:val="00164216"/>
    <w:rsid w:val="0016436C"/>
    <w:rsid w:val="00164758"/>
    <w:rsid w:val="0016572E"/>
    <w:rsid w:val="00165A54"/>
    <w:rsid w:val="00165D9C"/>
    <w:rsid w:val="00165DC1"/>
    <w:rsid w:val="0016652E"/>
    <w:rsid w:val="00170509"/>
    <w:rsid w:val="00170B5E"/>
    <w:rsid w:val="0017133D"/>
    <w:rsid w:val="00171D64"/>
    <w:rsid w:val="00171DB4"/>
    <w:rsid w:val="00171EA0"/>
    <w:rsid w:val="0017323B"/>
    <w:rsid w:val="00174127"/>
    <w:rsid w:val="00174447"/>
    <w:rsid w:val="001758E9"/>
    <w:rsid w:val="00175A4D"/>
    <w:rsid w:val="001763D7"/>
    <w:rsid w:val="001764F4"/>
    <w:rsid w:val="00176B08"/>
    <w:rsid w:val="00176F14"/>
    <w:rsid w:val="001800A3"/>
    <w:rsid w:val="00180511"/>
    <w:rsid w:val="00180895"/>
    <w:rsid w:val="001813F4"/>
    <w:rsid w:val="001822C2"/>
    <w:rsid w:val="00182582"/>
    <w:rsid w:val="00182B71"/>
    <w:rsid w:val="001833D3"/>
    <w:rsid w:val="00183B1B"/>
    <w:rsid w:val="00184456"/>
    <w:rsid w:val="001844DD"/>
    <w:rsid w:val="00184E37"/>
    <w:rsid w:val="0018593C"/>
    <w:rsid w:val="00186207"/>
    <w:rsid w:val="00186B55"/>
    <w:rsid w:val="001875FB"/>
    <w:rsid w:val="00187D56"/>
    <w:rsid w:val="001900E0"/>
    <w:rsid w:val="0019089F"/>
    <w:rsid w:val="00190ED6"/>
    <w:rsid w:val="00190F7B"/>
    <w:rsid w:val="00190FBE"/>
    <w:rsid w:val="0019133A"/>
    <w:rsid w:val="00192175"/>
    <w:rsid w:val="00192D45"/>
    <w:rsid w:val="00192DAF"/>
    <w:rsid w:val="0019388C"/>
    <w:rsid w:val="00194ADC"/>
    <w:rsid w:val="001953C5"/>
    <w:rsid w:val="00195DA0"/>
    <w:rsid w:val="00195FFA"/>
    <w:rsid w:val="00196E99"/>
    <w:rsid w:val="00197797"/>
    <w:rsid w:val="001A0425"/>
    <w:rsid w:val="001A2797"/>
    <w:rsid w:val="001A3017"/>
    <w:rsid w:val="001A3A46"/>
    <w:rsid w:val="001A3A8A"/>
    <w:rsid w:val="001A4955"/>
    <w:rsid w:val="001A61B5"/>
    <w:rsid w:val="001A62F5"/>
    <w:rsid w:val="001A6373"/>
    <w:rsid w:val="001A7A75"/>
    <w:rsid w:val="001B27B2"/>
    <w:rsid w:val="001B3597"/>
    <w:rsid w:val="001B38C1"/>
    <w:rsid w:val="001B3A73"/>
    <w:rsid w:val="001B5C08"/>
    <w:rsid w:val="001B6DDC"/>
    <w:rsid w:val="001B7651"/>
    <w:rsid w:val="001B7835"/>
    <w:rsid w:val="001C0746"/>
    <w:rsid w:val="001C1007"/>
    <w:rsid w:val="001C13FE"/>
    <w:rsid w:val="001C1A8A"/>
    <w:rsid w:val="001C2562"/>
    <w:rsid w:val="001C3C65"/>
    <w:rsid w:val="001C41E2"/>
    <w:rsid w:val="001C42B7"/>
    <w:rsid w:val="001C5265"/>
    <w:rsid w:val="001C6770"/>
    <w:rsid w:val="001C6876"/>
    <w:rsid w:val="001C6B1E"/>
    <w:rsid w:val="001C71CC"/>
    <w:rsid w:val="001C7B22"/>
    <w:rsid w:val="001D1293"/>
    <w:rsid w:val="001D1DF0"/>
    <w:rsid w:val="001D3DE2"/>
    <w:rsid w:val="001D3E27"/>
    <w:rsid w:val="001D3F74"/>
    <w:rsid w:val="001D4559"/>
    <w:rsid w:val="001D4CA0"/>
    <w:rsid w:val="001D4CD4"/>
    <w:rsid w:val="001D4D1C"/>
    <w:rsid w:val="001D51AC"/>
    <w:rsid w:val="001D533B"/>
    <w:rsid w:val="001E0A2B"/>
    <w:rsid w:val="001E215A"/>
    <w:rsid w:val="001E241A"/>
    <w:rsid w:val="001E31BD"/>
    <w:rsid w:val="001E377D"/>
    <w:rsid w:val="001E3AA6"/>
    <w:rsid w:val="001E5CA6"/>
    <w:rsid w:val="001E5D1F"/>
    <w:rsid w:val="001E5E5F"/>
    <w:rsid w:val="001E5F1D"/>
    <w:rsid w:val="001E6215"/>
    <w:rsid w:val="001E6D40"/>
    <w:rsid w:val="001E781A"/>
    <w:rsid w:val="001F25B1"/>
    <w:rsid w:val="001F2B50"/>
    <w:rsid w:val="001F2F24"/>
    <w:rsid w:val="001F2FAF"/>
    <w:rsid w:val="001F3558"/>
    <w:rsid w:val="001F3C2B"/>
    <w:rsid w:val="001F4178"/>
    <w:rsid w:val="001F4184"/>
    <w:rsid w:val="001F4191"/>
    <w:rsid w:val="001F4D0B"/>
    <w:rsid w:val="001F58BE"/>
    <w:rsid w:val="001F5C57"/>
    <w:rsid w:val="001F5EA7"/>
    <w:rsid w:val="001F5FFD"/>
    <w:rsid w:val="001F65BA"/>
    <w:rsid w:val="001F73DA"/>
    <w:rsid w:val="00200F23"/>
    <w:rsid w:val="0020104E"/>
    <w:rsid w:val="002015D3"/>
    <w:rsid w:val="00201C3F"/>
    <w:rsid w:val="00201FF6"/>
    <w:rsid w:val="00202A01"/>
    <w:rsid w:val="0020338C"/>
    <w:rsid w:val="002033A7"/>
    <w:rsid w:val="00203745"/>
    <w:rsid w:val="00203A9C"/>
    <w:rsid w:val="00204336"/>
    <w:rsid w:val="002047A2"/>
    <w:rsid w:val="00204B8C"/>
    <w:rsid w:val="002050A7"/>
    <w:rsid w:val="0020595D"/>
    <w:rsid w:val="00205FE7"/>
    <w:rsid w:val="00207749"/>
    <w:rsid w:val="002109E1"/>
    <w:rsid w:val="002131F6"/>
    <w:rsid w:val="00213AD6"/>
    <w:rsid w:val="00215163"/>
    <w:rsid w:val="00215538"/>
    <w:rsid w:val="00215696"/>
    <w:rsid w:val="0022215B"/>
    <w:rsid w:val="00223874"/>
    <w:rsid w:val="00223EF2"/>
    <w:rsid w:val="00224459"/>
    <w:rsid w:val="00224517"/>
    <w:rsid w:val="00224A9D"/>
    <w:rsid w:val="00225A22"/>
    <w:rsid w:val="00225E5B"/>
    <w:rsid w:val="00226B17"/>
    <w:rsid w:val="002275C3"/>
    <w:rsid w:val="0023059D"/>
    <w:rsid w:val="00231EE8"/>
    <w:rsid w:val="00232855"/>
    <w:rsid w:val="00232DC4"/>
    <w:rsid w:val="00234866"/>
    <w:rsid w:val="00234867"/>
    <w:rsid w:val="002349DA"/>
    <w:rsid w:val="00234A3E"/>
    <w:rsid w:val="00234D17"/>
    <w:rsid w:val="002360C1"/>
    <w:rsid w:val="00236471"/>
    <w:rsid w:val="002375B3"/>
    <w:rsid w:val="00237689"/>
    <w:rsid w:val="0024047F"/>
    <w:rsid w:val="00241F01"/>
    <w:rsid w:val="00241F92"/>
    <w:rsid w:val="00242CBA"/>
    <w:rsid w:val="00243424"/>
    <w:rsid w:val="00243CB3"/>
    <w:rsid w:val="00244640"/>
    <w:rsid w:val="0024621C"/>
    <w:rsid w:val="0024644D"/>
    <w:rsid w:val="00246492"/>
    <w:rsid w:val="00246A74"/>
    <w:rsid w:val="002476E6"/>
    <w:rsid w:val="00247F8C"/>
    <w:rsid w:val="00247FEC"/>
    <w:rsid w:val="00250D26"/>
    <w:rsid w:val="00251096"/>
    <w:rsid w:val="00251665"/>
    <w:rsid w:val="00251697"/>
    <w:rsid w:val="00251FBD"/>
    <w:rsid w:val="00252F82"/>
    <w:rsid w:val="00253C43"/>
    <w:rsid w:val="00253C68"/>
    <w:rsid w:val="0025466F"/>
    <w:rsid w:val="00254688"/>
    <w:rsid w:val="0025497F"/>
    <w:rsid w:val="00254E2C"/>
    <w:rsid w:val="0025582E"/>
    <w:rsid w:val="0025594B"/>
    <w:rsid w:val="0025634C"/>
    <w:rsid w:val="00257BD4"/>
    <w:rsid w:val="0026002C"/>
    <w:rsid w:val="00260585"/>
    <w:rsid w:val="00260B74"/>
    <w:rsid w:val="00260F21"/>
    <w:rsid w:val="0026191E"/>
    <w:rsid w:val="002619DE"/>
    <w:rsid w:val="00261E42"/>
    <w:rsid w:val="002625C3"/>
    <w:rsid w:val="002628A3"/>
    <w:rsid w:val="00262B92"/>
    <w:rsid w:val="00264108"/>
    <w:rsid w:val="002643D2"/>
    <w:rsid w:val="00264B7C"/>
    <w:rsid w:val="00264DFD"/>
    <w:rsid w:val="0026533D"/>
    <w:rsid w:val="002662BC"/>
    <w:rsid w:val="0026727A"/>
    <w:rsid w:val="0026772C"/>
    <w:rsid w:val="00267F31"/>
    <w:rsid w:val="00270007"/>
    <w:rsid w:val="00270482"/>
    <w:rsid w:val="00271B05"/>
    <w:rsid w:val="00272796"/>
    <w:rsid w:val="002731AB"/>
    <w:rsid w:val="00274485"/>
    <w:rsid w:val="002756E8"/>
    <w:rsid w:val="002763D6"/>
    <w:rsid w:val="00277D60"/>
    <w:rsid w:val="0028041A"/>
    <w:rsid w:val="00280752"/>
    <w:rsid w:val="00281AE5"/>
    <w:rsid w:val="0028243F"/>
    <w:rsid w:val="002825C6"/>
    <w:rsid w:val="002827B2"/>
    <w:rsid w:val="0028336C"/>
    <w:rsid w:val="00283D4E"/>
    <w:rsid w:val="0028409A"/>
    <w:rsid w:val="00284B10"/>
    <w:rsid w:val="002858AC"/>
    <w:rsid w:val="00291B78"/>
    <w:rsid w:val="00291C45"/>
    <w:rsid w:val="00292DEA"/>
    <w:rsid w:val="00293122"/>
    <w:rsid w:val="00294149"/>
    <w:rsid w:val="00295758"/>
    <w:rsid w:val="0029577B"/>
    <w:rsid w:val="00296F65"/>
    <w:rsid w:val="00297A54"/>
    <w:rsid w:val="002A0EF9"/>
    <w:rsid w:val="002A1100"/>
    <w:rsid w:val="002A168A"/>
    <w:rsid w:val="002A1F7C"/>
    <w:rsid w:val="002A276D"/>
    <w:rsid w:val="002A2F73"/>
    <w:rsid w:val="002A38D6"/>
    <w:rsid w:val="002A39D6"/>
    <w:rsid w:val="002A4245"/>
    <w:rsid w:val="002A4F2A"/>
    <w:rsid w:val="002A4F43"/>
    <w:rsid w:val="002B0FB3"/>
    <w:rsid w:val="002B1A7B"/>
    <w:rsid w:val="002B3A64"/>
    <w:rsid w:val="002B3EF1"/>
    <w:rsid w:val="002B53E4"/>
    <w:rsid w:val="002B5F55"/>
    <w:rsid w:val="002B61D9"/>
    <w:rsid w:val="002B74F3"/>
    <w:rsid w:val="002B7A7A"/>
    <w:rsid w:val="002B7FE6"/>
    <w:rsid w:val="002C0125"/>
    <w:rsid w:val="002C0BCA"/>
    <w:rsid w:val="002C12E3"/>
    <w:rsid w:val="002C1800"/>
    <w:rsid w:val="002C1987"/>
    <w:rsid w:val="002C1E33"/>
    <w:rsid w:val="002C28E7"/>
    <w:rsid w:val="002C4102"/>
    <w:rsid w:val="002C43B8"/>
    <w:rsid w:val="002C4FA7"/>
    <w:rsid w:val="002C52F3"/>
    <w:rsid w:val="002C5894"/>
    <w:rsid w:val="002D18F7"/>
    <w:rsid w:val="002D2E32"/>
    <w:rsid w:val="002D44CB"/>
    <w:rsid w:val="002D4BBF"/>
    <w:rsid w:val="002D67DF"/>
    <w:rsid w:val="002D7057"/>
    <w:rsid w:val="002D7769"/>
    <w:rsid w:val="002E0468"/>
    <w:rsid w:val="002E151C"/>
    <w:rsid w:val="002E2603"/>
    <w:rsid w:val="002E2F6F"/>
    <w:rsid w:val="002E5781"/>
    <w:rsid w:val="002E7E9D"/>
    <w:rsid w:val="002F0A4E"/>
    <w:rsid w:val="002F20D6"/>
    <w:rsid w:val="002F2C5C"/>
    <w:rsid w:val="002F3396"/>
    <w:rsid w:val="002F4033"/>
    <w:rsid w:val="002F45E2"/>
    <w:rsid w:val="002F4E0D"/>
    <w:rsid w:val="002F4E98"/>
    <w:rsid w:val="002F60F1"/>
    <w:rsid w:val="002F61DF"/>
    <w:rsid w:val="002F74E5"/>
    <w:rsid w:val="00300BBA"/>
    <w:rsid w:val="00302197"/>
    <w:rsid w:val="0030277A"/>
    <w:rsid w:val="00302C6E"/>
    <w:rsid w:val="00302F6D"/>
    <w:rsid w:val="0030380A"/>
    <w:rsid w:val="00303CBF"/>
    <w:rsid w:val="00305879"/>
    <w:rsid w:val="00305FD7"/>
    <w:rsid w:val="0030675B"/>
    <w:rsid w:val="00306871"/>
    <w:rsid w:val="0030699F"/>
    <w:rsid w:val="003101D7"/>
    <w:rsid w:val="00310490"/>
    <w:rsid w:val="003105E1"/>
    <w:rsid w:val="00311242"/>
    <w:rsid w:val="00313214"/>
    <w:rsid w:val="003145DB"/>
    <w:rsid w:val="003164AD"/>
    <w:rsid w:val="00316781"/>
    <w:rsid w:val="0031683F"/>
    <w:rsid w:val="00316A13"/>
    <w:rsid w:val="00320894"/>
    <w:rsid w:val="00321041"/>
    <w:rsid w:val="00321D72"/>
    <w:rsid w:val="00322007"/>
    <w:rsid w:val="00322C58"/>
    <w:rsid w:val="00322E55"/>
    <w:rsid w:val="0032321A"/>
    <w:rsid w:val="003232C8"/>
    <w:rsid w:val="00323C98"/>
    <w:rsid w:val="00323DBD"/>
    <w:rsid w:val="0032577B"/>
    <w:rsid w:val="00326135"/>
    <w:rsid w:val="00326663"/>
    <w:rsid w:val="003278BF"/>
    <w:rsid w:val="00327C3E"/>
    <w:rsid w:val="00327E01"/>
    <w:rsid w:val="00330B88"/>
    <w:rsid w:val="00330ED8"/>
    <w:rsid w:val="0033163F"/>
    <w:rsid w:val="0033188F"/>
    <w:rsid w:val="003319BD"/>
    <w:rsid w:val="00331B43"/>
    <w:rsid w:val="00332C90"/>
    <w:rsid w:val="00332D52"/>
    <w:rsid w:val="00333B1F"/>
    <w:rsid w:val="00336E5E"/>
    <w:rsid w:val="0033793B"/>
    <w:rsid w:val="00337C37"/>
    <w:rsid w:val="00341180"/>
    <w:rsid w:val="00341563"/>
    <w:rsid w:val="00341FB1"/>
    <w:rsid w:val="00343751"/>
    <w:rsid w:val="00343B45"/>
    <w:rsid w:val="003443EC"/>
    <w:rsid w:val="0034458B"/>
    <w:rsid w:val="00344E14"/>
    <w:rsid w:val="003466DA"/>
    <w:rsid w:val="00347371"/>
    <w:rsid w:val="003503B2"/>
    <w:rsid w:val="00350832"/>
    <w:rsid w:val="0035108D"/>
    <w:rsid w:val="00351201"/>
    <w:rsid w:val="00351B2C"/>
    <w:rsid w:val="00351BD3"/>
    <w:rsid w:val="00352388"/>
    <w:rsid w:val="00353155"/>
    <w:rsid w:val="00353591"/>
    <w:rsid w:val="00354372"/>
    <w:rsid w:val="00354F51"/>
    <w:rsid w:val="00355F62"/>
    <w:rsid w:val="0035727D"/>
    <w:rsid w:val="0035781D"/>
    <w:rsid w:val="0035786C"/>
    <w:rsid w:val="003611CB"/>
    <w:rsid w:val="003623A5"/>
    <w:rsid w:val="00362872"/>
    <w:rsid w:val="0036312B"/>
    <w:rsid w:val="00363352"/>
    <w:rsid w:val="003639D7"/>
    <w:rsid w:val="00364025"/>
    <w:rsid w:val="003640DC"/>
    <w:rsid w:val="00364B00"/>
    <w:rsid w:val="00364E3F"/>
    <w:rsid w:val="00365532"/>
    <w:rsid w:val="003655DC"/>
    <w:rsid w:val="00365989"/>
    <w:rsid w:val="00365BDC"/>
    <w:rsid w:val="00366507"/>
    <w:rsid w:val="00367C03"/>
    <w:rsid w:val="00370199"/>
    <w:rsid w:val="00370C39"/>
    <w:rsid w:val="00370F58"/>
    <w:rsid w:val="00371190"/>
    <w:rsid w:val="00371585"/>
    <w:rsid w:val="003722E6"/>
    <w:rsid w:val="00372C55"/>
    <w:rsid w:val="00373042"/>
    <w:rsid w:val="00373D3B"/>
    <w:rsid w:val="003745AD"/>
    <w:rsid w:val="003745AE"/>
    <w:rsid w:val="00374DD3"/>
    <w:rsid w:val="00375E6B"/>
    <w:rsid w:val="00376281"/>
    <w:rsid w:val="00376EB4"/>
    <w:rsid w:val="00377031"/>
    <w:rsid w:val="00377EC1"/>
    <w:rsid w:val="00380B7C"/>
    <w:rsid w:val="00383341"/>
    <w:rsid w:val="003849B4"/>
    <w:rsid w:val="0038568C"/>
    <w:rsid w:val="00385E48"/>
    <w:rsid w:val="0038627A"/>
    <w:rsid w:val="00386DF2"/>
    <w:rsid w:val="00387664"/>
    <w:rsid w:val="00387E5D"/>
    <w:rsid w:val="00390F87"/>
    <w:rsid w:val="00391653"/>
    <w:rsid w:val="00391EAB"/>
    <w:rsid w:val="0039398D"/>
    <w:rsid w:val="00394775"/>
    <w:rsid w:val="003949A5"/>
    <w:rsid w:val="00395173"/>
    <w:rsid w:val="0039536C"/>
    <w:rsid w:val="003960B6"/>
    <w:rsid w:val="00396351"/>
    <w:rsid w:val="00396E39"/>
    <w:rsid w:val="0039778F"/>
    <w:rsid w:val="00397CDC"/>
    <w:rsid w:val="003A0274"/>
    <w:rsid w:val="003A0313"/>
    <w:rsid w:val="003A0661"/>
    <w:rsid w:val="003A118E"/>
    <w:rsid w:val="003A1888"/>
    <w:rsid w:val="003A1FFE"/>
    <w:rsid w:val="003A24BA"/>
    <w:rsid w:val="003A3A09"/>
    <w:rsid w:val="003A3A88"/>
    <w:rsid w:val="003A3DAE"/>
    <w:rsid w:val="003A4105"/>
    <w:rsid w:val="003A4711"/>
    <w:rsid w:val="003A4BDC"/>
    <w:rsid w:val="003A4EFF"/>
    <w:rsid w:val="003A5B73"/>
    <w:rsid w:val="003A6DB7"/>
    <w:rsid w:val="003B1579"/>
    <w:rsid w:val="003B2DE8"/>
    <w:rsid w:val="003B3C18"/>
    <w:rsid w:val="003B3EA6"/>
    <w:rsid w:val="003B3F66"/>
    <w:rsid w:val="003B3FC4"/>
    <w:rsid w:val="003B4119"/>
    <w:rsid w:val="003B46EA"/>
    <w:rsid w:val="003B4D36"/>
    <w:rsid w:val="003B68C7"/>
    <w:rsid w:val="003B6B3C"/>
    <w:rsid w:val="003B6C99"/>
    <w:rsid w:val="003B7141"/>
    <w:rsid w:val="003B74C8"/>
    <w:rsid w:val="003C112E"/>
    <w:rsid w:val="003C16DC"/>
    <w:rsid w:val="003C226F"/>
    <w:rsid w:val="003C2B6A"/>
    <w:rsid w:val="003C3478"/>
    <w:rsid w:val="003C3491"/>
    <w:rsid w:val="003C3647"/>
    <w:rsid w:val="003C40C5"/>
    <w:rsid w:val="003C43E6"/>
    <w:rsid w:val="003C52A8"/>
    <w:rsid w:val="003C5677"/>
    <w:rsid w:val="003C617A"/>
    <w:rsid w:val="003D101F"/>
    <w:rsid w:val="003D2BAF"/>
    <w:rsid w:val="003D3317"/>
    <w:rsid w:val="003D40CD"/>
    <w:rsid w:val="003D4C9C"/>
    <w:rsid w:val="003E0FF6"/>
    <w:rsid w:val="003E1029"/>
    <w:rsid w:val="003E1388"/>
    <w:rsid w:val="003E21DF"/>
    <w:rsid w:val="003E2417"/>
    <w:rsid w:val="003E2518"/>
    <w:rsid w:val="003E2882"/>
    <w:rsid w:val="003E3166"/>
    <w:rsid w:val="003E4219"/>
    <w:rsid w:val="003E49AF"/>
    <w:rsid w:val="003E4CB6"/>
    <w:rsid w:val="003E5A15"/>
    <w:rsid w:val="003E6272"/>
    <w:rsid w:val="003E6BE8"/>
    <w:rsid w:val="003E7C51"/>
    <w:rsid w:val="003E7D14"/>
    <w:rsid w:val="003F0174"/>
    <w:rsid w:val="003F097E"/>
    <w:rsid w:val="003F0E12"/>
    <w:rsid w:val="003F1DB9"/>
    <w:rsid w:val="003F2198"/>
    <w:rsid w:val="003F2823"/>
    <w:rsid w:val="003F3D1C"/>
    <w:rsid w:val="003F428F"/>
    <w:rsid w:val="003F763A"/>
    <w:rsid w:val="003F7A2C"/>
    <w:rsid w:val="003F7B43"/>
    <w:rsid w:val="00400873"/>
    <w:rsid w:val="0040144E"/>
    <w:rsid w:val="00401B19"/>
    <w:rsid w:val="00402330"/>
    <w:rsid w:val="0040327C"/>
    <w:rsid w:val="00403B8B"/>
    <w:rsid w:val="00404A57"/>
    <w:rsid w:val="00404D4D"/>
    <w:rsid w:val="004050F2"/>
    <w:rsid w:val="00405A58"/>
    <w:rsid w:val="00406032"/>
    <w:rsid w:val="004062FB"/>
    <w:rsid w:val="004102AB"/>
    <w:rsid w:val="00410784"/>
    <w:rsid w:val="00411969"/>
    <w:rsid w:val="004127EB"/>
    <w:rsid w:val="00415183"/>
    <w:rsid w:val="0041585E"/>
    <w:rsid w:val="00416E7D"/>
    <w:rsid w:val="0041775F"/>
    <w:rsid w:val="00420859"/>
    <w:rsid w:val="004217E3"/>
    <w:rsid w:val="00421C0C"/>
    <w:rsid w:val="00422C95"/>
    <w:rsid w:val="00423A66"/>
    <w:rsid w:val="00423EA8"/>
    <w:rsid w:val="00424A29"/>
    <w:rsid w:val="0042674B"/>
    <w:rsid w:val="00427BC9"/>
    <w:rsid w:val="00427CC6"/>
    <w:rsid w:val="00430B6C"/>
    <w:rsid w:val="00434802"/>
    <w:rsid w:val="00434E86"/>
    <w:rsid w:val="00435ED8"/>
    <w:rsid w:val="00436206"/>
    <w:rsid w:val="00440040"/>
    <w:rsid w:val="00440139"/>
    <w:rsid w:val="00440A3D"/>
    <w:rsid w:val="00441B55"/>
    <w:rsid w:val="00442293"/>
    <w:rsid w:val="004424E1"/>
    <w:rsid w:val="00443746"/>
    <w:rsid w:val="00443E1F"/>
    <w:rsid w:val="00443E53"/>
    <w:rsid w:val="004444D9"/>
    <w:rsid w:val="00444A2D"/>
    <w:rsid w:val="004471DD"/>
    <w:rsid w:val="004500ED"/>
    <w:rsid w:val="00450920"/>
    <w:rsid w:val="004509C2"/>
    <w:rsid w:val="00451CC4"/>
    <w:rsid w:val="00451EA8"/>
    <w:rsid w:val="00453CC6"/>
    <w:rsid w:val="00454CB8"/>
    <w:rsid w:val="00455068"/>
    <w:rsid w:val="004550FB"/>
    <w:rsid w:val="0045519D"/>
    <w:rsid w:val="00455BB9"/>
    <w:rsid w:val="00456D6D"/>
    <w:rsid w:val="0045785F"/>
    <w:rsid w:val="00460071"/>
    <w:rsid w:val="00460BDE"/>
    <w:rsid w:val="0046149F"/>
    <w:rsid w:val="00461BEB"/>
    <w:rsid w:val="0046456B"/>
    <w:rsid w:val="004646FE"/>
    <w:rsid w:val="004657C3"/>
    <w:rsid w:val="00465D35"/>
    <w:rsid w:val="0046600A"/>
    <w:rsid w:val="0046644E"/>
    <w:rsid w:val="00466702"/>
    <w:rsid w:val="00466A3C"/>
    <w:rsid w:val="00467FB8"/>
    <w:rsid w:val="004704E3"/>
    <w:rsid w:val="004705F0"/>
    <w:rsid w:val="004713D8"/>
    <w:rsid w:val="004718B6"/>
    <w:rsid w:val="004719C3"/>
    <w:rsid w:val="00473C4D"/>
    <w:rsid w:val="00473D96"/>
    <w:rsid w:val="004746B0"/>
    <w:rsid w:val="00474908"/>
    <w:rsid w:val="00474BC9"/>
    <w:rsid w:val="00475079"/>
    <w:rsid w:val="004758FC"/>
    <w:rsid w:val="00475DE3"/>
    <w:rsid w:val="0047665C"/>
    <w:rsid w:val="00477240"/>
    <w:rsid w:val="00481730"/>
    <w:rsid w:val="00483387"/>
    <w:rsid w:val="00483DF0"/>
    <w:rsid w:val="00484B5A"/>
    <w:rsid w:val="00484BC5"/>
    <w:rsid w:val="00485340"/>
    <w:rsid w:val="00485A70"/>
    <w:rsid w:val="00485C79"/>
    <w:rsid w:val="0048633D"/>
    <w:rsid w:val="00486E8D"/>
    <w:rsid w:val="00490FE5"/>
    <w:rsid w:val="00491581"/>
    <w:rsid w:val="0049186B"/>
    <w:rsid w:val="004921F5"/>
    <w:rsid w:val="00492222"/>
    <w:rsid w:val="00492AB6"/>
    <w:rsid w:val="00492BE8"/>
    <w:rsid w:val="00492E62"/>
    <w:rsid w:val="004932A4"/>
    <w:rsid w:val="00493A81"/>
    <w:rsid w:val="00493ACB"/>
    <w:rsid w:val="00493ED2"/>
    <w:rsid w:val="004961A7"/>
    <w:rsid w:val="00496442"/>
    <w:rsid w:val="004966BA"/>
    <w:rsid w:val="004967BB"/>
    <w:rsid w:val="0049720D"/>
    <w:rsid w:val="004A0B82"/>
    <w:rsid w:val="004A102E"/>
    <w:rsid w:val="004A1448"/>
    <w:rsid w:val="004A1E1C"/>
    <w:rsid w:val="004A281D"/>
    <w:rsid w:val="004A2AC1"/>
    <w:rsid w:val="004A32B8"/>
    <w:rsid w:val="004A4C04"/>
    <w:rsid w:val="004A5053"/>
    <w:rsid w:val="004A5C46"/>
    <w:rsid w:val="004A68D7"/>
    <w:rsid w:val="004A7D7F"/>
    <w:rsid w:val="004B0013"/>
    <w:rsid w:val="004B01C9"/>
    <w:rsid w:val="004B2502"/>
    <w:rsid w:val="004B2583"/>
    <w:rsid w:val="004B260D"/>
    <w:rsid w:val="004B2A82"/>
    <w:rsid w:val="004B2C36"/>
    <w:rsid w:val="004B2CE0"/>
    <w:rsid w:val="004B39D1"/>
    <w:rsid w:val="004B41E8"/>
    <w:rsid w:val="004B5480"/>
    <w:rsid w:val="004B583A"/>
    <w:rsid w:val="004B5AB2"/>
    <w:rsid w:val="004B6AEA"/>
    <w:rsid w:val="004B6B93"/>
    <w:rsid w:val="004B6DEB"/>
    <w:rsid w:val="004B6E9F"/>
    <w:rsid w:val="004B7238"/>
    <w:rsid w:val="004C000C"/>
    <w:rsid w:val="004C083A"/>
    <w:rsid w:val="004C12E2"/>
    <w:rsid w:val="004C149B"/>
    <w:rsid w:val="004C160F"/>
    <w:rsid w:val="004C1A7A"/>
    <w:rsid w:val="004C23A8"/>
    <w:rsid w:val="004C2D0D"/>
    <w:rsid w:val="004C3D47"/>
    <w:rsid w:val="004C3E9C"/>
    <w:rsid w:val="004C53A4"/>
    <w:rsid w:val="004C5E58"/>
    <w:rsid w:val="004C5FD1"/>
    <w:rsid w:val="004C625C"/>
    <w:rsid w:val="004C7709"/>
    <w:rsid w:val="004D121E"/>
    <w:rsid w:val="004D12FA"/>
    <w:rsid w:val="004D21D7"/>
    <w:rsid w:val="004D28EC"/>
    <w:rsid w:val="004D4133"/>
    <w:rsid w:val="004D4AB2"/>
    <w:rsid w:val="004D6BC8"/>
    <w:rsid w:val="004D6C23"/>
    <w:rsid w:val="004D7885"/>
    <w:rsid w:val="004D79A6"/>
    <w:rsid w:val="004D7D98"/>
    <w:rsid w:val="004E062D"/>
    <w:rsid w:val="004E1D9E"/>
    <w:rsid w:val="004E272A"/>
    <w:rsid w:val="004E27C0"/>
    <w:rsid w:val="004E3EAB"/>
    <w:rsid w:val="004E3FA7"/>
    <w:rsid w:val="004E4231"/>
    <w:rsid w:val="004E4F0C"/>
    <w:rsid w:val="004E5700"/>
    <w:rsid w:val="004E5C57"/>
    <w:rsid w:val="004E6727"/>
    <w:rsid w:val="004E6AAD"/>
    <w:rsid w:val="004E7BD0"/>
    <w:rsid w:val="004E7E58"/>
    <w:rsid w:val="004F03B1"/>
    <w:rsid w:val="004F22C5"/>
    <w:rsid w:val="004F2E68"/>
    <w:rsid w:val="004F33DD"/>
    <w:rsid w:val="004F37D1"/>
    <w:rsid w:val="004F3FD3"/>
    <w:rsid w:val="004F76DD"/>
    <w:rsid w:val="00500009"/>
    <w:rsid w:val="005001D9"/>
    <w:rsid w:val="005006AF"/>
    <w:rsid w:val="005008CE"/>
    <w:rsid w:val="00500FE3"/>
    <w:rsid w:val="005013B9"/>
    <w:rsid w:val="0050254B"/>
    <w:rsid w:val="00502714"/>
    <w:rsid w:val="005027BD"/>
    <w:rsid w:val="00502A95"/>
    <w:rsid w:val="00502D0C"/>
    <w:rsid w:val="00503095"/>
    <w:rsid w:val="00503C6D"/>
    <w:rsid w:val="005041D9"/>
    <w:rsid w:val="005056B7"/>
    <w:rsid w:val="00506583"/>
    <w:rsid w:val="0050724E"/>
    <w:rsid w:val="005079CE"/>
    <w:rsid w:val="00511751"/>
    <w:rsid w:val="005121D0"/>
    <w:rsid w:val="005125E1"/>
    <w:rsid w:val="00512897"/>
    <w:rsid w:val="0051423C"/>
    <w:rsid w:val="00514D46"/>
    <w:rsid w:val="00514D97"/>
    <w:rsid w:val="00515685"/>
    <w:rsid w:val="0051587A"/>
    <w:rsid w:val="0051591E"/>
    <w:rsid w:val="00516D4A"/>
    <w:rsid w:val="005170A3"/>
    <w:rsid w:val="00517901"/>
    <w:rsid w:val="00517AAF"/>
    <w:rsid w:val="00520E67"/>
    <w:rsid w:val="005257D0"/>
    <w:rsid w:val="00525FF2"/>
    <w:rsid w:val="0052651D"/>
    <w:rsid w:val="005269B3"/>
    <w:rsid w:val="00526C58"/>
    <w:rsid w:val="00527077"/>
    <w:rsid w:val="00527249"/>
    <w:rsid w:val="005277C1"/>
    <w:rsid w:val="00527EAF"/>
    <w:rsid w:val="005308F0"/>
    <w:rsid w:val="005314F5"/>
    <w:rsid w:val="00532B31"/>
    <w:rsid w:val="00532CA2"/>
    <w:rsid w:val="0053459F"/>
    <w:rsid w:val="00534701"/>
    <w:rsid w:val="00534EF7"/>
    <w:rsid w:val="00535498"/>
    <w:rsid w:val="005365AE"/>
    <w:rsid w:val="0053678E"/>
    <w:rsid w:val="005367F5"/>
    <w:rsid w:val="00537969"/>
    <w:rsid w:val="00537D7F"/>
    <w:rsid w:val="0054015D"/>
    <w:rsid w:val="00540865"/>
    <w:rsid w:val="00540BFE"/>
    <w:rsid w:val="005414AD"/>
    <w:rsid w:val="00541975"/>
    <w:rsid w:val="00541D0F"/>
    <w:rsid w:val="00541E77"/>
    <w:rsid w:val="00542C26"/>
    <w:rsid w:val="00542DE8"/>
    <w:rsid w:val="00543633"/>
    <w:rsid w:val="005450C5"/>
    <w:rsid w:val="00545388"/>
    <w:rsid w:val="005459B2"/>
    <w:rsid w:val="00545EA3"/>
    <w:rsid w:val="00545F65"/>
    <w:rsid w:val="00545FD5"/>
    <w:rsid w:val="0054633D"/>
    <w:rsid w:val="00546392"/>
    <w:rsid w:val="005468FD"/>
    <w:rsid w:val="00547C23"/>
    <w:rsid w:val="00550E93"/>
    <w:rsid w:val="00551A8C"/>
    <w:rsid w:val="00552285"/>
    <w:rsid w:val="00552993"/>
    <w:rsid w:val="00552E4C"/>
    <w:rsid w:val="0055333F"/>
    <w:rsid w:val="005540B2"/>
    <w:rsid w:val="0055509A"/>
    <w:rsid w:val="00555D05"/>
    <w:rsid w:val="00555E8D"/>
    <w:rsid w:val="00556027"/>
    <w:rsid w:val="005565E4"/>
    <w:rsid w:val="00560B57"/>
    <w:rsid w:val="00562EB8"/>
    <w:rsid w:val="00563047"/>
    <w:rsid w:val="00563E33"/>
    <w:rsid w:val="005669FC"/>
    <w:rsid w:val="00567542"/>
    <w:rsid w:val="00567EE2"/>
    <w:rsid w:val="00570411"/>
    <w:rsid w:val="00570941"/>
    <w:rsid w:val="00571074"/>
    <w:rsid w:val="005720D2"/>
    <w:rsid w:val="00575110"/>
    <w:rsid w:val="00576126"/>
    <w:rsid w:val="005761E7"/>
    <w:rsid w:val="00576871"/>
    <w:rsid w:val="00576FB7"/>
    <w:rsid w:val="00577336"/>
    <w:rsid w:val="005775A7"/>
    <w:rsid w:val="00577F76"/>
    <w:rsid w:val="00580B0D"/>
    <w:rsid w:val="00580C98"/>
    <w:rsid w:val="00581D4E"/>
    <w:rsid w:val="00582057"/>
    <w:rsid w:val="00582E1E"/>
    <w:rsid w:val="005830A7"/>
    <w:rsid w:val="00584319"/>
    <w:rsid w:val="005848B6"/>
    <w:rsid w:val="005853CA"/>
    <w:rsid w:val="00587754"/>
    <w:rsid w:val="00590896"/>
    <w:rsid w:val="0059089D"/>
    <w:rsid w:val="00591370"/>
    <w:rsid w:val="0059188D"/>
    <w:rsid w:val="00592DCF"/>
    <w:rsid w:val="0059372E"/>
    <w:rsid w:val="005943FB"/>
    <w:rsid w:val="005944A5"/>
    <w:rsid w:val="00594E8C"/>
    <w:rsid w:val="0059545B"/>
    <w:rsid w:val="00595910"/>
    <w:rsid w:val="00595C64"/>
    <w:rsid w:val="005977CD"/>
    <w:rsid w:val="00597DE6"/>
    <w:rsid w:val="005A0A2D"/>
    <w:rsid w:val="005A0C2B"/>
    <w:rsid w:val="005A141E"/>
    <w:rsid w:val="005A1627"/>
    <w:rsid w:val="005A1D05"/>
    <w:rsid w:val="005A25EF"/>
    <w:rsid w:val="005A3D0E"/>
    <w:rsid w:val="005A4B3E"/>
    <w:rsid w:val="005A5179"/>
    <w:rsid w:val="005A5F10"/>
    <w:rsid w:val="005A64F4"/>
    <w:rsid w:val="005A67FF"/>
    <w:rsid w:val="005A6B38"/>
    <w:rsid w:val="005A79CE"/>
    <w:rsid w:val="005A7E52"/>
    <w:rsid w:val="005B082A"/>
    <w:rsid w:val="005B08B6"/>
    <w:rsid w:val="005B0BCA"/>
    <w:rsid w:val="005B0FDB"/>
    <w:rsid w:val="005B10E3"/>
    <w:rsid w:val="005B1DD9"/>
    <w:rsid w:val="005B2D28"/>
    <w:rsid w:val="005B30A4"/>
    <w:rsid w:val="005B6745"/>
    <w:rsid w:val="005B7C4B"/>
    <w:rsid w:val="005C0218"/>
    <w:rsid w:val="005C0247"/>
    <w:rsid w:val="005C0954"/>
    <w:rsid w:val="005C116D"/>
    <w:rsid w:val="005C197E"/>
    <w:rsid w:val="005C1BF0"/>
    <w:rsid w:val="005C23B9"/>
    <w:rsid w:val="005C34DD"/>
    <w:rsid w:val="005C3698"/>
    <w:rsid w:val="005C3754"/>
    <w:rsid w:val="005C404D"/>
    <w:rsid w:val="005C4855"/>
    <w:rsid w:val="005C4AD0"/>
    <w:rsid w:val="005C6395"/>
    <w:rsid w:val="005C6F50"/>
    <w:rsid w:val="005C7076"/>
    <w:rsid w:val="005C78AD"/>
    <w:rsid w:val="005D012E"/>
    <w:rsid w:val="005D11A5"/>
    <w:rsid w:val="005D1A10"/>
    <w:rsid w:val="005D34C3"/>
    <w:rsid w:val="005D3C0C"/>
    <w:rsid w:val="005D3D7C"/>
    <w:rsid w:val="005D4C70"/>
    <w:rsid w:val="005D4EA4"/>
    <w:rsid w:val="005D5C48"/>
    <w:rsid w:val="005D63D3"/>
    <w:rsid w:val="005D6654"/>
    <w:rsid w:val="005D690F"/>
    <w:rsid w:val="005D6E7B"/>
    <w:rsid w:val="005D78A1"/>
    <w:rsid w:val="005D7BBA"/>
    <w:rsid w:val="005E0124"/>
    <w:rsid w:val="005E08C0"/>
    <w:rsid w:val="005E0A05"/>
    <w:rsid w:val="005E0CE9"/>
    <w:rsid w:val="005E0D0E"/>
    <w:rsid w:val="005E18F1"/>
    <w:rsid w:val="005E1DF8"/>
    <w:rsid w:val="005E2007"/>
    <w:rsid w:val="005E2450"/>
    <w:rsid w:val="005E2CEA"/>
    <w:rsid w:val="005E3669"/>
    <w:rsid w:val="005E3A71"/>
    <w:rsid w:val="005E5634"/>
    <w:rsid w:val="005E56FE"/>
    <w:rsid w:val="005E5DC0"/>
    <w:rsid w:val="005E6680"/>
    <w:rsid w:val="005E66D3"/>
    <w:rsid w:val="005E71C9"/>
    <w:rsid w:val="005E7246"/>
    <w:rsid w:val="005F6406"/>
    <w:rsid w:val="005F696C"/>
    <w:rsid w:val="005F6F2A"/>
    <w:rsid w:val="005F726E"/>
    <w:rsid w:val="0060058C"/>
    <w:rsid w:val="0060071B"/>
    <w:rsid w:val="006008F0"/>
    <w:rsid w:val="006010E3"/>
    <w:rsid w:val="0060142F"/>
    <w:rsid w:val="00601A4B"/>
    <w:rsid w:val="006029CE"/>
    <w:rsid w:val="00603660"/>
    <w:rsid w:val="00604D45"/>
    <w:rsid w:val="00606920"/>
    <w:rsid w:val="00606FFD"/>
    <w:rsid w:val="006101B7"/>
    <w:rsid w:val="00610662"/>
    <w:rsid w:val="0061217A"/>
    <w:rsid w:val="0061238B"/>
    <w:rsid w:val="00612A4F"/>
    <w:rsid w:val="00612B02"/>
    <w:rsid w:val="00612EAF"/>
    <w:rsid w:val="00613449"/>
    <w:rsid w:val="006137BA"/>
    <w:rsid w:val="00613855"/>
    <w:rsid w:val="00614957"/>
    <w:rsid w:val="0061558F"/>
    <w:rsid w:val="0061562A"/>
    <w:rsid w:val="00616709"/>
    <w:rsid w:val="00616C55"/>
    <w:rsid w:val="00617666"/>
    <w:rsid w:val="00617FF2"/>
    <w:rsid w:val="0062224F"/>
    <w:rsid w:val="00622E71"/>
    <w:rsid w:val="00624B9B"/>
    <w:rsid w:val="00625C68"/>
    <w:rsid w:val="00625F00"/>
    <w:rsid w:val="006275DF"/>
    <w:rsid w:val="006309FA"/>
    <w:rsid w:val="00631568"/>
    <w:rsid w:val="00631C65"/>
    <w:rsid w:val="00631F9A"/>
    <w:rsid w:val="006335F0"/>
    <w:rsid w:val="00634739"/>
    <w:rsid w:val="00634AB1"/>
    <w:rsid w:val="006352B5"/>
    <w:rsid w:val="006362C0"/>
    <w:rsid w:val="006367DB"/>
    <w:rsid w:val="006400C3"/>
    <w:rsid w:val="0064047E"/>
    <w:rsid w:val="006412FA"/>
    <w:rsid w:val="00641BEA"/>
    <w:rsid w:val="00642B18"/>
    <w:rsid w:val="00642E79"/>
    <w:rsid w:val="006446FF"/>
    <w:rsid w:val="00645463"/>
    <w:rsid w:val="00645D2B"/>
    <w:rsid w:val="00645E71"/>
    <w:rsid w:val="00647283"/>
    <w:rsid w:val="0065018E"/>
    <w:rsid w:val="006516C4"/>
    <w:rsid w:val="00651A27"/>
    <w:rsid w:val="00651CCD"/>
    <w:rsid w:val="00652468"/>
    <w:rsid w:val="00652C0D"/>
    <w:rsid w:val="00655225"/>
    <w:rsid w:val="00655310"/>
    <w:rsid w:val="00655E4D"/>
    <w:rsid w:val="00656541"/>
    <w:rsid w:val="006570B9"/>
    <w:rsid w:val="006571C8"/>
    <w:rsid w:val="00657CC7"/>
    <w:rsid w:val="006600F5"/>
    <w:rsid w:val="006609F1"/>
    <w:rsid w:val="0066173C"/>
    <w:rsid w:val="00661FC9"/>
    <w:rsid w:val="006626D6"/>
    <w:rsid w:val="00662CC7"/>
    <w:rsid w:val="0066367A"/>
    <w:rsid w:val="00663EB4"/>
    <w:rsid w:val="00664295"/>
    <w:rsid w:val="006658D1"/>
    <w:rsid w:val="006659B5"/>
    <w:rsid w:val="006668A7"/>
    <w:rsid w:val="00670008"/>
    <w:rsid w:val="0067002C"/>
    <w:rsid w:val="0067014A"/>
    <w:rsid w:val="00670E84"/>
    <w:rsid w:val="0067219D"/>
    <w:rsid w:val="0067242E"/>
    <w:rsid w:val="00672FA3"/>
    <w:rsid w:val="0067330A"/>
    <w:rsid w:val="006733AB"/>
    <w:rsid w:val="00673708"/>
    <w:rsid w:val="006742D1"/>
    <w:rsid w:val="00674D31"/>
    <w:rsid w:val="006751C5"/>
    <w:rsid w:val="006752B8"/>
    <w:rsid w:val="00676263"/>
    <w:rsid w:val="00676496"/>
    <w:rsid w:val="00676E70"/>
    <w:rsid w:val="00677B4F"/>
    <w:rsid w:val="006802AB"/>
    <w:rsid w:val="00681190"/>
    <w:rsid w:val="0068139E"/>
    <w:rsid w:val="006821A7"/>
    <w:rsid w:val="006821D5"/>
    <w:rsid w:val="00683557"/>
    <w:rsid w:val="0068366C"/>
    <w:rsid w:val="0068375F"/>
    <w:rsid w:val="00683792"/>
    <w:rsid w:val="00685352"/>
    <w:rsid w:val="006858FA"/>
    <w:rsid w:val="00686BB0"/>
    <w:rsid w:val="0068729C"/>
    <w:rsid w:val="0068732C"/>
    <w:rsid w:val="00687C0D"/>
    <w:rsid w:val="006901B5"/>
    <w:rsid w:val="0069131F"/>
    <w:rsid w:val="00692280"/>
    <w:rsid w:val="0069292B"/>
    <w:rsid w:val="006936C6"/>
    <w:rsid w:val="00693F39"/>
    <w:rsid w:val="00694F34"/>
    <w:rsid w:val="00695F64"/>
    <w:rsid w:val="006974AD"/>
    <w:rsid w:val="00697914"/>
    <w:rsid w:val="00697E10"/>
    <w:rsid w:val="006A1965"/>
    <w:rsid w:val="006A1F9E"/>
    <w:rsid w:val="006A345D"/>
    <w:rsid w:val="006A3850"/>
    <w:rsid w:val="006A44A9"/>
    <w:rsid w:val="006A65AC"/>
    <w:rsid w:val="006A65EC"/>
    <w:rsid w:val="006A6806"/>
    <w:rsid w:val="006A69E9"/>
    <w:rsid w:val="006A6F3B"/>
    <w:rsid w:val="006A7CBA"/>
    <w:rsid w:val="006B03DE"/>
    <w:rsid w:val="006B0D66"/>
    <w:rsid w:val="006B1C6A"/>
    <w:rsid w:val="006B3488"/>
    <w:rsid w:val="006B44DD"/>
    <w:rsid w:val="006B4EE0"/>
    <w:rsid w:val="006B5905"/>
    <w:rsid w:val="006B5D60"/>
    <w:rsid w:val="006B624B"/>
    <w:rsid w:val="006C0257"/>
    <w:rsid w:val="006C2664"/>
    <w:rsid w:val="006C2A8D"/>
    <w:rsid w:val="006C2B8B"/>
    <w:rsid w:val="006C3EC5"/>
    <w:rsid w:val="006C4D7B"/>
    <w:rsid w:val="006C51D8"/>
    <w:rsid w:val="006C51EA"/>
    <w:rsid w:val="006C57B4"/>
    <w:rsid w:val="006C58B4"/>
    <w:rsid w:val="006D01C4"/>
    <w:rsid w:val="006D1A42"/>
    <w:rsid w:val="006D2E64"/>
    <w:rsid w:val="006D2FA2"/>
    <w:rsid w:val="006D3399"/>
    <w:rsid w:val="006D3718"/>
    <w:rsid w:val="006D3DD0"/>
    <w:rsid w:val="006D485C"/>
    <w:rsid w:val="006D5734"/>
    <w:rsid w:val="006D5B51"/>
    <w:rsid w:val="006D6245"/>
    <w:rsid w:val="006D6BEB"/>
    <w:rsid w:val="006D6D52"/>
    <w:rsid w:val="006D7379"/>
    <w:rsid w:val="006D7DA0"/>
    <w:rsid w:val="006E0BDC"/>
    <w:rsid w:val="006E1D24"/>
    <w:rsid w:val="006E255E"/>
    <w:rsid w:val="006E35D0"/>
    <w:rsid w:val="006E3649"/>
    <w:rsid w:val="006E4055"/>
    <w:rsid w:val="006E4823"/>
    <w:rsid w:val="006E4916"/>
    <w:rsid w:val="006E5176"/>
    <w:rsid w:val="006E5FAB"/>
    <w:rsid w:val="006E607F"/>
    <w:rsid w:val="006E6316"/>
    <w:rsid w:val="006E6ED3"/>
    <w:rsid w:val="006F1392"/>
    <w:rsid w:val="006F1EC5"/>
    <w:rsid w:val="006F213E"/>
    <w:rsid w:val="006F3715"/>
    <w:rsid w:val="006F379C"/>
    <w:rsid w:val="006F3DF5"/>
    <w:rsid w:val="006F4121"/>
    <w:rsid w:val="006F4562"/>
    <w:rsid w:val="006F461D"/>
    <w:rsid w:val="006F4799"/>
    <w:rsid w:val="006F70A1"/>
    <w:rsid w:val="006F76EB"/>
    <w:rsid w:val="006F7BFF"/>
    <w:rsid w:val="006F7D0A"/>
    <w:rsid w:val="007006AF"/>
    <w:rsid w:val="007013D3"/>
    <w:rsid w:val="0070203E"/>
    <w:rsid w:val="00702E21"/>
    <w:rsid w:val="007032DF"/>
    <w:rsid w:val="0070497B"/>
    <w:rsid w:val="00704CEA"/>
    <w:rsid w:val="007055CA"/>
    <w:rsid w:val="00706076"/>
    <w:rsid w:val="00706F5F"/>
    <w:rsid w:val="0070753B"/>
    <w:rsid w:val="00710419"/>
    <w:rsid w:val="00712D92"/>
    <w:rsid w:val="00713AFD"/>
    <w:rsid w:val="0071479F"/>
    <w:rsid w:val="007158E5"/>
    <w:rsid w:val="007165DA"/>
    <w:rsid w:val="00716616"/>
    <w:rsid w:val="00717A71"/>
    <w:rsid w:val="00717FFC"/>
    <w:rsid w:val="00720A8F"/>
    <w:rsid w:val="007211BA"/>
    <w:rsid w:val="007213F6"/>
    <w:rsid w:val="00722AB6"/>
    <w:rsid w:val="00723B7D"/>
    <w:rsid w:val="00723C22"/>
    <w:rsid w:val="00724940"/>
    <w:rsid w:val="00724D6E"/>
    <w:rsid w:val="00725956"/>
    <w:rsid w:val="00725E07"/>
    <w:rsid w:val="00725F57"/>
    <w:rsid w:val="00727F8C"/>
    <w:rsid w:val="007314EB"/>
    <w:rsid w:val="00731523"/>
    <w:rsid w:val="00731B81"/>
    <w:rsid w:val="007338BD"/>
    <w:rsid w:val="00735541"/>
    <w:rsid w:val="00735F68"/>
    <w:rsid w:val="00736664"/>
    <w:rsid w:val="00736EB9"/>
    <w:rsid w:val="007371DA"/>
    <w:rsid w:val="00737AC1"/>
    <w:rsid w:val="007400DD"/>
    <w:rsid w:val="007416A1"/>
    <w:rsid w:val="00741D44"/>
    <w:rsid w:val="007426AD"/>
    <w:rsid w:val="007427A9"/>
    <w:rsid w:val="00742A92"/>
    <w:rsid w:val="0074335C"/>
    <w:rsid w:val="00744785"/>
    <w:rsid w:val="00745EA6"/>
    <w:rsid w:val="0074762E"/>
    <w:rsid w:val="00747E44"/>
    <w:rsid w:val="007502E5"/>
    <w:rsid w:val="00751004"/>
    <w:rsid w:val="00751FE3"/>
    <w:rsid w:val="007547FB"/>
    <w:rsid w:val="0075483E"/>
    <w:rsid w:val="0075621A"/>
    <w:rsid w:val="007565CE"/>
    <w:rsid w:val="00756979"/>
    <w:rsid w:val="00756AA1"/>
    <w:rsid w:val="00757527"/>
    <w:rsid w:val="007579D0"/>
    <w:rsid w:val="00757DC6"/>
    <w:rsid w:val="00757E1C"/>
    <w:rsid w:val="00757ECA"/>
    <w:rsid w:val="00761E6E"/>
    <w:rsid w:val="007622CC"/>
    <w:rsid w:val="00762708"/>
    <w:rsid w:val="007630FF"/>
    <w:rsid w:val="007633F1"/>
    <w:rsid w:val="007658EC"/>
    <w:rsid w:val="00765D91"/>
    <w:rsid w:val="00765E50"/>
    <w:rsid w:val="0076616E"/>
    <w:rsid w:val="00766990"/>
    <w:rsid w:val="00766D5E"/>
    <w:rsid w:val="007703A7"/>
    <w:rsid w:val="00770B43"/>
    <w:rsid w:val="00771500"/>
    <w:rsid w:val="00772A17"/>
    <w:rsid w:val="00772B52"/>
    <w:rsid w:val="0077330E"/>
    <w:rsid w:val="0077387E"/>
    <w:rsid w:val="00773E58"/>
    <w:rsid w:val="00774247"/>
    <w:rsid w:val="007746FC"/>
    <w:rsid w:val="00774909"/>
    <w:rsid w:val="00774D48"/>
    <w:rsid w:val="007755B0"/>
    <w:rsid w:val="007755FE"/>
    <w:rsid w:val="00776BF7"/>
    <w:rsid w:val="00776E78"/>
    <w:rsid w:val="00777B01"/>
    <w:rsid w:val="007803A9"/>
    <w:rsid w:val="00780CE6"/>
    <w:rsid w:val="00781251"/>
    <w:rsid w:val="00781395"/>
    <w:rsid w:val="00781477"/>
    <w:rsid w:val="007816E1"/>
    <w:rsid w:val="007819CC"/>
    <w:rsid w:val="00781BB4"/>
    <w:rsid w:val="0078200F"/>
    <w:rsid w:val="00782DFE"/>
    <w:rsid w:val="00783616"/>
    <w:rsid w:val="00786742"/>
    <w:rsid w:val="00786A95"/>
    <w:rsid w:val="00786D64"/>
    <w:rsid w:val="007874D5"/>
    <w:rsid w:val="0079082E"/>
    <w:rsid w:val="00791187"/>
    <w:rsid w:val="00791F1A"/>
    <w:rsid w:val="007921E3"/>
    <w:rsid w:val="0079240D"/>
    <w:rsid w:val="00793E32"/>
    <w:rsid w:val="00793FA4"/>
    <w:rsid w:val="007951D4"/>
    <w:rsid w:val="0079578D"/>
    <w:rsid w:val="00795AD8"/>
    <w:rsid w:val="00796531"/>
    <w:rsid w:val="00796C66"/>
    <w:rsid w:val="00797188"/>
    <w:rsid w:val="0079760E"/>
    <w:rsid w:val="00797A32"/>
    <w:rsid w:val="007A12AF"/>
    <w:rsid w:val="007A1F84"/>
    <w:rsid w:val="007A20BF"/>
    <w:rsid w:val="007A27DD"/>
    <w:rsid w:val="007A2ABA"/>
    <w:rsid w:val="007A2DBB"/>
    <w:rsid w:val="007A3098"/>
    <w:rsid w:val="007A392A"/>
    <w:rsid w:val="007A3D2E"/>
    <w:rsid w:val="007A3F76"/>
    <w:rsid w:val="007A4501"/>
    <w:rsid w:val="007A4949"/>
    <w:rsid w:val="007A559B"/>
    <w:rsid w:val="007A5A34"/>
    <w:rsid w:val="007A6608"/>
    <w:rsid w:val="007A6F8D"/>
    <w:rsid w:val="007A72D7"/>
    <w:rsid w:val="007A7F6E"/>
    <w:rsid w:val="007B082F"/>
    <w:rsid w:val="007B1812"/>
    <w:rsid w:val="007B3647"/>
    <w:rsid w:val="007B409F"/>
    <w:rsid w:val="007B44B2"/>
    <w:rsid w:val="007B4A68"/>
    <w:rsid w:val="007B4C53"/>
    <w:rsid w:val="007B5F2E"/>
    <w:rsid w:val="007B762D"/>
    <w:rsid w:val="007C042B"/>
    <w:rsid w:val="007C044D"/>
    <w:rsid w:val="007C0A40"/>
    <w:rsid w:val="007C14A6"/>
    <w:rsid w:val="007C2907"/>
    <w:rsid w:val="007C2B3A"/>
    <w:rsid w:val="007C2BFB"/>
    <w:rsid w:val="007C2C7C"/>
    <w:rsid w:val="007C307D"/>
    <w:rsid w:val="007C30ED"/>
    <w:rsid w:val="007C63B5"/>
    <w:rsid w:val="007C660E"/>
    <w:rsid w:val="007C700F"/>
    <w:rsid w:val="007C71C9"/>
    <w:rsid w:val="007D098E"/>
    <w:rsid w:val="007D0DB7"/>
    <w:rsid w:val="007D1390"/>
    <w:rsid w:val="007D1478"/>
    <w:rsid w:val="007D2B5B"/>
    <w:rsid w:val="007D4412"/>
    <w:rsid w:val="007D4BC5"/>
    <w:rsid w:val="007D545F"/>
    <w:rsid w:val="007D54C3"/>
    <w:rsid w:val="007D5F00"/>
    <w:rsid w:val="007D5FDE"/>
    <w:rsid w:val="007D649B"/>
    <w:rsid w:val="007D6C57"/>
    <w:rsid w:val="007D71A0"/>
    <w:rsid w:val="007D73FB"/>
    <w:rsid w:val="007E026B"/>
    <w:rsid w:val="007E0A06"/>
    <w:rsid w:val="007E1D84"/>
    <w:rsid w:val="007E1FE9"/>
    <w:rsid w:val="007E2354"/>
    <w:rsid w:val="007E33DC"/>
    <w:rsid w:val="007E38AB"/>
    <w:rsid w:val="007E3A0E"/>
    <w:rsid w:val="007E454C"/>
    <w:rsid w:val="007E57BD"/>
    <w:rsid w:val="007E583A"/>
    <w:rsid w:val="007E5B78"/>
    <w:rsid w:val="007E5B93"/>
    <w:rsid w:val="007F002D"/>
    <w:rsid w:val="007F037D"/>
    <w:rsid w:val="007F13F9"/>
    <w:rsid w:val="007F23B1"/>
    <w:rsid w:val="007F2DD2"/>
    <w:rsid w:val="007F38CB"/>
    <w:rsid w:val="007F3B47"/>
    <w:rsid w:val="007F54C1"/>
    <w:rsid w:val="007F56F7"/>
    <w:rsid w:val="007F572B"/>
    <w:rsid w:val="007F57AB"/>
    <w:rsid w:val="007F6370"/>
    <w:rsid w:val="007F69FF"/>
    <w:rsid w:val="007F76B8"/>
    <w:rsid w:val="00801C8B"/>
    <w:rsid w:val="00802280"/>
    <w:rsid w:val="00802446"/>
    <w:rsid w:val="00802899"/>
    <w:rsid w:val="00803DB0"/>
    <w:rsid w:val="0080591A"/>
    <w:rsid w:val="00807F42"/>
    <w:rsid w:val="0081047C"/>
    <w:rsid w:val="00810577"/>
    <w:rsid w:val="00811335"/>
    <w:rsid w:val="00812321"/>
    <w:rsid w:val="00812477"/>
    <w:rsid w:val="008126A0"/>
    <w:rsid w:val="0081335D"/>
    <w:rsid w:val="008138A1"/>
    <w:rsid w:val="00814055"/>
    <w:rsid w:val="0081531D"/>
    <w:rsid w:val="0081544D"/>
    <w:rsid w:val="00817157"/>
    <w:rsid w:val="00817285"/>
    <w:rsid w:val="00821DD7"/>
    <w:rsid w:val="00822C64"/>
    <w:rsid w:val="00822D90"/>
    <w:rsid w:val="00822F88"/>
    <w:rsid w:val="0082329F"/>
    <w:rsid w:val="00823AB5"/>
    <w:rsid w:val="00824151"/>
    <w:rsid w:val="00825933"/>
    <w:rsid w:val="00826683"/>
    <w:rsid w:val="00826ED8"/>
    <w:rsid w:val="008277B4"/>
    <w:rsid w:val="008278AB"/>
    <w:rsid w:val="00827996"/>
    <w:rsid w:val="00831593"/>
    <w:rsid w:val="00831991"/>
    <w:rsid w:val="00832E1B"/>
    <w:rsid w:val="008331FD"/>
    <w:rsid w:val="00835896"/>
    <w:rsid w:val="008373EF"/>
    <w:rsid w:val="00837417"/>
    <w:rsid w:val="008403F3"/>
    <w:rsid w:val="00841166"/>
    <w:rsid w:val="00841295"/>
    <w:rsid w:val="00841E36"/>
    <w:rsid w:val="008420EE"/>
    <w:rsid w:val="0084281F"/>
    <w:rsid w:val="008436E3"/>
    <w:rsid w:val="00843F25"/>
    <w:rsid w:val="0084525E"/>
    <w:rsid w:val="008453D6"/>
    <w:rsid w:val="00845496"/>
    <w:rsid w:val="008456C1"/>
    <w:rsid w:val="00846EAF"/>
    <w:rsid w:val="00847D8C"/>
    <w:rsid w:val="00850A35"/>
    <w:rsid w:val="008517EB"/>
    <w:rsid w:val="00851F81"/>
    <w:rsid w:val="0085203B"/>
    <w:rsid w:val="008530B6"/>
    <w:rsid w:val="00853231"/>
    <w:rsid w:val="00853609"/>
    <w:rsid w:val="008538DB"/>
    <w:rsid w:val="00854C49"/>
    <w:rsid w:val="008573C1"/>
    <w:rsid w:val="0085750E"/>
    <w:rsid w:val="00857C10"/>
    <w:rsid w:val="00857D45"/>
    <w:rsid w:val="00857EEA"/>
    <w:rsid w:val="008604EC"/>
    <w:rsid w:val="00861001"/>
    <w:rsid w:val="00861133"/>
    <w:rsid w:val="00861A16"/>
    <w:rsid w:val="00861B2E"/>
    <w:rsid w:val="00863A1E"/>
    <w:rsid w:val="00863C12"/>
    <w:rsid w:val="0086457A"/>
    <w:rsid w:val="0086490E"/>
    <w:rsid w:val="00865652"/>
    <w:rsid w:val="00865F42"/>
    <w:rsid w:val="0086713B"/>
    <w:rsid w:val="00867A37"/>
    <w:rsid w:val="00867BFD"/>
    <w:rsid w:val="0087059B"/>
    <w:rsid w:val="008707B8"/>
    <w:rsid w:val="0087124A"/>
    <w:rsid w:val="00871DB7"/>
    <w:rsid w:val="00872333"/>
    <w:rsid w:val="00872D8C"/>
    <w:rsid w:val="00872FAD"/>
    <w:rsid w:val="008742D5"/>
    <w:rsid w:val="008742F7"/>
    <w:rsid w:val="00875FF9"/>
    <w:rsid w:val="00880D3F"/>
    <w:rsid w:val="008814AB"/>
    <w:rsid w:val="00882CA6"/>
    <w:rsid w:val="008831BF"/>
    <w:rsid w:val="0088378D"/>
    <w:rsid w:val="00883EA4"/>
    <w:rsid w:val="0088406E"/>
    <w:rsid w:val="00884368"/>
    <w:rsid w:val="008846B4"/>
    <w:rsid w:val="008850A8"/>
    <w:rsid w:val="00885922"/>
    <w:rsid w:val="00885CEB"/>
    <w:rsid w:val="00887046"/>
    <w:rsid w:val="00887C22"/>
    <w:rsid w:val="00890C9F"/>
    <w:rsid w:val="0089124D"/>
    <w:rsid w:val="00892433"/>
    <w:rsid w:val="008926F9"/>
    <w:rsid w:val="00892EBE"/>
    <w:rsid w:val="00893CD2"/>
    <w:rsid w:val="00894F23"/>
    <w:rsid w:val="008953EA"/>
    <w:rsid w:val="00896C6A"/>
    <w:rsid w:val="00896D53"/>
    <w:rsid w:val="00897A16"/>
    <w:rsid w:val="008A0C40"/>
    <w:rsid w:val="008A0ED8"/>
    <w:rsid w:val="008A21CF"/>
    <w:rsid w:val="008A55AB"/>
    <w:rsid w:val="008A561E"/>
    <w:rsid w:val="008A7352"/>
    <w:rsid w:val="008A7F4C"/>
    <w:rsid w:val="008A7FBA"/>
    <w:rsid w:val="008B13C5"/>
    <w:rsid w:val="008B1615"/>
    <w:rsid w:val="008B1C07"/>
    <w:rsid w:val="008B26E6"/>
    <w:rsid w:val="008B40F4"/>
    <w:rsid w:val="008B48AC"/>
    <w:rsid w:val="008B4C20"/>
    <w:rsid w:val="008B4D5F"/>
    <w:rsid w:val="008B520B"/>
    <w:rsid w:val="008B55DB"/>
    <w:rsid w:val="008B56E7"/>
    <w:rsid w:val="008B65D0"/>
    <w:rsid w:val="008B6ABA"/>
    <w:rsid w:val="008B7287"/>
    <w:rsid w:val="008B72C4"/>
    <w:rsid w:val="008B7EBC"/>
    <w:rsid w:val="008C1C6E"/>
    <w:rsid w:val="008C2C4E"/>
    <w:rsid w:val="008C2E00"/>
    <w:rsid w:val="008C398C"/>
    <w:rsid w:val="008C41DA"/>
    <w:rsid w:val="008C441F"/>
    <w:rsid w:val="008C4FFC"/>
    <w:rsid w:val="008C5DA9"/>
    <w:rsid w:val="008C5FD7"/>
    <w:rsid w:val="008C62F6"/>
    <w:rsid w:val="008C723A"/>
    <w:rsid w:val="008D0D81"/>
    <w:rsid w:val="008D113F"/>
    <w:rsid w:val="008D133B"/>
    <w:rsid w:val="008D1836"/>
    <w:rsid w:val="008D1F4A"/>
    <w:rsid w:val="008D28F1"/>
    <w:rsid w:val="008D39EB"/>
    <w:rsid w:val="008D44C6"/>
    <w:rsid w:val="008D4B6B"/>
    <w:rsid w:val="008D5DC1"/>
    <w:rsid w:val="008D66B5"/>
    <w:rsid w:val="008D6E0C"/>
    <w:rsid w:val="008D7B5E"/>
    <w:rsid w:val="008E0688"/>
    <w:rsid w:val="008E06D2"/>
    <w:rsid w:val="008E09BC"/>
    <w:rsid w:val="008E0F86"/>
    <w:rsid w:val="008E184C"/>
    <w:rsid w:val="008E1B8A"/>
    <w:rsid w:val="008E1EED"/>
    <w:rsid w:val="008E2153"/>
    <w:rsid w:val="008E26BD"/>
    <w:rsid w:val="008E2DE9"/>
    <w:rsid w:val="008E3637"/>
    <w:rsid w:val="008E366C"/>
    <w:rsid w:val="008E3ADD"/>
    <w:rsid w:val="008E3BF3"/>
    <w:rsid w:val="008E4978"/>
    <w:rsid w:val="008E5EA8"/>
    <w:rsid w:val="008E6C45"/>
    <w:rsid w:val="008E72E7"/>
    <w:rsid w:val="008F0E3B"/>
    <w:rsid w:val="008F181A"/>
    <w:rsid w:val="008F198E"/>
    <w:rsid w:val="008F1D50"/>
    <w:rsid w:val="008F2C79"/>
    <w:rsid w:val="008F2DC2"/>
    <w:rsid w:val="008F4698"/>
    <w:rsid w:val="008F5803"/>
    <w:rsid w:val="008F6C94"/>
    <w:rsid w:val="00900D68"/>
    <w:rsid w:val="0090172F"/>
    <w:rsid w:val="009036EE"/>
    <w:rsid w:val="00904539"/>
    <w:rsid w:val="009073AB"/>
    <w:rsid w:val="0090741A"/>
    <w:rsid w:val="00907DAD"/>
    <w:rsid w:val="00907DF1"/>
    <w:rsid w:val="009107AD"/>
    <w:rsid w:val="0091275E"/>
    <w:rsid w:val="009132C2"/>
    <w:rsid w:val="00913D2E"/>
    <w:rsid w:val="00913E46"/>
    <w:rsid w:val="009148F4"/>
    <w:rsid w:val="009157BA"/>
    <w:rsid w:val="00916933"/>
    <w:rsid w:val="009171DB"/>
    <w:rsid w:val="0091739F"/>
    <w:rsid w:val="009176E3"/>
    <w:rsid w:val="009204D1"/>
    <w:rsid w:val="00921B06"/>
    <w:rsid w:val="00921BF0"/>
    <w:rsid w:val="0092304B"/>
    <w:rsid w:val="009238DA"/>
    <w:rsid w:val="00924303"/>
    <w:rsid w:val="009247D7"/>
    <w:rsid w:val="0092660A"/>
    <w:rsid w:val="00926BF2"/>
    <w:rsid w:val="0092787D"/>
    <w:rsid w:val="00927C32"/>
    <w:rsid w:val="0093092B"/>
    <w:rsid w:val="00933774"/>
    <w:rsid w:val="00934203"/>
    <w:rsid w:val="00934BD1"/>
    <w:rsid w:val="00934FC1"/>
    <w:rsid w:val="009368BF"/>
    <w:rsid w:val="00940895"/>
    <w:rsid w:val="00940ED8"/>
    <w:rsid w:val="00940F1F"/>
    <w:rsid w:val="00942633"/>
    <w:rsid w:val="0094312C"/>
    <w:rsid w:val="00944BBC"/>
    <w:rsid w:val="0094795D"/>
    <w:rsid w:val="00950FEC"/>
    <w:rsid w:val="009522BA"/>
    <w:rsid w:val="00953096"/>
    <w:rsid w:val="0095377C"/>
    <w:rsid w:val="00953E17"/>
    <w:rsid w:val="00955692"/>
    <w:rsid w:val="0095711E"/>
    <w:rsid w:val="00957F39"/>
    <w:rsid w:val="009607DD"/>
    <w:rsid w:val="009625BD"/>
    <w:rsid w:val="009627A4"/>
    <w:rsid w:val="00962EE3"/>
    <w:rsid w:val="0096367B"/>
    <w:rsid w:val="00963A17"/>
    <w:rsid w:val="00963A70"/>
    <w:rsid w:val="00963C9F"/>
    <w:rsid w:val="009645A9"/>
    <w:rsid w:val="0096493C"/>
    <w:rsid w:val="00965570"/>
    <w:rsid w:val="00967737"/>
    <w:rsid w:val="00967E38"/>
    <w:rsid w:val="00967FCA"/>
    <w:rsid w:val="00970C92"/>
    <w:rsid w:val="0097186F"/>
    <w:rsid w:val="00972588"/>
    <w:rsid w:val="00972896"/>
    <w:rsid w:val="0097391E"/>
    <w:rsid w:val="009740F8"/>
    <w:rsid w:val="0097440E"/>
    <w:rsid w:val="00974693"/>
    <w:rsid w:val="00974AD7"/>
    <w:rsid w:val="00974D3D"/>
    <w:rsid w:val="009750C7"/>
    <w:rsid w:val="009772B2"/>
    <w:rsid w:val="00980712"/>
    <w:rsid w:val="00981079"/>
    <w:rsid w:val="0098145F"/>
    <w:rsid w:val="009817A2"/>
    <w:rsid w:val="00981E2C"/>
    <w:rsid w:val="0098224B"/>
    <w:rsid w:val="00982269"/>
    <w:rsid w:val="00984126"/>
    <w:rsid w:val="009846FD"/>
    <w:rsid w:val="009847B2"/>
    <w:rsid w:val="009847BD"/>
    <w:rsid w:val="009847C9"/>
    <w:rsid w:val="00985B88"/>
    <w:rsid w:val="00985F8F"/>
    <w:rsid w:val="009868F1"/>
    <w:rsid w:val="00986C6B"/>
    <w:rsid w:val="0098713F"/>
    <w:rsid w:val="009873B9"/>
    <w:rsid w:val="009876BB"/>
    <w:rsid w:val="00987CB5"/>
    <w:rsid w:val="009902BD"/>
    <w:rsid w:val="00990DC2"/>
    <w:rsid w:val="00991333"/>
    <w:rsid w:val="009918F8"/>
    <w:rsid w:val="009919F8"/>
    <w:rsid w:val="009921A4"/>
    <w:rsid w:val="0099246C"/>
    <w:rsid w:val="0099275E"/>
    <w:rsid w:val="00992EFE"/>
    <w:rsid w:val="0099336C"/>
    <w:rsid w:val="0099446F"/>
    <w:rsid w:val="00995221"/>
    <w:rsid w:val="00995745"/>
    <w:rsid w:val="00997766"/>
    <w:rsid w:val="009A0311"/>
    <w:rsid w:val="009A0F77"/>
    <w:rsid w:val="009A1224"/>
    <w:rsid w:val="009A1F2B"/>
    <w:rsid w:val="009A1F4A"/>
    <w:rsid w:val="009A3A80"/>
    <w:rsid w:val="009A4035"/>
    <w:rsid w:val="009A407B"/>
    <w:rsid w:val="009A4971"/>
    <w:rsid w:val="009A4F2A"/>
    <w:rsid w:val="009A50E8"/>
    <w:rsid w:val="009A5A52"/>
    <w:rsid w:val="009A5EB8"/>
    <w:rsid w:val="009A5F60"/>
    <w:rsid w:val="009A6181"/>
    <w:rsid w:val="009A628D"/>
    <w:rsid w:val="009A62C4"/>
    <w:rsid w:val="009A6A05"/>
    <w:rsid w:val="009A6D46"/>
    <w:rsid w:val="009A6EB1"/>
    <w:rsid w:val="009A727E"/>
    <w:rsid w:val="009B0A89"/>
    <w:rsid w:val="009B12EB"/>
    <w:rsid w:val="009B134A"/>
    <w:rsid w:val="009B14BB"/>
    <w:rsid w:val="009B1A43"/>
    <w:rsid w:val="009B1EDE"/>
    <w:rsid w:val="009B2C2F"/>
    <w:rsid w:val="009B2CF0"/>
    <w:rsid w:val="009B2F3C"/>
    <w:rsid w:val="009B355A"/>
    <w:rsid w:val="009B3875"/>
    <w:rsid w:val="009B3EE5"/>
    <w:rsid w:val="009B3FC0"/>
    <w:rsid w:val="009B47A2"/>
    <w:rsid w:val="009B5594"/>
    <w:rsid w:val="009B5CD2"/>
    <w:rsid w:val="009B6271"/>
    <w:rsid w:val="009B6F9B"/>
    <w:rsid w:val="009B7769"/>
    <w:rsid w:val="009B7A1E"/>
    <w:rsid w:val="009C0220"/>
    <w:rsid w:val="009C29AA"/>
    <w:rsid w:val="009C3AD5"/>
    <w:rsid w:val="009C3BE7"/>
    <w:rsid w:val="009C4573"/>
    <w:rsid w:val="009C4C12"/>
    <w:rsid w:val="009C6673"/>
    <w:rsid w:val="009C7D4A"/>
    <w:rsid w:val="009D1456"/>
    <w:rsid w:val="009D1576"/>
    <w:rsid w:val="009D1D81"/>
    <w:rsid w:val="009D2EBE"/>
    <w:rsid w:val="009D3AC4"/>
    <w:rsid w:val="009D3B24"/>
    <w:rsid w:val="009D4804"/>
    <w:rsid w:val="009D6911"/>
    <w:rsid w:val="009D6975"/>
    <w:rsid w:val="009D719D"/>
    <w:rsid w:val="009D71E0"/>
    <w:rsid w:val="009D7B03"/>
    <w:rsid w:val="009D7D8B"/>
    <w:rsid w:val="009D7F16"/>
    <w:rsid w:val="009E0003"/>
    <w:rsid w:val="009E0226"/>
    <w:rsid w:val="009E069C"/>
    <w:rsid w:val="009E1906"/>
    <w:rsid w:val="009E1C39"/>
    <w:rsid w:val="009E21A7"/>
    <w:rsid w:val="009E2AA4"/>
    <w:rsid w:val="009E3652"/>
    <w:rsid w:val="009E367F"/>
    <w:rsid w:val="009E3996"/>
    <w:rsid w:val="009E54E6"/>
    <w:rsid w:val="009E704D"/>
    <w:rsid w:val="009E7C74"/>
    <w:rsid w:val="009F12AE"/>
    <w:rsid w:val="009F1519"/>
    <w:rsid w:val="009F16D9"/>
    <w:rsid w:val="009F1C72"/>
    <w:rsid w:val="009F1F08"/>
    <w:rsid w:val="009F27E5"/>
    <w:rsid w:val="009F31CF"/>
    <w:rsid w:val="009F38C2"/>
    <w:rsid w:val="009F4624"/>
    <w:rsid w:val="009F4FCF"/>
    <w:rsid w:val="009F4FD2"/>
    <w:rsid w:val="009F5051"/>
    <w:rsid w:val="009F5083"/>
    <w:rsid w:val="009F5663"/>
    <w:rsid w:val="009F6095"/>
    <w:rsid w:val="009F6C89"/>
    <w:rsid w:val="009F71AA"/>
    <w:rsid w:val="009F7348"/>
    <w:rsid w:val="009F7852"/>
    <w:rsid w:val="009F7C5D"/>
    <w:rsid w:val="00A000C8"/>
    <w:rsid w:val="00A006AB"/>
    <w:rsid w:val="00A0070F"/>
    <w:rsid w:val="00A014AC"/>
    <w:rsid w:val="00A02956"/>
    <w:rsid w:val="00A032E6"/>
    <w:rsid w:val="00A049F9"/>
    <w:rsid w:val="00A04BA2"/>
    <w:rsid w:val="00A06FF9"/>
    <w:rsid w:val="00A11D45"/>
    <w:rsid w:val="00A126A9"/>
    <w:rsid w:val="00A12859"/>
    <w:rsid w:val="00A12DCA"/>
    <w:rsid w:val="00A1395C"/>
    <w:rsid w:val="00A146C5"/>
    <w:rsid w:val="00A14937"/>
    <w:rsid w:val="00A1528E"/>
    <w:rsid w:val="00A15474"/>
    <w:rsid w:val="00A1571D"/>
    <w:rsid w:val="00A157A9"/>
    <w:rsid w:val="00A157DA"/>
    <w:rsid w:val="00A15B0B"/>
    <w:rsid w:val="00A1700E"/>
    <w:rsid w:val="00A17347"/>
    <w:rsid w:val="00A17408"/>
    <w:rsid w:val="00A17C0D"/>
    <w:rsid w:val="00A17FF3"/>
    <w:rsid w:val="00A2064E"/>
    <w:rsid w:val="00A207F3"/>
    <w:rsid w:val="00A20E88"/>
    <w:rsid w:val="00A21DEE"/>
    <w:rsid w:val="00A22121"/>
    <w:rsid w:val="00A2325D"/>
    <w:rsid w:val="00A23EB0"/>
    <w:rsid w:val="00A2491F"/>
    <w:rsid w:val="00A2576A"/>
    <w:rsid w:val="00A25BBA"/>
    <w:rsid w:val="00A26B24"/>
    <w:rsid w:val="00A26C29"/>
    <w:rsid w:val="00A27471"/>
    <w:rsid w:val="00A2751F"/>
    <w:rsid w:val="00A27657"/>
    <w:rsid w:val="00A279F2"/>
    <w:rsid w:val="00A30E07"/>
    <w:rsid w:val="00A30E6F"/>
    <w:rsid w:val="00A30E9B"/>
    <w:rsid w:val="00A32C57"/>
    <w:rsid w:val="00A33E82"/>
    <w:rsid w:val="00A34F66"/>
    <w:rsid w:val="00A357C0"/>
    <w:rsid w:val="00A35A32"/>
    <w:rsid w:val="00A366CE"/>
    <w:rsid w:val="00A3779C"/>
    <w:rsid w:val="00A37958"/>
    <w:rsid w:val="00A40465"/>
    <w:rsid w:val="00A410C8"/>
    <w:rsid w:val="00A41E57"/>
    <w:rsid w:val="00A4222B"/>
    <w:rsid w:val="00A42950"/>
    <w:rsid w:val="00A43869"/>
    <w:rsid w:val="00A4418E"/>
    <w:rsid w:val="00A44BA2"/>
    <w:rsid w:val="00A44E33"/>
    <w:rsid w:val="00A45412"/>
    <w:rsid w:val="00A45EE1"/>
    <w:rsid w:val="00A462CA"/>
    <w:rsid w:val="00A47D4A"/>
    <w:rsid w:val="00A51BF0"/>
    <w:rsid w:val="00A51E4D"/>
    <w:rsid w:val="00A52825"/>
    <w:rsid w:val="00A528FB"/>
    <w:rsid w:val="00A52914"/>
    <w:rsid w:val="00A53AEE"/>
    <w:rsid w:val="00A54C7E"/>
    <w:rsid w:val="00A54D49"/>
    <w:rsid w:val="00A54ECC"/>
    <w:rsid w:val="00A5542E"/>
    <w:rsid w:val="00A55AF1"/>
    <w:rsid w:val="00A55D26"/>
    <w:rsid w:val="00A5602F"/>
    <w:rsid w:val="00A56FE5"/>
    <w:rsid w:val="00A57804"/>
    <w:rsid w:val="00A57D0D"/>
    <w:rsid w:val="00A60285"/>
    <w:rsid w:val="00A606B6"/>
    <w:rsid w:val="00A60A17"/>
    <w:rsid w:val="00A61027"/>
    <w:rsid w:val="00A6335A"/>
    <w:rsid w:val="00A63545"/>
    <w:rsid w:val="00A6544F"/>
    <w:rsid w:val="00A65A7D"/>
    <w:rsid w:val="00A662CE"/>
    <w:rsid w:val="00A6654C"/>
    <w:rsid w:val="00A66881"/>
    <w:rsid w:val="00A70225"/>
    <w:rsid w:val="00A709E3"/>
    <w:rsid w:val="00A71ACC"/>
    <w:rsid w:val="00A723E2"/>
    <w:rsid w:val="00A72E7F"/>
    <w:rsid w:val="00A7309A"/>
    <w:rsid w:val="00A7311C"/>
    <w:rsid w:val="00A734DE"/>
    <w:rsid w:val="00A739F2"/>
    <w:rsid w:val="00A73C14"/>
    <w:rsid w:val="00A74CCD"/>
    <w:rsid w:val="00A75878"/>
    <w:rsid w:val="00A769F9"/>
    <w:rsid w:val="00A774AC"/>
    <w:rsid w:val="00A77513"/>
    <w:rsid w:val="00A77D8C"/>
    <w:rsid w:val="00A80E4D"/>
    <w:rsid w:val="00A8133E"/>
    <w:rsid w:val="00A819F2"/>
    <w:rsid w:val="00A82898"/>
    <w:rsid w:val="00A84921"/>
    <w:rsid w:val="00A87035"/>
    <w:rsid w:val="00A87CAC"/>
    <w:rsid w:val="00A9110B"/>
    <w:rsid w:val="00A911D3"/>
    <w:rsid w:val="00A9154D"/>
    <w:rsid w:val="00A91969"/>
    <w:rsid w:val="00A963FE"/>
    <w:rsid w:val="00A975AA"/>
    <w:rsid w:val="00AA005C"/>
    <w:rsid w:val="00AA0193"/>
    <w:rsid w:val="00AA077F"/>
    <w:rsid w:val="00AA08FE"/>
    <w:rsid w:val="00AA1A16"/>
    <w:rsid w:val="00AA21EC"/>
    <w:rsid w:val="00AA2871"/>
    <w:rsid w:val="00AA35CE"/>
    <w:rsid w:val="00AA380E"/>
    <w:rsid w:val="00AA3DB9"/>
    <w:rsid w:val="00AA4991"/>
    <w:rsid w:val="00AA51DC"/>
    <w:rsid w:val="00AA52C9"/>
    <w:rsid w:val="00AB00B9"/>
    <w:rsid w:val="00AB0475"/>
    <w:rsid w:val="00AB050A"/>
    <w:rsid w:val="00AB05D7"/>
    <w:rsid w:val="00AB0A27"/>
    <w:rsid w:val="00AB2732"/>
    <w:rsid w:val="00AB2C28"/>
    <w:rsid w:val="00AB2C53"/>
    <w:rsid w:val="00AB34AD"/>
    <w:rsid w:val="00AB494E"/>
    <w:rsid w:val="00AB4DDD"/>
    <w:rsid w:val="00AB63BA"/>
    <w:rsid w:val="00AB7D39"/>
    <w:rsid w:val="00AC1385"/>
    <w:rsid w:val="00AC1D67"/>
    <w:rsid w:val="00AC1F52"/>
    <w:rsid w:val="00AC1FF7"/>
    <w:rsid w:val="00AC28F9"/>
    <w:rsid w:val="00AC2C08"/>
    <w:rsid w:val="00AC42F9"/>
    <w:rsid w:val="00AC5C8E"/>
    <w:rsid w:val="00AC5DCE"/>
    <w:rsid w:val="00AC6467"/>
    <w:rsid w:val="00AC70AD"/>
    <w:rsid w:val="00AC75C6"/>
    <w:rsid w:val="00AC79F6"/>
    <w:rsid w:val="00AC7A5A"/>
    <w:rsid w:val="00AC7B58"/>
    <w:rsid w:val="00AC7EE5"/>
    <w:rsid w:val="00AD0B80"/>
    <w:rsid w:val="00AD0C7E"/>
    <w:rsid w:val="00AD16AC"/>
    <w:rsid w:val="00AD23AF"/>
    <w:rsid w:val="00AD2661"/>
    <w:rsid w:val="00AD3B80"/>
    <w:rsid w:val="00AD5B7F"/>
    <w:rsid w:val="00AD5CA8"/>
    <w:rsid w:val="00AD5E95"/>
    <w:rsid w:val="00AD6517"/>
    <w:rsid w:val="00AD66F6"/>
    <w:rsid w:val="00AD6E5F"/>
    <w:rsid w:val="00AE028D"/>
    <w:rsid w:val="00AE1DC6"/>
    <w:rsid w:val="00AE2A66"/>
    <w:rsid w:val="00AE2BC8"/>
    <w:rsid w:val="00AE3C0C"/>
    <w:rsid w:val="00AE3C98"/>
    <w:rsid w:val="00AE40D3"/>
    <w:rsid w:val="00AE4AEC"/>
    <w:rsid w:val="00AE53EF"/>
    <w:rsid w:val="00AE5403"/>
    <w:rsid w:val="00AE6C09"/>
    <w:rsid w:val="00AE7689"/>
    <w:rsid w:val="00AE7A93"/>
    <w:rsid w:val="00AE7D51"/>
    <w:rsid w:val="00AF0371"/>
    <w:rsid w:val="00AF2416"/>
    <w:rsid w:val="00AF2BEE"/>
    <w:rsid w:val="00AF2DEA"/>
    <w:rsid w:val="00AF436C"/>
    <w:rsid w:val="00AF5D3B"/>
    <w:rsid w:val="00AF6603"/>
    <w:rsid w:val="00AF6833"/>
    <w:rsid w:val="00AF69FA"/>
    <w:rsid w:val="00AF6C9A"/>
    <w:rsid w:val="00AF78F5"/>
    <w:rsid w:val="00AF7BD3"/>
    <w:rsid w:val="00AF7D09"/>
    <w:rsid w:val="00B0125B"/>
    <w:rsid w:val="00B01F16"/>
    <w:rsid w:val="00B01F51"/>
    <w:rsid w:val="00B02557"/>
    <w:rsid w:val="00B027E9"/>
    <w:rsid w:val="00B03AC5"/>
    <w:rsid w:val="00B043E8"/>
    <w:rsid w:val="00B0597C"/>
    <w:rsid w:val="00B05C96"/>
    <w:rsid w:val="00B05FBC"/>
    <w:rsid w:val="00B10215"/>
    <w:rsid w:val="00B10838"/>
    <w:rsid w:val="00B108D5"/>
    <w:rsid w:val="00B109B2"/>
    <w:rsid w:val="00B10F8F"/>
    <w:rsid w:val="00B11A93"/>
    <w:rsid w:val="00B1221C"/>
    <w:rsid w:val="00B128D1"/>
    <w:rsid w:val="00B12C3B"/>
    <w:rsid w:val="00B133DC"/>
    <w:rsid w:val="00B13629"/>
    <w:rsid w:val="00B13DCB"/>
    <w:rsid w:val="00B1561B"/>
    <w:rsid w:val="00B1612E"/>
    <w:rsid w:val="00B1675E"/>
    <w:rsid w:val="00B176F7"/>
    <w:rsid w:val="00B17AEF"/>
    <w:rsid w:val="00B200B7"/>
    <w:rsid w:val="00B201D2"/>
    <w:rsid w:val="00B22BC0"/>
    <w:rsid w:val="00B22F1B"/>
    <w:rsid w:val="00B23423"/>
    <w:rsid w:val="00B2466A"/>
    <w:rsid w:val="00B24919"/>
    <w:rsid w:val="00B24AB9"/>
    <w:rsid w:val="00B255A4"/>
    <w:rsid w:val="00B2681F"/>
    <w:rsid w:val="00B27BD3"/>
    <w:rsid w:val="00B3087F"/>
    <w:rsid w:val="00B314D9"/>
    <w:rsid w:val="00B32DFD"/>
    <w:rsid w:val="00B33B29"/>
    <w:rsid w:val="00B34F36"/>
    <w:rsid w:val="00B35CAF"/>
    <w:rsid w:val="00B36259"/>
    <w:rsid w:val="00B40A0A"/>
    <w:rsid w:val="00B40C7A"/>
    <w:rsid w:val="00B41842"/>
    <w:rsid w:val="00B43748"/>
    <w:rsid w:val="00B44842"/>
    <w:rsid w:val="00B45763"/>
    <w:rsid w:val="00B46072"/>
    <w:rsid w:val="00B4625C"/>
    <w:rsid w:val="00B468D5"/>
    <w:rsid w:val="00B46CC8"/>
    <w:rsid w:val="00B47557"/>
    <w:rsid w:val="00B47995"/>
    <w:rsid w:val="00B47C75"/>
    <w:rsid w:val="00B50185"/>
    <w:rsid w:val="00B505FB"/>
    <w:rsid w:val="00B50F98"/>
    <w:rsid w:val="00B518E9"/>
    <w:rsid w:val="00B530D1"/>
    <w:rsid w:val="00B54A5A"/>
    <w:rsid w:val="00B55B30"/>
    <w:rsid w:val="00B55BFA"/>
    <w:rsid w:val="00B561EF"/>
    <w:rsid w:val="00B56628"/>
    <w:rsid w:val="00B56BDA"/>
    <w:rsid w:val="00B570B4"/>
    <w:rsid w:val="00B60039"/>
    <w:rsid w:val="00B601FB"/>
    <w:rsid w:val="00B61365"/>
    <w:rsid w:val="00B61F6F"/>
    <w:rsid w:val="00B63050"/>
    <w:rsid w:val="00B633A6"/>
    <w:rsid w:val="00B639F5"/>
    <w:rsid w:val="00B63AD7"/>
    <w:rsid w:val="00B63CD4"/>
    <w:rsid w:val="00B64A74"/>
    <w:rsid w:val="00B64B13"/>
    <w:rsid w:val="00B64D6E"/>
    <w:rsid w:val="00B650BD"/>
    <w:rsid w:val="00B65158"/>
    <w:rsid w:val="00B651E6"/>
    <w:rsid w:val="00B65620"/>
    <w:rsid w:val="00B658B3"/>
    <w:rsid w:val="00B66D06"/>
    <w:rsid w:val="00B677CC"/>
    <w:rsid w:val="00B67A38"/>
    <w:rsid w:val="00B70003"/>
    <w:rsid w:val="00B70E41"/>
    <w:rsid w:val="00B72000"/>
    <w:rsid w:val="00B724DC"/>
    <w:rsid w:val="00B73AB6"/>
    <w:rsid w:val="00B73AF9"/>
    <w:rsid w:val="00B7408F"/>
    <w:rsid w:val="00B74E75"/>
    <w:rsid w:val="00B752DD"/>
    <w:rsid w:val="00B7538D"/>
    <w:rsid w:val="00B75A65"/>
    <w:rsid w:val="00B779D4"/>
    <w:rsid w:val="00B82382"/>
    <w:rsid w:val="00B82B14"/>
    <w:rsid w:val="00B833D9"/>
    <w:rsid w:val="00B8371B"/>
    <w:rsid w:val="00B83E38"/>
    <w:rsid w:val="00B84337"/>
    <w:rsid w:val="00B8451F"/>
    <w:rsid w:val="00B8499E"/>
    <w:rsid w:val="00B855EF"/>
    <w:rsid w:val="00B85631"/>
    <w:rsid w:val="00B85FB3"/>
    <w:rsid w:val="00B86B31"/>
    <w:rsid w:val="00B86C2F"/>
    <w:rsid w:val="00B90BB4"/>
    <w:rsid w:val="00B9178C"/>
    <w:rsid w:val="00B925B0"/>
    <w:rsid w:val="00B93D36"/>
    <w:rsid w:val="00B94B15"/>
    <w:rsid w:val="00B94C99"/>
    <w:rsid w:val="00B94DF3"/>
    <w:rsid w:val="00B9564F"/>
    <w:rsid w:val="00B95895"/>
    <w:rsid w:val="00B96A3C"/>
    <w:rsid w:val="00B96C60"/>
    <w:rsid w:val="00B97719"/>
    <w:rsid w:val="00BA03F2"/>
    <w:rsid w:val="00BA1998"/>
    <w:rsid w:val="00BA2127"/>
    <w:rsid w:val="00BA234C"/>
    <w:rsid w:val="00BA2A80"/>
    <w:rsid w:val="00BA3076"/>
    <w:rsid w:val="00BA3355"/>
    <w:rsid w:val="00BA3600"/>
    <w:rsid w:val="00BA3BCD"/>
    <w:rsid w:val="00BA3D84"/>
    <w:rsid w:val="00BA3F01"/>
    <w:rsid w:val="00BA581A"/>
    <w:rsid w:val="00BA5E06"/>
    <w:rsid w:val="00BA7B82"/>
    <w:rsid w:val="00BA7FBB"/>
    <w:rsid w:val="00BB0CC7"/>
    <w:rsid w:val="00BB0CE3"/>
    <w:rsid w:val="00BB134E"/>
    <w:rsid w:val="00BB2007"/>
    <w:rsid w:val="00BB2B09"/>
    <w:rsid w:val="00BB3AC3"/>
    <w:rsid w:val="00BC0F03"/>
    <w:rsid w:val="00BC2119"/>
    <w:rsid w:val="00BC3C84"/>
    <w:rsid w:val="00BC481B"/>
    <w:rsid w:val="00BC5262"/>
    <w:rsid w:val="00BC5498"/>
    <w:rsid w:val="00BC55A3"/>
    <w:rsid w:val="00BC5D9C"/>
    <w:rsid w:val="00BC72E7"/>
    <w:rsid w:val="00BC7EED"/>
    <w:rsid w:val="00BD02EB"/>
    <w:rsid w:val="00BD0F6F"/>
    <w:rsid w:val="00BD117F"/>
    <w:rsid w:val="00BD1250"/>
    <w:rsid w:val="00BD236A"/>
    <w:rsid w:val="00BD24B6"/>
    <w:rsid w:val="00BD2502"/>
    <w:rsid w:val="00BD2AFB"/>
    <w:rsid w:val="00BD2B63"/>
    <w:rsid w:val="00BD3228"/>
    <w:rsid w:val="00BD3DED"/>
    <w:rsid w:val="00BD4B82"/>
    <w:rsid w:val="00BD4E8A"/>
    <w:rsid w:val="00BD5637"/>
    <w:rsid w:val="00BD5698"/>
    <w:rsid w:val="00BD5AF5"/>
    <w:rsid w:val="00BD63D9"/>
    <w:rsid w:val="00BD7BA8"/>
    <w:rsid w:val="00BE0E16"/>
    <w:rsid w:val="00BE1407"/>
    <w:rsid w:val="00BE1B85"/>
    <w:rsid w:val="00BE279E"/>
    <w:rsid w:val="00BE2907"/>
    <w:rsid w:val="00BE2BB9"/>
    <w:rsid w:val="00BE40C9"/>
    <w:rsid w:val="00BE597B"/>
    <w:rsid w:val="00BE76CD"/>
    <w:rsid w:val="00BF0475"/>
    <w:rsid w:val="00BF0A63"/>
    <w:rsid w:val="00BF194C"/>
    <w:rsid w:val="00BF1A27"/>
    <w:rsid w:val="00BF1F63"/>
    <w:rsid w:val="00BF2397"/>
    <w:rsid w:val="00BF2863"/>
    <w:rsid w:val="00BF3168"/>
    <w:rsid w:val="00BF4BA3"/>
    <w:rsid w:val="00BF53E4"/>
    <w:rsid w:val="00BF56B6"/>
    <w:rsid w:val="00BF64F2"/>
    <w:rsid w:val="00BF7440"/>
    <w:rsid w:val="00BF74E3"/>
    <w:rsid w:val="00BF7B64"/>
    <w:rsid w:val="00BF7E70"/>
    <w:rsid w:val="00C00B07"/>
    <w:rsid w:val="00C00E7D"/>
    <w:rsid w:val="00C0134B"/>
    <w:rsid w:val="00C01553"/>
    <w:rsid w:val="00C0196E"/>
    <w:rsid w:val="00C03147"/>
    <w:rsid w:val="00C035AC"/>
    <w:rsid w:val="00C03CFD"/>
    <w:rsid w:val="00C055A8"/>
    <w:rsid w:val="00C06918"/>
    <w:rsid w:val="00C072CF"/>
    <w:rsid w:val="00C1090C"/>
    <w:rsid w:val="00C10BB3"/>
    <w:rsid w:val="00C1128E"/>
    <w:rsid w:val="00C11D87"/>
    <w:rsid w:val="00C135C2"/>
    <w:rsid w:val="00C1364D"/>
    <w:rsid w:val="00C14F9C"/>
    <w:rsid w:val="00C1522C"/>
    <w:rsid w:val="00C15F50"/>
    <w:rsid w:val="00C1615A"/>
    <w:rsid w:val="00C161BD"/>
    <w:rsid w:val="00C17403"/>
    <w:rsid w:val="00C1787A"/>
    <w:rsid w:val="00C20FC7"/>
    <w:rsid w:val="00C21984"/>
    <w:rsid w:val="00C226C6"/>
    <w:rsid w:val="00C22E38"/>
    <w:rsid w:val="00C234F9"/>
    <w:rsid w:val="00C23C0C"/>
    <w:rsid w:val="00C23CBF"/>
    <w:rsid w:val="00C240B9"/>
    <w:rsid w:val="00C24A2F"/>
    <w:rsid w:val="00C24E89"/>
    <w:rsid w:val="00C24F12"/>
    <w:rsid w:val="00C2648F"/>
    <w:rsid w:val="00C26DBB"/>
    <w:rsid w:val="00C278AB"/>
    <w:rsid w:val="00C303F7"/>
    <w:rsid w:val="00C31841"/>
    <w:rsid w:val="00C31FE7"/>
    <w:rsid w:val="00C32175"/>
    <w:rsid w:val="00C3296F"/>
    <w:rsid w:val="00C33770"/>
    <w:rsid w:val="00C343D1"/>
    <w:rsid w:val="00C34919"/>
    <w:rsid w:val="00C34F9A"/>
    <w:rsid w:val="00C354B9"/>
    <w:rsid w:val="00C360BB"/>
    <w:rsid w:val="00C36342"/>
    <w:rsid w:val="00C36436"/>
    <w:rsid w:val="00C365D8"/>
    <w:rsid w:val="00C3679B"/>
    <w:rsid w:val="00C36A62"/>
    <w:rsid w:val="00C414AD"/>
    <w:rsid w:val="00C41FB6"/>
    <w:rsid w:val="00C42436"/>
    <w:rsid w:val="00C42BAB"/>
    <w:rsid w:val="00C42E2F"/>
    <w:rsid w:val="00C43054"/>
    <w:rsid w:val="00C4369C"/>
    <w:rsid w:val="00C4399A"/>
    <w:rsid w:val="00C4654A"/>
    <w:rsid w:val="00C4681B"/>
    <w:rsid w:val="00C4690D"/>
    <w:rsid w:val="00C46995"/>
    <w:rsid w:val="00C46EC5"/>
    <w:rsid w:val="00C47222"/>
    <w:rsid w:val="00C47DCC"/>
    <w:rsid w:val="00C51C7D"/>
    <w:rsid w:val="00C52A33"/>
    <w:rsid w:val="00C52CB3"/>
    <w:rsid w:val="00C52EA4"/>
    <w:rsid w:val="00C54403"/>
    <w:rsid w:val="00C54428"/>
    <w:rsid w:val="00C54CC1"/>
    <w:rsid w:val="00C56702"/>
    <w:rsid w:val="00C573D2"/>
    <w:rsid w:val="00C577E1"/>
    <w:rsid w:val="00C57F81"/>
    <w:rsid w:val="00C60CFF"/>
    <w:rsid w:val="00C6194A"/>
    <w:rsid w:val="00C62049"/>
    <w:rsid w:val="00C64B89"/>
    <w:rsid w:val="00C6543F"/>
    <w:rsid w:val="00C657D4"/>
    <w:rsid w:val="00C65D37"/>
    <w:rsid w:val="00C67269"/>
    <w:rsid w:val="00C6729E"/>
    <w:rsid w:val="00C67392"/>
    <w:rsid w:val="00C70701"/>
    <w:rsid w:val="00C70784"/>
    <w:rsid w:val="00C71F61"/>
    <w:rsid w:val="00C7214C"/>
    <w:rsid w:val="00C72CE2"/>
    <w:rsid w:val="00C732B0"/>
    <w:rsid w:val="00C7380E"/>
    <w:rsid w:val="00C7388C"/>
    <w:rsid w:val="00C74268"/>
    <w:rsid w:val="00C74A1F"/>
    <w:rsid w:val="00C74E37"/>
    <w:rsid w:val="00C76656"/>
    <w:rsid w:val="00C76C19"/>
    <w:rsid w:val="00C77491"/>
    <w:rsid w:val="00C7751B"/>
    <w:rsid w:val="00C77564"/>
    <w:rsid w:val="00C804FB"/>
    <w:rsid w:val="00C812D9"/>
    <w:rsid w:val="00C82225"/>
    <w:rsid w:val="00C830E6"/>
    <w:rsid w:val="00C83377"/>
    <w:rsid w:val="00C83CD9"/>
    <w:rsid w:val="00C83E15"/>
    <w:rsid w:val="00C84CAC"/>
    <w:rsid w:val="00C84E07"/>
    <w:rsid w:val="00C8545A"/>
    <w:rsid w:val="00C862A0"/>
    <w:rsid w:val="00C86B3D"/>
    <w:rsid w:val="00C86DC6"/>
    <w:rsid w:val="00C87F18"/>
    <w:rsid w:val="00C90721"/>
    <w:rsid w:val="00C90830"/>
    <w:rsid w:val="00C91AAE"/>
    <w:rsid w:val="00C91EAD"/>
    <w:rsid w:val="00C92146"/>
    <w:rsid w:val="00C93DDF"/>
    <w:rsid w:val="00C9420A"/>
    <w:rsid w:val="00C95012"/>
    <w:rsid w:val="00C96118"/>
    <w:rsid w:val="00C97225"/>
    <w:rsid w:val="00C9783F"/>
    <w:rsid w:val="00CA02DC"/>
    <w:rsid w:val="00CA0447"/>
    <w:rsid w:val="00CA085A"/>
    <w:rsid w:val="00CA0B1D"/>
    <w:rsid w:val="00CA159E"/>
    <w:rsid w:val="00CA34FC"/>
    <w:rsid w:val="00CA44FE"/>
    <w:rsid w:val="00CA48D8"/>
    <w:rsid w:val="00CA4924"/>
    <w:rsid w:val="00CA4FD0"/>
    <w:rsid w:val="00CA63CE"/>
    <w:rsid w:val="00CA63F4"/>
    <w:rsid w:val="00CA6647"/>
    <w:rsid w:val="00CA7847"/>
    <w:rsid w:val="00CA79C4"/>
    <w:rsid w:val="00CA7D14"/>
    <w:rsid w:val="00CB01F8"/>
    <w:rsid w:val="00CB0F82"/>
    <w:rsid w:val="00CB128C"/>
    <w:rsid w:val="00CB24BF"/>
    <w:rsid w:val="00CB24C1"/>
    <w:rsid w:val="00CB2FCF"/>
    <w:rsid w:val="00CB41F2"/>
    <w:rsid w:val="00CB4C2C"/>
    <w:rsid w:val="00CB4C7C"/>
    <w:rsid w:val="00CB504B"/>
    <w:rsid w:val="00CB5F9E"/>
    <w:rsid w:val="00CB5FE4"/>
    <w:rsid w:val="00CB653B"/>
    <w:rsid w:val="00CB728E"/>
    <w:rsid w:val="00CB7F37"/>
    <w:rsid w:val="00CC062A"/>
    <w:rsid w:val="00CC0742"/>
    <w:rsid w:val="00CC1B1D"/>
    <w:rsid w:val="00CC278E"/>
    <w:rsid w:val="00CC3D18"/>
    <w:rsid w:val="00CC4073"/>
    <w:rsid w:val="00CC4168"/>
    <w:rsid w:val="00CC4745"/>
    <w:rsid w:val="00CC4E74"/>
    <w:rsid w:val="00CC4EB1"/>
    <w:rsid w:val="00CC7BD4"/>
    <w:rsid w:val="00CD0A05"/>
    <w:rsid w:val="00CD1DA6"/>
    <w:rsid w:val="00CD26FA"/>
    <w:rsid w:val="00CD2A25"/>
    <w:rsid w:val="00CD35BC"/>
    <w:rsid w:val="00CD3D36"/>
    <w:rsid w:val="00CD3D96"/>
    <w:rsid w:val="00CD5068"/>
    <w:rsid w:val="00CD50D1"/>
    <w:rsid w:val="00CD51E6"/>
    <w:rsid w:val="00CD52D6"/>
    <w:rsid w:val="00CD5F10"/>
    <w:rsid w:val="00CD79C9"/>
    <w:rsid w:val="00CD7FEA"/>
    <w:rsid w:val="00CE09C9"/>
    <w:rsid w:val="00CE14A6"/>
    <w:rsid w:val="00CE2099"/>
    <w:rsid w:val="00CE2585"/>
    <w:rsid w:val="00CE42FD"/>
    <w:rsid w:val="00CE59A2"/>
    <w:rsid w:val="00CE5A37"/>
    <w:rsid w:val="00CE6200"/>
    <w:rsid w:val="00CF29AD"/>
    <w:rsid w:val="00CF2BD1"/>
    <w:rsid w:val="00CF3547"/>
    <w:rsid w:val="00CF3985"/>
    <w:rsid w:val="00CF3BC8"/>
    <w:rsid w:val="00CF41F5"/>
    <w:rsid w:val="00CF45AF"/>
    <w:rsid w:val="00CF5005"/>
    <w:rsid w:val="00CF5C09"/>
    <w:rsid w:val="00CF63A4"/>
    <w:rsid w:val="00CF721B"/>
    <w:rsid w:val="00CF79FF"/>
    <w:rsid w:val="00CF7DB2"/>
    <w:rsid w:val="00D00C80"/>
    <w:rsid w:val="00D01934"/>
    <w:rsid w:val="00D024D5"/>
    <w:rsid w:val="00D02B84"/>
    <w:rsid w:val="00D03392"/>
    <w:rsid w:val="00D0378C"/>
    <w:rsid w:val="00D03F9E"/>
    <w:rsid w:val="00D045ED"/>
    <w:rsid w:val="00D0543D"/>
    <w:rsid w:val="00D0693D"/>
    <w:rsid w:val="00D06F68"/>
    <w:rsid w:val="00D07A07"/>
    <w:rsid w:val="00D07FB3"/>
    <w:rsid w:val="00D12354"/>
    <w:rsid w:val="00D1341F"/>
    <w:rsid w:val="00D136E3"/>
    <w:rsid w:val="00D136E5"/>
    <w:rsid w:val="00D13BF4"/>
    <w:rsid w:val="00D13F53"/>
    <w:rsid w:val="00D145EA"/>
    <w:rsid w:val="00D151CD"/>
    <w:rsid w:val="00D156D7"/>
    <w:rsid w:val="00D208C8"/>
    <w:rsid w:val="00D21FE4"/>
    <w:rsid w:val="00D22087"/>
    <w:rsid w:val="00D221AA"/>
    <w:rsid w:val="00D22AD1"/>
    <w:rsid w:val="00D22F83"/>
    <w:rsid w:val="00D23F2F"/>
    <w:rsid w:val="00D2433F"/>
    <w:rsid w:val="00D24760"/>
    <w:rsid w:val="00D24D74"/>
    <w:rsid w:val="00D25848"/>
    <w:rsid w:val="00D25E26"/>
    <w:rsid w:val="00D26DC4"/>
    <w:rsid w:val="00D27034"/>
    <w:rsid w:val="00D270C9"/>
    <w:rsid w:val="00D300B0"/>
    <w:rsid w:val="00D31106"/>
    <w:rsid w:val="00D31F39"/>
    <w:rsid w:val="00D338E0"/>
    <w:rsid w:val="00D33A5A"/>
    <w:rsid w:val="00D342BC"/>
    <w:rsid w:val="00D34D50"/>
    <w:rsid w:val="00D34F35"/>
    <w:rsid w:val="00D36515"/>
    <w:rsid w:val="00D36580"/>
    <w:rsid w:val="00D36A1F"/>
    <w:rsid w:val="00D378F5"/>
    <w:rsid w:val="00D37A20"/>
    <w:rsid w:val="00D40264"/>
    <w:rsid w:val="00D402D7"/>
    <w:rsid w:val="00D407DC"/>
    <w:rsid w:val="00D41382"/>
    <w:rsid w:val="00D41D56"/>
    <w:rsid w:val="00D429E4"/>
    <w:rsid w:val="00D440DB"/>
    <w:rsid w:val="00D441A8"/>
    <w:rsid w:val="00D44CE3"/>
    <w:rsid w:val="00D45343"/>
    <w:rsid w:val="00D45351"/>
    <w:rsid w:val="00D45A6A"/>
    <w:rsid w:val="00D45DA3"/>
    <w:rsid w:val="00D4670E"/>
    <w:rsid w:val="00D468FB"/>
    <w:rsid w:val="00D47D87"/>
    <w:rsid w:val="00D5011C"/>
    <w:rsid w:val="00D5028B"/>
    <w:rsid w:val="00D50C25"/>
    <w:rsid w:val="00D50F15"/>
    <w:rsid w:val="00D50F5F"/>
    <w:rsid w:val="00D51D29"/>
    <w:rsid w:val="00D54A16"/>
    <w:rsid w:val="00D54FEA"/>
    <w:rsid w:val="00D559D4"/>
    <w:rsid w:val="00D55A5F"/>
    <w:rsid w:val="00D563CF"/>
    <w:rsid w:val="00D564DF"/>
    <w:rsid w:val="00D601B2"/>
    <w:rsid w:val="00D60639"/>
    <w:rsid w:val="00D61028"/>
    <w:rsid w:val="00D618F0"/>
    <w:rsid w:val="00D61EB0"/>
    <w:rsid w:val="00D61EB9"/>
    <w:rsid w:val="00D62919"/>
    <w:rsid w:val="00D63146"/>
    <w:rsid w:val="00D63991"/>
    <w:rsid w:val="00D647BE"/>
    <w:rsid w:val="00D65101"/>
    <w:rsid w:val="00D668BC"/>
    <w:rsid w:val="00D6722D"/>
    <w:rsid w:val="00D70E3C"/>
    <w:rsid w:val="00D71572"/>
    <w:rsid w:val="00D71C58"/>
    <w:rsid w:val="00D72D43"/>
    <w:rsid w:val="00D7326A"/>
    <w:rsid w:val="00D7392F"/>
    <w:rsid w:val="00D73E58"/>
    <w:rsid w:val="00D75332"/>
    <w:rsid w:val="00D767DA"/>
    <w:rsid w:val="00D76F60"/>
    <w:rsid w:val="00D80343"/>
    <w:rsid w:val="00D819A2"/>
    <w:rsid w:val="00D82489"/>
    <w:rsid w:val="00D824FD"/>
    <w:rsid w:val="00D8332A"/>
    <w:rsid w:val="00D83422"/>
    <w:rsid w:val="00D84A11"/>
    <w:rsid w:val="00D853F5"/>
    <w:rsid w:val="00D86AFD"/>
    <w:rsid w:val="00D87917"/>
    <w:rsid w:val="00D90839"/>
    <w:rsid w:val="00D91B12"/>
    <w:rsid w:val="00D91DDA"/>
    <w:rsid w:val="00D91FF7"/>
    <w:rsid w:val="00D9208D"/>
    <w:rsid w:val="00D9250D"/>
    <w:rsid w:val="00D9355A"/>
    <w:rsid w:val="00D93E01"/>
    <w:rsid w:val="00D9447F"/>
    <w:rsid w:val="00D955A4"/>
    <w:rsid w:val="00D95CEE"/>
    <w:rsid w:val="00D96E0A"/>
    <w:rsid w:val="00D96EF0"/>
    <w:rsid w:val="00D97353"/>
    <w:rsid w:val="00D976D1"/>
    <w:rsid w:val="00D97B7F"/>
    <w:rsid w:val="00DA0F64"/>
    <w:rsid w:val="00DA1032"/>
    <w:rsid w:val="00DA13EA"/>
    <w:rsid w:val="00DA270E"/>
    <w:rsid w:val="00DA377F"/>
    <w:rsid w:val="00DA47A7"/>
    <w:rsid w:val="00DA4856"/>
    <w:rsid w:val="00DA5531"/>
    <w:rsid w:val="00DA56E6"/>
    <w:rsid w:val="00DA5FFF"/>
    <w:rsid w:val="00DA6B9E"/>
    <w:rsid w:val="00DA7075"/>
    <w:rsid w:val="00DA7323"/>
    <w:rsid w:val="00DB05C2"/>
    <w:rsid w:val="00DB09CE"/>
    <w:rsid w:val="00DB0BF6"/>
    <w:rsid w:val="00DB1109"/>
    <w:rsid w:val="00DB182D"/>
    <w:rsid w:val="00DB37AC"/>
    <w:rsid w:val="00DB51D3"/>
    <w:rsid w:val="00DB52D2"/>
    <w:rsid w:val="00DB56A6"/>
    <w:rsid w:val="00DB5824"/>
    <w:rsid w:val="00DB6121"/>
    <w:rsid w:val="00DB614F"/>
    <w:rsid w:val="00DB73F8"/>
    <w:rsid w:val="00DB7F30"/>
    <w:rsid w:val="00DC03DA"/>
    <w:rsid w:val="00DC2CAE"/>
    <w:rsid w:val="00DC2DB7"/>
    <w:rsid w:val="00DC3409"/>
    <w:rsid w:val="00DC4C91"/>
    <w:rsid w:val="00DC5252"/>
    <w:rsid w:val="00DC5AA1"/>
    <w:rsid w:val="00DC69CA"/>
    <w:rsid w:val="00DC69D8"/>
    <w:rsid w:val="00DD0922"/>
    <w:rsid w:val="00DD0E35"/>
    <w:rsid w:val="00DD1226"/>
    <w:rsid w:val="00DD1900"/>
    <w:rsid w:val="00DD215B"/>
    <w:rsid w:val="00DD21D2"/>
    <w:rsid w:val="00DD2725"/>
    <w:rsid w:val="00DD2862"/>
    <w:rsid w:val="00DD3BCC"/>
    <w:rsid w:val="00DD3D21"/>
    <w:rsid w:val="00DD3F98"/>
    <w:rsid w:val="00DD5567"/>
    <w:rsid w:val="00DD5A82"/>
    <w:rsid w:val="00DD661C"/>
    <w:rsid w:val="00DD6A18"/>
    <w:rsid w:val="00DD7646"/>
    <w:rsid w:val="00DE0534"/>
    <w:rsid w:val="00DE072F"/>
    <w:rsid w:val="00DE1C9F"/>
    <w:rsid w:val="00DE32BE"/>
    <w:rsid w:val="00DE4867"/>
    <w:rsid w:val="00DE4A1A"/>
    <w:rsid w:val="00DE4B7D"/>
    <w:rsid w:val="00DE4CDD"/>
    <w:rsid w:val="00DE6510"/>
    <w:rsid w:val="00DE7394"/>
    <w:rsid w:val="00DE745B"/>
    <w:rsid w:val="00DE75E2"/>
    <w:rsid w:val="00DE7AD4"/>
    <w:rsid w:val="00DF07BF"/>
    <w:rsid w:val="00DF0BC3"/>
    <w:rsid w:val="00DF182E"/>
    <w:rsid w:val="00DF3024"/>
    <w:rsid w:val="00DF42F8"/>
    <w:rsid w:val="00DF4A33"/>
    <w:rsid w:val="00DF4FC2"/>
    <w:rsid w:val="00DF5A17"/>
    <w:rsid w:val="00DF5DB0"/>
    <w:rsid w:val="00DF60A2"/>
    <w:rsid w:val="00DF6DAB"/>
    <w:rsid w:val="00DF7E05"/>
    <w:rsid w:val="00E01245"/>
    <w:rsid w:val="00E03C76"/>
    <w:rsid w:val="00E03FDD"/>
    <w:rsid w:val="00E040DA"/>
    <w:rsid w:val="00E04885"/>
    <w:rsid w:val="00E06321"/>
    <w:rsid w:val="00E06B40"/>
    <w:rsid w:val="00E0756E"/>
    <w:rsid w:val="00E07F8F"/>
    <w:rsid w:val="00E107E5"/>
    <w:rsid w:val="00E11835"/>
    <w:rsid w:val="00E12DAB"/>
    <w:rsid w:val="00E1321A"/>
    <w:rsid w:val="00E13478"/>
    <w:rsid w:val="00E1429C"/>
    <w:rsid w:val="00E1473D"/>
    <w:rsid w:val="00E150A9"/>
    <w:rsid w:val="00E1564D"/>
    <w:rsid w:val="00E169E5"/>
    <w:rsid w:val="00E16F6B"/>
    <w:rsid w:val="00E20710"/>
    <w:rsid w:val="00E20F5B"/>
    <w:rsid w:val="00E21A1A"/>
    <w:rsid w:val="00E22A30"/>
    <w:rsid w:val="00E22FD1"/>
    <w:rsid w:val="00E24EF4"/>
    <w:rsid w:val="00E25C8B"/>
    <w:rsid w:val="00E260DB"/>
    <w:rsid w:val="00E2663D"/>
    <w:rsid w:val="00E2693D"/>
    <w:rsid w:val="00E26B64"/>
    <w:rsid w:val="00E3083B"/>
    <w:rsid w:val="00E34FC4"/>
    <w:rsid w:val="00E35FDE"/>
    <w:rsid w:val="00E37C65"/>
    <w:rsid w:val="00E37DA6"/>
    <w:rsid w:val="00E40380"/>
    <w:rsid w:val="00E409BA"/>
    <w:rsid w:val="00E40EC9"/>
    <w:rsid w:val="00E40F56"/>
    <w:rsid w:val="00E417B8"/>
    <w:rsid w:val="00E43962"/>
    <w:rsid w:val="00E439E4"/>
    <w:rsid w:val="00E44512"/>
    <w:rsid w:val="00E452E3"/>
    <w:rsid w:val="00E46B2B"/>
    <w:rsid w:val="00E47139"/>
    <w:rsid w:val="00E479AE"/>
    <w:rsid w:val="00E5151E"/>
    <w:rsid w:val="00E51B9E"/>
    <w:rsid w:val="00E51C1A"/>
    <w:rsid w:val="00E52E3A"/>
    <w:rsid w:val="00E53507"/>
    <w:rsid w:val="00E54877"/>
    <w:rsid w:val="00E54E94"/>
    <w:rsid w:val="00E551AD"/>
    <w:rsid w:val="00E55A61"/>
    <w:rsid w:val="00E55EE8"/>
    <w:rsid w:val="00E56E34"/>
    <w:rsid w:val="00E572CB"/>
    <w:rsid w:val="00E57CC2"/>
    <w:rsid w:val="00E61B0F"/>
    <w:rsid w:val="00E62EFF"/>
    <w:rsid w:val="00E63C19"/>
    <w:rsid w:val="00E65A15"/>
    <w:rsid w:val="00E65D17"/>
    <w:rsid w:val="00E6787B"/>
    <w:rsid w:val="00E67DBC"/>
    <w:rsid w:val="00E71333"/>
    <w:rsid w:val="00E71FFC"/>
    <w:rsid w:val="00E72837"/>
    <w:rsid w:val="00E72CCB"/>
    <w:rsid w:val="00E7354A"/>
    <w:rsid w:val="00E744CC"/>
    <w:rsid w:val="00E744F5"/>
    <w:rsid w:val="00E74F52"/>
    <w:rsid w:val="00E75921"/>
    <w:rsid w:val="00E76DC6"/>
    <w:rsid w:val="00E77148"/>
    <w:rsid w:val="00E777C7"/>
    <w:rsid w:val="00E77DE6"/>
    <w:rsid w:val="00E80037"/>
    <w:rsid w:val="00E8040A"/>
    <w:rsid w:val="00E80704"/>
    <w:rsid w:val="00E80EDD"/>
    <w:rsid w:val="00E81502"/>
    <w:rsid w:val="00E8260E"/>
    <w:rsid w:val="00E83910"/>
    <w:rsid w:val="00E83DE7"/>
    <w:rsid w:val="00E84EF8"/>
    <w:rsid w:val="00E85365"/>
    <w:rsid w:val="00E85CBA"/>
    <w:rsid w:val="00E86BED"/>
    <w:rsid w:val="00E86C28"/>
    <w:rsid w:val="00E904FA"/>
    <w:rsid w:val="00E906AC"/>
    <w:rsid w:val="00E9189C"/>
    <w:rsid w:val="00E918DC"/>
    <w:rsid w:val="00E9252B"/>
    <w:rsid w:val="00E92606"/>
    <w:rsid w:val="00E93367"/>
    <w:rsid w:val="00E93A0D"/>
    <w:rsid w:val="00E949B0"/>
    <w:rsid w:val="00E95065"/>
    <w:rsid w:val="00E95652"/>
    <w:rsid w:val="00E959FA"/>
    <w:rsid w:val="00E95DB3"/>
    <w:rsid w:val="00E95F82"/>
    <w:rsid w:val="00E964E1"/>
    <w:rsid w:val="00E968F9"/>
    <w:rsid w:val="00E96ACF"/>
    <w:rsid w:val="00E97374"/>
    <w:rsid w:val="00EA011C"/>
    <w:rsid w:val="00EA0177"/>
    <w:rsid w:val="00EA070D"/>
    <w:rsid w:val="00EA0BFB"/>
    <w:rsid w:val="00EA0D30"/>
    <w:rsid w:val="00EA1163"/>
    <w:rsid w:val="00EA16CB"/>
    <w:rsid w:val="00EA25C1"/>
    <w:rsid w:val="00EA2AB6"/>
    <w:rsid w:val="00EA4052"/>
    <w:rsid w:val="00EA48F9"/>
    <w:rsid w:val="00EA59B4"/>
    <w:rsid w:val="00EA6084"/>
    <w:rsid w:val="00EA647D"/>
    <w:rsid w:val="00EA7388"/>
    <w:rsid w:val="00EA7C4F"/>
    <w:rsid w:val="00EB0DEE"/>
    <w:rsid w:val="00EB0EA4"/>
    <w:rsid w:val="00EB1097"/>
    <w:rsid w:val="00EB2723"/>
    <w:rsid w:val="00EB3B93"/>
    <w:rsid w:val="00EB42BF"/>
    <w:rsid w:val="00EB5B1C"/>
    <w:rsid w:val="00EB7C79"/>
    <w:rsid w:val="00EC0E02"/>
    <w:rsid w:val="00EC0F21"/>
    <w:rsid w:val="00EC1418"/>
    <w:rsid w:val="00EC19BF"/>
    <w:rsid w:val="00EC1B08"/>
    <w:rsid w:val="00EC2557"/>
    <w:rsid w:val="00EC43F3"/>
    <w:rsid w:val="00EC46EB"/>
    <w:rsid w:val="00EC5E70"/>
    <w:rsid w:val="00EC6480"/>
    <w:rsid w:val="00EC7BE4"/>
    <w:rsid w:val="00ED07D9"/>
    <w:rsid w:val="00ED08F6"/>
    <w:rsid w:val="00ED0949"/>
    <w:rsid w:val="00ED11F6"/>
    <w:rsid w:val="00ED145B"/>
    <w:rsid w:val="00ED1674"/>
    <w:rsid w:val="00ED2064"/>
    <w:rsid w:val="00ED2B8B"/>
    <w:rsid w:val="00ED3A77"/>
    <w:rsid w:val="00ED43C6"/>
    <w:rsid w:val="00ED4B9D"/>
    <w:rsid w:val="00ED5091"/>
    <w:rsid w:val="00ED53DF"/>
    <w:rsid w:val="00ED7AED"/>
    <w:rsid w:val="00ED7FC1"/>
    <w:rsid w:val="00EE00D4"/>
    <w:rsid w:val="00EE0F8F"/>
    <w:rsid w:val="00EE112B"/>
    <w:rsid w:val="00EE1340"/>
    <w:rsid w:val="00EE2ECF"/>
    <w:rsid w:val="00EE3972"/>
    <w:rsid w:val="00EE3F48"/>
    <w:rsid w:val="00EE3F5E"/>
    <w:rsid w:val="00EE44FA"/>
    <w:rsid w:val="00EE4947"/>
    <w:rsid w:val="00EE49DE"/>
    <w:rsid w:val="00EE4C99"/>
    <w:rsid w:val="00EE4F72"/>
    <w:rsid w:val="00EE52BF"/>
    <w:rsid w:val="00EE54FF"/>
    <w:rsid w:val="00EE5598"/>
    <w:rsid w:val="00EE59AE"/>
    <w:rsid w:val="00EE5CF0"/>
    <w:rsid w:val="00EF0290"/>
    <w:rsid w:val="00EF0BE0"/>
    <w:rsid w:val="00EF10D4"/>
    <w:rsid w:val="00EF115A"/>
    <w:rsid w:val="00EF1FD0"/>
    <w:rsid w:val="00EF2B02"/>
    <w:rsid w:val="00EF398B"/>
    <w:rsid w:val="00EF3E3C"/>
    <w:rsid w:val="00EF65F3"/>
    <w:rsid w:val="00EF660D"/>
    <w:rsid w:val="00EF695B"/>
    <w:rsid w:val="00EF6AE0"/>
    <w:rsid w:val="00EF71AC"/>
    <w:rsid w:val="00EF7395"/>
    <w:rsid w:val="00EF7CE7"/>
    <w:rsid w:val="00F003F5"/>
    <w:rsid w:val="00F0112A"/>
    <w:rsid w:val="00F01D59"/>
    <w:rsid w:val="00F023F8"/>
    <w:rsid w:val="00F04041"/>
    <w:rsid w:val="00F04401"/>
    <w:rsid w:val="00F04A3A"/>
    <w:rsid w:val="00F061A6"/>
    <w:rsid w:val="00F06575"/>
    <w:rsid w:val="00F07173"/>
    <w:rsid w:val="00F11019"/>
    <w:rsid w:val="00F12240"/>
    <w:rsid w:val="00F13358"/>
    <w:rsid w:val="00F1356F"/>
    <w:rsid w:val="00F13B04"/>
    <w:rsid w:val="00F13CA0"/>
    <w:rsid w:val="00F13D83"/>
    <w:rsid w:val="00F14425"/>
    <w:rsid w:val="00F14845"/>
    <w:rsid w:val="00F1568B"/>
    <w:rsid w:val="00F1617B"/>
    <w:rsid w:val="00F167BE"/>
    <w:rsid w:val="00F16B8D"/>
    <w:rsid w:val="00F1746A"/>
    <w:rsid w:val="00F1761A"/>
    <w:rsid w:val="00F17962"/>
    <w:rsid w:val="00F200F4"/>
    <w:rsid w:val="00F20A21"/>
    <w:rsid w:val="00F22A07"/>
    <w:rsid w:val="00F23B0E"/>
    <w:rsid w:val="00F24344"/>
    <w:rsid w:val="00F2476B"/>
    <w:rsid w:val="00F24830"/>
    <w:rsid w:val="00F24E3B"/>
    <w:rsid w:val="00F24EC0"/>
    <w:rsid w:val="00F26131"/>
    <w:rsid w:val="00F264BB"/>
    <w:rsid w:val="00F270C2"/>
    <w:rsid w:val="00F27EFC"/>
    <w:rsid w:val="00F3118C"/>
    <w:rsid w:val="00F3168C"/>
    <w:rsid w:val="00F31E83"/>
    <w:rsid w:val="00F321AA"/>
    <w:rsid w:val="00F32E7E"/>
    <w:rsid w:val="00F3324A"/>
    <w:rsid w:val="00F3390B"/>
    <w:rsid w:val="00F346C0"/>
    <w:rsid w:val="00F34F2E"/>
    <w:rsid w:val="00F352A7"/>
    <w:rsid w:val="00F35382"/>
    <w:rsid w:val="00F376C5"/>
    <w:rsid w:val="00F404E8"/>
    <w:rsid w:val="00F419D1"/>
    <w:rsid w:val="00F41AB8"/>
    <w:rsid w:val="00F43DD7"/>
    <w:rsid w:val="00F43FB0"/>
    <w:rsid w:val="00F44CCF"/>
    <w:rsid w:val="00F45AB1"/>
    <w:rsid w:val="00F46938"/>
    <w:rsid w:val="00F473A4"/>
    <w:rsid w:val="00F47ED2"/>
    <w:rsid w:val="00F5087F"/>
    <w:rsid w:val="00F50B1D"/>
    <w:rsid w:val="00F510ED"/>
    <w:rsid w:val="00F520B6"/>
    <w:rsid w:val="00F53846"/>
    <w:rsid w:val="00F5487D"/>
    <w:rsid w:val="00F54F87"/>
    <w:rsid w:val="00F555A9"/>
    <w:rsid w:val="00F5584A"/>
    <w:rsid w:val="00F56C66"/>
    <w:rsid w:val="00F5761A"/>
    <w:rsid w:val="00F57F0D"/>
    <w:rsid w:val="00F600C1"/>
    <w:rsid w:val="00F607CB"/>
    <w:rsid w:val="00F6251B"/>
    <w:rsid w:val="00F62BB8"/>
    <w:rsid w:val="00F634FD"/>
    <w:rsid w:val="00F6363F"/>
    <w:rsid w:val="00F64E77"/>
    <w:rsid w:val="00F66A2A"/>
    <w:rsid w:val="00F67BE2"/>
    <w:rsid w:val="00F67EC1"/>
    <w:rsid w:val="00F70614"/>
    <w:rsid w:val="00F70F88"/>
    <w:rsid w:val="00F71AE6"/>
    <w:rsid w:val="00F72C7F"/>
    <w:rsid w:val="00F7305B"/>
    <w:rsid w:val="00F744B9"/>
    <w:rsid w:val="00F74A6F"/>
    <w:rsid w:val="00F74B86"/>
    <w:rsid w:val="00F74EDD"/>
    <w:rsid w:val="00F74FBF"/>
    <w:rsid w:val="00F75067"/>
    <w:rsid w:val="00F7531D"/>
    <w:rsid w:val="00F75CBC"/>
    <w:rsid w:val="00F76737"/>
    <w:rsid w:val="00F76CF7"/>
    <w:rsid w:val="00F77387"/>
    <w:rsid w:val="00F8066A"/>
    <w:rsid w:val="00F8092A"/>
    <w:rsid w:val="00F823B3"/>
    <w:rsid w:val="00F829F2"/>
    <w:rsid w:val="00F8309C"/>
    <w:rsid w:val="00F83445"/>
    <w:rsid w:val="00F85A4A"/>
    <w:rsid w:val="00F86639"/>
    <w:rsid w:val="00F86BC3"/>
    <w:rsid w:val="00F92784"/>
    <w:rsid w:val="00F92A44"/>
    <w:rsid w:val="00F940D7"/>
    <w:rsid w:val="00F943FD"/>
    <w:rsid w:val="00F947C7"/>
    <w:rsid w:val="00F94933"/>
    <w:rsid w:val="00F94949"/>
    <w:rsid w:val="00F9506F"/>
    <w:rsid w:val="00F95134"/>
    <w:rsid w:val="00F9529F"/>
    <w:rsid w:val="00F95D50"/>
    <w:rsid w:val="00F96777"/>
    <w:rsid w:val="00F973EE"/>
    <w:rsid w:val="00F97847"/>
    <w:rsid w:val="00F97928"/>
    <w:rsid w:val="00F9792E"/>
    <w:rsid w:val="00F97B31"/>
    <w:rsid w:val="00F97F86"/>
    <w:rsid w:val="00FA116B"/>
    <w:rsid w:val="00FA23AE"/>
    <w:rsid w:val="00FA38FA"/>
    <w:rsid w:val="00FA3C4F"/>
    <w:rsid w:val="00FA3D91"/>
    <w:rsid w:val="00FA3F5E"/>
    <w:rsid w:val="00FA5992"/>
    <w:rsid w:val="00FA6D50"/>
    <w:rsid w:val="00FA6E01"/>
    <w:rsid w:val="00FA76B2"/>
    <w:rsid w:val="00FA76CD"/>
    <w:rsid w:val="00FA786B"/>
    <w:rsid w:val="00FB0B52"/>
    <w:rsid w:val="00FB0EA9"/>
    <w:rsid w:val="00FB0FC9"/>
    <w:rsid w:val="00FB118C"/>
    <w:rsid w:val="00FB22C2"/>
    <w:rsid w:val="00FB270F"/>
    <w:rsid w:val="00FB29F4"/>
    <w:rsid w:val="00FB2D09"/>
    <w:rsid w:val="00FB396B"/>
    <w:rsid w:val="00FB3A3A"/>
    <w:rsid w:val="00FB3F47"/>
    <w:rsid w:val="00FB5973"/>
    <w:rsid w:val="00FB5FA2"/>
    <w:rsid w:val="00FB6335"/>
    <w:rsid w:val="00FB6562"/>
    <w:rsid w:val="00FB6826"/>
    <w:rsid w:val="00FB6885"/>
    <w:rsid w:val="00FB6B11"/>
    <w:rsid w:val="00FB6E34"/>
    <w:rsid w:val="00FB757B"/>
    <w:rsid w:val="00FB78C7"/>
    <w:rsid w:val="00FB7983"/>
    <w:rsid w:val="00FC06A8"/>
    <w:rsid w:val="00FC1122"/>
    <w:rsid w:val="00FC22AD"/>
    <w:rsid w:val="00FC2BCD"/>
    <w:rsid w:val="00FC34E5"/>
    <w:rsid w:val="00FC4278"/>
    <w:rsid w:val="00FC54D9"/>
    <w:rsid w:val="00FC56B3"/>
    <w:rsid w:val="00FC7051"/>
    <w:rsid w:val="00FC71B0"/>
    <w:rsid w:val="00FC7833"/>
    <w:rsid w:val="00FC7A74"/>
    <w:rsid w:val="00FD04B6"/>
    <w:rsid w:val="00FD0FDB"/>
    <w:rsid w:val="00FD2261"/>
    <w:rsid w:val="00FD2592"/>
    <w:rsid w:val="00FD2E37"/>
    <w:rsid w:val="00FD3434"/>
    <w:rsid w:val="00FD391C"/>
    <w:rsid w:val="00FD3D13"/>
    <w:rsid w:val="00FD3F40"/>
    <w:rsid w:val="00FD40E3"/>
    <w:rsid w:val="00FD4513"/>
    <w:rsid w:val="00FD455F"/>
    <w:rsid w:val="00FD4C6B"/>
    <w:rsid w:val="00FD630D"/>
    <w:rsid w:val="00FD7B18"/>
    <w:rsid w:val="00FE1798"/>
    <w:rsid w:val="00FE2CE4"/>
    <w:rsid w:val="00FE34A3"/>
    <w:rsid w:val="00FE3638"/>
    <w:rsid w:val="00FE3F16"/>
    <w:rsid w:val="00FE4824"/>
    <w:rsid w:val="00FE4B53"/>
    <w:rsid w:val="00FE5D23"/>
    <w:rsid w:val="00FE5F3D"/>
    <w:rsid w:val="00FE6E29"/>
    <w:rsid w:val="00FE6EE5"/>
    <w:rsid w:val="00FE7B8F"/>
    <w:rsid w:val="00FF0D89"/>
    <w:rsid w:val="00FF0EA7"/>
    <w:rsid w:val="00FF1E49"/>
    <w:rsid w:val="00FF2FCC"/>
    <w:rsid w:val="00FF3BE4"/>
    <w:rsid w:val="00FF586E"/>
    <w:rsid w:val="00FF5BB3"/>
    <w:rsid w:val="00FF5FD2"/>
    <w:rsid w:val="00FF66D7"/>
    <w:rsid w:val="00FF6739"/>
    <w:rsid w:val="00FF6E16"/>
    <w:rsid w:val="00FF7CBD"/>
    <w:rsid w:val="00FF7E4C"/>
    <w:rsid w:val="00FF7E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57"/>
    <w:pPr>
      <w:spacing w:before="120" w:after="120" w:line="280" w:lineRule="atLeast"/>
      <w:jc w:val="both"/>
    </w:pPr>
    <w:rPr>
      <w:rFonts w:ascii="Calibri" w:eastAsiaTheme="minorEastAsia" w:hAnsi="Calibri"/>
      <w:lang w:eastAsia="en-NZ"/>
    </w:rPr>
  </w:style>
  <w:style w:type="paragraph" w:styleId="Heading1">
    <w:name w:val="heading 1"/>
    <w:aliases w:val="dark brown"/>
    <w:basedOn w:val="Normal"/>
    <w:next w:val="BodyText"/>
    <w:link w:val="Heading1Char"/>
    <w:qFormat/>
    <w:rsid w:val="007951D4"/>
    <w:pPr>
      <w:keepNext/>
      <w:keepLines/>
      <w:tabs>
        <w:tab w:val="left" w:pos="851"/>
      </w:tabs>
      <w:spacing w:before="0" w:after="600" w:line="240" w:lineRule="auto"/>
      <w:jc w:val="left"/>
      <w:outlineLvl w:val="0"/>
    </w:pPr>
    <w:rPr>
      <w:rFonts w:eastAsiaTheme="majorEastAsia" w:cstheme="majorBidi"/>
      <w:b/>
      <w:bCs/>
      <w:color w:val="17556C"/>
      <w:sz w:val="48"/>
      <w:szCs w:val="28"/>
    </w:rPr>
  </w:style>
  <w:style w:type="paragraph" w:styleId="Heading2">
    <w:name w:val="heading 2"/>
    <w:basedOn w:val="Normal"/>
    <w:next w:val="Normal"/>
    <w:link w:val="Heading2Char"/>
    <w:qFormat/>
    <w:rsid w:val="007951D4"/>
    <w:pPr>
      <w:keepNext/>
      <w:keepLines/>
      <w:tabs>
        <w:tab w:val="left" w:pos="737"/>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Normal"/>
    <w:link w:val="Heading3Char"/>
    <w:qFormat/>
    <w:rsid w:val="004E5C57"/>
    <w:pPr>
      <w:keepNext/>
      <w:keepLines/>
      <w:tabs>
        <w:tab w:val="left" w:pos="851"/>
      </w:tabs>
      <w:spacing w:before="360" w:after="0" w:line="240" w:lineRule="auto"/>
      <w:jc w:val="left"/>
      <w:outlineLvl w:val="2"/>
    </w:pPr>
    <w:rPr>
      <w:rFonts w:eastAsiaTheme="majorEastAsia" w:cstheme="majorBidi"/>
      <w:b/>
      <w:bCs/>
      <w:color w:val="183C47"/>
      <w:sz w:val="28"/>
    </w:rPr>
  </w:style>
  <w:style w:type="paragraph" w:styleId="Heading4">
    <w:name w:val="heading 4"/>
    <w:basedOn w:val="Heading3"/>
    <w:next w:val="Normal"/>
    <w:link w:val="Heading4Char"/>
    <w:qFormat/>
    <w:rsid w:val="007951D4"/>
    <w:pPr>
      <w:outlineLvl w:val="3"/>
    </w:pPr>
    <w:rPr>
      <w:color w:val="0F7B7D"/>
      <w:sz w:val="24"/>
    </w:rPr>
  </w:style>
  <w:style w:type="paragraph" w:styleId="Heading5">
    <w:name w:val="heading 5"/>
    <w:basedOn w:val="Normal"/>
    <w:next w:val="Normal"/>
    <w:link w:val="Heading5Char"/>
    <w:qFormat/>
    <w:rsid w:val="004E5C57"/>
    <w:pPr>
      <w:keepNext/>
      <w:keepLines/>
      <w:spacing w:before="360" w:after="0" w:line="240" w:lineRule="auto"/>
      <w:jc w:val="left"/>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rk brown Char"/>
    <w:basedOn w:val="DefaultParagraphFont"/>
    <w:link w:val="Heading1"/>
    <w:rsid w:val="007951D4"/>
    <w:rPr>
      <w:rFonts w:ascii="Calibri" w:eastAsiaTheme="majorEastAsia" w:hAnsi="Calibri" w:cstheme="majorBidi"/>
      <w:b/>
      <w:bCs/>
      <w:color w:val="17556C"/>
      <w:sz w:val="48"/>
      <w:szCs w:val="28"/>
      <w:lang w:eastAsia="en-NZ"/>
    </w:rPr>
  </w:style>
  <w:style w:type="character" w:customStyle="1" w:styleId="Heading2Char">
    <w:name w:val="Heading 2 Char"/>
    <w:basedOn w:val="DefaultParagraphFont"/>
    <w:link w:val="Heading2"/>
    <w:rsid w:val="007951D4"/>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4E5C57"/>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7951D4"/>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4E5C57"/>
    <w:rPr>
      <w:rFonts w:ascii="Calibri" w:eastAsiaTheme="majorEastAsia" w:hAnsi="Calibri" w:cstheme="majorBidi"/>
      <w:i/>
      <w:sz w:val="24"/>
      <w:lang w:eastAsia="en-NZ"/>
    </w:rPr>
  </w:style>
  <w:style w:type="paragraph" w:customStyle="1" w:styleId="Sectiontitle-lightbrown">
    <w:name w:val="Section title - light brown"/>
    <w:basedOn w:val="Sectiontitle-darkbrown"/>
    <w:next w:val="BodyText"/>
    <w:semiHidden/>
    <w:qFormat/>
    <w:rsid w:val="004E5C57"/>
    <w:rPr>
      <w:color w:val="F4D19C"/>
    </w:rPr>
  </w:style>
  <w:style w:type="paragraph" w:customStyle="1" w:styleId="Sectiontitle-darkbrown">
    <w:name w:val="Section title - dark brown"/>
    <w:basedOn w:val="Heading1"/>
    <w:semiHidden/>
    <w:qFormat/>
    <w:rsid w:val="004E5C57"/>
    <w:pPr>
      <w:keepLines w:val="0"/>
      <w:spacing w:after="0"/>
    </w:pPr>
    <w:rPr>
      <w:sz w:val="72"/>
    </w:rPr>
  </w:style>
  <w:style w:type="paragraph" w:styleId="BodyText">
    <w:name w:val="Body Text"/>
    <w:basedOn w:val="Normal"/>
    <w:link w:val="BodyTextChar"/>
    <w:qFormat/>
    <w:rsid w:val="004E5C57"/>
    <w:pPr>
      <w:jc w:val="left"/>
    </w:pPr>
  </w:style>
  <w:style w:type="character" w:customStyle="1" w:styleId="BodyTextChar">
    <w:name w:val="Body Text Char"/>
    <w:basedOn w:val="DefaultParagraphFont"/>
    <w:link w:val="BodyText"/>
    <w:rsid w:val="004E5C57"/>
    <w:rPr>
      <w:rFonts w:ascii="Calibri" w:eastAsiaTheme="minorEastAsia" w:hAnsi="Calibri"/>
      <w:lang w:eastAsia="en-NZ"/>
    </w:rPr>
  </w:style>
  <w:style w:type="paragraph" w:styleId="ListParagraph">
    <w:name w:val="List Paragraph"/>
    <w:basedOn w:val="Normal"/>
    <w:link w:val="ListParagraphChar"/>
    <w:uiPriority w:val="34"/>
    <w:qFormat/>
    <w:rsid w:val="004E5C57"/>
    <w:pPr>
      <w:ind w:left="397" w:hanging="397"/>
      <w:jc w:val="left"/>
    </w:pPr>
  </w:style>
  <w:style w:type="character" w:customStyle="1" w:styleId="ListParagraphChar">
    <w:name w:val="List Paragraph Char"/>
    <w:link w:val="ListParagraph"/>
    <w:uiPriority w:val="34"/>
    <w:locked/>
    <w:rsid w:val="004E5C57"/>
    <w:rPr>
      <w:rFonts w:ascii="Calibri" w:eastAsiaTheme="minorEastAsia" w:hAnsi="Calibri"/>
      <w:lang w:eastAsia="en-NZ"/>
    </w:rPr>
  </w:style>
  <w:style w:type="character" w:styleId="Hyperlink">
    <w:name w:val="Hyperlink"/>
    <w:basedOn w:val="DefaultParagraphFont"/>
    <w:uiPriority w:val="99"/>
    <w:rsid w:val="004E5C57"/>
    <w:rPr>
      <w:color w:val="14456E"/>
      <w:u w:val="single"/>
    </w:rPr>
  </w:style>
  <w:style w:type="table" w:styleId="TableGrid">
    <w:name w:val="Table Grid"/>
    <w:basedOn w:val="TableNormal"/>
    <w:uiPriority w:val="59"/>
    <w:rsid w:val="004E5C57"/>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E5C57"/>
    <w:pPr>
      <w:spacing w:before="0" w:after="60" w:line="24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uiPriority w:val="99"/>
    <w:rsid w:val="004E5C57"/>
    <w:rPr>
      <w:rFonts w:ascii="Calibri" w:eastAsia="Times New Roman" w:hAnsi="Calibri" w:cs="Times New Roman"/>
      <w:sz w:val="18"/>
      <w:szCs w:val="20"/>
      <w:lang w:val="x-none"/>
    </w:rPr>
  </w:style>
  <w:style w:type="character" w:styleId="FootnoteReference">
    <w:name w:val="footnote reference"/>
    <w:basedOn w:val="DefaultParagraphFont"/>
    <w:uiPriority w:val="99"/>
    <w:rsid w:val="004E5C57"/>
    <w:rPr>
      <w:rFonts w:ascii="Calibri" w:hAnsi="Calibri"/>
      <w:sz w:val="22"/>
      <w:vertAlign w:val="superscript"/>
    </w:rPr>
  </w:style>
  <w:style w:type="paragraph" w:styleId="BalloonText">
    <w:name w:val="Balloon Text"/>
    <w:basedOn w:val="Normal"/>
    <w:link w:val="BalloonTextChar"/>
    <w:uiPriority w:val="99"/>
    <w:semiHidden/>
    <w:unhideWhenUsed/>
    <w:rsid w:val="004E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C57"/>
    <w:rPr>
      <w:rFonts w:ascii="Tahoma" w:eastAsiaTheme="minorEastAsia" w:hAnsi="Tahoma" w:cs="Tahoma"/>
      <w:sz w:val="16"/>
      <w:szCs w:val="16"/>
      <w:lang w:eastAsia="en-NZ"/>
    </w:rPr>
  </w:style>
  <w:style w:type="paragraph" w:styleId="Title">
    <w:name w:val="Title"/>
    <w:basedOn w:val="Normal"/>
    <w:next w:val="Normal"/>
    <w:link w:val="TitleChar"/>
    <w:rsid w:val="004E5C57"/>
    <w:pPr>
      <w:spacing w:before="0" w:after="600" w:line="240" w:lineRule="auto"/>
      <w:jc w:val="left"/>
    </w:pPr>
    <w:rPr>
      <w:rFonts w:eastAsiaTheme="majorEastAsia" w:cstheme="majorBidi"/>
      <w:b/>
      <w:color w:val="00264C"/>
      <w:sz w:val="52"/>
      <w:szCs w:val="52"/>
    </w:rPr>
  </w:style>
  <w:style w:type="character" w:customStyle="1" w:styleId="TitleChar">
    <w:name w:val="Title Char"/>
    <w:basedOn w:val="DefaultParagraphFont"/>
    <w:link w:val="Title"/>
    <w:rsid w:val="004E5C57"/>
    <w:rPr>
      <w:rFonts w:ascii="Calibri" w:eastAsiaTheme="majorEastAsia" w:hAnsi="Calibri" w:cstheme="majorBidi"/>
      <w:b/>
      <w:color w:val="00264C"/>
      <w:sz w:val="52"/>
      <w:szCs w:val="52"/>
      <w:lang w:eastAsia="en-NZ"/>
    </w:rPr>
  </w:style>
  <w:style w:type="paragraph" w:customStyle="1" w:styleId="Bullet">
    <w:name w:val="Bullet"/>
    <w:basedOn w:val="Normal"/>
    <w:qFormat/>
    <w:rsid w:val="004E5C57"/>
    <w:pPr>
      <w:numPr>
        <w:numId w:val="1"/>
      </w:numPr>
      <w:tabs>
        <w:tab w:val="clear" w:pos="567"/>
        <w:tab w:val="left" w:pos="397"/>
      </w:tabs>
      <w:spacing w:before="0" w:line="280" w:lineRule="exact"/>
      <w:ind w:left="397" w:hanging="397"/>
      <w:jc w:val="left"/>
    </w:pPr>
    <w:rPr>
      <w:rFonts w:eastAsia="Times New Roman" w:cs="Times New Roman"/>
      <w:szCs w:val="20"/>
    </w:rPr>
  </w:style>
  <w:style w:type="paragraph" w:customStyle="1" w:styleId="Footereven">
    <w:name w:val="Footer even"/>
    <w:basedOn w:val="Normal"/>
    <w:rsid w:val="004E5C57"/>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5C57"/>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4E5C57"/>
    <w:rPr>
      <w:rFonts w:ascii="Arial" w:hAnsi="Arial" w:cs="Arial"/>
      <w:b/>
      <w:bCs/>
      <w:sz w:val="20"/>
      <w:szCs w:val="20"/>
    </w:rPr>
  </w:style>
  <w:style w:type="paragraph" w:customStyle="1" w:styleId="Tablebullet">
    <w:name w:val="Tablebullet"/>
    <w:basedOn w:val="Tabletext"/>
    <w:rsid w:val="004E5C57"/>
    <w:pPr>
      <w:numPr>
        <w:numId w:val="2"/>
      </w:numPr>
      <w:tabs>
        <w:tab w:val="clear" w:pos="338"/>
        <w:tab w:val="clear" w:pos="397"/>
      </w:tabs>
      <w:spacing w:before="40" w:after="40"/>
      <w:ind w:left="227" w:hanging="227"/>
    </w:pPr>
  </w:style>
  <w:style w:type="paragraph" w:customStyle="1" w:styleId="Tabletext">
    <w:name w:val="Tabletext"/>
    <w:basedOn w:val="Normal"/>
    <w:rsid w:val="004E5C57"/>
    <w:pPr>
      <w:tabs>
        <w:tab w:val="left" w:pos="397"/>
      </w:tabs>
      <w:spacing w:before="80" w:after="80" w:line="220" w:lineRule="atLeast"/>
      <w:jc w:val="left"/>
    </w:pPr>
    <w:rPr>
      <w:rFonts w:eastAsia="Times New Roman" w:cs="Times New Roman"/>
      <w:sz w:val="18"/>
      <w:szCs w:val="20"/>
      <w:lang w:eastAsia="en-US"/>
    </w:rPr>
  </w:style>
  <w:style w:type="paragraph" w:customStyle="1" w:styleId="TableDash">
    <w:name w:val="TableDash"/>
    <w:basedOn w:val="Tabletext"/>
    <w:rsid w:val="004E5C57"/>
    <w:pPr>
      <w:numPr>
        <w:ilvl w:val="1"/>
        <w:numId w:val="2"/>
      </w:numPr>
      <w:spacing w:after="40" w:line="240" w:lineRule="auto"/>
    </w:pPr>
  </w:style>
  <w:style w:type="paragraph" w:customStyle="1" w:styleId="Tablehead">
    <w:name w:val="Tablehead"/>
    <w:basedOn w:val="Normal"/>
    <w:semiHidden/>
    <w:rsid w:val="004E5C57"/>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rsid w:val="004E5C57"/>
    <w:pPr>
      <w:numPr>
        <w:ilvl w:val="1"/>
      </w:numPr>
      <w:jc w:val="left"/>
    </w:pPr>
    <w:rPr>
      <w:rFonts w:eastAsiaTheme="majorEastAsia" w:cstheme="majorBidi"/>
      <w:b/>
      <w:iCs/>
      <w:color w:val="00264C"/>
      <w:sz w:val="36"/>
      <w:szCs w:val="24"/>
    </w:rPr>
  </w:style>
  <w:style w:type="character" w:customStyle="1" w:styleId="SubtitleChar">
    <w:name w:val="Subtitle Char"/>
    <w:basedOn w:val="DefaultParagraphFont"/>
    <w:link w:val="Subtitle"/>
    <w:rsid w:val="004E5C57"/>
    <w:rPr>
      <w:rFonts w:ascii="Calibri" w:eastAsiaTheme="majorEastAsia" w:hAnsi="Calibri" w:cstheme="majorBidi"/>
      <w:b/>
      <w:iCs/>
      <w:color w:val="00264C"/>
      <w:sz w:val="36"/>
      <w:szCs w:val="24"/>
      <w:lang w:eastAsia="en-NZ"/>
    </w:rPr>
  </w:style>
  <w:style w:type="paragraph" w:customStyle="1" w:styleId="Sub-bullet">
    <w:name w:val="Sub-bullet"/>
    <w:basedOn w:val="ListParagraph"/>
    <w:next w:val="BodyText"/>
    <w:qFormat/>
    <w:rsid w:val="004E5C57"/>
    <w:pPr>
      <w:numPr>
        <w:ilvl w:val="1"/>
        <w:numId w:val="3"/>
      </w:numPr>
      <w:tabs>
        <w:tab w:val="clear" w:pos="1440"/>
      </w:tabs>
      <w:spacing w:before="0"/>
      <w:ind w:left="794" w:hanging="397"/>
    </w:pPr>
    <w:rPr>
      <w:rFonts w:eastAsia="Times New Roman" w:cs="Times New Roman"/>
    </w:rPr>
  </w:style>
  <w:style w:type="paragraph" w:styleId="Header">
    <w:name w:val="header"/>
    <w:basedOn w:val="Normal"/>
    <w:link w:val="HeaderChar"/>
    <w:uiPriority w:val="99"/>
    <w:rsid w:val="004E5C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E5C57"/>
    <w:rPr>
      <w:rFonts w:ascii="Calibri" w:eastAsiaTheme="minorEastAsia" w:hAnsi="Calibri"/>
      <w:lang w:eastAsia="en-NZ"/>
    </w:rPr>
  </w:style>
  <w:style w:type="paragraph" w:styleId="Footer">
    <w:name w:val="footer"/>
    <w:basedOn w:val="Normal"/>
    <w:link w:val="FooterChar"/>
    <w:semiHidden/>
    <w:rsid w:val="004E5C57"/>
    <w:pPr>
      <w:tabs>
        <w:tab w:val="center" w:pos="4513"/>
        <w:tab w:val="right" w:pos="9026"/>
      </w:tabs>
      <w:spacing w:before="0" w:after="0" w:line="240" w:lineRule="auto"/>
    </w:pPr>
  </w:style>
  <w:style w:type="character" w:customStyle="1" w:styleId="FooterChar">
    <w:name w:val="Footer Char"/>
    <w:basedOn w:val="DefaultParagraphFont"/>
    <w:link w:val="Footer"/>
    <w:semiHidden/>
    <w:rsid w:val="004E5C57"/>
    <w:rPr>
      <w:rFonts w:ascii="Calibri" w:eastAsiaTheme="minorEastAsia" w:hAnsi="Calibri"/>
      <w:lang w:eastAsia="en-NZ"/>
    </w:rPr>
  </w:style>
  <w:style w:type="paragraph" w:customStyle="1" w:styleId="Box">
    <w:name w:val="Box"/>
    <w:basedOn w:val="Normal"/>
    <w:next w:val="Normal"/>
    <w:semiHidden/>
    <w:rsid w:val="004E5C57"/>
    <w:pPr>
      <w:pBdr>
        <w:top w:val="single" w:sz="6" w:space="15" w:color="auto"/>
        <w:left w:val="single" w:sz="6" w:space="15" w:color="auto"/>
        <w:bottom w:val="single" w:sz="6" w:space="15" w:color="auto"/>
        <w:right w:val="single" w:sz="6" w:space="15" w:color="auto"/>
      </w:pBdr>
      <w:spacing w:before="0" w:after="0"/>
      <w:ind w:left="284" w:right="284"/>
    </w:pPr>
    <w:rPr>
      <w:rFonts w:eastAsia="Times New Roman" w:cs="Times New Roman"/>
      <w:szCs w:val="20"/>
      <w:lang w:eastAsia="en-US"/>
    </w:rPr>
  </w:style>
  <w:style w:type="paragraph" w:customStyle="1" w:styleId="Boxbullet">
    <w:name w:val="Box bullet"/>
    <w:basedOn w:val="Box"/>
    <w:semiHidden/>
    <w:rsid w:val="004E5C57"/>
    <w:pPr>
      <w:numPr>
        <w:numId w:val="4"/>
      </w:numPr>
      <w:spacing w:before="120"/>
    </w:pPr>
  </w:style>
  <w:style w:type="paragraph" w:customStyle="1" w:styleId="Boxheading">
    <w:name w:val="Box heading"/>
    <w:basedOn w:val="Box"/>
    <w:next w:val="Box"/>
    <w:semiHidden/>
    <w:rsid w:val="004E5C57"/>
    <w:pPr>
      <w:keepNext/>
      <w:spacing w:after="160" w:line="240" w:lineRule="auto"/>
      <w:jc w:val="left"/>
    </w:pPr>
    <w:rPr>
      <w:b/>
    </w:rPr>
  </w:style>
  <w:style w:type="paragraph" w:customStyle="1" w:styleId="Boxnumbered">
    <w:name w:val="Box numbered"/>
    <w:basedOn w:val="Boxbullet"/>
    <w:next w:val="BodyText"/>
    <w:semiHidden/>
    <w:qFormat/>
    <w:rsid w:val="004E5C57"/>
    <w:pPr>
      <w:numPr>
        <w:numId w:val="5"/>
      </w:numPr>
    </w:pPr>
  </w:style>
  <w:style w:type="paragraph" w:styleId="Quote">
    <w:name w:val="Quote"/>
    <w:basedOn w:val="Normal"/>
    <w:next w:val="Normal"/>
    <w:link w:val="QuoteChar"/>
    <w:qFormat/>
    <w:rsid w:val="004E5C57"/>
    <w:pPr>
      <w:ind w:left="397" w:right="397"/>
      <w:jc w:val="left"/>
    </w:pPr>
    <w:rPr>
      <w:iCs/>
      <w:sz w:val="20"/>
    </w:rPr>
  </w:style>
  <w:style w:type="character" w:customStyle="1" w:styleId="QuoteChar">
    <w:name w:val="Quote Char"/>
    <w:basedOn w:val="DefaultParagraphFont"/>
    <w:link w:val="Quote"/>
    <w:rsid w:val="004E5C57"/>
    <w:rPr>
      <w:rFonts w:ascii="Calibri" w:eastAsiaTheme="minorEastAsia" w:hAnsi="Calibri"/>
      <w:iCs/>
      <w:sz w:val="20"/>
      <w:lang w:eastAsia="en-NZ"/>
    </w:rPr>
  </w:style>
  <w:style w:type="paragraph" w:styleId="EndnoteText">
    <w:name w:val="endnote text"/>
    <w:basedOn w:val="Normal"/>
    <w:link w:val="EndnoteTextChar"/>
    <w:semiHidden/>
    <w:rsid w:val="004E5C57"/>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4E5C57"/>
    <w:rPr>
      <w:rFonts w:ascii="Calibri" w:eastAsiaTheme="minorEastAsia" w:hAnsi="Calibri"/>
      <w:sz w:val="20"/>
      <w:szCs w:val="20"/>
      <w:lang w:eastAsia="en-NZ"/>
    </w:rPr>
  </w:style>
  <w:style w:type="character" w:styleId="EndnoteReference">
    <w:name w:val="endnote reference"/>
    <w:basedOn w:val="DefaultParagraphFont"/>
    <w:uiPriority w:val="99"/>
    <w:semiHidden/>
    <w:unhideWhenUsed/>
    <w:rsid w:val="004E5C57"/>
    <w:rPr>
      <w:vertAlign w:val="superscript"/>
    </w:rPr>
  </w:style>
  <w:style w:type="paragraph" w:customStyle="1" w:styleId="Greenbullet-tables">
    <w:name w:val="Green bullet - tables"/>
    <w:basedOn w:val="Bullet"/>
    <w:rsid w:val="004E5C57"/>
    <w:pPr>
      <w:numPr>
        <w:numId w:val="6"/>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4E5C57"/>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4E5C57"/>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rsid w:val="004E5C57"/>
    <w:pPr>
      <w:keepNext/>
      <w:spacing w:before="160" w:line="240" w:lineRule="auto"/>
      <w:ind w:left="284"/>
    </w:pPr>
    <w:rPr>
      <w:b/>
      <w:caps/>
    </w:rPr>
  </w:style>
  <w:style w:type="paragraph" w:customStyle="1" w:styleId="Greentext-tables">
    <w:name w:val="Green text - tables"/>
    <w:basedOn w:val="BodyText"/>
    <w:rsid w:val="004E5C57"/>
    <w:pPr>
      <w:ind w:left="284" w:right="284"/>
    </w:pPr>
    <w:rPr>
      <w:color w:val="677719"/>
    </w:rPr>
  </w:style>
  <w:style w:type="paragraph" w:customStyle="1" w:styleId="Questionsub-bullet">
    <w:name w:val="Question sub-bullet"/>
    <w:basedOn w:val="Sub-bullet"/>
    <w:semiHidden/>
    <w:qFormat/>
    <w:rsid w:val="004E5C57"/>
    <w:pPr>
      <w:ind w:left="1077" w:right="284"/>
    </w:pPr>
    <w:rPr>
      <w:color w:val="E36F1E"/>
    </w:rPr>
  </w:style>
  <w:style w:type="paragraph" w:customStyle="1" w:styleId="Heading1-lightbrown">
    <w:name w:val="Heading 1 - light brown"/>
    <w:basedOn w:val="Heading1"/>
    <w:next w:val="BodyText"/>
    <w:qFormat/>
    <w:rsid w:val="004E5C57"/>
    <w:rPr>
      <w:color w:val="F1B78E"/>
    </w:rPr>
  </w:style>
  <w:style w:type="paragraph" w:customStyle="1" w:styleId="Browntextnumbered">
    <w:name w:val="Brown text numbered"/>
    <w:basedOn w:val="BodyText"/>
    <w:semiHidden/>
    <w:qFormat/>
    <w:rsid w:val="004E5C57"/>
    <w:pPr>
      <w:numPr>
        <w:numId w:val="7"/>
      </w:numPr>
      <w:spacing w:before="0"/>
      <w:ind w:left="681" w:right="284" w:hanging="397"/>
    </w:pPr>
    <w:rPr>
      <w:rFonts w:eastAsia="Times New Roman"/>
      <w:color w:val="B47015"/>
    </w:rPr>
  </w:style>
  <w:style w:type="paragraph" w:customStyle="1" w:styleId="Quotebullet">
    <w:name w:val="Quote bullet"/>
    <w:basedOn w:val="Bullet"/>
    <w:qFormat/>
    <w:rsid w:val="004E5C57"/>
    <w:pPr>
      <w:tabs>
        <w:tab w:val="clear" w:pos="397"/>
      </w:tabs>
      <w:ind w:left="794" w:right="397"/>
    </w:pPr>
    <w:rPr>
      <w:sz w:val="20"/>
    </w:rPr>
  </w:style>
  <w:style w:type="paragraph" w:styleId="TOC1">
    <w:name w:val="toc 1"/>
    <w:basedOn w:val="Normal"/>
    <w:next w:val="Normal"/>
    <w:uiPriority w:val="39"/>
    <w:unhideWhenUsed/>
    <w:qFormat/>
    <w:rsid w:val="004E5C57"/>
    <w:pPr>
      <w:tabs>
        <w:tab w:val="left" w:pos="567"/>
        <w:tab w:val="right" w:pos="8494"/>
      </w:tabs>
      <w:spacing w:before="280" w:after="0" w:line="240" w:lineRule="auto"/>
      <w:ind w:right="567"/>
      <w:jc w:val="left"/>
    </w:pPr>
  </w:style>
  <w:style w:type="paragraph" w:styleId="TOC2">
    <w:name w:val="toc 2"/>
    <w:basedOn w:val="Normal"/>
    <w:next w:val="Normal"/>
    <w:uiPriority w:val="39"/>
    <w:unhideWhenUsed/>
    <w:qFormat/>
    <w:rsid w:val="004E5C57"/>
    <w:pPr>
      <w:tabs>
        <w:tab w:val="left" w:pos="567"/>
        <w:tab w:val="right" w:pos="8494"/>
      </w:tabs>
      <w:spacing w:before="60" w:after="60" w:line="240" w:lineRule="auto"/>
      <w:ind w:left="567" w:right="567"/>
      <w:jc w:val="left"/>
    </w:pPr>
    <w:rPr>
      <w:noProof/>
    </w:rPr>
  </w:style>
  <w:style w:type="paragraph" w:styleId="TOC3">
    <w:name w:val="toc 3"/>
    <w:basedOn w:val="Normal"/>
    <w:next w:val="Normal"/>
    <w:autoRedefine/>
    <w:uiPriority w:val="39"/>
    <w:qFormat/>
    <w:rsid w:val="004E5C57"/>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rsid w:val="004E5C57"/>
    <w:pPr>
      <w:keepNext/>
      <w:spacing w:before="240" w:after="0"/>
    </w:pPr>
    <w:rPr>
      <w:rFonts w:eastAsia="Times New Roman"/>
      <w:b/>
    </w:rPr>
  </w:style>
  <w:style w:type="paragraph" w:customStyle="1" w:styleId="Bodytextnumbered">
    <w:name w:val="Body text numbered"/>
    <w:basedOn w:val="BodyText"/>
    <w:rsid w:val="004E5C57"/>
    <w:pPr>
      <w:numPr>
        <w:numId w:val="8"/>
      </w:numPr>
      <w:spacing w:before="0"/>
      <w:ind w:left="397" w:hanging="397"/>
    </w:pPr>
  </w:style>
  <w:style w:type="paragraph" w:customStyle="1" w:styleId="References">
    <w:name w:val="References"/>
    <w:basedOn w:val="Normal"/>
    <w:rsid w:val="004E5C57"/>
    <w:pPr>
      <w:jc w:val="left"/>
    </w:pPr>
    <w:rPr>
      <w:rFonts w:eastAsia="Times New Roman" w:cs="Times New Roman"/>
      <w:szCs w:val="20"/>
      <w:lang w:eastAsia="en-US"/>
    </w:rPr>
  </w:style>
  <w:style w:type="paragraph" w:customStyle="1" w:styleId="Bodytexta">
    <w:name w:val="Body text a"/>
    <w:aliases w:val="b,Sub-list a"/>
    <w:basedOn w:val="BodyText"/>
    <w:rsid w:val="004E5C57"/>
    <w:pPr>
      <w:numPr>
        <w:numId w:val="9"/>
      </w:numPr>
      <w:spacing w:before="0"/>
    </w:pPr>
  </w:style>
  <w:style w:type="paragraph" w:customStyle="1" w:styleId="HeadingnotforTOC">
    <w:name w:val="Heading not for TOC"/>
    <w:basedOn w:val="BodyText"/>
    <w:semiHidden/>
    <w:qFormat/>
    <w:rsid w:val="004E5C57"/>
    <w:pPr>
      <w:keepNext/>
      <w:spacing w:before="0" w:after="360" w:line="240" w:lineRule="auto"/>
    </w:pPr>
    <w:rPr>
      <w:b/>
      <w:color w:val="F4D19C"/>
      <w:sz w:val="64"/>
      <w:szCs w:val="64"/>
    </w:rPr>
  </w:style>
  <w:style w:type="paragraph" w:customStyle="1" w:styleId="Questiontext">
    <w:name w:val="Question text"/>
    <w:basedOn w:val="Greentext-tables"/>
    <w:semiHidden/>
    <w:qFormat/>
    <w:rsid w:val="004E5C57"/>
    <w:rPr>
      <w:color w:val="E36F1E"/>
    </w:rPr>
  </w:style>
  <w:style w:type="paragraph" w:customStyle="1" w:styleId="Questionbullet">
    <w:name w:val="Question bullet"/>
    <w:basedOn w:val="Greenbullet-tables"/>
    <w:semiHidden/>
    <w:qFormat/>
    <w:rsid w:val="004E5C57"/>
    <w:pPr>
      <w:numPr>
        <w:numId w:val="10"/>
      </w:numPr>
      <w:ind w:left="681" w:hanging="397"/>
    </w:pPr>
    <w:rPr>
      <w:color w:val="E36F1E"/>
    </w:rPr>
  </w:style>
  <w:style w:type="paragraph" w:customStyle="1" w:styleId="Questionheading">
    <w:name w:val="Question heading"/>
    <w:basedOn w:val="Greenheading-tables"/>
    <w:semiHidden/>
    <w:qFormat/>
    <w:rsid w:val="004E5C57"/>
    <w:rPr>
      <w:color w:val="E36F1E"/>
    </w:rPr>
  </w:style>
  <w:style w:type="paragraph" w:customStyle="1" w:styleId="Imprint">
    <w:name w:val="Imprint"/>
    <w:basedOn w:val="Normal"/>
    <w:rsid w:val="004E5C57"/>
    <w:pPr>
      <w:spacing w:before="0" w:after="240" w:line="240" w:lineRule="auto"/>
      <w:jc w:val="left"/>
    </w:pPr>
    <w:rPr>
      <w:rFonts w:eastAsia="Times New Roman" w:cs="Times New Roman"/>
      <w:szCs w:val="20"/>
      <w:lang w:eastAsia="en-US"/>
    </w:rPr>
  </w:style>
  <w:style w:type="paragraph" w:customStyle="1" w:styleId="Heading">
    <w:name w:val="Heading"/>
    <w:basedOn w:val="Heading1"/>
    <w:next w:val="Normal"/>
    <w:semiHidden/>
    <w:rsid w:val="004E5C57"/>
    <w:pPr>
      <w:keepNext w:val="0"/>
      <w:keepLines w:val="0"/>
      <w:tabs>
        <w:tab w:val="clear" w:pos="851"/>
        <w:tab w:val="left" w:pos="567"/>
      </w:tabs>
      <w:spacing w:after="120"/>
      <w:outlineLvl w:val="9"/>
    </w:pPr>
    <w:rPr>
      <w:rFonts w:eastAsia="Times New Roman" w:cs="Times New Roman"/>
      <w:bCs w:val="0"/>
      <w:sz w:val="44"/>
      <w:szCs w:val="20"/>
      <w:lang w:eastAsia="en-US"/>
    </w:rPr>
  </w:style>
  <w:style w:type="paragraph" w:customStyle="1" w:styleId="Sub-list">
    <w:name w:val="Sub-list"/>
    <w:basedOn w:val="Normal"/>
    <w:semiHidden/>
    <w:rsid w:val="004E5C57"/>
    <w:pPr>
      <w:numPr>
        <w:numId w:val="12"/>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5C57"/>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Normal"/>
    <w:next w:val="Normal"/>
    <w:semiHidden/>
    <w:rsid w:val="004E5C57"/>
    <w:pPr>
      <w:tabs>
        <w:tab w:val="left" w:pos="680"/>
      </w:tabs>
      <w:spacing w:after="240" w:line="240" w:lineRule="auto"/>
      <w:ind w:left="680" w:hanging="680"/>
    </w:pPr>
    <w:rPr>
      <w:rFonts w:ascii="Arial" w:eastAsia="Times New Roman" w:hAnsi="Arial" w:cs="Times New Roman"/>
      <w:sz w:val="16"/>
      <w:szCs w:val="20"/>
      <w:lang w:eastAsia="en-US"/>
    </w:rPr>
  </w:style>
  <w:style w:type="paragraph" w:customStyle="1" w:styleId="Source">
    <w:name w:val="Source"/>
    <w:basedOn w:val="Normal"/>
    <w:next w:val="Normal"/>
    <w:semiHidden/>
    <w:rsid w:val="004E5C57"/>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rsid w:val="004E5C57"/>
    <w:pPr>
      <w:keepNext/>
      <w:spacing w:line="240" w:lineRule="auto"/>
      <w:ind w:left="1134" w:hanging="1134"/>
      <w:jc w:val="left"/>
    </w:pPr>
    <w:rPr>
      <w:rFonts w:eastAsia="Times New Roman" w:cs="Times New Roman"/>
      <w:b/>
      <w:sz w:val="20"/>
      <w:szCs w:val="20"/>
      <w:lang w:eastAsia="en-US"/>
    </w:rPr>
  </w:style>
  <w:style w:type="paragraph" w:customStyle="1" w:styleId="TableText0">
    <w:name w:val="TableText"/>
    <w:basedOn w:val="Normal"/>
    <w:semiHidden/>
    <w:rsid w:val="004E5C57"/>
    <w:pPr>
      <w:spacing w:before="60" w:after="60" w:line="240" w:lineRule="auto"/>
      <w:jc w:val="left"/>
    </w:pPr>
    <w:rPr>
      <w:rFonts w:ascii="Arial" w:eastAsia="Times New Roman" w:hAnsi="Arial" w:cs="Times New Roman"/>
      <w:sz w:val="16"/>
      <w:szCs w:val="20"/>
      <w:lang w:eastAsia="en-US"/>
    </w:rPr>
  </w:style>
  <w:style w:type="paragraph" w:customStyle="1" w:styleId="TableTextbold">
    <w:name w:val="TableText bold"/>
    <w:basedOn w:val="TableText0"/>
    <w:rsid w:val="004E5C57"/>
    <w:rPr>
      <w:rFonts w:ascii="Calibri" w:hAnsi="Calibri"/>
      <w:b/>
      <w:sz w:val="18"/>
    </w:rPr>
  </w:style>
  <w:style w:type="paragraph" w:customStyle="1" w:styleId="Glossary">
    <w:name w:val="Glossary"/>
    <w:basedOn w:val="Normal"/>
    <w:semiHidden/>
    <w:rsid w:val="004E5C57"/>
    <w:pPr>
      <w:tabs>
        <w:tab w:val="left" w:pos="2835"/>
      </w:tabs>
      <w:spacing w:before="0"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E5C57"/>
    <w:pPr>
      <w:numPr>
        <w:numId w:val="11"/>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semiHidden/>
    <w:rsid w:val="004E5C57"/>
    <w:pPr>
      <w:spacing w:before="80" w:after="240" w:line="240" w:lineRule="auto"/>
      <w:ind w:left="1134" w:hanging="1134"/>
    </w:pPr>
    <w:rPr>
      <w:rFonts w:ascii="Arial" w:eastAsia="Times New Roman" w:hAnsi="Arial" w:cs="Times New Roman"/>
      <w:sz w:val="20"/>
      <w:szCs w:val="20"/>
      <w:lang w:eastAsia="en-US"/>
    </w:rPr>
  </w:style>
  <w:style w:type="paragraph" w:customStyle="1" w:styleId="Sub-listi">
    <w:name w:val="Sub-list i"/>
    <w:aliases w:val="ii"/>
    <w:basedOn w:val="BodyText"/>
    <w:semiHidden/>
    <w:rsid w:val="004E5C57"/>
    <w:pPr>
      <w:numPr>
        <w:numId w:val="13"/>
      </w:numPr>
      <w:spacing w:before="60" w:after="60" w:line="240" w:lineRule="auto"/>
      <w:jc w:val="both"/>
    </w:pPr>
    <w:rPr>
      <w:rFonts w:ascii="Times New Roman" w:eastAsia="Times New Roman" w:hAnsi="Times New Roman" w:cs="Times New Roman"/>
      <w:szCs w:val="20"/>
      <w:lang w:eastAsia="en-US"/>
    </w:rPr>
  </w:style>
  <w:style w:type="paragraph" w:styleId="PlainText">
    <w:name w:val="Plain Text"/>
    <w:basedOn w:val="Normal"/>
    <w:link w:val="PlainTextChar"/>
    <w:uiPriority w:val="99"/>
    <w:semiHidden/>
    <w:rsid w:val="004E5C57"/>
    <w:pPr>
      <w:spacing w:before="0" w:after="240"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C57"/>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4E5C57"/>
    <w:pPr>
      <w:spacing w:before="0" w:after="240" w:line="240" w:lineRule="auto"/>
      <w:jc w:val="both"/>
    </w:pPr>
    <w:rPr>
      <w:rFonts w:ascii="Times New Roman" w:eastAsia="Times New Roman" w:hAnsi="Times New Roman" w:cs="Times New Roman"/>
      <w:i/>
      <w:szCs w:val="20"/>
      <w:lang w:eastAsia="en-US"/>
    </w:rPr>
  </w:style>
  <w:style w:type="character" w:styleId="CommentReference">
    <w:name w:val="annotation reference"/>
    <w:basedOn w:val="DefaultParagraphFont"/>
    <w:uiPriority w:val="99"/>
    <w:semiHidden/>
    <w:unhideWhenUsed/>
    <w:rsid w:val="004E5C57"/>
    <w:rPr>
      <w:sz w:val="16"/>
      <w:szCs w:val="16"/>
    </w:rPr>
  </w:style>
  <w:style w:type="paragraph" w:styleId="CommentText">
    <w:name w:val="annotation text"/>
    <w:basedOn w:val="Normal"/>
    <w:link w:val="CommentTextChar"/>
    <w:uiPriority w:val="99"/>
    <w:semiHidden/>
    <w:unhideWhenUsed/>
    <w:rsid w:val="004E5C57"/>
    <w:pPr>
      <w:spacing w:before="0" w:after="200"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4E5C57"/>
    <w:rPr>
      <w:sz w:val="20"/>
      <w:szCs w:val="20"/>
    </w:rPr>
  </w:style>
  <w:style w:type="paragraph" w:styleId="CommentSubject">
    <w:name w:val="annotation subject"/>
    <w:basedOn w:val="CommentText"/>
    <w:next w:val="CommentText"/>
    <w:link w:val="CommentSubjectChar"/>
    <w:uiPriority w:val="99"/>
    <w:semiHidden/>
    <w:unhideWhenUsed/>
    <w:rsid w:val="004E5C57"/>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E5C5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rsid w:val="004E5C57"/>
    <w:rPr>
      <w:color w:val="800080" w:themeColor="followedHyperlink"/>
      <w:u w:val="none"/>
    </w:rPr>
  </w:style>
  <w:style w:type="paragraph" w:customStyle="1" w:styleId="Default">
    <w:name w:val="Default"/>
    <w:rsid w:val="004E5C5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Numbered Paragraphs"/>
    <w:uiPriority w:val="1"/>
    <w:qFormat/>
    <w:rsid w:val="004E5C57"/>
    <w:pPr>
      <w:numPr>
        <w:numId w:val="15"/>
      </w:numPr>
      <w:spacing w:before="120" w:after="120" w:line="240" w:lineRule="auto"/>
      <w:jc w:val="both"/>
    </w:pPr>
    <w:rPr>
      <w:rFonts w:ascii="Arial" w:eastAsia="Times New Roman" w:hAnsi="Arial" w:cs="Times New Roman"/>
      <w:szCs w:val="20"/>
    </w:rPr>
  </w:style>
  <w:style w:type="paragraph" w:styleId="NormalWeb">
    <w:name w:val="Normal (Web)"/>
    <w:basedOn w:val="Normal"/>
    <w:uiPriority w:val="99"/>
    <w:unhideWhenUsed/>
    <w:rsid w:val="004E5C57"/>
    <w:pPr>
      <w:spacing w:before="100" w:beforeAutospacing="1" w:after="100" w:afterAutospacing="1" w:line="240" w:lineRule="auto"/>
      <w:jc w:val="left"/>
    </w:pPr>
    <w:rPr>
      <w:rFonts w:ascii="Times New Roman" w:hAnsi="Times New Roman" w:cs="Times New Roman"/>
      <w:sz w:val="24"/>
      <w:szCs w:val="24"/>
    </w:rPr>
  </w:style>
  <w:style w:type="character" w:styleId="Strong">
    <w:name w:val="Strong"/>
    <w:basedOn w:val="DefaultParagraphFont"/>
    <w:uiPriority w:val="22"/>
    <w:qFormat/>
    <w:rsid w:val="004E5C57"/>
    <w:rPr>
      <w:b/>
      <w:bCs/>
      <w:sz w:val="24"/>
      <w:szCs w:val="24"/>
      <w:bdr w:val="none" w:sz="0" w:space="0" w:color="auto" w:frame="1"/>
      <w:vertAlign w:val="baseline"/>
    </w:rPr>
  </w:style>
  <w:style w:type="table" w:styleId="LightList-Accent3">
    <w:name w:val="Light List Accent 3"/>
    <w:basedOn w:val="TableNormal"/>
    <w:uiPriority w:val="61"/>
    <w:rsid w:val="004E5C5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Emphasis">
    <w:name w:val="Emphasis"/>
    <w:basedOn w:val="DefaultParagraphFont"/>
    <w:uiPriority w:val="20"/>
    <w:qFormat/>
    <w:rsid w:val="004E5C57"/>
    <w:rPr>
      <w:i/>
      <w:iCs/>
      <w:sz w:val="24"/>
      <w:szCs w:val="24"/>
      <w:bdr w:val="none" w:sz="0" w:space="0" w:color="auto" w:frame="1"/>
      <w:vertAlign w:val="baseline"/>
    </w:rPr>
  </w:style>
  <w:style w:type="character" w:styleId="HTMLDefinition">
    <w:name w:val="HTML Definition"/>
    <w:basedOn w:val="DefaultParagraphFont"/>
    <w:uiPriority w:val="99"/>
    <w:semiHidden/>
    <w:unhideWhenUsed/>
    <w:rsid w:val="004E5C57"/>
    <w:rPr>
      <w:i/>
      <w:iCs/>
    </w:rPr>
  </w:style>
  <w:style w:type="character" w:customStyle="1" w:styleId="label">
    <w:name w:val="label"/>
    <w:basedOn w:val="DefaultParagraphFont"/>
    <w:rsid w:val="004E5C57"/>
  </w:style>
  <w:style w:type="character" w:customStyle="1" w:styleId="hit1">
    <w:name w:val="hit1"/>
    <w:basedOn w:val="DefaultParagraphFont"/>
    <w:rsid w:val="004E5C57"/>
    <w:rPr>
      <w:color w:val="000000"/>
      <w:shd w:val="clear" w:color="auto" w:fill="FFFF00"/>
    </w:rPr>
  </w:style>
  <w:style w:type="character" w:customStyle="1" w:styleId="spc1">
    <w:name w:val="spc1"/>
    <w:basedOn w:val="DefaultParagraphFont"/>
    <w:rsid w:val="004E5C57"/>
    <w:rPr>
      <w:strike w:val="0"/>
      <w:dstrike w:val="0"/>
      <w:u w:val="none"/>
      <w:effect w:val="none"/>
    </w:rPr>
  </w:style>
  <w:style w:type="paragraph" w:customStyle="1" w:styleId="text1">
    <w:name w:val="text1"/>
    <w:basedOn w:val="Normal"/>
    <w:rsid w:val="004E5C57"/>
    <w:pPr>
      <w:spacing w:before="0" w:after="0" w:line="288" w:lineRule="atLeast"/>
      <w:jc w:val="left"/>
    </w:pPr>
    <w:rPr>
      <w:rFonts w:ascii="Times New Roman" w:eastAsia="Times New Roman" w:hAnsi="Times New Roman" w:cs="Times New Roman"/>
      <w:color w:val="000000"/>
      <w:sz w:val="24"/>
      <w:szCs w:val="24"/>
    </w:rPr>
  </w:style>
  <w:style w:type="paragraph" w:customStyle="1" w:styleId="labelled4">
    <w:name w:val="labelled4"/>
    <w:basedOn w:val="Normal"/>
    <w:rsid w:val="004E5C57"/>
    <w:pPr>
      <w:spacing w:before="0" w:after="0" w:line="288" w:lineRule="atLeast"/>
      <w:ind w:right="240"/>
      <w:jc w:val="left"/>
    </w:pPr>
    <w:rPr>
      <w:rFonts w:ascii="Times New Roman" w:eastAsia="Times New Roman" w:hAnsi="Times New Roman" w:cs="Times New Roman"/>
      <w:color w:val="000000"/>
      <w:sz w:val="24"/>
      <w:szCs w:val="24"/>
    </w:rPr>
  </w:style>
  <w:style w:type="character" w:customStyle="1" w:styleId="tgc">
    <w:name w:val="_tgc"/>
    <w:basedOn w:val="DefaultParagraphFont"/>
    <w:rsid w:val="00084C8F"/>
  </w:style>
  <w:style w:type="table" w:styleId="MediumList2-Accent3">
    <w:name w:val="Medium List 2 Accent 3"/>
    <w:basedOn w:val="TableNormal"/>
    <w:uiPriority w:val="66"/>
    <w:rsid w:val="005529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Heading">
    <w:name w:val="TOC Heading"/>
    <w:basedOn w:val="Heading1"/>
    <w:next w:val="Normal"/>
    <w:uiPriority w:val="39"/>
    <w:semiHidden/>
    <w:unhideWhenUsed/>
    <w:qFormat/>
    <w:rsid w:val="00484BC5"/>
    <w:pPr>
      <w:tabs>
        <w:tab w:val="clear" w:pos="851"/>
      </w:tabs>
      <w:spacing w:before="480" w:after="0" w:line="276" w:lineRule="auto"/>
      <w:outlineLvl w:val="9"/>
    </w:pPr>
    <w:rPr>
      <w:rFonts w:asciiTheme="majorHAnsi" w:hAnsiTheme="majorHAnsi"/>
      <w:color w:val="365F91" w:themeColor="accent1" w:themeShade="BF"/>
      <w:sz w:val="28"/>
      <w:lang w:val="en-US" w:eastAsia="ja-JP"/>
    </w:rPr>
  </w:style>
  <w:style w:type="paragraph" w:styleId="Revision">
    <w:name w:val="Revision"/>
    <w:hidden/>
    <w:uiPriority w:val="99"/>
    <w:semiHidden/>
    <w:rsid w:val="006A1F9E"/>
    <w:pPr>
      <w:spacing w:after="0" w:line="240" w:lineRule="auto"/>
    </w:pPr>
    <w:rPr>
      <w:rFonts w:ascii="Calibri" w:eastAsiaTheme="minorEastAsia" w:hAnsi="Calibri"/>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57"/>
    <w:pPr>
      <w:spacing w:before="120" w:after="120" w:line="280" w:lineRule="atLeast"/>
      <w:jc w:val="both"/>
    </w:pPr>
    <w:rPr>
      <w:rFonts w:ascii="Calibri" w:eastAsiaTheme="minorEastAsia" w:hAnsi="Calibri"/>
      <w:lang w:eastAsia="en-NZ"/>
    </w:rPr>
  </w:style>
  <w:style w:type="paragraph" w:styleId="Heading1">
    <w:name w:val="heading 1"/>
    <w:aliases w:val="dark brown"/>
    <w:basedOn w:val="Normal"/>
    <w:next w:val="BodyText"/>
    <w:link w:val="Heading1Char"/>
    <w:qFormat/>
    <w:rsid w:val="007951D4"/>
    <w:pPr>
      <w:keepNext/>
      <w:keepLines/>
      <w:tabs>
        <w:tab w:val="left" w:pos="851"/>
      </w:tabs>
      <w:spacing w:before="0" w:after="600" w:line="240" w:lineRule="auto"/>
      <w:jc w:val="left"/>
      <w:outlineLvl w:val="0"/>
    </w:pPr>
    <w:rPr>
      <w:rFonts w:eastAsiaTheme="majorEastAsia" w:cstheme="majorBidi"/>
      <w:b/>
      <w:bCs/>
      <w:color w:val="17556C"/>
      <w:sz w:val="48"/>
      <w:szCs w:val="28"/>
    </w:rPr>
  </w:style>
  <w:style w:type="paragraph" w:styleId="Heading2">
    <w:name w:val="heading 2"/>
    <w:basedOn w:val="Normal"/>
    <w:next w:val="Normal"/>
    <w:link w:val="Heading2Char"/>
    <w:qFormat/>
    <w:rsid w:val="007951D4"/>
    <w:pPr>
      <w:keepNext/>
      <w:keepLines/>
      <w:tabs>
        <w:tab w:val="left" w:pos="737"/>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Normal"/>
    <w:link w:val="Heading3Char"/>
    <w:qFormat/>
    <w:rsid w:val="004E5C57"/>
    <w:pPr>
      <w:keepNext/>
      <w:keepLines/>
      <w:tabs>
        <w:tab w:val="left" w:pos="851"/>
      </w:tabs>
      <w:spacing w:before="360" w:after="0" w:line="240" w:lineRule="auto"/>
      <w:jc w:val="left"/>
      <w:outlineLvl w:val="2"/>
    </w:pPr>
    <w:rPr>
      <w:rFonts w:eastAsiaTheme="majorEastAsia" w:cstheme="majorBidi"/>
      <w:b/>
      <w:bCs/>
      <w:color w:val="183C47"/>
      <w:sz w:val="28"/>
    </w:rPr>
  </w:style>
  <w:style w:type="paragraph" w:styleId="Heading4">
    <w:name w:val="heading 4"/>
    <w:basedOn w:val="Heading3"/>
    <w:next w:val="Normal"/>
    <w:link w:val="Heading4Char"/>
    <w:qFormat/>
    <w:rsid w:val="007951D4"/>
    <w:pPr>
      <w:outlineLvl w:val="3"/>
    </w:pPr>
    <w:rPr>
      <w:color w:val="0F7B7D"/>
      <w:sz w:val="24"/>
    </w:rPr>
  </w:style>
  <w:style w:type="paragraph" w:styleId="Heading5">
    <w:name w:val="heading 5"/>
    <w:basedOn w:val="Normal"/>
    <w:next w:val="Normal"/>
    <w:link w:val="Heading5Char"/>
    <w:qFormat/>
    <w:rsid w:val="004E5C57"/>
    <w:pPr>
      <w:keepNext/>
      <w:keepLines/>
      <w:spacing w:before="360" w:after="0" w:line="240" w:lineRule="auto"/>
      <w:jc w:val="left"/>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rk brown Char"/>
    <w:basedOn w:val="DefaultParagraphFont"/>
    <w:link w:val="Heading1"/>
    <w:rsid w:val="007951D4"/>
    <w:rPr>
      <w:rFonts w:ascii="Calibri" w:eastAsiaTheme="majorEastAsia" w:hAnsi="Calibri" w:cstheme="majorBidi"/>
      <w:b/>
      <w:bCs/>
      <w:color w:val="17556C"/>
      <w:sz w:val="48"/>
      <w:szCs w:val="28"/>
      <w:lang w:eastAsia="en-NZ"/>
    </w:rPr>
  </w:style>
  <w:style w:type="character" w:customStyle="1" w:styleId="Heading2Char">
    <w:name w:val="Heading 2 Char"/>
    <w:basedOn w:val="DefaultParagraphFont"/>
    <w:link w:val="Heading2"/>
    <w:rsid w:val="007951D4"/>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4E5C57"/>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7951D4"/>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4E5C57"/>
    <w:rPr>
      <w:rFonts w:ascii="Calibri" w:eastAsiaTheme="majorEastAsia" w:hAnsi="Calibri" w:cstheme="majorBidi"/>
      <w:i/>
      <w:sz w:val="24"/>
      <w:lang w:eastAsia="en-NZ"/>
    </w:rPr>
  </w:style>
  <w:style w:type="paragraph" w:customStyle="1" w:styleId="Sectiontitle-lightbrown">
    <w:name w:val="Section title - light brown"/>
    <w:basedOn w:val="Sectiontitle-darkbrown"/>
    <w:next w:val="BodyText"/>
    <w:semiHidden/>
    <w:qFormat/>
    <w:rsid w:val="004E5C57"/>
    <w:rPr>
      <w:color w:val="F4D19C"/>
    </w:rPr>
  </w:style>
  <w:style w:type="paragraph" w:customStyle="1" w:styleId="Sectiontitle-darkbrown">
    <w:name w:val="Section title - dark brown"/>
    <w:basedOn w:val="Heading1"/>
    <w:semiHidden/>
    <w:qFormat/>
    <w:rsid w:val="004E5C57"/>
    <w:pPr>
      <w:keepLines w:val="0"/>
      <w:spacing w:after="0"/>
    </w:pPr>
    <w:rPr>
      <w:sz w:val="72"/>
    </w:rPr>
  </w:style>
  <w:style w:type="paragraph" w:styleId="BodyText">
    <w:name w:val="Body Text"/>
    <w:basedOn w:val="Normal"/>
    <w:link w:val="BodyTextChar"/>
    <w:qFormat/>
    <w:rsid w:val="004E5C57"/>
    <w:pPr>
      <w:jc w:val="left"/>
    </w:pPr>
  </w:style>
  <w:style w:type="character" w:customStyle="1" w:styleId="BodyTextChar">
    <w:name w:val="Body Text Char"/>
    <w:basedOn w:val="DefaultParagraphFont"/>
    <w:link w:val="BodyText"/>
    <w:rsid w:val="004E5C57"/>
    <w:rPr>
      <w:rFonts w:ascii="Calibri" w:eastAsiaTheme="minorEastAsia" w:hAnsi="Calibri"/>
      <w:lang w:eastAsia="en-NZ"/>
    </w:rPr>
  </w:style>
  <w:style w:type="paragraph" w:styleId="ListParagraph">
    <w:name w:val="List Paragraph"/>
    <w:basedOn w:val="Normal"/>
    <w:link w:val="ListParagraphChar"/>
    <w:uiPriority w:val="34"/>
    <w:qFormat/>
    <w:rsid w:val="004E5C57"/>
    <w:pPr>
      <w:ind w:left="397" w:hanging="397"/>
      <w:jc w:val="left"/>
    </w:pPr>
  </w:style>
  <w:style w:type="character" w:customStyle="1" w:styleId="ListParagraphChar">
    <w:name w:val="List Paragraph Char"/>
    <w:link w:val="ListParagraph"/>
    <w:uiPriority w:val="34"/>
    <w:locked/>
    <w:rsid w:val="004E5C57"/>
    <w:rPr>
      <w:rFonts w:ascii="Calibri" w:eastAsiaTheme="minorEastAsia" w:hAnsi="Calibri"/>
      <w:lang w:eastAsia="en-NZ"/>
    </w:rPr>
  </w:style>
  <w:style w:type="character" w:styleId="Hyperlink">
    <w:name w:val="Hyperlink"/>
    <w:basedOn w:val="DefaultParagraphFont"/>
    <w:uiPriority w:val="99"/>
    <w:rsid w:val="004E5C57"/>
    <w:rPr>
      <w:color w:val="14456E"/>
      <w:u w:val="single"/>
    </w:rPr>
  </w:style>
  <w:style w:type="table" w:styleId="TableGrid">
    <w:name w:val="Table Grid"/>
    <w:basedOn w:val="TableNormal"/>
    <w:uiPriority w:val="59"/>
    <w:rsid w:val="004E5C57"/>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E5C57"/>
    <w:pPr>
      <w:spacing w:before="0" w:after="60" w:line="24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uiPriority w:val="99"/>
    <w:rsid w:val="004E5C57"/>
    <w:rPr>
      <w:rFonts w:ascii="Calibri" w:eastAsia="Times New Roman" w:hAnsi="Calibri" w:cs="Times New Roman"/>
      <w:sz w:val="18"/>
      <w:szCs w:val="20"/>
      <w:lang w:val="x-none"/>
    </w:rPr>
  </w:style>
  <w:style w:type="character" w:styleId="FootnoteReference">
    <w:name w:val="footnote reference"/>
    <w:basedOn w:val="DefaultParagraphFont"/>
    <w:uiPriority w:val="99"/>
    <w:rsid w:val="004E5C57"/>
    <w:rPr>
      <w:rFonts w:ascii="Calibri" w:hAnsi="Calibri"/>
      <w:sz w:val="22"/>
      <w:vertAlign w:val="superscript"/>
    </w:rPr>
  </w:style>
  <w:style w:type="paragraph" w:styleId="BalloonText">
    <w:name w:val="Balloon Text"/>
    <w:basedOn w:val="Normal"/>
    <w:link w:val="BalloonTextChar"/>
    <w:uiPriority w:val="99"/>
    <w:semiHidden/>
    <w:unhideWhenUsed/>
    <w:rsid w:val="004E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C57"/>
    <w:rPr>
      <w:rFonts w:ascii="Tahoma" w:eastAsiaTheme="minorEastAsia" w:hAnsi="Tahoma" w:cs="Tahoma"/>
      <w:sz w:val="16"/>
      <w:szCs w:val="16"/>
      <w:lang w:eastAsia="en-NZ"/>
    </w:rPr>
  </w:style>
  <w:style w:type="paragraph" w:styleId="Title">
    <w:name w:val="Title"/>
    <w:basedOn w:val="Normal"/>
    <w:next w:val="Normal"/>
    <w:link w:val="TitleChar"/>
    <w:rsid w:val="004E5C57"/>
    <w:pPr>
      <w:spacing w:before="0" w:after="600" w:line="240" w:lineRule="auto"/>
      <w:jc w:val="left"/>
    </w:pPr>
    <w:rPr>
      <w:rFonts w:eastAsiaTheme="majorEastAsia" w:cstheme="majorBidi"/>
      <w:b/>
      <w:color w:val="00264C"/>
      <w:sz w:val="52"/>
      <w:szCs w:val="52"/>
    </w:rPr>
  </w:style>
  <w:style w:type="character" w:customStyle="1" w:styleId="TitleChar">
    <w:name w:val="Title Char"/>
    <w:basedOn w:val="DefaultParagraphFont"/>
    <w:link w:val="Title"/>
    <w:rsid w:val="004E5C57"/>
    <w:rPr>
      <w:rFonts w:ascii="Calibri" w:eastAsiaTheme="majorEastAsia" w:hAnsi="Calibri" w:cstheme="majorBidi"/>
      <w:b/>
      <w:color w:val="00264C"/>
      <w:sz w:val="52"/>
      <w:szCs w:val="52"/>
      <w:lang w:eastAsia="en-NZ"/>
    </w:rPr>
  </w:style>
  <w:style w:type="paragraph" w:customStyle="1" w:styleId="Bullet">
    <w:name w:val="Bullet"/>
    <w:basedOn w:val="Normal"/>
    <w:qFormat/>
    <w:rsid w:val="004E5C57"/>
    <w:pPr>
      <w:numPr>
        <w:numId w:val="1"/>
      </w:numPr>
      <w:tabs>
        <w:tab w:val="clear" w:pos="567"/>
        <w:tab w:val="left" w:pos="397"/>
      </w:tabs>
      <w:spacing w:before="0" w:line="280" w:lineRule="exact"/>
      <w:ind w:left="397" w:hanging="397"/>
      <w:jc w:val="left"/>
    </w:pPr>
    <w:rPr>
      <w:rFonts w:eastAsia="Times New Roman" w:cs="Times New Roman"/>
      <w:szCs w:val="20"/>
    </w:rPr>
  </w:style>
  <w:style w:type="paragraph" w:customStyle="1" w:styleId="Footereven">
    <w:name w:val="Footer even"/>
    <w:basedOn w:val="Normal"/>
    <w:rsid w:val="004E5C57"/>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5C57"/>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4E5C57"/>
    <w:rPr>
      <w:rFonts w:ascii="Arial" w:hAnsi="Arial" w:cs="Arial"/>
      <w:b/>
      <w:bCs/>
      <w:sz w:val="20"/>
      <w:szCs w:val="20"/>
    </w:rPr>
  </w:style>
  <w:style w:type="paragraph" w:customStyle="1" w:styleId="Tablebullet">
    <w:name w:val="Tablebullet"/>
    <w:basedOn w:val="Tabletext"/>
    <w:rsid w:val="004E5C57"/>
    <w:pPr>
      <w:numPr>
        <w:numId w:val="2"/>
      </w:numPr>
      <w:tabs>
        <w:tab w:val="clear" w:pos="338"/>
        <w:tab w:val="clear" w:pos="397"/>
      </w:tabs>
      <w:spacing w:before="40" w:after="40"/>
      <w:ind w:left="227" w:hanging="227"/>
    </w:pPr>
  </w:style>
  <w:style w:type="paragraph" w:customStyle="1" w:styleId="Tabletext">
    <w:name w:val="Tabletext"/>
    <w:basedOn w:val="Normal"/>
    <w:rsid w:val="004E5C57"/>
    <w:pPr>
      <w:tabs>
        <w:tab w:val="left" w:pos="397"/>
      </w:tabs>
      <w:spacing w:before="80" w:after="80" w:line="220" w:lineRule="atLeast"/>
      <w:jc w:val="left"/>
    </w:pPr>
    <w:rPr>
      <w:rFonts w:eastAsia="Times New Roman" w:cs="Times New Roman"/>
      <w:sz w:val="18"/>
      <w:szCs w:val="20"/>
      <w:lang w:eastAsia="en-US"/>
    </w:rPr>
  </w:style>
  <w:style w:type="paragraph" w:customStyle="1" w:styleId="TableDash">
    <w:name w:val="TableDash"/>
    <w:basedOn w:val="Tabletext"/>
    <w:rsid w:val="004E5C57"/>
    <w:pPr>
      <w:numPr>
        <w:ilvl w:val="1"/>
        <w:numId w:val="2"/>
      </w:numPr>
      <w:spacing w:after="40" w:line="240" w:lineRule="auto"/>
    </w:pPr>
  </w:style>
  <w:style w:type="paragraph" w:customStyle="1" w:styleId="Tablehead">
    <w:name w:val="Tablehead"/>
    <w:basedOn w:val="Normal"/>
    <w:semiHidden/>
    <w:rsid w:val="004E5C57"/>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rsid w:val="004E5C57"/>
    <w:pPr>
      <w:numPr>
        <w:ilvl w:val="1"/>
      </w:numPr>
      <w:jc w:val="left"/>
    </w:pPr>
    <w:rPr>
      <w:rFonts w:eastAsiaTheme="majorEastAsia" w:cstheme="majorBidi"/>
      <w:b/>
      <w:iCs/>
      <w:color w:val="00264C"/>
      <w:sz w:val="36"/>
      <w:szCs w:val="24"/>
    </w:rPr>
  </w:style>
  <w:style w:type="character" w:customStyle="1" w:styleId="SubtitleChar">
    <w:name w:val="Subtitle Char"/>
    <w:basedOn w:val="DefaultParagraphFont"/>
    <w:link w:val="Subtitle"/>
    <w:rsid w:val="004E5C57"/>
    <w:rPr>
      <w:rFonts w:ascii="Calibri" w:eastAsiaTheme="majorEastAsia" w:hAnsi="Calibri" w:cstheme="majorBidi"/>
      <w:b/>
      <w:iCs/>
      <w:color w:val="00264C"/>
      <w:sz w:val="36"/>
      <w:szCs w:val="24"/>
      <w:lang w:eastAsia="en-NZ"/>
    </w:rPr>
  </w:style>
  <w:style w:type="paragraph" w:customStyle="1" w:styleId="Sub-bullet">
    <w:name w:val="Sub-bullet"/>
    <w:basedOn w:val="ListParagraph"/>
    <w:next w:val="BodyText"/>
    <w:qFormat/>
    <w:rsid w:val="004E5C57"/>
    <w:pPr>
      <w:numPr>
        <w:ilvl w:val="1"/>
        <w:numId w:val="3"/>
      </w:numPr>
      <w:tabs>
        <w:tab w:val="clear" w:pos="1440"/>
      </w:tabs>
      <w:spacing w:before="0"/>
      <w:ind w:left="794" w:hanging="397"/>
    </w:pPr>
    <w:rPr>
      <w:rFonts w:eastAsia="Times New Roman" w:cs="Times New Roman"/>
    </w:rPr>
  </w:style>
  <w:style w:type="paragraph" w:styleId="Header">
    <w:name w:val="header"/>
    <w:basedOn w:val="Normal"/>
    <w:link w:val="HeaderChar"/>
    <w:uiPriority w:val="99"/>
    <w:rsid w:val="004E5C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E5C57"/>
    <w:rPr>
      <w:rFonts w:ascii="Calibri" w:eastAsiaTheme="minorEastAsia" w:hAnsi="Calibri"/>
      <w:lang w:eastAsia="en-NZ"/>
    </w:rPr>
  </w:style>
  <w:style w:type="paragraph" w:styleId="Footer">
    <w:name w:val="footer"/>
    <w:basedOn w:val="Normal"/>
    <w:link w:val="FooterChar"/>
    <w:semiHidden/>
    <w:rsid w:val="004E5C57"/>
    <w:pPr>
      <w:tabs>
        <w:tab w:val="center" w:pos="4513"/>
        <w:tab w:val="right" w:pos="9026"/>
      </w:tabs>
      <w:spacing w:before="0" w:after="0" w:line="240" w:lineRule="auto"/>
    </w:pPr>
  </w:style>
  <w:style w:type="character" w:customStyle="1" w:styleId="FooterChar">
    <w:name w:val="Footer Char"/>
    <w:basedOn w:val="DefaultParagraphFont"/>
    <w:link w:val="Footer"/>
    <w:semiHidden/>
    <w:rsid w:val="004E5C57"/>
    <w:rPr>
      <w:rFonts w:ascii="Calibri" w:eastAsiaTheme="minorEastAsia" w:hAnsi="Calibri"/>
      <w:lang w:eastAsia="en-NZ"/>
    </w:rPr>
  </w:style>
  <w:style w:type="paragraph" w:customStyle="1" w:styleId="Box">
    <w:name w:val="Box"/>
    <w:basedOn w:val="Normal"/>
    <w:next w:val="Normal"/>
    <w:semiHidden/>
    <w:rsid w:val="004E5C57"/>
    <w:pPr>
      <w:pBdr>
        <w:top w:val="single" w:sz="6" w:space="15" w:color="auto"/>
        <w:left w:val="single" w:sz="6" w:space="15" w:color="auto"/>
        <w:bottom w:val="single" w:sz="6" w:space="15" w:color="auto"/>
        <w:right w:val="single" w:sz="6" w:space="15" w:color="auto"/>
      </w:pBdr>
      <w:spacing w:before="0" w:after="0"/>
      <w:ind w:left="284" w:right="284"/>
    </w:pPr>
    <w:rPr>
      <w:rFonts w:eastAsia="Times New Roman" w:cs="Times New Roman"/>
      <w:szCs w:val="20"/>
      <w:lang w:eastAsia="en-US"/>
    </w:rPr>
  </w:style>
  <w:style w:type="paragraph" w:customStyle="1" w:styleId="Boxbullet">
    <w:name w:val="Box bullet"/>
    <w:basedOn w:val="Box"/>
    <w:semiHidden/>
    <w:rsid w:val="004E5C57"/>
    <w:pPr>
      <w:numPr>
        <w:numId w:val="4"/>
      </w:numPr>
      <w:spacing w:before="120"/>
    </w:pPr>
  </w:style>
  <w:style w:type="paragraph" w:customStyle="1" w:styleId="Boxheading">
    <w:name w:val="Box heading"/>
    <w:basedOn w:val="Box"/>
    <w:next w:val="Box"/>
    <w:semiHidden/>
    <w:rsid w:val="004E5C57"/>
    <w:pPr>
      <w:keepNext/>
      <w:spacing w:after="160" w:line="240" w:lineRule="auto"/>
      <w:jc w:val="left"/>
    </w:pPr>
    <w:rPr>
      <w:b/>
    </w:rPr>
  </w:style>
  <w:style w:type="paragraph" w:customStyle="1" w:styleId="Boxnumbered">
    <w:name w:val="Box numbered"/>
    <w:basedOn w:val="Boxbullet"/>
    <w:next w:val="BodyText"/>
    <w:semiHidden/>
    <w:qFormat/>
    <w:rsid w:val="004E5C57"/>
    <w:pPr>
      <w:numPr>
        <w:numId w:val="5"/>
      </w:numPr>
    </w:pPr>
  </w:style>
  <w:style w:type="paragraph" w:styleId="Quote">
    <w:name w:val="Quote"/>
    <w:basedOn w:val="Normal"/>
    <w:next w:val="Normal"/>
    <w:link w:val="QuoteChar"/>
    <w:qFormat/>
    <w:rsid w:val="004E5C57"/>
    <w:pPr>
      <w:ind w:left="397" w:right="397"/>
      <w:jc w:val="left"/>
    </w:pPr>
    <w:rPr>
      <w:iCs/>
      <w:sz w:val="20"/>
    </w:rPr>
  </w:style>
  <w:style w:type="character" w:customStyle="1" w:styleId="QuoteChar">
    <w:name w:val="Quote Char"/>
    <w:basedOn w:val="DefaultParagraphFont"/>
    <w:link w:val="Quote"/>
    <w:rsid w:val="004E5C57"/>
    <w:rPr>
      <w:rFonts w:ascii="Calibri" w:eastAsiaTheme="minorEastAsia" w:hAnsi="Calibri"/>
      <w:iCs/>
      <w:sz w:val="20"/>
      <w:lang w:eastAsia="en-NZ"/>
    </w:rPr>
  </w:style>
  <w:style w:type="paragraph" w:styleId="EndnoteText">
    <w:name w:val="endnote text"/>
    <w:basedOn w:val="Normal"/>
    <w:link w:val="EndnoteTextChar"/>
    <w:semiHidden/>
    <w:rsid w:val="004E5C57"/>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4E5C57"/>
    <w:rPr>
      <w:rFonts w:ascii="Calibri" w:eastAsiaTheme="minorEastAsia" w:hAnsi="Calibri"/>
      <w:sz w:val="20"/>
      <w:szCs w:val="20"/>
      <w:lang w:eastAsia="en-NZ"/>
    </w:rPr>
  </w:style>
  <w:style w:type="character" w:styleId="EndnoteReference">
    <w:name w:val="endnote reference"/>
    <w:basedOn w:val="DefaultParagraphFont"/>
    <w:uiPriority w:val="99"/>
    <w:semiHidden/>
    <w:unhideWhenUsed/>
    <w:rsid w:val="004E5C57"/>
    <w:rPr>
      <w:vertAlign w:val="superscript"/>
    </w:rPr>
  </w:style>
  <w:style w:type="paragraph" w:customStyle="1" w:styleId="Greenbullet-tables">
    <w:name w:val="Green bullet - tables"/>
    <w:basedOn w:val="Bullet"/>
    <w:rsid w:val="004E5C57"/>
    <w:pPr>
      <w:numPr>
        <w:numId w:val="6"/>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4E5C57"/>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4E5C57"/>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rsid w:val="004E5C57"/>
    <w:pPr>
      <w:keepNext/>
      <w:spacing w:before="160" w:line="240" w:lineRule="auto"/>
      <w:ind w:left="284"/>
    </w:pPr>
    <w:rPr>
      <w:b/>
      <w:caps/>
    </w:rPr>
  </w:style>
  <w:style w:type="paragraph" w:customStyle="1" w:styleId="Greentext-tables">
    <w:name w:val="Green text - tables"/>
    <w:basedOn w:val="BodyText"/>
    <w:rsid w:val="004E5C57"/>
    <w:pPr>
      <w:ind w:left="284" w:right="284"/>
    </w:pPr>
    <w:rPr>
      <w:color w:val="677719"/>
    </w:rPr>
  </w:style>
  <w:style w:type="paragraph" w:customStyle="1" w:styleId="Questionsub-bullet">
    <w:name w:val="Question sub-bullet"/>
    <w:basedOn w:val="Sub-bullet"/>
    <w:semiHidden/>
    <w:qFormat/>
    <w:rsid w:val="004E5C57"/>
    <w:pPr>
      <w:ind w:left="1077" w:right="284"/>
    </w:pPr>
    <w:rPr>
      <w:color w:val="E36F1E"/>
    </w:rPr>
  </w:style>
  <w:style w:type="paragraph" w:customStyle="1" w:styleId="Heading1-lightbrown">
    <w:name w:val="Heading 1 - light brown"/>
    <w:basedOn w:val="Heading1"/>
    <w:next w:val="BodyText"/>
    <w:qFormat/>
    <w:rsid w:val="004E5C57"/>
    <w:rPr>
      <w:color w:val="F1B78E"/>
    </w:rPr>
  </w:style>
  <w:style w:type="paragraph" w:customStyle="1" w:styleId="Browntextnumbered">
    <w:name w:val="Brown text numbered"/>
    <w:basedOn w:val="BodyText"/>
    <w:semiHidden/>
    <w:qFormat/>
    <w:rsid w:val="004E5C57"/>
    <w:pPr>
      <w:numPr>
        <w:numId w:val="7"/>
      </w:numPr>
      <w:spacing w:before="0"/>
      <w:ind w:left="681" w:right="284" w:hanging="397"/>
    </w:pPr>
    <w:rPr>
      <w:rFonts w:eastAsia="Times New Roman"/>
      <w:color w:val="B47015"/>
    </w:rPr>
  </w:style>
  <w:style w:type="paragraph" w:customStyle="1" w:styleId="Quotebullet">
    <w:name w:val="Quote bullet"/>
    <w:basedOn w:val="Bullet"/>
    <w:qFormat/>
    <w:rsid w:val="004E5C57"/>
    <w:pPr>
      <w:tabs>
        <w:tab w:val="clear" w:pos="397"/>
      </w:tabs>
      <w:ind w:left="794" w:right="397"/>
    </w:pPr>
    <w:rPr>
      <w:sz w:val="20"/>
    </w:rPr>
  </w:style>
  <w:style w:type="paragraph" w:styleId="TOC1">
    <w:name w:val="toc 1"/>
    <w:basedOn w:val="Normal"/>
    <w:next w:val="Normal"/>
    <w:uiPriority w:val="39"/>
    <w:unhideWhenUsed/>
    <w:qFormat/>
    <w:rsid w:val="004E5C57"/>
    <w:pPr>
      <w:tabs>
        <w:tab w:val="left" w:pos="567"/>
        <w:tab w:val="right" w:pos="8494"/>
      </w:tabs>
      <w:spacing w:before="280" w:after="0" w:line="240" w:lineRule="auto"/>
      <w:ind w:right="567"/>
      <w:jc w:val="left"/>
    </w:pPr>
  </w:style>
  <w:style w:type="paragraph" w:styleId="TOC2">
    <w:name w:val="toc 2"/>
    <w:basedOn w:val="Normal"/>
    <w:next w:val="Normal"/>
    <w:uiPriority w:val="39"/>
    <w:unhideWhenUsed/>
    <w:qFormat/>
    <w:rsid w:val="004E5C57"/>
    <w:pPr>
      <w:tabs>
        <w:tab w:val="left" w:pos="567"/>
        <w:tab w:val="right" w:pos="8494"/>
      </w:tabs>
      <w:spacing w:before="60" w:after="60" w:line="240" w:lineRule="auto"/>
      <w:ind w:left="567" w:right="567"/>
      <w:jc w:val="left"/>
    </w:pPr>
    <w:rPr>
      <w:noProof/>
    </w:rPr>
  </w:style>
  <w:style w:type="paragraph" w:styleId="TOC3">
    <w:name w:val="toc 3"/>
    <w:basedOn w:val="Normal"/>
    <w:next w:val="Normal"/>
    <w:autoRedefine/>
    <w:uiPriority w:val="39"/>
    <w:qFormat/>
    <w:rsid w:val="004E5C57"/>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rsid w:val="004E5C57"/>
    <w:pPr>
      <w:keepNext/>
      <w:spacing w:before="240" w:after="0"/>
    </w:pPr>
    <w:rPr>
      <w:rFonts w:eastAsia="Times New Roman"/>
      <w:b/>
    </w:rPr>
  </w:style>
  <w:style w:type="paragraph" w:customStyle="1" w:styleId="Bodytextnumbered">
    <w:name w:val="Body text numbered"/>
    <w:basedOn w:val="BodyText"/>
    <w:rsid w:val="004E5C57"/>
    <w:pPr>
      <w:numPr>
        <w:numId w:val="8"/>
      </w:numPr>
      <w:spacing w:before="0"/>
      <w:ind w:left="397" w:hanging="397"/>
    </w:pPr>
  </w:style>
  <w:style w:type="paragraph" w:customStyle="1" w:styleId="References">
    <w:name w:val="References"/>
    <w:basedOn w:val="Normal"/>
    <w:rsid w:val="004E5C57"/>
    <w:pPr>
      <w:jc w:val="left"/>
    </w:pPr>
    <w:rPr>
      <w:rFonts w:eastAsia="Times New Roman" w:cs="Times New Roman"/>
      <w:szCs w:val="20"/>
      <w:lang w:eastAsia="en-US"/>
    </w:rPr>
  </w:style>
  <w:style w:type="paragraph" w:customStyle="1" w:styleId="Bodytexta">
    <w:name w:val="Body text a"/>
    <w:aliases w:val="b,Sub-list a"/>
    <w:basedOn w:val="BodyText"/>
    <w:rsid w:val="004E5C57"/>
    <w:pPr>
      <w:numPr>
        <w:numId w:val="9"/>
      </w:numPr>
      <w:spacing w:before="0"/>
    </w:pPr>
  </w:style>
  <w:style w:type="paragraph" w:customStyle="1" w:styleId="HeadingnotforTOC">
    <w:name w:val="Heading not for TOC"/>
    <w:basedOn w:val="BodyText"/>
    <w:semiHidden/>
    <w:qFormat/>
    <w:rsid w:val="004E5C57"/>
    <w:pPr>
      <w:keepNext/>
      <w:spacing w:before="0" w:after="360" w:line="240" w:lineRule="auto"/>
    </w:pPr>
    <w:rPr>
      <w:b/>
      <w:color w:val="F4D19C"/>
      <w:sz w:val="64"/>
      <w:szCs w:val="64"/>
    </w:rPr>
  </w:style>
  <w:style w:type="paragraph" w:customStyle="1" w:styleId="Questiontext">
    <w:name w:val="Question text"/>
    <w:basedOn w:val="Greentext-tables"/>
    <w:semiHidden/>
    <w:qFormat/>
    <w:rsid w:val="004E5C57"/>
    <w:rPr>
      <w:color w:val="E36F1E"/>
    </w:rPr>
  </w:style>
  <w:style w:type="paragraph" w:customStyle="1" w:styleId="Questionbullet">
    <w:name w:val="Question bullet"/>
    <w:basedOn w:val="Greenbullet-tables"/>
    <w:semiHidden/>
    <w:qFormat/>
    <w:rsid w:val="004E5C57"/>
    <w:pPr>
      <w:numPr>
        <w:numId w:val="10"/>
      </w:numPr>
      <w:ind w:left="681" w:hanging="397"/>
    </w:pPr>
    <w:rPr>
      <w:color w:val="E36F1E"/>
    </w:rPr>
  </w:style>
  <w:style w:type="paragraph" w:customStyle="1" w:styleId="Questionheading">
    <w:name w:val="Question heading"/>
    <w:basedOn w:val="Greenheading-tables"/>
    <w:semiHidden/>
    <w:qFormat/>
    <w:rsid w:val="004E5C57"/>
    <w:rPr>
      <w:color w:val="E36F1E"/>
    </w:rPr>
  </w:style>
  <w:style w:type="paragraph" w:customStyle="1" w:styleId="Imprint">
    <w:name w:val="Imprint"/>
    <w:basedOn w:val="Normal"/>
    <w:rsid w:val="004E5C57"/>
    <w:pPr>
      <w:spacing w:before="0" w:after="240" w:line="240" w:lineRule="auto"/>
      <w:jc w:val="left"/>
    </w:pPr>
    <w:rPr>
      <w:rFonts w:eastAsia="Times New Roman" w:cs="Times New Roman"/>
      <w:szCs w:val="20"/>
      <w:lang w:eastAsia="en-US"/>
    </w:rPr>
  </w:style>
  <w:style w:type="paragraph" w:customStyle="1" w:styleId="Heading">
    <w:name w:val="Heading"/>
    <w:basedOn w:val="Heading1"/>
    <w:next w:val="Normal"/>
    <w:semiHidden/>
    <w:rsid w:val="004E5C57"/>
    <w:pPr>
      <w:keepNext w:val="0"/>
      <w:keepLines w:val="0"/>
      <w:tabs>
        <w:tab w:val="clear" w:pos="851"/>
        <w:tab w:val="left" w:pos="567"/>
      </w:tabs>
      <w:spacing w:after="120"/>
      <w:outlineLvl w:val="9"/>
    </w:pPr>
    <w:rPr>
      <w:rFonts w:eastAsia="Times New Roman" w:cs="Times New Roman"/>
      <w:bCs w:val="0"/>
      <w:sz w:val="44"/>
      <w:szCs w:val="20"/>
      <w:lang w:eastAsia="en-US"/>
    </w:rPr>
  </w:style>
  <w:style w:type="paragraph" w:customStyle="1" w:styleId="Sub-list">
    <w:name w:val="Sub-list"/>
    <w:basedOn w:val="Normal"/>
    <w:semiHidden/>
    <w:rsid w:val="004E5C57"/>
    <w:pPr>
      <w:numPr>
        <w:numId w:val="12"/>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5C57"/>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Normal"/>
    <w:next w:val="Normal"/>
    <w:semiHidden/>
    <w:rsid w:val="004E5C57"/>
    <w:pPr>
      <w:tabs>
        <w:tab w:val="left" w:pos="680"/>
      </w:tabs>
      <w:spacing w:after="240" w:line="240" w:lineRule="auto"/>
      <w:ind w:left="680" w:hanging="680"/>
    </w:pPr>
    <w:rPr>
      <w:rFonts w:ascii="Arial" w:eastAsia="Times New Roman" w:hAnsi="Arial" w:cs="Times New Roman"/>
      <w:sz w:val="16"/>
      <w:szCs w:val="20"/>
      <w:lang w:eastAsia="en-US"/>
    </w:rPr>
  </w:style>
  <w:style w:type="paragraph" w:customStyle="1" w:styleId="Source">
    <w:name w:val="Source"/>
    <w:basedOn w:val="Normal"/>
    <w:next w:val="Normal"/>
    <w:semiHidden/>
    <w:rsid w:val="004E5C57"/>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rsid w:val="004E5C57"/>
    <w:pPr>
      <w:keepNext/>
      <w:spacing w:line="240" w:lineRule="auto"/>
      <w:ind w:left="1134" w:hanging="1134"/>
      <w:jc w:val="left"/>
    </w:pPr>
    <w:rPr>
      <w:rFonts w:eastAsia="Times New Roman" w:cs="Times New Roman"/>
      <w:b/>
      <w:sz w:val="20"/>
      <w:szCs w:val="20"/>
      <w:lang w:eastAsia="en-US"/>
    </w:rPr>
  </w:style>
  <w:style w:type="paragraph" w:customStyle="1" w:styleId="TableText0">
    <w:name w:val="TableText"/>
    <w:basedOn w:val="Normal"/>
    <w:semiHidden/>
    <w:rsid w:val="004E5C57"/>
    <w:pPr>
      <w:spacing w:before="60" w:after="60" w:line="240" w:lineRule="auto"/>
      <w:jc w:val="left"/>
    </w:pPr>
    <w:rPr>
      <w:rFonts w:ascii="Arial" w:eastAsia="Times New Roman" w:hAnsi="Arial" w:cs="Times New Roman"/>
      <w:sz w:val="16"/>
      <w:szCs w:val="20"/>
      <w:lang w:eastAsia="en-US"/>
    </w:rPr>
  </w:style>
  <w:style w:type="paragraph" w:customStyle="1" w:styleId="TableTextbold">
    <w:name w:val="TableText bold"/>
    <w:basedOn w:val="TableText0"/>
    <w:rsid w:val="004E5C57"/>
    <w:rPr>
      <w:rFonts w:ascii="Calibri" w:hAnsi="Calibri"/>
      <w:b/>
      <w:sz w:val="18"/>
    </w:rPr>
  </w:style>
  <w:style w:type="paragraph" w:customStyle="1" w:styleId="Glossary">
    <w:name w:val="Glossary"/>
    <w:basedOn w:val="Normal"/>
    <w:semiHidden/>
    <w:rsid w:val="004E5C57"/>
    <w:pPr>
      <w:tabs>
        <w:tab w:val="left" w:pos="2835"/>
      </w:tabs>
      <w:spacing w:before="0"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E5C57"/>
    <w:pPr>
      <w:numPr>
        <w:numId w:val="11"/>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semiHidden/>
    <w:rsid w:val="004E5C57"/>
    <w:pPr>
      <w:spacing w:before="80" w:after="240" w:line="240" w:lineRule="auto"/>
      <w:ind w:left="1134" w:hanging="1134"/>
    </w:pPr>
    <w:rPr>
      <w:rFonts w:ascii="Arial" w:eastAsia="Times New Roman" w:hAnsi="Arial" w:cs="Times New Roman"/>
      <w:sz w:val="20"/>
      <w:szCs w:val="20"/>
      <w:lang w:eastAsia="en-US"/>
    </w:rPr>
  </w:style>
  <w:style w:type="paragraph" w:customStyle="1" w:styleId="Sub-listi">
    <w:name w:val="Sub-list i"/>
    <w:aliases w:val="ii"/>
    <w:basedOn w:val="BodyText"/>
    <w:semiHidden/>
    <w:rsid w:val="004E5C57"/>
    <w:pPr>
      <w:numPr>
        <w:numId w:val="13"/>
      </w:numPr>
      <w:spacing w:before="60" w:after="60" w:line="240" w:lineRule="auto"/>
      <w:jc w:val="both"/>
    </w:pPr>
    <w:rPr>
      <w:rFonts w:ascii="Times New Roman" w:eastAsia="Times New Roman" w:hAnsi="Times New Roman" w:cs="Times New Roman"/>
      <w:szCs w:val="20"/>
      <w:lang w:eastAsia="en-US"/>
    </w:rPr>
  </w:style>
  <w:style w:type="paragraph" w:styleId="PlainText">
    <w:name w:val="Plain Text"/>
    <w:basedOn w:val="Normal"/>
    <w:link w:val="PlainTextChar"/>
    <w:uiPriority w:val="99"/>
    <w:semiHidden/>
    <w:rsid w:val="004E5C57"/>
    <w:pPr>
      <w:spacing w:before="0" w:after="240"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C57"/>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4E5C57"/>
    <w:pPr>
      <w:spacing w:before="0" w:after="240" w:line="240" w:lineRule="auto"/>
      <w:jc w:val="both"/>
    </w:pPr>
    <w:rPr>
      <w:rFonts w:ascii="Times New Roman" w:eastAsia="Times New Roman" w:hAnsi="Times New Roman" w:cs="Times New Roman"/>
      <w:i/>
      <w:szCs w:val="20"/>
      <w:lang w:eastAsia="en-US"/>
    </w:rPr>
  </w:style>
  <w:style w:type="character" w:styleId="CommentReference">
    <w:name w:val="annotation reference"/>
    <w:basedOn w:val="DefaultParagraphFont"/>
    <w:uiPriority w:val="99"/>
    <w:semiHidden/>
    <w:unhideWhenUsed/>
    <w:rsid w:val="004E5C57"/>
    <w:rPr>
      <w:sz w:val="16"/>
      <w:szCs w:val="16"/>
    </w:rPr>
  </w:style>
  <w:style w:type="paragraph" w:styleId="CommentText">
    <w:name w:val="annotation text"/>
    <w:basedOn w:val="Normal"/>
    <w:link w:val="CommentTextChar"/>
    <w:uiPriority w:val="99"/>
    <w:semiHidden/>
    <w:unhideWhenUsed/>
    <w:rsid w:val="004E5C57"/>
    <w:pPr>
      <w:spacing w:before="0" w:after="200"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4E5C57"/>
    <w:rPr>
      <w:sz w:val="20"/>
      <w:szCs w:val="20"/>
    </w:rPr>
  </w:style>
  <w:style w:type="paragraph" w:styleId="CommentSubject">
    <w:name w:val="annotation subject"/>
    <w:basedOn w:val="CommentText"/>
    <w:next w:val="CommentText"/>
    <w:link w:val="CommentSubjectChar"/>
    <w:uiPriority w:val="99"/>
    <w:semiHidden/>
    <w:unhideWhenUsed/>
    <w:rsid w:val="004E5C57"/>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E5C5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rsid w:val="004E5C57"/>
    <w:rPr>
      <w:color w:val="800080" w:themeColor="followedHyperlink"/>
      <w:u w:val="none"/>
    </w:rPr>
  </w:style>
  <w:style w:type="paragraph" w:customStyle="1" w:styleId="Default">
    <w:name w:val="Default"/>
    <w:rsid w:val="004E5C5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Numbered Paragraphs"/>
    <w:uiPriority w:val="1"/>
    <w:qFormat/>
    <w:rsid w:val="004E5C57"/>
    <w:pPr>
      <w:numPr>
        <w:numId w:val="15"/>
      </w:numPr>
      <w:spacing w:before="120" w:after="120" w:line="240" w:lineRule="auto"/>
      <w:jc w:val="both"/>
    </w:pPr>
    <w:rPr>
      <w:rFonts w:ascii="Arial" w:eastAsia="Times New Roman" w:hAnsi="Arial" w:cs="Times New Roman"/>
      <w:szCs w:val="20"/>
    </w:rPr>
  </w:style>
  <w:style w:type="paragraph" w:styleId="NormalWeb">
    <w:name w:val="Normal (Web)"/>
    <w:basedOn w:val="Normal"/>
    <w:uiPriority w:val="99"/>
    <w:unhideWhenUsed/>
    <w:rsid w:val="004E5C57"/>
    <w:pPr>
      <w:spacing w:before="100" w:beforeAutospacing="1" w:after="100" w:afterAutospacing="1" w:line="240" w:lineRule="auto"/>
      <w:jc w:val="left"/>
    </w:pPr>
    <w:rPr>
      <w:rFonts w:ascii="Times New Roman" w:hAnsi="Times New Roman" w:cs="Times New Roman"/>
      <w:sz w:val="24"/>
      <w:szCs w:val="24"/>
    </w:rPr>
  </w:style>
  <w:style w:type="character" w:styleId="Strong">
    <w:name w:val="Strong"/>
    <w:basedOn w:val="DefaultParagraphFont"/>
    <w:uiPriority w:val="22"/>
    <w:qFormat/>
    <w:rsid w:val="004E5C57"/>
    <w:rPr>
      <w:b/>
      <w:bCs/>
      <w:sz w:val="24"/>
      <w:szCs w:val="24"/>
      <w:bdr w:val="none" w:sz="0" w:space="0" w:color="auto" w:frame="1"/>
      <w:vertAlign w:val="baseline"/>
    </w:rPr>
  </w:style>
  <w:style w:type="table" w:styleId="LightList-Accent3">
    <w:name w:val="Light List Accent 3"/>
    <w:basedOn w:val="TableNormal"/>
    <w:uiPriority w:val="61"/>
    <w:rsid w:val="004E5C5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Emphasis">
    <w:name w:val="Emphasis"/>
    <w:basedOn w:val="DefaultParagraphFont"/>
    <w:uiPriority w:val="20"/>
    <w:qFormat/>
    <w:rsid w:val="004E5C57"/>
    <w:rPr>
      <w:i/>
      <w:iCs/>
      <w:sz w:val="24"/>
      <w:szCs w:val="24"/>
      <w:bdr w:val="none" w:sz="0" w:space="0" w:color="auto" w:frame="1"/>
      <w:vertAlign w:val="baseline"/>
    </w:rPr>
  </w:style>
  <w:style w:type="character" w:styleId="HTMLDefinition">
    <w:name w:val="HTML Definition"/>
    <w:basedOn w:val="DefaultParagraphFont"/>
    <w:uiPriority w:val="99"/>
    <w:semiHidden/>
    <w:unhideWhenUsed/>
    <w:rsid w:val="004E5C57"/>
    <w:rPr>
      <w:i/>
      <w:iCs/>
    </w:rPr>
  </w:style>
  <w:style w:type="character" w:customStyle="1" w:styleId="label">
    <w:name w:val="label"/>
    <w:basedOn w:val="DefaultParagraphFont"/>
    <w:rsid w:val="004E5C57"/>
  </w:style>
  <w:style w:type="character" w:customStyle="1" w:styleId="hit1">
    <w:name w:val="hit1"/>
    <w:basedOn w:val="DefaultParagraphFont"/>
    <w:rsid w:val="004E5C57"/>
    <w:rPr>
      <w:color w:val="000000"/>
      <w:shd w:val="clear" w:color="auto" w:fill="FFFF00"/>
    </w:rPr>
  </w:style>
  <w:style w:type="character" w:customStyle="1" w:styleId="spc1">
    <w:name w:val="spc1"/>
    <w:basedOn w:val="DefaultParagraphFont"/>
    <w:rsid w:val="004E5C57"/>
    <w:rPr>
      <w:strike w:val="0"/>
      <w:dstrike w:val="0"/>
      <w:u w:val="none"/>
      <w:effect w:val="none"/>
    </w:rPr>
  </w:style>
  <w:style w:type="paragraph" w:customStyle="1" w:styleId="text1">
    <w:name w:val="text1"/>
    <w:basedOn w:val="Normal"/>
    <w:rsid w:val="004E5C57"/>
    <w:pPr>
      <w:spacing w:before="0" w:after="0" w:line="288" w:lineRule="atLeast"/>
      <w:jc w:val="left"/>
    </w:pPr>
    <w:rPr>
      <w:rFonts w:ascii="Times New Roman" w:eastAsia="Times New Roman" w:hAnsi="Times New Roman" w:cs="Times New Roman"/>
      <w:color w:val="000000"/>
      <w:sz w:val="24"/>
      <w:szCs w:val="24"/>
    </w:rPr>
  </w:style>
  <w:style w:type="paragraph" w:customStyle="1" w:styleId="labelled4">
    <w:name w:val="labelled4"/>
    <w:basedOn w:val="Normal"/>
    <w:rsid w:val="004E5C57"/>
    <w:pPr>
      <w:spacing w:before="0" w:after="0" w:line="288" w:lineRule="atLeast"/>
      <w:ind w:right="240"/>
      <w:jc w:val="left"/>
    </w:pPr>
    <w:rPr>
      <w:rFonts w:ascii="Times New Roman" w:eastAsia="Times New Roman" w:hAnsi="Times New Roman" w:cs="Times New Roman"/>
      <w:color w:val="000000"/>
      <w:sz w:val="24"/>
      <w:szCs w:val="24"/>
    </w:rPr>
  </w:style>
  <w:style w:type="character" w:customStyle="1" w:styleId="tgc">
    <w:name w:val="_tgc"/>
    <w:basedOn w:val="DefaultParagraphFont"/>
    <w:rsid w:val="00084C8F"/>
  </w:style>
  <w:style w:type="table" w:styleId="MediumList2-Accent3">
    <w:name w:val="Medium List 2 Accent 3"/>
    <w:basedOn w:val="TableNormal"/>
    <w:uiPriority w:val="66"/>
    <w:rsid w:val="005529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Heading">
    <w:name w:val="TOC Heading"/>
    <w:basedOn w:val="Heading1"/>
    <w:next w:val="Normal"/>
    <w:uiPriority w:val="39"/>
    <w:semiHidden/>
    <w:unhideWhenUsed/>
    <w:qFormat/>
    <w:rsid w:val="00484BC5"/>
    <w:pPr>
      <w:tabs>
        <w:tab w:val="clear" w:pos="851"/>
      </w:tabs>
      <w:spacing w:before="480" w:after="0" w:line="276" w:lineRule="auto"/>
      <w:outlineLvl w:val="9"/>
    </w:pPr>
    <w:rPr>
      <w:rFonts w:asciiTheme="majorHAnsi" w:hAnsiTheme="majorHAnsi"/>
      <w:color w:val="365F91" w:themeColor="accent1" w:themeShade="BF"/>
      <w:sz w:val="28"/>
      <w:lang w:val="en-US" w:eastAsia="ja-JP"/>
    </w:rPr>
  </w:style>
  <w:style w:type="paragraph" w:styleId="Revision">
    <w:name w:val="Revision"/>
    <w:hidden/>
    <w:uiPriority w:val="99"/>
    <w:semiHidden/>
    <w:rsid w:val="006A1F9E"/>
    <w:pPr>
      <w:spacing w:after="0" w:line="240" w:lineRule="auto"/>
    </w:pPr>
    <w:rPr>
      <w:rFonts w:ascii="Calibri" w:eastAsiaTheme="minorEastAsia" w:hAnsi="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134">
      <w:bodyDiv w:val="1"/>
      <w:marLeft w:val="0"/>
      <w:marRight w:val="0"/>
      <w:marTop w:val="0"/>
      <w:marBottom w:val="0"/>
      <w:divBdr>
        <w:top w:val="none" w:sz="0" w:space="0" w:color="auto"/>
        <w:left w:val="none" w:sz="0" w:space="0" w:color="auto"/>
        <w:bottom w:val="none" w:sz="0" w:space="0" w:color="auto"/>
        <w:right w:val="none" w:sz="0" w:space="0" w:color="auto"/>
      </w:divBdr>
      <w:divsChild>
        <w:div w:id="1744790408">
          <w:marLeft w:val="274"/>
          <w:marRight w:val="0"/>
          <w:marTop w:val="0"/>
          <w:marBottom w:val="0"/>
          <w:divBdr>
            <w:top w:val="none" w:sz="0" w:space="0" w:color="auto"/>
            <w:left w:val="none" w:sz="0" w:space="0" w:color="auto"/>
            <w:bottom w:val="none" w:sz="0" w:space="0" w:color="auto"/>
            <w:right w:val="none" w:sz="0" w:space="0" w:color="auto"/>
          </w:divBdr>
        </w:div>
        <w:div w:id="635911282">
          <w:marLeft w:val="274"/>
          <w:marRight w:val="0"/>
          <w:marTop w:val="0"/>
          <w:marBottom w:val="0"/>
          <w:divBdr>
            <w:top w:val="none" w:sz="0" w:space="0" w:color="auto"/>
            <w:left w:val="none" w:sz="0" w:space="0" w:color="auto"/>
            <w:bottom w:val="none" w:sz="0" w:space="0" w:color="auto"/>
            <w:right w:val="none" w:sz="0" w:space="0" w:color="auto"/>
          </w:divBdr>
        </w:div>
        <w:div w:id="1248223468">
          <w:marLeft w:val="274"/>
          <w:marRight w:val="0"/>
          <w:marTop w:val="0"/>
          <w:marBottom w:val="0"/>
          <w:divBdr>
            <w:top w:val="none" w:sz="0" w:space="0" w:color="auto"/>
            <w:left w:val="none" w:sz="0" w:space="0" w:color="auto"/>
            <w:bottom w:val="none" w:sz="0" w:space="0" w:color="auto"/>
            <w:right w:val="none" w:sz="0" w:space="0" w:color="auto"/>
          </w:divBdr>
        </w:div>
        <w:div w:id="1863548119">
          <w:marLeft w:val="274"/>
          <w:marRight w:val="0"/>
          <w:marTop w:val="0"/>
          <w:marBottom w:val="0"/>
          <w:divBdr>
            <w:top w:val="none" w:sz="0" w:space="0" w:color="auto"/>
            <w:left w:val="none" w:sz="0" w:space="0" w:color="auto"/>
            <w:bottom w:val="none" w:sz="0" w:space="0" w:color="auto"/>
            <w:right w:val="none" w:sz="0" w:space="0" w:color="auto"/>
          </w:divBdr>
        </w:div>
        <w:div w:id="1823740478">
          <w:marLeft w:val="274"/>
          <w:marRight w:val="0"/>
          <w:marTop w:val="0"/>
          <w:marBottom w:val="0"/>
          <w:divBdr>
            <w:top w:val="none" w:sz="0" w:space="0" w:color="auto"/>
            <w:left w:val="none" w:sz="0" w:space="0" w:color="auto"/>
            <w:bottom w:val="none" w:sz="0" w:space="0" w:color="auto"/>
            <w:right w:val="none" w:sz="0" w:space="0" w:color="auto"/>
          </w:divBdr>
        </w:div>
        <w:div w:id="222956544">
          <w:marLeft w:val="274"/>
          <w:marRight w:val="0"/>
          <w:marTop w:val="0"/>
          <w:marBottom w:val="0"/>
          <w:divBdr>
            <w:top w:val="none" w:sz="0" w:space="0" w:color="auto"/>
            <w:left w:val="none" w:sz="0" w:space="0" w:color="auto"/>
            <w:bottom w:val="none" w:sz="0" w:space="0" w:color="auto"/>
            <w:right w:val="none" w:sz="0" w:space="0" w:color="auto"/>
          </w:divBdr>
        </w:div>
        <w:div w:id="1070427484">
          <w:marLeft w:val="274"/>
          <w:marRight w:val="0"/>
          <w:marTop w:val="0"/>
          <w:marBottom w:val="0"/>
          <w:divBdr>
            <w:top w:val="none" w:sz="0" w:space="0" w:color="auto"/>
            <w:left w:val="none" w:sz="0" w:space="0" w:color="auto"/>
            <w:bottom w:val="none" w:sz="0" w:space="0" w:color="auto"/>
            <w:right w:val="none" w:sz="0" w:space="0" w:color="auto"/>
          </w:divBdr>
        </w:div>
        <w:div w:id="805047199">
          <w:marLeft w:val="274"/>
          <w:marRight w:val="0"/>
          <w:marTop w:val="0"/>
          <w:marBottom w:val="0"/>
          <w:divBdr>
            <w:top w:val="none" w:sz="0" w:space="0" w:color="auto"/>
            <w:left w:val="none" w:sz="0" w:space="0" w:color="auto"/>
            <w:bottom w:val="none" w:sz="0" w:space="0" w:color="auto"/>
            <w:right w:val="none" w:sz="0" w:space="0" w:color="auto"/>
          </w:divBdr>
        </w:div>
        <w:div w:id="933243711">
          <w:marLeft w:val="274"/>
          <w:marRight w:val="0"/>
          <w:marTop w:val="0"/>
          <w:marBottom w:val="0"/>
          <w:divBdr>
            <w:top w:val="none" w:sz="0" w:space="0" w:color="auto"/>
            <w:left w:val="none" w:sz="0" w:space="0" w:color="auto"/>
            <w:bottom w:val="none" w:sz="0" w:space="0" w:color="auto"/>
            <w:right w:val="none" w:sz="0" w:space="0" w:color="auto"/>
          </w:divBdr>
        </w:div>
        <w:div w:id="1207182233">
          <w:marLeft w:val="274"/>
          <w:marRight w:val="0"/>
          <w:marTop w:val="0"/>
          <w:marBottom w:val="0"/>
          <w:divBdr>
            <w:top w:val="none" w:sz="0" w:space="0" w:color="auto"/>
            <w:left w:val="none" w:sz="0" w:space="0" w:color="auto"/>
            <w:bottom w:val="none" w:sz="0" w:space="0" w:color="auto"/>
            <w:right w:val="none" w:sz="0" w:space="0" w:color="auto"/>
          </w:divBdr>
        </w:div>
        <w:div w:id="1911380878">
          <w:marLeft w:val="274"/>
          <w:marRight w:val="0"/>
          <w:marTop w:val="0"/>
          <w:marBottom w:val="0"/>
          <w:divBdr>
            <w:top w:val="none" w:sz="0" w:space="0" w:color="auto"/>
            <w:left w:val="none" w:sz="0" w:space="0" w:color="auto"/>
            <w:bottom w:val="none" w:sz="0" w:space="0" w:color="auto"/>
            <w:right w:val="none" w:sz="0" w:space="0" w:color="auto"/>
          </w:divBdr>
        </w:div>
        <w:div w:id="1945577448">
          <w:marLeft w:val="274"/>
          <w:marRight w:val="0"/>
          <w:marTop w:val="0"/>
          <w:marBottom w:val="0"/>
          <w:divBdr>
            <w:top w:val="none" w:sz="0" w:space="0" w:color="auto"/>
            <w:left w:val="none" w:sz="0" w:space="0" w:color="auto"/>
            <w:bottom w:val="none" w:sz="0" w:space="0" w:color="auto"/>
            <w:right w:val="none" w:sz="0" w:space="0" w:color="auto"/>
          </w:divBdr>
        </w:div>
        <w:div w:id="310253707">
          <w:marLeft w:val="274"/>
          <w:marRight w:val="0"/>
          <w:marTop w:val="0"/>
          <w:marBottom w:val="0"/>
          <w:divBdr>
            <w:top w:val="none" w:sz="0" w:space="0" w:color="auto"/>
            <w:left w:val="none" w:sz="0" w:space="0" w:color="auto"/>
            <w:bottom w:val="none" w:sz="0" w:space="0" w:color="auto"/>
            <w:right w:val="none" w:sz="0" w:space="0" w:color="auto"/>
          </w:divBdr>
        </w:div>
      </w:divsChild>
    </w:div>
    <w:div w:id="332606479">
      <w:bodyDiv w:val="1"/>
      <w:marLeft w:val="0"/>
      <w:marRight w:val="0"/>
      <w:marTop w:val="0"/>
      <w:marBottom w:val="0"/>
      <w:divBdr>
        <w:top w:val="none" w:sz="0" w:space="0" w:color="auto"/>
        <w:left w:val="none" w:sz="0" w:space="0" w:color="auto"/>
        <w:bottom w:val="none" w:sz="0" w:space="0" w:color="auto"/>
        <w:right w:val="none" w:sz="0" w:space="0" w:color="auto"/>
      </w:divBdr>
      <w:divsChild>
        <w:div w:id="1527645341">
          <w:marLeft w:val="0"/>
          <w:marRight w:val="0"/>
          <w:marTop w:val="0"/>
          <w:marBottom w:val="0"/>
          <w:divBdr>
            <w:top w:val="none" w:sz="0" w:space="0" w:color="auto"/>
            <w:left w:val="none" w:sz="0" w:space="0" w:color="auto"/>
            <w:bottom w:val="none" w:sz="0" w:space="0" w:color="auto"/>
            <w:right w:val="none" w:sz="0" w:space="0" w:color="auto"/>
          </w:divBdr>
          <w:divsChild>
            <w:div w:id="776798921">
              <w:marLeft w:val="0"/>
              <w:marRight w:val="0"/>
              <w:marTop w:val="0"/>
              <w:marBottom w:val="0"/>
              <w:divBdr>
                <w:top w:val="none" w:sz="0" w:space="0" w:color="auto"/>
                <w:left w:val="none" w:sz="0" w:space="0" w:color="auto"/>
                <w:bottom w:val="none" w:sz="0" w:space="0" w:color="auto"/>
                <w:right w:val="none" w:sz="0" w:space="0" w:color="auto"/>
              </w:divBdr>
              <w:divsChild>
                <w:div w:id="494885228">
                  <w:marLeft w:val="0"/>
                  <w:marRight w:val="0"/>
                  <w:marTop w:val="0"/>
                  <w:marBottom w:val="0"/>
                  <w:divBdr>
                    <w:top w:val="none" w:sz="0" w:space="0" w:color="auto"/>
                    <w:left w:val="none" w:sz="0" w:space="0" w:color="auto"/>
                    <w:bottom w:val="none" w:sz="0" w:space="0" w:color="auto"/>
                    <w:right w:val="none" w:sz="0" w:space="0" w:color="auto"/>
                  </w:divBdr>
                  <w:divsChild>
                    <w:div w:id="749351633">
                      <w:marLeft w:val="150"/>
                      <w:marRight w:val="150"/>
                      <w:marTop w:val="0"/>
                      <w:marBottom w:val="0"/>
                      <w:divBdr>
                        <w:top w:val="none" w:sz="0" w:space="0" w:color="auto"/>
                        <w:left w:val="none" w:sz="0" w:space="0" w:color="auto"/>
                        <w:bottom w:val="none" w:sz="0" w:space="0" w:color="auto"/>
                        <w:right w:val="none" w:sz="0" w:space="0" w:color="auto"/>
                      </w:divBdr>
                      <w:divsChild>
                        <w:div w:id="459153661">
                          <w:marLeft w:val="0"/>
                          <w:marRight w:val="0"/>
                          <w:marTop w:val="0"/>
                          <w:marBottom w:val="0"/>
                          <w:divBdr>
                            <w:top w:val="none" w:sz="0" w:space="0" w:color="auto"/>
                            <w:left w:val="none" w:sz="0" w:space="0" w:color="auto"/>
                            <w:bottom w:val="none" w:sz="0" w:space="0" w:color="auto"/>
                            <w:right w:val="none" w:sz="0" w:space="0" w:color="auto"/>
                          </w:divBdr>
                          <w:divsChild>
                            <w:div w:id="272785495">
                              <w:marLeft w:val="0"/>
                              <w:marRight w:val="0"/>
                              <w:marTop w:val="0"/>
                              <w:marBottom w:val="0"/>
                              <w:divBdr>
                                <w:top w:val="none" w:sz="0" w:space="0" w:color="auto"/>
                                <w:left w:val="none" w:sz="0" w:space="0" w:color="auto"/>
                                <w:bottom w:val="none" w:sz="0" w:space="0" w:color="auto"/>
                                <w:right w:val="none" w:sz="0" w:space="0" w:color="auto"/>
                              </w:divBdr>
                              <w:divsChild>
                                <w:div w:id="385033195">
                                  <w:marLeft w:val="0"/>
                                  <w:marRight w:val="0"/>
                                  <w:marTop w:val="0"/>
                                  <w:marBottom w:val="0"/>
                                  <w:divBdr>
                                    <w:top w:val="none" w:sz="0" w:space="0" w:color="auto"/>
                                    <w:left w:val="none" w:sz="0" w:space="0" w:color="auto"/>
                                    <w:bottom w:val="none" w:sz="0" w:space="0" w:color="auto"/>
                                    <w:right w:val="none" w:sz="0" w:space="0" w:color="auto"/>
                                  </w:divBdr>
                                  <w:divsChild>
                                    <w:div w:id="654990076">
                                      <w:marLeft w:val="0"/>
                                      <w:marRight w:val="0"/>
                                      <w:marTop w:val="0"/>
                                      <w:marBottom w:val="0"/>
                                      <w:divBdr>
                                        <w:top w:val="none" w:sz="0" w:space="0" w:color="auto"/>
                                        <w:left w:val="none" w:sz="0" w:space="0" w:color="auto"/>
                                        <w:bottom w:val="none" w:sz="0" w:space="0" w:color="auto"/>
                                        <w:right w:val="none" w:sz="0" w:space="0" w:color="auto"/>
                                      </w:divBdr>
                                      <w:divsChild>
                                        <w:div w:id="2104106988">
                                          <w:marLeft w:val="0"/>
                                          <w:marRight w:val="0"/>
                                          <w:marTop w:val="0"/>
                                          <w:marBottom w:val="0"/>
                                          <w:divBdr>
                                            <w:top w:val="none" w:sz="0" w:space="0" w:color="auto"/>
                                            <w:left w:val="none" w:sz="0" w:space="0" w:color="auto"/>
                                            <w:bottom w:val="none" w:sz="0" w:space="0" w:color="auto"/>
                                            <w:right w:val="none" w:sz="0" w:space="0" w:color="auto"/>
                                          </w:divBdr>
                                          <w:divsChild>
                                            <w:div w:id="637102668">
                                              <w:marLeft w:val="0"/>
                                              <w:marRight w:val="0"/>
                                              <w:marTop w:val="0"/>
                                              <w:marBottom w:val="0"/>
                                              <w:divBdr>
                                                <w:top w:val="none" w:sz="0" w:space="0" w:color="auto"/>
                                                <w:left w:val="none" w:sz="0" w:space="0" w:color="auto"/>
                                                <w:bottom w:val="none" w:sz="0" w:space="0" w:color="auto"/>
                                                <w:right w:val="none" w:sz="0" w:space="0" w:color="auto"/>
                                              </w:divBdr>
                                              <w:divsChild>
                                                <w:div w:id="869756513">
                                                  <w:marLeft w:val="0"/>
                                                  <w:marRight w:val="0"/>
                                                  <w:marTop w:val="0"/>
                                                  <w:marBottom w:val="0"/>
                                                  <w:divBdr>
                                                    <w:top w:val="none" w:sz="0" w:space="0" w:color="auto"/>
                                                    <w:left w:val="none" w:sz="0" w:space="0" w:color="auto"/>
                                                    <w:bottom w:val="none" w:sz="0" w:space="0" w:color="auto"/>
                                                    <w:right w:val="none" w:sz="0" w:space="0" w:color="auto"/>
                                                  </w:divBdr>
                                                  <w:divsChild>
                                                    <w:div w:id="1776896700">
                                                      <w:marLeft w:val="0"/>
                                                      <w:marRight w:val="0"/>
                                                      <w:marTop w:val="0"/>
                                                      <w:marBottom w:val="0"/>
                                                      <w:divBdr>
                                                        <w:top w:val="none" w:sz="0" w:space="0" w:color="auto"/>
                                                        <w:left w:val="none" w:sz="0" w:space="0" w:color="auto"/>
                                                        <w:bottom w:val="none" w:sz="0" w:space="0" w:color="auto"/>
                                                        <w:right w:val="none" w:sz="0" w:space="0" w:color="auto"/>
                                                      </w:divBdr>
                                                      <w:divsChild>
                                                        <w:div w:id="838078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27448">
                                                              <w:marLeft w:val="0"/>
                                                              <w:marRight w:val="0"/>
                                                              <w:marTop w:val="0"/>
                                                              <w:marBottom w:val="300"/>
                                                              <w:divBdr>
                                                                <w:top w:val="none" w:sz="0" w:space="0" w:color="auto"/>
                                                                <w:left w:val="none" w:sz="0" w:space="0" w:color="auto"/>
                                                                <w:bottom w:val="none" w:sz="0" w:space="0" w:color="auto"/>
                                                                <w:right w:val="none" w:sz="0" w:space="0" w:color="auto"/>
                                                              </w:divBdr>
                                                              <w:divsChild>
                                                                <w:div w:id="984817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3732784">
      <w:bodyDiv w:val="1"/>
      <w:marLeft w:val="0"/>
      <w:marRight w:val="0"/>
      <w:marTop w:val="0"/>
      <w:marBottom w:val="0"/>
      <w:divBdr>
        <w:top w:val="none" w:sz="0" w:space="0" w:color="auto"/>
        <w:left w:val="none" w:sz="0" w:space="0" w:color="auto"/>
        <w:bottom w:val="none" w:sz="0" w:space="0" w:color="auto"/>
        <w:right w:val="none" w:sz="0" w:space="0" w:color="auto"/>
      </w:divBdr>
      <w:divsChild>
        <w:div w:id="1614049893">
          <w:marLeft w:val="0"/>
          <w:marRight w:val="0"/>
          <w:marTop w:val="0"/>
          <w:marBottom w:val="0"/>
          <w:divBdr>
            <w:top w:val="none" w:sz="0" w:space="0" w:color="auto"/>
            <w:left w:val="none" w:sz="0" w:space="0" w:color="auto"/>
            <w:bottom w:val="none" w:sz="0" w:space="0" w:color="auto"/>
            <w:right w:val="none" w:sz="0" w:space="0" w:color="auto"/>
          </w:divBdr>
          <w:divsChild>
            <w:div w:id="530266722">
              <w:marLeft w:val="0"/>
              <w:marRight w:val="0"/>
              <w:marTop w:val="0"/>
              <w:marBottom w:val="0"/>
              <w:divBdr>
                <w:top w:val="none" w:sz="0" w:space="0" w:color="auto"/>
                <w:left w:val="none" w:sz="0" w:space="0" w:color="auto"/>
                <w:bottom w:val="none" w:sz="0" w:space="0" w:color="auto"/>
                <w:right w:val="none" w:sz="0" w:space="0" w:color="auto"/>
              </w:divBdr>
              <w:divsChild>
                <w:div w:id="1728188498">
                  <w:marLeft w:val="0"/>
                  <w:marRight w:val="0"/>
                  <w:marTop w:val="0"/>
                  <w:marBottom w:val="0"/>
                  <w:divBdr>
                    <w:top w:val="none" w:sz="0" w:space="0" w:color="auto"/>
                    <w:left w:val="none" w:sz="0" w:space="0" w:color="auto"/>
                    <w:bottom w:val="none" w:sz="0" w:space="0" w:color="auto"/>
                    <w:right w:val="none" w:sz="0" w:space="0" w:color="auto"/>
                  </w:divBdr>
                  <w:divsChild>
                    <w:div w:id="1841042362">
                      <w:marLeft w:val="150"/>
                      <w:marRight w:val="150"/>
                      <w:marTop w:val="0"/>
                      <w:marBottom w:val="0"/>
                      <w:divBdr>
                        <w:top w:val="none" w:sz="0" w:space="0" w:color="auto"/>
                        <w:left w:val="none" w:sz="0" w:space="0" w:color="auto"/>
                        <w:bottom w:val="none" w:sz="0" w:space="0" w:color="auto"/>
                        <w:right w:val="none" w:sz="0" w:space="0" w:color="auto"/>
                      </w:divBdr>
                      <w:divsChild>
                        <w:div w:id="1276710482">
                          <w:marLeft w:val="0"/>
                          <w:marRight w:val="0"/>
                          <w:marTop w:val="0"/>
                          <w:marBottom w:val="0"/>
                          <w:divBdr>
                            <w:top w:val="none" w:sz="0" w:space="0" w:color="auto"/>
                            <w:left w:val="none" w:sz="0" w:space="0" w:color="auto"/>
                            <w:bottom w:val="none" w:sz="0" w:space="0" w:color="auto"/>
                            <w:right w:val="none" w:sz="0" w:space="0" w:color="auto"/>
                          </w:divBdr>
                          <w:divsChild>
                            <w:div w:id="237862883">
                              <w:marLeft w:val="0"/>
                              <w:marRight w:val="0"/>
                              <w:marTop w:val="0"/>
                              <w:marBottom w:val="0"/>
                              <w:divBdr>
                                <w:top w:val="none" w:sz="0" w:space="0" w:color="auto"/>
                                <w:left w:val="none" w:sz="0" w:space="0" w:color="auto"/>
                                <w:bottom w:val="none" w:sz="0" w:space="0" w:color="auto"/>
                                <w:right w:val="none" w:sz="0" w:space="0" w:color="auto"/>
                              </w:divBdr>
                              <w:divsChild>
                                <w:div w:id="564142563">
                                  <w:marLeft w:val="0"/>
                                  <w:marRight w:val="0"/>
                                  <w:marTop w:val="0"/>
                                  <w:marBottom w:val="0"/>
                                  <w:divBdr>
                                    <w:top w:val="none" w:sz="0" w:space="0" w:color="auto"/>
                                    <w:left w:val="none" w:sz="0" w:space="0" w:color="auto"/>
                                    <w:bottom w:val="none" w:sz="0" w:space="0" w:color="auto"/>
                                    <w:right w:val="none" w:sz="0" w:space="0" w:color="auto"/>
                                  </w:divBdr>
                                  <w:divsChild>
                                    <w:div w:id="460534922">
                                      <w:marLeft w:val="0"/>
                                      <w:marRight w:val="0"/>
                                      <w:marTop w:val="0"/>
                                      <w:marBottom w:val="0"/>
                                      <w:divBdr>
                                        <w:top w:val="none" w:sz="0" w:space="0" w:color="auto"/>
                                        <w:left w:val="none" w:sz="0" w:space="0" w:color="auto"/>
                                        <w:bottom w:val="none" w:sz="0" w:space="0" w:color="auto"/>
                                        <w:right w:val="none" w:sz="0" w:space="0" w:color="auto"/>
                                      </w:divBdr>
                                      <w:divsChild>
                                        <w:div w:id="1092236522">
                                          <w:marLeft w:val="0"/>
                                          <w:marRight w:val="0"/>
                                          <w:marTop w:val="0"/>
                                          <w:marBottom w:val="0"/>
                                          <w:divBdr>
                                            <w:top w:val="none" w:sz="0" w:space="0" w:color="auto"/>
                                            <w:left w:val="none" w:sz="0" w:space="0" w:color="auto"/>
                                            <w:bottom w:val="none" w:sz="0" w:space="0" w:color="auto"/>
                                            <w:right w:val="none" w:sz="0" w:space="0" w:color="auto"/>
                                          </w:divBdr>
                                          <w:divsChild>
                                            <w:div w:id="1787430277">
                                              <w:marLeft w:val="0"/>
                                              <w:marRight w:val="0"/>
                                              <w:marTop w:val="0"/>
                                              <w:marBottom w:val="0"/>
                                              <w:divBdr>
                                                <w:top w:val="none" w:sz="0" w:space="0" w:color="auto"/>
                                                <w:left w:val="none" w:sz="0" w:space="0" w:color="auto"/>
                                                <w:bottom w:val="none" w:sz="0" w:space="0" w:color="auto"/>
                                                <w:right w:val="none" w:sz="0" w:space="0" w:color="auto"/>
                                              </w:divBdr>
                                              <w:divsChild>
                                                <w:div w:id="1954634461">
                                                  <w:marLeft w:val="0"/>
                                                  <w:marRight w:val="0"/>
                                                  <w:marTop w:val="0"/>
                                                  <w:marBottom w:val="0"/>
                                                  <w:divBdr>
                                                    <w:top w:val="none" w:sz="0" w:space="0" w:color="auto"/>
                                                    <w:left w:val="none" w:sz="0" w:space="0" w:color="auto"/>
                                                    <w:bottom w:val="none" w:sz="0" w:space="0" w:color="auto"/>
                                                    <w:right w:val="none" w:sz="0" w:space="0" w:color="auto"/>
                                                  </w:divBdr>
                                                  <w:divsChild>
                                                    <w:div w:id="20600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952740">
      <w:bodyDiv w:val="1"/>
      <w:marLeft w:val="0"/>
      <w:marRight w:val="0"/>
      <w:marTop w:val="0"/>
      <w:marBottom w:val="0"/>
      <w:divBdr>
        <w:top w:val="none" w:sz="0" w:space="0" w:color="auto"/>
        <w:left w:val="none" w:sz="0" w:space="0" w:color="auto"/>
        <w:bottom w:val="none" w:sz="0" w:space="0" w:color="auto"/>
        <w:right w:val="none" w:sz="0" w:space="0" w:color="auto"/>
      </w:divBdr>
      <w:divsChild>
        <w:div w:id="1190989276">
          <w:marLeft w:val="274"/>
          <w:marRight w:val="0"/>
          <w:marTop w:val="0"/>
          <w:marBottom w:val="0"/>
          <w:divBdr>
            <w:top w:val="none" w:sz="0" w:space="0" w:color="auto"/>
            <w:left w:val="none" w:sz="0" w:space="0" w:color="auto"/>
            <w:bottom w:val="none" w:sz="0" w:space="0" w:color="auto"/>
            <w:right w:val="none" w:sz="0" w:space="0" w:color="auto"/>
          </w:divBdr>
        </w:div>
        <w:div w:id="98450825">
          <w:marLeft w:val="274"/>
          <w:marRight w:val="0"/>
          <w:marTop w:val="0"/>
          <w:marBottom w:val="0"/>
          <w:divBdr>
            <w:top w:val="none" w:sz="0" w:space="0" w:color="auto"/>
            <w:left w:val="none" w:sz="0" w:space="0" w:color="auto"/>
            <w:bottom w:val="none" w:sz="0" w:space="0" w:color="auto"/>
            <w:right w:val="none" w:sz="0" w:space="0" w:color="auto"/>
          </w:divBdr>
        </w:div>
        <w:div w:id="2039893045">
          <w:marLeft w:val="274"/>
          <w:marRight w:val="0"/>
          <w:marTop w:val="0"/>
          <w:marBottom w:val="0"/>
          <w:divBdr>
            <w:top w:val="none" w:sz="0" w:space="0" w:color="auto"/>
            <w:left w:val="none" w:sz="0" w:space="0" w:color="auto"/>
            <w:bottom w:val="none" w:sz="0" w:space="0" w:color="auto"/>
            <w:right w:val="none" w:sz="0" w:space="0" w:color="auto"/>
          </w:divBdr>
        </w:div>
      </w:divsChild>
    </w:div>
    <w:div w:id="1049649367">
      <w:bodyDiv w:val="1"/>
      <w:marLeft w:val="0"/>
      <w:marRight w:val="0"/>
      <w:marTop w:val="0"/>
      <w:marBottom w:val="0"/>
      <w:divBdr>
        <w:top w:val="none" w:sz="0" w:space="0" w:color="auto"/>
        <w:left w:val="none" w:sz="0" w:space="0" w:color="auto"/>
        <w:bottom w:val="none" w:sz="0" w:space="0" w:color="auto"/>
        <w:right w:val="none" w:sz="0" w:space="0" w:color="auto"/>
      </w:divBdr>
    </w:div>
    <w:div w:id="1173833869">
      <w:bodyDiv w:val="1"/>
      <w:marLeft w:val="0"/>
      <w:marRight w:val="0"/>
      <w:marTop w:val="0"/>
      <w:marBottom w:val="0"/>
      <w:divBdr>
        <w:top w:val="none" w:sz="0" w:space="0" w:color="auto"/>
        <w:left w:val="none" w:sz="0" w:space="0" w:color="auto"/>
        <w:bottom w:val="none" w:sz="0" w:space="0" w:color="auto"/>
        <w:right w:val="none" w:sz="0" w:space="0" w:color="auto"/>
      </w:divBdr>
    </w:div>
    <w:div w:id="1633516169">
      <w:bodyDiv w:val="1"/>
      <w:marLeft w:val="0"/>
      <w:marRight w:val="0"/>
      <w:marTop w:val="0"/>
      <w:marBottom w:val="0"/>
      <w:divBdr>
        <w:top w:val="none" w:sz="0" w:space="0" w:color="auto"/>
        <w:left w:val="none" w:sz="0" w:space="0" w:color="auto"/>
        <w:bottom w:val="none" w:sz="0" w:space="0" w:color="auto"/>
        <w:right w:val="none" w:sz="0" w:space="0" w:color="auto"/>
      </w:divBdr>
      <w:divsChild>
        <w:div w:id="1780446572">
          <w:marLeft w:val="0"/>
          <w:marRight w:val="0"/>
          <w:marTop w:val="0"/>
          <w:marBottom w:val="0"/>
          <w:divBdr>
            <w:top w:val="none" w:sz="0" w:space="0" w:color="auto"/>
            <w:left w:val="none" w:sz="0" w:space="0" w:color="auto"/>
            <w:bottom w:val="none" w:sz="0" w:space="0" w:color="auto"/>
            <w:right w:val="none" w:sz="0" w:space="0" w:color="auto"/>
          </w:divBdr>
          <w:divsChild>
            <w:div w:id="954403790">
              <w:marLeft w:val="0"/>
              <w:marRight w:val="0"/>
              <w:marTop w:val="0"/>
              <w:marBottom w:val="0"/>
              <w:divBdr>
                <w:top w:val="none" w:sz="0" w:space="0" w:color="auto"/>
                <w:left w:val="none" w:sz="0" w:space="0" w:color="auto"/>
                <w:bottom w:val="none" w:sz="0" w:space="0" w:color="auto"/>
                <w:right w:val="none" w:sz="0" w:space="0" w:color="auto"/>
              </w:divBdr>
              <w:divsChild>
                <w:div w:id="1804276255">
                  <w:marLeft w:val="0"/>
                  <w:marRight w:val="0"/>
                  <w:marTop w:val="0"/>
                  <w:marBottom w:val="0"/>
                  <w:divBdr>
                    <w:top w:val="none" w:sz="0" w:space="0" w:color="auto"/>
                    <w:left w:val="none" w:sz="0" w:space="0" w:color="auto"/>
                    <w:bottom w:val="none" w:sz="0" w:space="0" w:color="auto"/>
                    <w:right w:val="none" w:sz="0" w:space="0" w:color="auto"/>
                  </w:divBdr>
                  <w:divsChild>
                    <w:div w:id="1809202230">
                      <w:marLeft w:val="150"/>
                      <w:marRight w:val="150"/>
                      <w:marTop w:val="0"/>
                      <w:marBottom w:val="0"/>
                      <w:divBdr>
                        <w:top w:val="none" w:sz="0" w:space="0" w:color="auto"/>
                        <w:left w:val="none" w:sz="0" w:space="0" w:color="auto"/>
                        <w:bottom w:val="none" w:sz="0" w:space="0" w:color="auto"/>
                        <w:right w:val="none" w:sz="0" w:space="0" w:color="auto"/>
                      </w:divBdr>
                      <w:divsChild>
                        <w:div w:id="899484842">
                          <w:marLeft w:val="0"/>
                          <w:marRight w:val="0"/>
                          <w:marTop w:val="0"/>
                          <w:marBottom w:val="0"/>
                          <w:divBdr>
                            <w:top w:val="none" w:sz="0" w:space="0" w:color="auto"/>
                            <w:left w:val="none" w:sz="0" w:space="0" w:color="auto"/>
                            <w:bottom w:val="none" w:sz="0" w:space="0" w:color="auto"/>
                            <w:right w:val="none" w:sz="0" w:space="0" w:color="auto"/>
                          </w:divBdr>
                          <w:divsChild>
                            <w:div w:id="2114322790">
                              <w:marLeft w:val="0"/>
                              <w:marRight w:val="0"/>
                              <w:marTop w:val="0"/>
                              <w:marBottom w:val="0"/>
                              <w:divBdr>
                                <w:top w:val="none" w:sz="0" w:space="0" w:color="auto"/>
                                <w:left w:val="none" w:sz="0" w:space="0" w:color="auto"/>
                                <w:bottom w:val="none" w:sz="0" w:space="0" w:color="auto"/>
                                <w:right w:val="none" w:sz="0" w:space="0" w:color="auto"/>
                              </w:divBdr>
                              <w:divsChild>
                                <w:div w:id="62991169">
                                  <w:marLeft w:val="0"/>
                                  <w:marRight w:val="0"/>
                                  <w:marTop w:val="0"/>
                                  <w:marBottom w:val="0"/>
                                  <w:divBdr>
                                    <w:top w:val="none" w:sz="0" w:space="0" w:color="auto"/>
                                    <w:left w:val="none" w:sz="0" w:space="0" w:color="auto"/>
                                    <w:bottom w:val="none" w:sz="0" w:space="0" w:color="auto"/>
                                    <w:right w:val="none" w:sz="0" w:space="0" w:color="auto"/>
                                  </w:divBdr>
                                  <w:divsChild>
                                    <w:div w:id="298462104">
                                      <w:marLeft w:val="0"/>
                                      <w:marRight w:val="0"/>
                                      <w:marTop w:val="0"/>
                                      <w:marBottom w:val="0"/>
                                      <w:divBdr>
                                        <w:top w:val="none" w:sz="0" w:space="0" w:color="auto"/>
                                        <w:left w:val="none" w:sz="0" w:space="0" w:color="auto"/>
                                        <w:bottom w:val="none" w:sz="0" w:space="0" w:color="auto"/>
                                        <w:right w:val="none" w:sz="0" w:space="0" w:color="auto"/>
                                      </w:divBdr>
                                      <w:divsChild>
                                        <w:div w:id="1324238443">
                                          <w:marLeft w:val="0"/>
                                          <w:marRight w:val="0"/>
                                          <w:marTop w:val="0"/>
                                          <w:marBottom w:val="0"/>
                                          <w:divBdr>
                                            <w:top w:val="none" w:sz="0" w:space="0" w:color="auto"/>
                                            <w:left w:val="none" w:sz="0" w:space="0" w:color="auto"/>
                                            <w:bottom w:val="none" w:sz="0" w:space="0" w:color="auto"/>
                                            <w:right w:val="none" w:sz="0" w:space="0" w:color="auto"/>
                                          </w:divBdr>
                                          <w:divsChild>
                                            <w:div w:id="218975152">
                                              <w:marLeft w:val="0"/>
                                              <w:marRight w:val="0"/>
                                              <w:marTop w:val="0"/>
                                              <w:marBottom w:val="0"/>
                                              <w:divBdr>
                                                <w:top w:val="none" w:sz="0" w:space="0" w:color="auto"/>
                                                <w:left w:val="none" w:sz="0" w:space="0" w:color="auto"/>
                                                <w:bottom w:val="none" w:sz="0" w:space="0" w:color="auto"/>
                                                <w:right w:val="none" w:sz="0" w:space="0" w:color="auto"/>
                                              </w:divBdr>
                                              <w:divsChild>
                                                <w:div w:id="130445877">
                                                  <w:marLeft w:val="0"/>
                                                  <w:marRight w:val="0"/>
                                                  <w:marTop w:val="0"/>
                                                  <w:marBottom w:val="0"/>
                                                  <w:divBdr>
                                                    <w:top w:val="none" w:sz="0" w:space="0" w:color="auto"/>
                                                    <w:left w:val="none" w:sz="0" w:space="0" w:color="auto"/>
                                                    <w:bottom w:val="none" w:sz="0" w:space="0" w:color="auto"/>
                                                    <w:right w:val="none" w:sz="0" w:space="0" w:color="auto"/>
                                                  </w:divBdr>
                                                  <w:divsChild>
                                                    <w:div w:id="13821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environment.govt.nz/land/nes-assessing-and-managing-contaminants-soil-protect-human-health/about-nes"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www.mfe.govt.nz/publications/rma/resource-management-act-two-yearly-survey-local-authorities-2012201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mfe.govt.nz/publications/rma-land-hazards/proposed-national-environmental-standard-assessing-and-managing-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2.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1.xml"/><Relationship Id="rId28" Type="http://schemas.openxmlformats.org/officeDocument/2006/relationships/hyperlink" Target="http://www.mfe.govt.nz/land/nes-assessing-and-managing-contaminants-soil-protect-human-health/about-nes" TargetMode="External"/><Relationship Id="rId10" Type="http://schemas.openxmlformats.org/officeDocument/2006/relationships/footer" Target="footer1.xml"/><Relationship Id="rId19" Type="http://schemas.openxmlformats.org/officeDocument/2006/relationships/hyperlink" Target="http://www.mfe.govt.nz/publications/rma-land-hazards/users-guide-national-environmental-standard-assessing-and-managing"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fe.govt.nz" TargetMode="External"/><Relationship Id="rId22" Type="http://schemas.openxmlformats.org/officeDocument/2006/relationships/hyperlink" Target="http://www.mfe.govt.nz/publications/land-hazards/contaminated-land-management-guidelines-no-4-classification-and" TargetMode="External"/><Relationship Id="rId27" Type="http://schemas.openxmlformats.org/officeDocument/2006/relationships/chart" Target="charts/chart5.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Anchor\woodhamj$\Desktop\Copy%20of%20NES%20Review%20Data%20v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nchor\woodhamj$\Desktop\CHCHCHCH%20cons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mana\batchelorr$\My%20CheckOuts\AMPHORA!~~EDRMS1~DS~DS_CS~DS_CS_FIVE~DS_CS_FIVE_SIX~0000016613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nchor\woodhamj$\Desktop\Copy%20of%20NES%20Review%20Data%20v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atchelorr\AppData\Local\Microsoft\Windows\Temporary%20Internet%20Files\Content.Outlook\9D0JV0Y3\W01728802%20Reference%20Grou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13124153062827251"/>
          <c:y val="0.14446045984040193"/>
          <c:w val="0.83801570145277937"/>
          <c:h val="0.57323579149634674"/>
        </c:manualLayout>
      </c:layout>
      <c:barChart>
        <c:barDir val="col"/>
        <c:grouping val="stacked"/>
        <c:varyColors val="0"/>
        <c:ser>
          <c:idx val="0"/>
          <c:order val="0"/>
          <c:spPr>
            <a:solidFill>
              <a:srgbClr val="17556C"/>
            </a:solidFill>
            <a:ln>
              <a:solidFill>
                <a:srgbClr val="17556C"/>
              </a:solidFill>
            </a:ln>
            <a:effectLst/>
          </c:spPr>
          <c:invertIfNegative val="0"/>
          <c:dPt>
            <c:idx val="0"/>
            <c:invertIfNegative val="0"/>
            <c:bubble3D val="0"/>
            <c:spPr>
              <a:solidFill>
                <a:srgbClr val="17556C"/>
              </a:solidFill>
              <a:ln w="0">
                <a:solidFill>
                  <a:srgbClr val="17556C"/>
                </a:solidFill>
              </a:ln>
              <a:effectLst/>
            </c:spPr>
          </c:dPt>
          <c:dPt>
            <c:idx val="1"/>
            <c:invertIfNegative val="0"/>
            <c:bubble3D val="0"/>
          </c:dPt>
          <c:dPt>
            <c:idx val="2"/>
            <c:invertIfNegative val="0"/>
            <c:bubble3D val="0"/>
          </c:dPt>
          <c:dPt>
            <c:idx val="3"/>
            <c:invertIfNegative val="0"/>
            <c:bubble3D val="0"/>
          </c:dPt>
          <c:dPt>
            <c:idx val="5"/>
            <c:invertIfNegative val="0"/>
            <c:bubble3D val="0"/>
          </c:dPt>
          <c:dPt>
            <c:idx val="6"/>
            <c:invertIfNegative val="0"/>
            <c:bubble3D val="0"/>
          </c:dPt>
          <c:dPt>
            <c:idx val="7"/>
            <c:invertIfNegative val="0"/>
            <c:bubble3D val="0"/>
          </c:dPt>
          <c:dPt>
            <c:idx val="8"/>
            <c:invertIfNegative val="0"/>
            <c:bubble3D val="0"/>
          </c:dPt>
          <c:dLbls>
            <c:delete val="1"/>
          </c:dLbls>
          <c:cat>
            <c:strRef>
              <c:f>Charts!$G$145:$G$153</c:f>
              <c:strCache>
                <c:ptCount val="9"/>
                <c:pt idx="0">
                  <c:v>A</c:v>
                </c:pt>
                <c:pt idx="1">
                  <c:v>B</c:v>
                </c:pt>
                <c:pt idx="2">
                  <c:v>C</c:v>
                </c:pt>
                <c:pt idx="3">
                  <c:v>D</c:v>
                </c:pt>
                <c:pt idx="4">
                  <c:v>E</c:v>
                </c:pt>
                <c:pt idx="5">
                  <c:v>F</c:v>
                </c:pt>
                <c:pt idx="6">
                  <c:v>G</c:v>
                </c:pt>
                <c:pt idx="7">
                  <c:v>H</c:v>
                </c:pt>
                <c:pt idx="8">
                  <c:v>I</c:v>
                </c:pt>
              </c:strCache>
            </c:strRef>
          </c:cat>
          <c:val>
            <c:numRef>
              <c:f>Charts!$H$145:$H$153</c:f>
              <c:numCache>
                <c:formatCode>General</c:formatCode>
                <c:ptCount val="9"/>
                <c:pt idx="0">
                  <c:v>74</c:v>
                </c:pt>
                <c:pt idx="1">
                  <c:v>4</c:v>
                </c:pt>
                <c:pt idx="2">
                  <c:v>4</c:v>
                </c:pt>
                <c:pt idx="3">
                  <c:v>3</c:v>
                </c:pt>
                <c:pt idx="4">
                  <c:v>0</c:v>
                </c:pt>
                <c:pt idx="5">
                  <c:v>25</c:v>
                </c:pt>
                <c:pt idx="6">
                  <c:v>7</c:v>
                </c:pt>
                <c:pt idx="7">
                  <c:v>4</c:v>
                </c:pt>
                <c:pt idx="8">
                  <c:v>2</c:v>
                </c:pt>
              </c:numCache>
            </c:numRef>
          </c:val>
        </c:ser>
        <c:dLbls>
          <c:showLegendKey val="0"/>
          <c:showVal val="1"/>
          <c:showCatName val="0"/>
          <c:showSerName val="0"/>
          <c:showPercent val="0"/>
          <c:showBubbleSize val="0"/>
        </c:dLbls>
        <c:gapWidth val="150"/>
        <c:overlap val="100"/>
        <c:axId val="72858240"/>
        <c:axId val="99222272"/>
      </c:barChart>
      <c:catAx>
        <c:axId val="72858240"/>
        <c:scaling>
          <c:orientation val="minMax"/>
        </c:scaling>
        <c:delete val="0"/>
        <c:axPos val="b"/>
        <c:title>
          <c:tx>
            <c:rich>
              <a:bodyPr/>
              <a:lstStyle/>
              <a:p>
                <a:pPr>
                  <a:defRPr>
                    <a:solidFill>
                      <a:srgbClr val="677719"/>
                    </a:solidFill>
                  </a:defRPr>
                </a:pPr>
                <a:r>
                  <a:rPr lang="en-NZ">
                    <a:solidFill>
                      <a:srgbClr val="17556C"/>
                    </a:solidFill>
                  </a:rPr>
                  <a:t>HAIL category</a:t>
                </a:r>
              </a:p>
            </c:rich>
          </c:tx>
          <c:layout>
            <c:manualLayout>
              <c:xMode val="edge"/>
              <c:yMode val="edge"/>
              <c:x val="0.42371794159193693"/>
              <c:y val="0.81969814287586229"/>
            </c:manualLayout>
          </c:layout>
          <c:overlay val="0"/>
        </c:title>
        <c:majorTickMark val="out"/>
        <c:minorTickMark val="none"/>
        <c:tickLblPos val="nextTo"/>
        <c:crossAx val="99222272"/>
        <c:crosses val="autoZero"/>
        <c:auto val="1"/>
        <c:lblAlgn val="ctr"/>
        <c:lblOffset val="100"/>
        <c:noMultiLvlLbl val="0"/>
      </c:catAx>
      <c:valAx>
        <c:axId val="99222272"/>
        <c:scaling>
          <c:orientation val="minMax"/>
        </c:scaling>
        <c:delete val="0"/>
        <c:axPos val="l"/>
        <c:majorGridlines/>
        <c:title>
          <c:tx>
            <c:rich>
              <a:bodyPr rot="-5400000" vert="horz"/>
              <a:lstStyle/>
              <a:p>
                <a:pPr>
                  <a:defRPr>
                    <a:solidFill>
                      <a:srgbClr val="677719"/>
                    </a:solidFill>
                  </a:defRPr>
                </a:pPr>
                <a:r>
                  <a:rPr lang="en-US">
                    <a:solidFill>
                      <a:srgbClr val="17556C"/>
                    </a:solidFill>
                  </a:rPr>
                  <a:t>Number of NES consents (nationwide)</a:t>
                </a:r>
              </a:p>
            </c:rich>
          </c:tx>
          <c:layout>
            <c:manualLayout>
              <c:xMode val="edge"/>
              <c:yMode val="edge"/>
              <c:x val="2.3078184000234172E-2"/>
              <c:y val="7.97823174201127E-2"/>
            </c:manualLayout>
          </c:layout>
          <c:overlay val="0"/>
        </c:title>
        <c:numFmt formatCode="General" sourceLinked="1"/>
        <c:majorTickMark val="out"/>
        <c:minorTickMark val="none"/>
        <c:tickLblPos val="nextTo"/>
        <c:crossAx val="72858240"/>
        <c:crosses val="autoZero"/>
        <c:crossBetween val="between"/>
      </c:valAx>
      <c:spPr>
        <a:ln>
          <a:solidFill>
            <a:srgbClr val="17556C"/>
          </a:solid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4633117795895417"/>
          <c:y val="0.26779600843586376"/>
          <c:w val="0.37176422668841957"/>
          <c:h val="0.54699704419057227"/>
        </c:manualLayout>
      </c:layout>
      <c:pieChart>
        <c:varyColors val="1"/>
        <c:ser>
          <c:idx val="0"/>
          <c:order val="0"/>
          <c:dPt>
            <c:idx val="0"/>
            <c:bubble3D val="0"/>
            <c:spPr>
              <a:solidFill>
                <a:srgbClr val="17556C"/>
              </a:solidFill>
            </c:spPr>
          </c:dPt>
          <c:dPt>
            <c:idx val="1"/>
            <c:bubble3D val="0"/>
            <c:spPr>
              <a:solidFill>
                <a:schemeClr val="accent6">
                  <a:lumMod val="75000"/>
                </a:schemeClr>
              </a:solidFill>
            </c:spPr>
          </c:dPt>
          <c:dPt>
            <c:idx val="2"/>
            <c:bubble3D val="0"/>
            <c:spPr>
              <a:solidFill>
                <a:srgbClr val="8BAAB6"/>
              </a:solidFill>
            </c:spPr>
          </c:dPt>
          <c:dLbls>
            <c:dLbl>
              <c:idx val="0"/>
              <c:layout>
                <c:manualLayout>
                  <c:x val="-4.5033331872481512E-4"/>
                  <c:y val="-7.0417066769092901E-2"/>
                </c:manualLayout>
              </c:layout>
              <c:showLegendKey val="0"/>
              <c:showVal val="0"/>
              <c:showCatName val="0"/>
              <c:showSerName val="0"/>
              <c:showPercent val="1"/>
              <c:showBubbleSize val="0"/>
            </c:dLbl>
            <c:dLbl>
              <c:idx val="1"/>
              <c:layout>
                <c:manualLayout>
                  <c:x val="1.0985055439498634E-2"/>
                  <c:y val="5.809935343447923E-2"/>
                </c:manualLayout>
              </c:layout>
              <c:showLegendKey val="0"/>
              <c:showVal val="0"/>
              <c:showCatName val="0"/>
              <c:showSerName val="0"/>
              <c:showPercent val="1"/>
              <c:showBubbleSize val="0"/>
            </c:dLbl>
            <c:dLbl>
              <c:idx val="2"/>
              <c:layout>
                <c:manualLayout>
                  <c:x val="-2.766258113839665E-2"/>
                  <c:y val="-3.928141604250688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Graphs!$B$55:$D$55</c:f>
              <c:strCache>
                <c:ptCount val="3"/>
                <c:pt idx="0">
                  <c:v>Sites confirmed to be below background contaminant concentrations</c:v>
                </c:pt>
                <c:pt idx="1">
                  <c:v>Sites confirmed above background but below guideline values</c:v>
                </c:pt>
                <c:pt idx="2">
                  <c:v>Sites confirmed above guideline values</c:v>
                </c:pt>
              </c:strCache>
            </c:strRef>
          </c:cat>
          <c:val>
            <c:numRef>
              <c:f>Graphs!$B$56:$D$56</c:f>
              <c:numCache>
                <c:formatCode>General</c:formatCode>
                <c:ptCount val="3"/>
                <c:pt idx="0">
                  <c:v>10</c:v>
                </c:pt>
                <c:pt idx="1">
                  <c:v>47</c:v>
                </c:pt>
                <c:pt idx="2">
                  <c:v>29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1662907121147392"/>
          <c:y val="0.21862469362994569"/>
          <c:w val="0.30465290798447775"/>
          <c:h val="0.67422941315375906"/>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27655784651352"/>
          <c:y val="0.24101747427138437"/>
          <c:w val="0.8219614330052657"/>
          <c:h val="0.5613962760342841"/>
        </c:manualLayout>
      </c:layout>
      <c:barChart>
        <c:barDir val="col"/>
        <c:grouping val="clustered"/>
        <c:varyColors val="0"/>
        <c:ser>
          <c:idx val="0"/>
          <c:order val="0"/>
          <c:spPr>
            <a:solidFill>
              <a:srgbClr val="17556C"/>
            </a:solidFill>
          </c:spPr>
          <c:invertIfNegative val="0"/>
          <c:dPt>
            <c:idx val="0"/>
            <c:invertIfNegative val="0"/>
            <c:bubble3D val="0"/>
          </c:dPt>
          <c:dPt>
            <c:idx val="1"/>
            <c:invertIfNegative val="0"/>
            <c:bubble3D val="0"/>
          </c:dPt>
          <c:dPt>
            <c:idx val="2"/>
            <c:invertIfNegative val="0"/>
            <c:bubble3D val="0"/>
          </c:dPt>
          <c:cat>
            <c:strRef>
              <c:f>Graphs!$E$60:$E$62</c:f>
              <c:strCache>
                <c:ptCount val="3"/>
                <c:pt idx="0">
                  <c:v>Sites proposed to be remediated</c:v>
                </c:pt>
                <c:pt idx="1">
                  <c:v>Sites proposed to have ongoing site management plans</c:v>
                </c:pt>
                <c:pt idx="2">
                  <c:v>Sites where no management of contaminants required</c:v>
                </c:pt>
              </c:strCache>
            </c:strRef>
          </c:cat>
          <c:val>
            <c:numRef>
              <c:f>Graphs!$F$60:$F$62</c:f>
              <c:numCache>
                <c:formatCode>General</c:formatCode>
                <c:ptCount val="3"/>
                <c:pt idx="0">
                  <c:v>17</c:v>
                </c:pt>
                <c:pt idx="1">
                  <c:v>49</c:v>
                </c:pt>
                <c:pt idx="2">
                  <c:v>41</c:v>
                </c:pt>
              </c:numCache>
            </c:numRef>
          </c:val>
        </c:ser>
        <c:dLbls>
          <c:showLegendKey val="0"/>
          <c:showVal val="0"/>
          <c:showCatName val="0"/>
          <c:showSerName val="0"/>
          <c:showPercent val="0"/>
          <c:showBubbleSize val="0"/>
        </c:dLbls>
        <c:gapWidth val="150"/>
        <c:axId val="100536320"/>
        <c:axId val="100537856"/>
      </c:barChart>
      <c:catAx>
        <c:axId val="100536320"/>
        <c:scaling>
          <c:orientation val="minMax"/>
        </c:scaling>
        <c:delete val="0"/>
        <c:axPos val="b"/>
        <c:majorTickMark val="out"/>
        <c:minorTickMark val="none"/>
        <c:tickLblPos val="nextTo"/>
        <c:txPr>
          <a:bodyPr/>
          <a:lstStyle/>
          <a:p>
            <a:pPr>
              <a:defRPr baseline="0">
                <a:solidFill>
                  <a:srgbClr val="17556C"/>
                </a:solidFill>
              </a:defRPr>
            </a:pPr>
            <a:endParaRPr lang="en-US"/>
          </a:p>
        </c:txPr>
        <c:crossAx val="100537856"/>
        <c:crosses val="autoZero"/>
        <c:auto val="1"/>
        <c:lblAlgn val="ctr"/>
        <c:lblOffset val="100"/>
        <c:noMultiLvlLbl val="0"/>
      </c:catAx>
      <c:valAx>
        <c:axId val="100537856"/>
        <c:scaling>
          <c:orientation val="minMax"/>
        </c:scaling>
        <c:delete val="0"/>
        <c:axPos val="l"/>
        <c:majorGridlines>
          <c:spPr>
            <a:ln>
              <a:solidFill>
                <a:srgbClr val="8BAAB6"/>
              </a:solidFill>
            </a:ln>
          </c:spPr>
        </c:majorGridlines>
        <c:minorGridlines>
          <c:spPr>
            <a:ln>
              <a:noFill/>
            </a:ln>
          </c:spPr>
        </c:minorGridlines>
        <c:title>
          <c:tx>
            <c:rich>
              <a:bodyPr rot="-5400000" vert="horz"/>
              <a:lstStyle/>
              <a:p>
                <a:pPr>
                  <a:defRPr>
                    <a:solidFill>
                      <a:srgbClr val="677719"/>
                    </a:solidFill>
                  </a:defRPr>
                </a:pPr>
                <a:r>
                  <a:rPr lang="en-NZ" b="0">
                    <a:solidFill>
                      <a:srgbClr val="17556C"/>
                    </a:solidFill>
                  </a:rPr>
                  <a:t>Number</a:t>
                </a:r>
                <a:r>
                  <a:rPr lang="en-NZ" b="0" baseline="0">
                    <a:solidFill>
                      <a:srgbClr val="17556C"/>
                    </a:solidFill>
                  </a:rPr>
                  <a:t> of consents</a:t>
                </a:r>
                <a:endParaRPr lang="en-NZ" b="0">
                  <a:solidFill>
                    <a:srgbClr val="17556C"/>
                  </a:solidFill>
                </a:endParaRPr>
              </a:p>
            </c:rich>
          </c:tx>
          <c:layout>
            <c:manualLayout>
              <c:xMode val="edge"/>
              <c:yMode val="edge"/>
              <c:x val="2.8139542461715333E-2"/>
              <c:y val="0.30626760538920283"/>
            </c:manualLayout>
          </c:layout>
          <c:overlay val="0"/>
        </c:title>
        <c:numFmt formatCode="General" sourceLinked="1"/>
        <c:majorTickMark val="out"/>
        <c:minorTickMark val="none"/>
        <c:tickLblPos val="nextTo"/>
        <c:crossAx val="100536320"/>
        <c:crosses val="autoZero"/>
        <c:crossBetween val="between"/>
      </c:valAx>
      <c:spPr>
        <a:ln>
          <a:solidFill>
            <a:srgbClr val="8BAAB6"/>
          </a:solid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9.7442048960384747E-2"/>
          <c:y val="0.2520770114634282"/>
          <c:w val="0.42254400826091615"/>
          <c:h val="0.66010739357082604"/>
        </c:manualLayout>
      </c:layout>
      <c:pieChart>
        <c:varyColors val="1"/>
        <c:ser>
          <c:idx val="0"/>
          <c:order val="0"/>
          <c:dPt>
            <c:idx val="0"/>
            <c:bubble3D val="0"/>
            <c:spPr>
              <a:solidFill>
                <a:srgbClr val="17556C"/>
              </a:solidFill>
            </c:spPr>
          </c:dPt>
          <c:dPt>
            <c:idx val="1"/>
            <c:bubble3D val="0"/>
            <c:spPr>
              <a:solidFill>
                <a:srgbClr val="8BAAB6"/>
              </a:solidFill>
            </c:spPr>
          </c:dPt>
          <c:dPt>
            <c:idx val="2"/>
            <c:bubble3D val="0"/>
            <c:spPr>
              <a:solidFill>
                <a:srgbClr val="0F7B7D"/>
              </a:solidFill>
            </c:spPr>
          </c:dPt>
          <c:dPt>
            <c:idx val="3"/>
            <c:bubble3D val="0"/>
            <c:spPr>
              <a:solidFill>
                <a:srgbClr val="E46C0A"/>
              </a:solidFill>
            </c:spPr>
          </c:dPt>
          <c:dLbls>
            <c:dLbl>
              <c:idx val="0"/>
              <c:layout>
                <c:manualLayout>
                  <c:x val="1.1271860866046538E-2"/>
                  <c:y val="-8.9834969802695536E-3"/>
                </c:manualLayout>
              </c:layout>
              <c:showLegendKey val="0"/>
              <c:showVal val="0"/>
              <c:showCatName val="0"/>
              <c:showSerName val="0"/>
              <c:showPercent val="1"/>
              <c:showBubbleSize val="0"/>
            </c:dLbl>
            <c:dLbl>
              <c:idx val="1"/>
              <c:layout>
                <c:manualLayout>
                  <c:x val="3.9259196422173362E-2"/>
                  <c:y val="2.6170447190708115E-2"/>
                </c:manualLayout>
              </c:layout>
              <c:showLegendKey val="0"/>
              <c:showVal val="0"/>
              <c:showCatName val="0"/>
              <c:showSerName val="0"/>
              <c:showPercent val="1"/>
              <c:showBubbleSize val="0"/>
            </c:dLbl>
            <c:dLbl>
              <c:idx val="2"/>
              <c:layout>
                <c:manualLayout>
                  <c:x val="-1.9275823104076859E-2"/>
                  <c:y val="2.2930233728497749E-2"/>
                </c:manualLayout>
              </c:layout>
              <c:showLegendKey val="0"/>
              <c:showVal val="0"/>
              <c:showCatName val="0"/>
              <c:showSerName val="0"/>
              <c:showPercent val="1"/>
              <c:showBubbleSize val="0"/>
            </c:dLbl>
            <c:dLbl>
              <c:idx val="3"/>
              <c:layout>
                <c:manualLayout>
                  <c:x val="-6.1117259323963516E-2"/>
                  <c:y val="2.7447703421315263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Charts!$A$4:$A$7</c:f>
              <c:strCache>
                <c:ptCount val="4"/>
                <c:pt idx="0">
                  <c:v>Total Controlled NES Consents</c:v>
                </c:pt>
                <c:pt idx="1">
                  <c:v>Total Restricted Discretionary NES Consents</c:v>
                </c:pt>
                <c:pt idx="2">
                  <c:v>Total Discretionary NES Consents</c:v>
                </c:pt>
                <c:pt idx="3">
                  <c:v>Not specified NES Consents Activity</c:v>
                </c:pt>
              </c:strCache>
            </c:strRef>
          </c:cat>
          <c:val>
            <c:numRef>
              <c:f>Charts!$B$4:$B$7</c:f>
              <c:numCache>
                <c:formatCode>General</c:formatCode>
                <c:ptCount val="4"/>
                <c:pt idx="0">
                  <c:v>20</c:v>
                </c:pt>
                <c:pt idx="1">
                  <c:v>11</c:v>
                </c:pt>
                <c:pt idx="2">
                  <c:v>37</c:v>
                </c:pt>
                <c:pt idx="3">
                  <c:v>1</c:v>
                </c:pt>
              </c:numCache>
            </c:numRef>
          </c:val>
        </c:ser>
        <c:dLbls>
          <c:showLegendKey val="0"/>
          <c:showVal val="1"/>
          <c:showCatName val="0"/>
          <c:showSerName val="0"/>
          <c:showPercent val="0"/>
          <c:showBubbleSize val="0"/>
          <c:showLeaderLines val="1"/>
        </c:dLbls>
        <c:firstSliceAng val="2"/>
      </c:pieChart>
    </c:plotArea>
    <c:legend>
      <c:legendPos val="r"/>
      <c:layout>
        <c:manualLayout>
          <c:xMode val="edge"/>
          <c:yMode val="edge"/>
          <c:x val="0.61713098421493184"/>
          <c:y val="0.21248267437023494"/>
          <c:w val="0.2862912697085192"/>
          <c:h val="0.77281284557909269"/>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F7B7D"/>
              </a:solidFill>
            </c:spPr>
          </c:dPt>
          <c:dPt>
            <c:idx val="1"/>
            <c:bubble3D val="0"/>
            <c:spPr>
              <a:solidFill>
                <a:srgbClr val="17556C"/>
              </a:solidFill>
            </c:spPr>
          </c:dPt>
          <c:dPt>
            <c:idx val="2"/>
            <c:bubble3D val="0"/>
            <c:spPr>
              <a:solidFill>
                <a:srgbClr val="8BAAB6"/>
              </a:solidFill>
            </c:spPr>
          </c:dPt>
          <c:dPt>
            <c:idx val="3"/>
            <c:bubble3D val="0"/>
            <c:spPr>
              <a:solidFill>
                <a:srgbClr val="E46C0A"/>
              </a:solidFill>
            </c:spPr>
          </c:dPt>
          <c:dPt>
            <c:idx val="4"/>
            <c:bubble3D val="0"/>
            <c:spPr>
              <a:solidFill>
                <a:srgbClr val="593731"/>
              </a:solidFill>
            </c:spPr>
          </c:dPt>
          <c:dLbls>
            <c:dLbl>
              <c:idx val="0"/>
              <c:layout>
                <c:manualLayout>
                  <c:x val="2.6900918635170603E-2"/>
                  <c:y val="2.2419072615923008E-3"/>
                </c:manualLayout>
              </c:layout>
              <c:showLegendKey val="0"/>
              <c:showVal val="0"/>
              <c:showCatName val="0"/>
              <c:showSerName val="0"/>
              <c:showPercent val="1"/>
              <c:showBubbleSize val="0"/>
            </c:dLbl>
            <c:dLbl>
              <c:idx val="1"/>
              <c:layout>
                <c:manualLayout>
                  <c:x val="-2.9558180227471564E-3"/>
                  <c:y val="-2.8107319918343539E-2"/>
                </c:manualLayout>
              </c:layout>
              <c:showLegendKey val="0"/>
              <c:showVal val="0"/>
              <c:showCatName val="0"/>
              <c:showSerName val="0"/>
              <c:showPercent val="1"/>
              <c:showBubbleSize val="0"/>
            </c:dLbl>
            <c:dLbl>
              <c:idx val="2"/>
              <c:layout>
                <c:manualLayout>
                  <c:x val="-1.2023184601924759E-2"/>
                  <c:y val="2.633675998833479E-2"/>
                </c:manualLayout>
              </c:layout>
              <c:showLegendKey val="0"/>
              <c:showVal val="0"/>
              <c:showCatName val="0"/>
              <c:showSerName val="0"/>
              <c:showPercent val="1"/>
              <c:showBubbleSize val="0"/>
            </c:dLbl>
            <c:dLbl>
              <c:idx val="3"/>
              <c:layout>
                <c:manualLayout>
                  <c:x val="-3.5843394575678041E-2"/>
                  <c:y val="3.6439195100612422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'[W01728802 Reference Group.xlsx]Sheet1'!$B$25:$B$29</c:f>
              <c:strCache>
                <c:ptCount val="5"/>
                <c:pt idx="0">
                  <c:v>Soil disturbance/disposal</c:v>
                </c:pt>
                <c:pt idx="1">
                  <c:v>Subdivision</c:v>
                </c:pt>
                <c:pt idx="2">
                  <c:v>Change of use</c:v>
                </c:pt>
                <c:pt idx="3">
                  <c:v>Fuel storage system removal/replacement</c:v>
                </c:pt>
                <c:pt idx="4">
                  <c:v>Soil sampling</c:v>
                </c:pt>
              </c:strCache>
            </c:strRef>
          </c:cat>
          <c:val>
            <c:numRef>
              <c:f>'[W01728802 Reference Group.xlsx]Sheet1'!$C$25:$C$29</c:f>
              <c:numCache>
                <c:formatCode>General</c:formatCode>
                <c:ptCount val="5"/>
                <c:pt idx="0">
                  <c:v>0.43</c:v>
                </c:pt>
                <c:pt idx="1">
                  <c:v>0.35</c:v>
                </c:pt>
                <c:pt idx="2">
                  <c:v>0.18</c:v>
                </c:pt>
                <c:pt idx="3">
                  <c:v>0.04</c:v>
                </c:pt>
                <c:pt idx="4">
                  <c:v>0.01</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8C6C7-21C5-4796-9DEF-7EC51C31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4236</TotalTime>
  <Pages>26</Pages>
  <Words>9104</Words>
  <Characters>51896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Interim review of the National Environmental Standard for Assessing and Managing Contaminants in Soil to Protect Human Health</vt:lpstr>
    </vt:vector>
  </TitlesOfParts>
  <Company>Ministry for the Environment</Company>
  <LinksUpToDate>false</LinksUpToDate>
  <CharactersWithSpaces>60879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review of the National Environmental Standard for Assessing and Managing Contaminants in Soil to Protect Human Health</dc:title>
  <dc:creator>Rachel Batchelor</dc:creator>
  <cp:lastModifiedBy>Linda Stirling</cp:lastModifiedBy>
  <cp:revision>112</cp:revision>
  <cp:lastPrinted>2015-06-16T21:49:00Z</cp:lastPrinted>
  <dcterms:created xsi:type="dcterms:W3CDTF">2015-05-27T06:41:00Z</dcterms:created>
  <dcterms:modified xsi:type="dcterms:W3CDTF">2016-08-23T20:14:00Z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000001679141</vt:lpwstr>
  </property>
  <property fmtid="{D5CDD505-2E9C-101B-9397-08002B2CF9AE}" pid="3" name="DisplayName">
    <vt:lpwstr>02 - Monitoring and Review Framework</vt:lpwstr>
  </property>
  <property fmtid="{D5CDD505-2E9C-101B-9397-08002B2CF9AE}" pid="4" name="Class">
    <vt:lpwstr>DS/DS_CS/DS_CS_Six/DS_CS_Six_Two</vt:lpwstr>
  </property>
  <property fmtid="{D5CDD505-2E9C-101B-9397-08002B2CF9AE}" pid="5" name="ClassComments">
    <vt:lpwstr/>
  </property>
  <property fmtid="{D5CDD505-2E9C-101B-9397-08002B2CF9AE}" pid="6" name="AddedBy">
    <vt:lpwstr>BatchelorR</vt:lpwstr>
  </property>
  <property fmtid="{D5CDD505-2E9C-101B-9397-08002B2CF9AE}" pid="7" name="DateAdded">
    <vt:filetime>2015-05-07T05:43:18Z</vt:filetime>
  </property>
  <property fmtid="{D5CDD505-2E9C-101B-9397-08002B2CF9AE}" pid="8" name="FirstAddedBy">
    <vt:lpwstr>BatchelorR</vt:lpwstr>
  </property>
  <property fmtid="{D5CDD505-2E9C-101B-9397-08002B2CF9AE}" pid="9" name="DateFirstAdded">
    <vt:filetime>2015-03-17T06:13:01Z</vt:filetime>
  </property>
  <property fmtid="{D5CDD505-2E9C-101B-9397-08002B2CF9AE}" pid="10" name="LastModifiedBy">
    <vt:lpwstr>BatchelorR</vt:lpwstr>
  </property>
  <property fmtid="{D5CDD505-2E9C-101B-9397-08002B2CF9AE}" pid="11" name="DateLastModified">
    <vt:filetime>2015-05-07T05:43:18Z</vt:filetime>
  </property>
  <property fmtid="{D5CDD505-2E9C-101B-9397-08002B2CF9AE}" pid="12" name="IsCheckedOut">
    <vt:bool>true</vt:bool>
  </property>
  <property fmtid="{D5CDD505-2E9C-101B-9397-08002B2CF9AE}" pid="13" name="CheckedOutBy">
    <vt:lpwstr>BatchelorR</vt:lpwstr>
  </property>
  <property fmtid="{D5CDD505-2E9C-101B-9397-08002B2CF9AE}" pid="14" name="CheckOutComment">
    <vt:lpwstr/>
  </property>
  <property fmtid="{D5CDD505-2E9C-101B-9397-08002B2CF9AE}" pid="15" name="CheckOutDate">
    <vt:filetime>2015-05-07T20:46:21Z</vt:filetime>
  </property>
  <property fmtid="{D5CDD505-2E9C-101B-9397-08002B2CF9AE}" pid="16" name="VersionStatus">
    <vt:i4>5</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1.10</vt:lpwstr>
  </property>
  <property fmtid="{D5CDD505-2E9C-101B-9397-08002B2CF9AE}" pid="21" name="Versions">
    <vt:lpwstr>1.0 1.1 1.2 1.3 1.4 1.5 1.6 1.7 1.8 1.9 1.10</vt:lpwstr>
  </property>
  <property fmtid="{D5CDD505-2E9C-101B-9397-08002B2CF9AE}" pid="22" name="ContentVersion">
    <vt:lpwstr>1.10</vt:lpwstr>
  </property>
  <property fmtid="{D5CDD505-2E9C-101B-9397-08002B2CF9AE}" pid="23" name="ContentType">
    <vt:i4>0</vt:i4>
  </property>
  <property fmtid="{D5CDD505-2E9C-101B-9397-08002B2CF9AE}" pid="24" name="ContentSize">
    <vt:i4>440396</vt:i4>
  </property>
  <property fmtid="{D5CDD505-2E9C-101B-9397-08002B2CF9AE}" pid="25" name="LocaleID">
    <vt:i4>0</vt:i4>
  </property>
  <property fmtid="{D5CDD505-2E9C-101B-9397-08002B2CF9AE}" pid="26" name="RequiredSignatures">
    <vt:lpwstr/>
  </property>
  <property fmtid="{D5CDD505-2E9C-101B-9397-08002B2CF9AE}" pid="27" name="SignaturesRequired">
    <vt:lpwstr/>
  </property>
  <property fmtid="{D5CDD505-2E9C-101B-9397-08002B2CF9AE}" pid="28" name="Signatures">
    <vt:lpwstr/>
  </property>
  <property fmtid="{D5CDD505-2E9C-101B-9397-08002B2CF9AE}" pid="29" name="DateAvailable">
    <vt:filetime>1899-12-29T12:00:00Z</vt:filetime>
  </property>
  <property fmtid="{D5CDD505-2E9C-101B-9397-08002B2CF9AE}" pid="30" name="DateExpires">
    <vt:filetime>1899-12-29T12:00:00Z</vt:filetime>
  </property>
  <property fmtid="{D5CDD505-2E9C-101B-9397-08002B2CF9AE}" pid="31" name="RelativeDateExpires">
    <vt:lpwstr>Never</vt:lpwstr>
  </property>
  <property fmtid="{D5CDD505-2E9C-101B-9397-08002B2CF9AE}" pid="32" name="Parents">
    <vt:lpwstr>826296b07a43b47e1ff8383a53cf8b44</vt:lpwstr>
  </property>
  <property fmtid="{D5CDD505-2E9C-101B-9397-08002B2CF9AE}" pid="33" name="Children">
    <vt:lpwstr/>
  </property>
  <property fmtid="{D5CDD505-2E9C-101B-9397-08002B2CF9AE}" pid="34" name="Master">
    <vt:lpwstr/>
  </property>
  <property fmtid="{D5CDD505-2E9C-101B-9397-08002B2CF9AE}" pid="35" name="Slaves">
    <vt:lpwstr/>
  </property>
  <property fmtid="{D5CDD505-2E9C-101B-9397-08002B2CF9AE}" pid="36" name="PublishPaths">
    <vt:lpwstr/>
  </property>
  <property fmtid="{D5CDD505-2E9C-101B-9397-08002B2CF9AE}" pid="37" name="SeeAlso">
    <vt:lpwstr/>
  </property>
  <property fmtid="{D5CDD505-2E9C-101B-9397-08002B2CF9AE}" pid="38" name="Folders">
    <vt:lpwstr/>
  </property>
  <property fmtid="{D5CDD505-2E9C-101B-9397-08002B2CF9AE}" pid="39" name="MetaPath">
    <vt:lpwstr>\DS\DS_CS\DS_CS_Six\DS_CS_Six_Two</vt:lpwstr>
  </property>
  <property fmtid="{D5CDD505-2E9C-101B-9397-08002B2CF9AE}" pid="40" name="ContentPath">
    <vt:lpwstr>\DS\DS_CS\DS_CS_Six\DS_CS_Six_Two</vt:lpwstr>
  </property>
  <property fmtid="{D5CDD505-2E9C-101B-9397-08002B2CF9AE}" pid="41" name="ArchiveMetaPath">
    <vt:lpwstr>\DS\DS_CS\DS_CS_Six\DS_CS_Six_Two</vt:lpwstr>
  </property>
  <property fmtid="{D5CDD505-2E9C-101B-9397-08002B2CF9AE}" pid="42" name="ArchiveContentPath">
    <vt:lpwstr>\DS\DS_CS\DS_CS_Six\DS_CS_Six_Two</vt:lpwstr>
  </property>
  <property fmtid="{D5CDD505-2E9C-101B-9397-08002B2CF9AE}" pid="43" name="ContentVPath">
    <vt:lpwstr>/DS/DS_CS/DS_CS_Six/DS_CS_Six_Two</vt:lpwstr>
  </property>
  <property fmtid="{D5CDD505-2E9C-101B-9397-08002B2CF9AE}" pid="44" name="Icon">
    <vt:lpwstr/>
  </property>
  <property fmtid="{D5CDD505-2E9C-101B-9397-08002B2CF9AE}" pid="45" name="DefaultContent">
    <vt:lpwstr/>
  </property>
  <property fmtid="{D5CDD505-2E9C-101B-9397-08002B2CF9AE}" pid="46" name="DefaultFormat">
    <vt:lpwstr>DOCX</vt:lpwstr>
  </property>
  <property fmtid="{D5CDD505-2E9C-101B-9397-08002B2CF9AE}" pid="47" name="DefaultForm">
    <vt:lpwstr/>
  </property>
  <property fmtid="{D5CDD505-2E9C-101B-9397-08002B2CF9AE}" pid="48" name="DefaultUIHandler">
    <vt:lpwstr/>
  </property>
  <property fmtid="{D5CDD505-2E9C-101B-9397-08002B2CF9AE}" pid="49" name="Abstract">
    <vt:bool>false</vt:bool>
  </property>
  <property fmtid="{D5CDD505-2E9C-101B-9397-08002B2CF9AE}" pid="50" name="PossibleSuperiors">
    <vt:lpwstr>DS_CS_Six</vt:lpwstr>
  </property>
  <property fmtid="{D5CDD505-2E9C-101B-9397-08002B2CF9AE}" pid="51" name="HelpFileContext">
    <vt:i4>0</vt:i4>
  </property>
  <property fmtid="{D5CDD505-2E9C-101B-9397-08002B2CF9AE}" pid="52" name="HelpFileName">
    <vt:lpwstr/>
  </property>
  <property fmtid="{D5CDD505-2E9C-101B-9397-08002B2CF9AE}" pid="53" name="Description">
    <vt:lpwstr/>
  </property>
  <property fmtid="{D5CDD505-2E9C-101B-9397-08002B2CF9AE}" pid="54" name="Doctype">
    <vt:lpwstr>Report</vt:lpwstr>
  </property>
  <property fmtid="{D5CDD505-2E9C-101B-9397-08002B2CF9AE}" pid="55" name="To">
    <vt:lpwstr/>
  </property>
  <property fmtid="{D5CDD505-2E9C-101B-9397-08002B2CF9AE}" pid="56" name="From">
    <vt:lpwstr/>
  </property>
  <property fmtid="{D5CDD505-2E9C-101B-9397-08002B2CF9AE}" pid="57" name="Sent_Received">
    <vt:filetime>1899-12-29T12:00:00Z</vt:filetime>
  </property>
  <property fmtid="{D5CDD505-2E9C-101B-9397-08002B2CF9AE}" pid="58" name="ContractNumber">
    <vt:lpwstr/>
  </property>
  <property fmtid="{D5CDD505-2E9C-101B-9397-08002B2CF9AE}" pid="59" name="Status">
    <vt:lpwstr>Draft</vt:lpwstr>
  </property>
  <property fmtid="{D5CDD505-2E9C-101B-9397-08002B2CF9AE}" pid="60" name="Year">
    <vt:lpwstr>2014 - 2015</vt:lpwstr>
  </property>
  <property fmtid="{D5CDD505-2E9C-101B-9397-08002B2CF9AE}" pid="61" name="adspath">
    <vt:lpwstr>Amphora://EDRMS1/DS/DS_CS/DS_CS_Six/DS_CS_Six_Two/000001679141</vt:lpwstr>
  </property>
</Properties>
</file>