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747413B" w14:textId="77777777" w:rsidR="00D009D8" w:rsidRDefault="00B517BE" w:rsidP="00E1702C">
      <w:pPr>
        <w:pStyle w:val="BodyText"/>
      </w:pPr>
      <w:bookmarkStart w:id="0" w:name="_GoBack"/>
      <w:bookmarkEnd w:id="0"/>
      <w:r>
        <w:rPr>
          <w:noProof/>
        </w:rPr>
        <w:drawing>
          <wp:inline distT="0" distB="0" distL="0" distR="0" wp14:anchorId="3E6FEEE1" wp14:editId="672BFC30">
            <wp:extent cx="5753100" cy="1914525"/>
            <wp:effectExtent l="0" t="0" r="0" b="9525"/>
            <wp:docPr id="3" name="Picture 3" descr="\\Anchor\BhadraZ$\Desktop\Planning standards and S32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chor\BhadraZ$\Desktop\Planning standards and S32s\head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1914525"/>
                    </a:xfrm>
                    <a:prstGeom prst="rect">
                      <a:avLst/>
                    </a:prstGeom>
                    <a:noFill/>
                    <a:ln>
                      <a:noFill/>
                    </a:ln>
                  </pic:spPr>
                </pic:pic>
              </a:graphicData>
            </a:graphic>
          </wp:inline>
        </w:drawing>
      </w:r>
    </w:p>
    <w:p w14:paraId="239E3540" w14:textId="77777777" w:rsidR="00E75F57" w:rsidRDefault="00696A71" w:rsidP="00CF01CB">
      <w:pPr>
        <w:pStyle w:val="Heading1"/>
        <w:spacing w:before="360" w:after="240" w:line="280" w:lineRule="atLeast"/>
      </w:pPr>
      <w:r>
        <w:rPr>
          <w:szCs w:val="48"/>
        </w:rPr>
        <w:t xml:space="preserve">Guidance </w:t>
      </w:r>
      <w:r w:rsidR="007D59BD">
        <w:rPr>
          <w:szCs w:val="48"/>
        </w:rPr>
        <w:t>on</w:t>
      </w:r>
      <w:r w:rsidR="00531435">
        <w:rPr>
          <w:szCs w:val="48"/>
        </w:rPr>
        <w:t xml:space="preserve"> consequential amendments</w:t>
      </w:r>
      <w:r w:rsidR="00CC5F40">
        <w:rPr>
          <w:szCs w:val="48"/>
        </w:rPr>
        <w:t xml:space="preserve"> to policy statements and plans</w:t>
      </w:r>
    </w:p>
    <w:p w14:paraId="076D904D" w14:textId="77777777" w:rsidR="007D3BD6" w:rsidRPr="007D3BD6" w:rsidRDefault="007D3BD6" w:rsidP="007D3BD6">
      <w:pPr>
        <w:pStyle w:val="Heading2"/>
      </w:pPr>
      <w:r w:rsidRPr="007D3BD6">
        <w:t>Purpose</w:t>
      </w:r>
    </w:p>
    <w:p w14:paraId="1145885B" w14:textId="0B6D58BF" w:rsidR="007D3BD6" w:rsidRPr="007D3BD6" w:rsidRDefault="007D3BD6" w:rsidP="001B2975">
      <w:pPr>
        <w:pStyle w:val="BodyText"/>
      </w:pPr>
      <w:r w:rsidRPr="007D3BD6">
        <w:t xml:space="preserve">This guidance is for councils implementing the 2019 first set of </w:t>
      </w:r>
      <w:r>
        <w:t>N</w:t>
      </w:r>
      <w:r w:rsidRPr="007D3BD6">
        <w:t xml:space="preserve">ational </w:t>
      </w:r>
      <w:r>
        <w:t>P</w:t>
      </w:r>
      <w:r w:rsidRPr="007D3BD6">
        <w:t xml:space="preserve">lanning </w:t>
      </w:r>
      <w:r>
        <w:t>S</w:t>
      </w:r>
      <w:r w:rsidRPr="007D3BD6">
        <w:t xml:space="preserve">tandards (the standards) who will update their existing policy statements or plans rather than implement </w:t>
      </w:r>
      <w:r w:rsidRPr="0097451C">
        <w:t>the</w:t>
      </w:r>
      <w:r w:rsidRPr="00B05AE4">
        <w:t xml:space="preserve"> standards within proposed policy statement or </w:t>
      </w:r>
      <w:r w:rsidRPr="009831F1">
        <w:t xml:space="preserve">plan review processes. </w:t>
      </w:r>
      <w:r w:rsidR="001B2975">
        <w:t>It</w:t>
      </w:r>
      <w:r w:rsidRPr="00821878">
        <w:t xml:space="preserve"> focuses</w:t>
      </w:r>
      <w:r w:rsidRPr="00204B24">
        <w:t xml:space="preserve"> mainly on consequential amendments to existing plans but is </w:t>
      </w:r>
      <w:r w:rsidRPr="001B2975">
        <w:t>also relevant to amendments to existing policy statements</w:t>
      </w:r>
      <w:r w:rsidR="001B2975">
        <w:t>.</w:t>
      </w:r>
      <w:r>
        <w:rPr>
          <w:rStyle w:val="FootnoteReference"/>
        </w:rPr>
        <w:footnoteReference w:id="1"/>
      </w:r>
      <w:r w:rsidRPr="007D3BD6">
        <w:t xml:space="preserve"> </w:t>
      </w:r>
    </w:p>
    <w:p w14:paraId="338CCF3F" w14:textId="77777777" w:rsidR="00531435" w:rsidRPr="00F01228" w:rsidRDefault="00531435" w:rsidP="00CF01CB">
      <w:pPr>
        <w:pStyle w:val="Heading2"/>
      </w:pPr>
      <w:r w:rsidRPr="00F01228">
        <w:t>Introduction</w:t>
      </w:r>
    </w:p>
    <w:p w14:paraId="3BF7629A" w14:textId="7F33C742" w:rsidR="000633C7" w:rsidRDefault="0062159C" w:rsidP="000633C7">
      <w:pPr>
        <w:pStyle w:val="BodyText"/>
      </w:pPr>
      <w:r>
        <w:t xml:space="preserve">Implementing the </w:t>
      </w:r>
      <w:r w:rsidR="00531435" w:rsidRPr="008A7630">
        <w:t>standards is now underway</w:t>
      </w:r>
      <w:r w:rsidR="008C4EEE">
        <w:t xml:space="preserve">, </w:t>
      </w:r>
      <w:r w:rsidR="005B3473">
        <w:t xml:space="preserve">as required by the </w:t>
      </w:r>
      <w:r w:rsidR="008C4EEE">
        <w:t xml:space="preserve">timeframes set out in </w:t>
      </w:r>
      <w:r w:rsidR="008C4EEE" w:rsidRPr="008C4EEE">
        <w:rPr>
          <w:i/>
        </w:rPr>
        <w:t>17</w:t>
      </w:r>
      <w:r w:rsidR="00AE0898">
        <w:t>.</w:t>
      </w:r>
      <w:r w:rsidR="008C4EEE" w:rsidRPr="008C4EEE">
        <w:rPr>
          <w:i/>
        </w:rPr>
        <w:t xml:space="preserve"> Implementation Standard</w:t>
      </w:r>
      <w:r w:rsidR="008C4EEE">
        <w:t xml:space="preserve">. </w:t>
      </w:r>
      <w:r w:rsidR="00445687">
        <w:t xml:space="preserve">To </w:t>
      </w:r>
      <w:r w:rsidR="00526A06" w:rsidRPr="008A7630">
        <w:t>implement the standards</w:t>
      </w:r>
      <w:r w:rsidR="007D3BD6">
        <w:t>,</w:t>
      </w:r>
      <w:r w:rsidR="00526A06" w:rsidRPr="008A7630">
        <w:t xml:space="preserve"> </w:t>
      </w:r>
      <w:r w:rsidR="007D3BD6">
        <w:t xml:space="preserve">you </w:t>
      </w:r>
      <w:r w:rsidR="00526A06" w:rsidRPr="008A7630">
        <w:t>will</w:t>
      </w:r>
      <w:r w:rsidR="00E9242B">
        <w:t xml:space="preserve"> need to revise </w:t>
      </w:r>
      <w:r w:rsidR="007D3BD6">
        <w:t xml:space="preserve">your </w:t>
      </w:r>
      <w:r w:rsidR="00526A06" w:rsidRPr="008A7630">
        <w:t>plans or proposed plans</w:t>
      </w:r>
      <w:r w:rsidR="00E9242B">
        <w:t xml:space="preserve"> in accordance with the standard</w:t>
      </w:r>
      <w:r w:rsidR="00FA7886">
        <w:t>s</w:t>
      </w:r>
      <w:r w:rsidR="00526A06" w:rsidRPr="008A7630">
        <w:t xml:space="preserve">. </w:t>
      </w:r>
    </w:p>
    <w:p w14:paraId="1C8E8910" w14:textId="25668AB5" w:rsidR="004823B0" w:rsidRDefault="00FA7886" w:rsidP="00526A06">
      <w:pPr>
        <w:pStyle w:val="BodyText"/>
      </w:pPr>
      <w:r>
        <w:t xml:space="preserve">Most </w:t>
      </w:r>
      <w:r w:rsidR="00D35976">
        <w:t>revisions</w:t>
      </w:r>
      <w:r>
        <w:t xml:space="preserve"> will be primary amendments, necessary to meet the new structural and other requirements as set out </w:t>
      </w:r>
      <w:r w:rsidR="00A1265F">
        <w:t>in s</w:t>
      </w:r>
      <w:r w:rsidR="00CC4668">
        <w:t xml:space="preserve">ection </w:t>
      </w:r>
      <w:r w:rsidR="00A1265F">
        <w:t>58I</w:t>
      </w:r>
      <w:r>
        <w:t>(2)(a) and (3)(a)</w:t>
      </w:r>
      <w:r w:rsidR="00D35976">
        <w:t xml:space="preserve"> of the </w:t>
      </w:r>
      <w:r w:rsidR="00CC4668">
        <w:t>Resource Management Act 1991 (R</w:t>
      </w:r>
      <w:r w:rsidR="00D35976">
        <w:t>MA</w:t>
      </w:r>
      <w:r w:rsidR="00CC4668">
        <w:t>)</w:t>
      </w:r>
      <w:r w:rsidR="00D35976">
        <w:t>.</w:t>
      </w:r>
      <w:r w:rsidR="0062159C">
        <w:t xml:space="preserve"> </w:t>
      </w:r>
      <w:r w:rsidR="0085162A">
        <w:t>Where t</w:t>
      </w:r>
      <w:r w:rsidR="00D35976">
        <w:t xml:space="preserve">hese </w:t>
      </w:r>
      <w:r w:rsidR="001174D5">
        <w:t>amendments</w:t>
      </w:r>
      <w:r w:rsidR="0085162A">
        <w:t xml:space="preserve"> are required by a mandatory direction in the standards, they </w:t>
      </w:r>
      <w:r w:rsidR="001174D5">
        <w:t>must</w:t>
      </w:r>
      <w:r w:rsidR="000633C7">
        <w:t xml:space="preserve"> </w:t>
      </w:r>
      <w:r w:rsidRPr="00A0512A">
        <w:t xml:space="preserve">be made without using any of the processes </w:t>
      </w:r>
      <w:r>
        <w:t>set out in Schedule 1</w:t>
      </w:r>
      <w:r w:rsidR="002F10C5">
        <w:t xml:space="preserve"> </w:t>
      </w:r>
      <w:r w:rsidR="00484682">
        <w:t>of the RMA</w:t>
      </w:r>
      <w:r w:rsidR="00637432">
        <w:t>,</w:t>
      </w:r>
      <w:r w:rsidR="004823B0">
        <w:t xml:space="preserve"> </w:t>
      </w:r>
      <w:r w:rsidR="00637432">
        <w:t>unless part of a full plan review</w:t>
      </w:r>
      <w:r w:rsidR="00A1265F">
        <w:t xml:space="preserve">. </w:t>
      </w:r>
      <w:r w:rsidR="00637432">
        <w:t xml:space="preserve">If the mandatory directions in the standards are implemented in a full plan </w:t>
      </w:r>
      <w:r w:rsidR="004823B0">
        <w:t xml:space="preserve">review </w:t>
      </w:r>
      <w:r w:rsidR="002876EE">
        <w:t>th</w:t>
      </w:r>
      <w:r w:rsidR="00637432">
        <w:t xml:space="preserve">ose aspects </w:t>
      </w:r>
      <w:r w:rsidR="002876EE">
        <w:t>may not be changed through the submissions process.</w:t>
      </w:r>
      <w:r w:rsidR="0062159C">
        <w:t xml:space="preserve"> </w:t>
      </w:r>
    </w:p>
    <w:p w14:paraId="232CD97F" w14:textId="77777777" w:rsidR="00D35976" w:rsidRDefault="00CC5F40" w:rsidP="00526A06">
      <w:pPr>
        <w:pStyle w:val="BodyText"/>
      </w:pPr>
      <w:r w:rsidRPr="008A7630">
        <w:t>A</w:t>
      </w:r>
      <w:r>
        <w:t xml:space="preserve">dopting the standards may also require changes </w:t>
      </w:r>
      <w:r w:rsidRPr="008A7630">
        <w:t>to existing provisions</w:t>
      </w:r>
      <w:r>
        <w:t xml:space="preserve"> to avoid duplication or conflict </w:t>
      </w:r>
      <w:r w:rsidR="0062159C">
        <w:t>–</w:t>
      </w:r>
      <w:r w:rsidR="0062159C" w:rsidRPr="008A7630">
        <w:t xml:space="preserve"> </w:t>
      </w:r>
      <w:r w:rsidRPr="008A7630">
        <w:t>so the</w:t>
      </w:r>
      <w:r>
        <w:t xml:space="preserve"> provisions</w:t>
      </w:r>
      <w:r w:rsidRPr="008A7630">
        <w:t xml:space="preserve"> maintain their effect and the plan </w:t>
      </w:r>
      <w:r>
        <w:t>remains</w:t>
      </w:r>
      <w:r w:rsidRPr="008A7630">
        <w:t xml:space="preserve"> coherent after the standards have been applied.</w:t>
      </w:r>
      <w:r w:rsidR="0062159C">
        <w:t xml:space="preserve"> </w:t>
      </w:r>
      <w:r>
        <w:t>These ‘consequential amendments’ also must be made without a Schedule 1 process.</w:t>
      </w:r>
      <w:r w:rsidR="005C1C28">
        <w:t xml:space="preserve"> </w:t>
      </w:r>
    </w:p>
    <w:p w14:paraId="0AA096D6" w14:textId="6F61B462" w:rsidR="00E9242B" w:rsidRDefault="00D35976" w:rsidP="000633C7">
      <w:pPr>
        <w:pStyle w:val="BodyText"/>
      </w:pPr>
      <w:r>
        <w:t xml:space="preserve">How to determine whether an amendment is consequential or not was a common issue raised during </w:t>
      </w:r>
      <w:r w:rsidR="00C42564">
        <w:t xml:space="preserve">the </w:t>
      </w:r>
      <w:r>
        <w:t>preparation of the standards.</w:t>
      </w:r>
      <w:r w:rsidR="0062159C">
        <w:t xml:space="preserve"> </w:t>
      </w:r>
      <w:r w:rsidR="007D3BD6">
        <w:t xml:space="preserve">Many of you </w:t>
      </w:r>
      <w:r>
        <w:t xml:space="preserve">were keen to have a better idea about what would fall within the scope of a consequential amendment (and therefore permissible without a </w:t>
      </w:r>
      <w:r w:rsidR="000633C7">
        <w:t>full Schedule 1 process</w:t>
      </w:r>
      <w:r w:rsidR="001174D5">
        <w:t>)</w:t>
      </w:r>
      <w:r>
        <w:t>.</w:t>
      </w:r>
      <w:r w:rsidR="0062159C">
        <w:t xml:space="preserve"> </w:t>
      </w:r>
    </w:p>
    <w:p w14:paraId="6FA15611" w14:textId="77777777" w:rsidR="00531435" w:rsidRPr="00CC5F40" w:rsidRDefault="00CC5F40" w:rsidP="00CF01CB">
      <w:pPr>
        <w:pStyle w:val="Heading2"/>
        <w:rPr>
          <w:sz w:val="28"/>
          <w:szCs w:val="28"/>
        </w:rPr>
      </w:pPr>
      <w:r>
        <w:rPr>
          <w:sz w:val="28"/>
          <w:szCs w:val="28"/>
        </w:rPr>
        <w:lastRenderedPageBreak/>
        <w:t>Primary amendments</w:t>
      </w:r>
    </w:p>
    <w:p w14:paraId="1B6FB780" w14:textId="77777777" w:rsidR="00531435" w:rsidRPr="003B5D8F" w:rsidRDefault="00531435" w:rsidP="00CF01CB">
      <w:pPr>
        <w:pStyle w:val="BodyText"/>
        <w:rPr>
          <w:i/>
        </w:rPr>
      </w:pPr>
      <w:r>
        <w:t xml:space="preserve">Making </w:t>
      </w:r>
      <w:r w:rsidR="00FA7886">
        <w:t xml:space="preserve">a direct change to a plan as required </w:t>
      </w:r>
      <w:r w:rsidR="0001400A">
        <w:t>by the</w:t>
      </w:r>
      <w:r>
        <w:t xml:space="preserve"> standards</w:t>
      </w:r>
      <w:r w:rsidR="00FA7886">
        <w:t xml:space="preserve"> is a primary amendment</w:t>
      </w:r>
      <w:r>
        <w:t xml:space="preserve"> and therefore not consequential.</w:t>
      </w:r>
    </w:p>
    <w:p w14:paraId="27DF5D94" w14:textId="77777777" w:rsidR="00531435" w:rsidRPr="00012FEB" w:rsidRDefault="00531435" w:rsidP="00CF01CB">
      <w:pPr>
        <w:pStyle w:val="BodyText"/>
      </w:pPr>
      <w:r>
        <w:t>Examples of primary amendments include:</w:t>
      </w:r>
    </w:p>
    <w:p w14:paraId="3F15B375" w14:textId="77777777" w:rsidR="00531435" w:rsidRDefault="0001400A" w:rsidP="00CF01CB">
      <w:pPr>
        <w:pStyle w:val="BodyText"/>
        <w:numPr>
          <w:ilvl w:val="0"/>
          <w:numId w:val="52"/>
        </w:numPr>
        <w:jc w:val="both"/>
      </w:pPr>
      <w:r>
        <w:t xml:space="preserve">Inserting </w:t>
      </w:r>
      <w:r w:rsidR="00531435" w:rsidRPr="003B5D8F">
        <w:t xml:space="preserve">the unique identifiers of requiring authorities </w:t>
      </w:r>
      <w:r>
        <w:t xml:space="preserve">as specified by </w:t>
      </w:r>
      <w:r w:rsidR="0062159C">
        <w:t>t</w:t>
      </w:r>
      <w:r w:rsidR="00531435" w:rsidRPr="003B5D8F">
        <w:t xml:space="preserve">able 15 of </w:t>
      </w:r>
      <w:r w:rsidR="00CC5F40">
        <w:rPr>
          <w:i/>
        </w:rPr>
        <w:t>9</w:t>
      </w:r>
      <w:r w:rsidR="00531435">
        <w:rPr>
          <w:i/>
        </w:rPr>
        <w:t>.</w:t>
      </w:r>
      <w:r w:rsidR="00531435" w:rsidRPr="003B5D8F">
        <w:rPr>
          <w:i/>
        </w:rPr>
        <w:t xml:space="preserve"> Designations</w:t>
      </w:r>
      <w:r w:rsidR="00531435" w:rsidRPr="003B5D8F">
        <w:t xml:space="preserve"> </w:t>
      </w:r>
      <w:r w:rsidR="009747F5" w:rsidRPr="00AE0898">
        <w:rPr>
          <w:i/>
        </w:rPr>
        <w:t>S</w:t>
      </w:r>
      <w:r w:rsidR="00531435" w:rsidRPr="00AE0898">
        <w:rPr>
          <w:i/>
        </w:rPr>
        <w:t>tandard</w:t>
      </w:r>
      <w:r w:rsidR="00531435" w:rsidRPr="00CC5F40">
        <w:t xml:space="preserve"> </w:t>
      </w:r>
      <w:r w:rsidR="00531435" w:rsidRPr="003B5D8F">
        <w:t xml:space="preserve">and in accordance with </w:t>
      </w:r>
      <w:r>
        <w:t xml:space="preserve">Directions 27 and 28 </w:t>
      </w:r>
      <w:r w:rsidR="00D46359">
        <w:t xml:space="preserve">of </w:t>
      </w:r>
      <w:r w:rsidR="00D46359" w:rsidRPr="00715EFE">
        <w:rPr>
          <w:i/>
        </w:rPr>
        <w:t>10</w:t>
      </w:r>
      <w:r w:rsidR="00531435" w:rsidRPr="003B5D8F">
        <w:rPr>
          <w:i/>
        </w:rPr>
        <w:t xml:space="preserve">. Format </w:t>
      </w:r>
      <w:r w:rsidR="009747F5" w:rsidRPr="00AE0898">
        <w:rPr>
          <w:i/>
        </w:rPr>
        <w:t>S</w:t>
      </w:r>
      <w:r w:rsidR="00531435" w:rsidRPr="00AE0898">
        <w:rPr>
          <w:i/>
        </w:rPr>
        <w:t>tandard</w:t>
      </w:r>
      <w:r w:rsidR="0062159C">
        <w:rPr>
          <w:i/>
        </w:rPr>
        <w:t>.</w:t>
      </w:r>
    </w:p>
    <w:p w14:paraId="3E926E4A" w14:textId="77777777" w:rsidR="00531435" w:rsidRPr="00A0512A" w:rsidRDefault="000F2620" w:rsidP="007D3BD6">
      <w:pPr>
        <w:pStyle w:val="BodyText"/>
        <w:numPr>
          <w:ilvl w:val="0"/>
          <w:numId w:val="52"/>
        </w:numPr>
      </w:pPr>
      <w:r>
        <w:t xml:space="preserve">Inserting </w:t>
      </w:r>
      <w:r w:rsidR="00531435" w:rsidRPr="00A0512A">
        <w:t xml:space="preserve">material </w:t>
      </w:r>
      <w:r>
        <w:t>into the location required by the standards.</w:t>
      </w:r>
      <w:r w:rsidR="0062159C">
        <w:t xml:space="preserve"> </w:t>
      </w:r>
      <w:r w:rsidR="00531435" w:rsidRPr="00A0512A">
        <w:t xml:space="preserve">For example, </w:t>
      </w:r>
      <w:r w:rsidR="00AF2A39">
        <w:t xml:space="preserve">for district plans, </w:t>
      </w:r>
      <w:r w:rsidR="00531435" w:rsidRPr="00A0512A">
        <w:t>placing material on cross-bound</w:t>
      </w:r>
      <w:r w:rsidR="00CC5F40">
        <w:t>ary issues into the</w:t>
      </w:r>
      <w:r w:rsidR="00531435" w:rsidRPr="00A0512A">
        <w:t xml:space="preserve"> ‘Cross</w:t>
      </w:r>
      <w:r w:rsidR="0062159C">
        <w:t>-</w:t>
      </w:r>
      <w:r w:rsidR="00531435" w:rsidRPr="00A0512A">
        <w:t xml:space="preserve">boundary matters’ </w:t>
      </w:r>
      <w:r w:rsidR="00CC5F40">
        <w:t xml:space="preserve">chapter </w:t>
      </w:r>
      <w:r w:rsidR="00531435" w:rsidRPr="00A0512A">
        <w:t xml:space="preserve">to comply with </w:t>
      </w:r>
      <w:r w:rsidR="001F0B1B" w:rsidRPr="006A23C4">
        <w:rPr>
          <w:i/>
        </w:rPr>
        <w:t>4</w:t>
      </w:r>
      <w:r w:rsidR="00531435" w:rsidRPr="00A0512A">
        <w:rPr>
          <w:i/>
        </w:rPr>
        <w:t xml:space="preserve">. District Plan </w:t>
      </w:r>
      <w:r w:rsidR="00D21489">
        <w:rPr>
          <w:i/>
        </w:rPr>
        <w:t>S</w:t>
      </w:r>
      <w:r w:rsidR="00531435" w:rsidRPr="00A0512A">
        <w:rPr>
          <w:i/>
        </w:rPr>
        <w:t xml:space="preserve">tructure </w:t>
      </w:r>
      <w:r w:rsidR="009747F5" w:rsidRPr="00AE0898">
        <w:rPr>
          <w:i/>
        </w:rPr>
        <w:t>S</w:t>
      </w:r>
      <w:r w:rsidR="00531435" w:rsidRPr="00AE0898">
        <w:rPr>
          <w:i/>
        </w:rPr>
        <w:t>tandard</w:t>
      </w:r>
      <w:r w:rsidR="00531435" w:rsidRPr="00CC5F40">
        <w:t xml:space="preserve"> </w:t>
      </w:r>
      <w:r w:rsidR="00531435" w:rsidRPr="00A0512A">
        <w:t xml:space="preserve">and </w:t>
      </w:r>
      <w:r w:rsidR="0001400A">
        <w:t xml:space="preserve">Direction 7 of </w:t>
      </w:r>
      <w:r w:rsidR="0001400A" w:rsidRPr="00715EFE">
        <w:rPr>
          <w:i/>
        </w:rPr>
        <w:t>6.</w:t>
      </w:r>
      <w:r w:rsidR="0001400A">
        <w:t xml:space="preserve"> </w:t>
      </w:r>
      <w:r w:rsidR="0001400A" w:rsidRPr="00715EFE">
        <w:rPr>
          <w:i/>
        </w:rPr>
        <w:t xml:space="preserve">Introduction and General </w:t>
      </w:r>
      <w:r w:rsidR="0001400A" w:rsidRPr="0001400A">
        <w:rPr>
          <w:i/>
        </w:rPr>
        <w:t>Provisions</w:t>
      </w:r>
      <w:r w:rsidR="009747F5">
        <w:t xml:space="preserve"> </w:t>
      </w:r>
      <w:r w:rsidR="009747F5" w:rsidRPr="00AE0898">
        <w:rPr>
          <w:i/>
        </w:rPr>
        <w:t>S</w:t>
      </w:r>
      <w:r w:rsidR="0001400A" w:rsidRPr="00AE0898">
        <w:rPr>
          <w:i/>
        </w:rPr>
        <w:t>tandard</w:t>
      </w:r>
      <w:r w:rsidR="00531435" w:rsidRPr="00CC5F40">
        <w:t>.</w:t>
      </w:r>
      <w:r w:rsidR="00531435" w:rsidRPr="00A0512A">
        <w:rPr>
          <w:i/>
        </w:rPr>
        <w:t xml:space="preserve"> </w:t>
      </w:r>
      <w:r w:rsidR="00531435" w:rsidRPr="00A0512A">
        <w:t>Or,</w:t>
      </w:r>
      <w:r w:rsidR="00E06642">
        <w:t xml:space="preserve"> </w:t>
      </w:r>
      <w:r w:rsidR="00C45285">
        <w:t>for regional plans,</w:t>
      </w:r>
      <w:r w:rsidR="00E06642">
        <w:t xml:space="preserve"> </w:t>
      </w:r>
      <w:r w:rsidR="0092672A">
        <w:t xml:space="preserve">inserting </w:t>
      </w:r>
      <w:r w:rsidR="000D4704">
        <w:t xml:space="preserve">relevant </w:t>
      </w:r>
      <w:r w:rsidR="00531435" w:rsidRPr="00A0512A">
        <w:t xml:space="preserve">objectives </w:t>
      </w:r>
      <w:r w:rsidR="0092672A">
        <w:t>in</w:t>
      </w:r>
      <w:r w:rsidR="00373842">
        <w:t xml:space="preserve"> </w:t>
      </w:r>
      <w:r w:rsidR="00531435" w:rsidRPr="00A0512A">
        <w:t xml:space="preserve">the ‘Integrated </w:t>
      </w:r>
      <w:r w:rsidR="000D4704">
        <w:t>objectives</w:t>
      </w:r>
      <w:r w:rsidR="00373842">
        <w:t>’</w:t>
      </w:r>
      <w:r w:rsidR="000D4704">
        <w:t xml:space="preserve"> </w:t>
      </w:r>
      <w:r w:rsidR="00531435" w:rsidRPr="00A0512A">
        <w:t>chapter</w:t>
      </w:r>
      <w:r w:rsidR="00C45285">
        <w:t xml:space="preserve"> to comply with Direction 6 of </w:t>
      </w:r>
      <w:r w:rsidR="00C45285" w:rsidRPr="00715EFE">
        <w:rPr>
          <w:i/>
        </w:rPr>
        <w:t>3. Regional Plan Structure</w:t>
      </w:r>
      <w:r w:rsidR="009747F5">
        <w:t xml:space="preserve"> </w:t>
      </w:r>
      <w:r w:rsidR="009747F5" w:rsidRPr="00AE0898">
        <w:rPr>
          <w:i/>
        </w:rPr>
        <w:t>S</w:t>
      </w:r>
      <w:r w:rsidR="00C45285" w:rsidRPr="00AE0898">
        <w:rPr>
          <w:i/>
        </w:rPr>
        <w:t>tandard</w:t>
      </w:r>
      <w:r w:rsidR="0062159C">
        <w:rPr>
          <w:i/>
        </w:rPr>
        <w:t>.</w:t>
      </w:r>
    </w:p>
    <w:p w14:paraId="129DDE1C" w14:textId="524A7758" w:rsidR="00FC7AB9" w:rsidRPr="009255B8" w:rsidRDefault="00514F2B" w:rsidP="007D3BD6">
      <w:pPr>
        <w:pStyle w:val="BodyText"/>
        <w:numPr>
          <w:ilvl w:val="0"/>
          <w:numId w:val="52"/>
        </w:numPr>
      </w:pPr>
      <w:r>
        <w:t xml:space="preserve">Including objectives, policies and rules into </w:t>
      </w:r>
      <w:r w:rsidR="00531435" w:rsidRPr="00A0512A">
        <w:t xml:space="preserve">a </w:t>
      </w:r>
      <w:r w:rsidR="00CC5F40">
        <w:t>multi-zone precinct</w:t>
      </w:r>
      <w:r w:rsidR="00531435" w:rsidRPr="00A0512A">
        <w:t xml:space="preserve"> where the</w:t>
      </w:r>
      <w:r>
        <w:t xml:space="preserve">y were previously located </w:t>
      </w:r>
      <w:r w:rsidR="00531435" w:rsidRPr="00A0512A">
        <w:t>in several chapters</w:t>
      </w:r>
      <w:r w:rsidR="00531435" w:rsidRPr="00715EFE">
        <w:rPr>
          <w:i/>
        </w:rPr>
        <w:t>.</w:t>
      </w:r>
      <w:r w:rsidR="00531435" w:rsidRPr="009255B8">
        <w:rPr>
          <w:i/>
        </w:rPr>
        <w:t xml:space="preserve"> </w:t>
      </w:r>
      <w:r w:rsidR="00D21489" w:rsidRPr="00715EFE">
        <w:t xml:space="preserve">According to </w:t>
      </w:r>
      <w:r w:rsidR="00854338" w:rsidRPr="00715EFE">
        <w:t>Direction 11 of</w:t>
      </w:r>
      <w:r w:rsidR="00854338" w:rsidRPr="009255B8">
        <w:rPr>
          <w:i/>
        </w:rPr>
        <w:t xml:space="preserve"> </w:t>
      </w:r>
      <w:r w:rsidR="00D21489" w:rsidRPr="006A23C4">
        <w:rPr>
          <w:i/>
        </w:rPr>
        <w:t>4.</w:t>
      </w:r>
      <w:r w:rsidR="00D21489" w:rsidRPr="009255B8">
        <w:rPr>
          <w:i/>
        </w:rPr>
        <w:t xml:space="preserve"> District Plan </w:t>
      </w:r>
      <w:r w:rsidR="00D21489" w:rsidRPr="004730E7">
        <w:rPr>
          <w:i/>
        </w:rPr>
        <w:t>Structure</w:t>
      </w:r>
      <w:r w:rsidR="009747F5">
        <w:rPr>
          <w:i/>
        </w:rPr>
        <w:t xml:space="preserve"> </w:t>
      </w:r>
      <w:r w:rsidR="009747F5" w:rsidRPr="00AE0898">
        <w:rPr>
          <w:i/>
        </w:rPr>
        <w:t>S</w:t>
      </w:r>
      <w:r w:rsidR="00D21489" w:rsidRPr="00AE0898">
        <w:rPr>
          <w:i/>
        </w:rPr>
        <w:t>tandard</w:t>
      </w:r>
      <w:r w:rsidR="00D21489" w:rsidRPr="009255B8">
        <w:rPr>
          <w:i/>
        </w:rPr>
        <w:t xml:space="preserve">, </w:t>
      </w:r>
      <w:r w:rsidR="00D21489">
        <w:t>t</w:t>
      </w:r>
      <w:r w:rsidR="00531435" w:rsidRPr="00A0512A">
        <w:t xml:space="preserve">he content </w:t>
      </w:r>
      <w:r>
        <w:t xml:space="preserve">must be included in </w:t>
      </w:r>
      <w:r w:rsidR="00854338">
        <w:t xml:space="preserve">a relevant chapter under the Precincts (multi zone) heading in </w:t>
      </w:r>
      <w:r w:rsidR="00531435" w:rsidRPr="00A0512A">
        <w:t>‘Part</w:t>
      </w:r>
      <w:r w:rsidR="00CC5F40">
        <w:t xml:space="preserve"> </w:t>
      </w:r>
      <w:r w:rsidR="001F0B1B">
        <w:t xml:space="preserve">3 </w:t>
      </w:r>
      <w:r w:rsidR="00531435" w:rsidRPr="00A0512A">
        <w:t>– Area</w:t>
      </w:r>
      <w:r w:rsidR="0062159C">
        <w:t>-</w:t>
      </w:r>
      <w:r w:rsidR="00531435" w:rsidRPr="00A0512A">
        <w:t>specific matters’</w:t>
      </w:r>
      <w:r w:rsidR="00132924">
        <w:t xml:space="preserve">. It </w:t>
      </w:r>
      <w:r>
        <w:t xml:space="preserve">must </w:t>
      </w:r>
      <w:r w:rsidR="000B5EC1">
        <w:t xml:space="preserve">also </w:t>
      </w:r>
      <w:r w:rsidR="00132924">
        <w:t>be</w:t>
      </w:r>
      <w:r w:rsidR="00531435" w:rsidRPr="00A0512A">
        <w:t xml:space="preserve"> </w:t>
      </w:r>
      <w:r w:rsidR="00F0633A">
        <w:t xml:space="preserve">appropriately </w:t>
      </w:r>
      <w:r w:rsidR="00531435" w:rsidRPr="00A0512A">
        <w:t>identified eg</w:t>
      </w:r>
      <w:r w:rsidR="00531435">
        <w:t>,</w:t>
      </w:r>
      <w:r w:rsidR="00531435" w:rsidRPr="00A0512A">
        <w:t xml:space="preserve"> PREC1.</w:t>
      </w:r>
      <w:r w:rsidR="0062159C">
        <w:t xml:space="preserve"> </w:t>
      </w:r>
      <w:r w:rsidR="00F0633A">
        <w:t>Direction</w:t>
      </w:r>
      <w:r>
        <w:t>s</w:t>
      </w:r>
      <w:r w:rsidR="00F0633A">
        <w:t xml:space="preserve"> 1, 2 and </w:t>
      </w:r>
      <w:r w:rsidR="004E4552">
        <w:t xml:space="preserve">25 of </w:t>
      </w:r>
      <w:r w:rsidR="00531435" w:rsidRPr="009255B8">
        <w:rPr>
          <w:i/>
        </w:rPr>
        <w:t xml:space="preserve">10. Format </w:t>
      </w:r>
      <w:r w:rsidR="009747F5" w:rsidRPr="00AE0898">
        <w:rPr>
          <w:i/>
        </w:rPr>
        <w:t>S</w:t>
      </w:r>
      <w:r w:rsidR="00531435" w:rsidRPr="00AE0898">
        <w:rPr>
          <w:i/>
        </w:rPr>
        <w:t>tandard</w:t>
      </w:r>
      <w:r w:rsidR="00531435" w:rsidRPr="00CC5F40">
        <w:t xml:space="preserve"> </w:t>
      </w:r>
      <w:r w:rsidR="00531435" w:rsidRPr="00A0512A">
        <w:t>require provisions to be grouped together acc</w:t>
      </w:r>
      <w:r w:rsidR="00CC5F40">
        <w:t>ording to type, and re-numbered</w:t>
      </w:r>
      <w:r w:rsidR="00531435" w:rsidRPr="00A0512A">
        <w:t xml:space="preserve"> eg, PREC1-O1 Character of towns, PREC1-O2 Housing options, PREC1-P1 Development </w:t>
      </w:r>
      <w:r w:rsidR="0062159C">
        <w:t xml:space="preserve">and so on. </w:t>
      </w:r>
    </w:p>
    <w:p w14:paraId="4D5E87C0" w14:textId="77777777" w:rsidR="00E9737D" w:rsidRDefault="00CC5F40" w:rsidP="001B2975">
      <w:pPr>
        <w:pStyle w:val="BodyText"/>
        <w:numPr>
          <w:ilvl w:val="0"/>
          <w:numId w:val="52"/>
        </w:numPr>
      </w:pPr>
      <w:r w:rsidRPr="00CC5F40">
        <w:t xml:space="preserve"> </w:t>
      </w:r>
      <w:r w:rsidR="00E9737D">
        <w:t xml:space="preserve">Inserting a term and its definition as set out in </w:t>
      </w:r>
      <w:r w:rsidR="00132924" w:rsidRPr="006A23C4">
        <w:rPr>
          <w:i/>
        </w:rPr>
        <w:t>14</w:t>
      </w:r>
      <w:r w:rsidR="00132924">
        <w:t xml:space="preserve">. </w:t>
      </w:r>
      <w:r w:rsidR="00132924" w:rsidRPr="00715EFE">
        <w:rPr>
          <w:i/>
        </w:rPr>
        <w:t xml:space="preserve">Definitions </w:t>
      </w:r>
      <w:r w:rsidR="009747F5" w:rsidRPr="00AE0898">
        <w:rPr>
          <w:i/>
        </w:rPr>
        <w:t>S</w:t>
      </w:r>
      <w:r w:rsidR="00E9737D" w:rsidRPr="00AE0898">
        <w:rPr>
          <w:i/>
        </w:rPr>
        <w:t>tandard</w:t>
      </w:r>
      <w:r w:rsidR="00E9737D">
        <w:t>, in the Definitions list of a policy statement or plan, if</w:t>
      </w:r>
      <w:r w:rsidR="002B616A">
        <w:t xml:space="preserve"> the term is used </w:t>
      </w:r>
      <w:r w:rsidR="002B616A" w:rsidRPr="002B616A">
        <w:t>by that policy statement or plan</w:t>
      </w:r>
      <w:r w:rsidR="002B616A">
        <w:t xml:space="preserve"> in the same context. </w:t>
      </w:r>
    </w:p>
    <w:p w14:paraId="3E8AB7B4" w14:textId="77777777" w:rsidR="00531435" w:rsidRDefault="00CC5F40" w:rsidP="00CF01CB">
      <w:pPr>
        <w:pStyle w:val="Heading2"/>
      </w:pPr>
      <w:r>
        <w:t>C</w:t>
      </w:r>
      <w:r w:rsidR="00531435" w:rsidRPr="00140C03">
        <w:t>onsequential amendments</w:t>
      </w:r>
    </w:p>
    <w:p w14:paraId="6AB63DE5" w14:textId="1A9F1625" w:rsidR="00AF5DA9" w:rsidRPr="00982FFB" w:rsidRDefault="00531435" w:rsidP="00982FFB">
      <w:pPr>
        <w:pStyle w:val="BodyText"/>
      </w:pPr>
      <w:r w:rsidRPr="00982FFB">
        <w:t>The RMA anticipates in section 58I(3)(d) that consequential amendments</w:t>
      </w:r>
      <w:r w:rsidR="00A60CAF" w:rsidRPr="00982FFB">
        <w:t xml:space="preserve"> will</w:t>
      </w:r>
      <w:r w:rsidRPr="00982FFB">
        <w:t xml:space="preserve"> be required when plans are updated to implement the standards.</w:t>
      </w:r>
      <w:r w:rsidR="0062159C" w:rsidRPr="00982FFB">
        <w:t xml:space="preserve"> </w:t>
      </w:r>
      <w:r w:rsidR="00AF5DA9" w:rsidRPr="00982FFB">
        <w:t>The first set of standards focuses on creating a common structure, form and definitions for plans and policy statements.</w:t>
      </w:r>
      <w:r w:rsidR="0062159C" w:rsidRPr="00853674">
        <w:t xml:space="preserve"> </w:t>
      </w:r>
      <w:r w:rsidR="00AF5DA9" w:rsidRPr="00853674">
        <w:t>These standards</w:t>
      </w:r>
      <w:r w:rsidR="00AF5DA9" w:rsidRPr="00C272CE">
        <w:t xml:space="preserve"> are not intended to alter the effect or outcomes of policy statements or plans. The standards are deliberately neutral about the way plans manage activi</w:t>
      </w:r>
      <w:r w:rsidR="00AF5DA9" w:rsidRPr="00982FFB">
        <w:t xml:space="preserve">ties and their effects to achieve particular outcomes. </w:t>
      </w:r>
    </w:p>
    <w:p w14:paraId="6C715B4C" w14:textId="77777777" w:rsidR="00531435" w:rsidRPr="004917C8" w:rsidRDefault="006350FA" w:rsidP="00CF01CB">
      <w:pPr>
        <w:pStyle w:val="BodyText"/>
        <w:jc w:val="both"/>
        <w:rPr>
          <w:b/>
        </w:rPr>
      </w:pPr>
      <w:r>
        <w:t xml:space="preserve">The factors required to meet </w:t>
      </w:r>
      <w:r w:rsidR="00DC5FC2">
        <w:t>s</w:t>
      </w:r>
      <w:r w:rsidR="00531435" w:rsidRPr="004917C8">
        <w:t xml:space="preserve">ection </w:t>
      </w:r>
      <w:r w:rsidR="00531435" w:rsidRPr="00715EFE">
        <w:t>58I(3)(d)</w:t>
      </w:r>
      <w:r w:rsidR="00AF5DA9" w:rsidRPr="00715EFE">
        <w:t xml:space="preserve"> </w:t>
      </w:r>
      <w:r w:rsidRPr="00715EFE">
        <w:t>are</w:t>
      </w:r>
      <w:r w:rsidR="00531435" w:rsidRPr="004917C8">
        <w:t xml:space="preserve">: </w:t>
      </w:r>
    </w:p>
    <w:p w14:paraId="53C85C08" w14:textId="77777777" w:rsidR="00531435" w:rsidRPr="00982FFB" w:rsidRDefault="00531435" w:rsidP="001B2975">
      <w:pPr>
        <w:pStyle w:val="Bullet"/>
      </w:pPr>
      <w:r w:rsidRPr="00982FFB">
        <w:t xml:space="preserve">there must be a primary amendment directed by the standards </w:t>
      </w:r>
    </w:p>
    <w:p w14:paraId="487F8EA0" w14:textId="77777777" w:rsidR="00531435" w:rsidRPr="00982FFB" w:rsidRDefault="00531435" w:rsidP="001B2975">
      <w:pPr>
        <w:pStyle w:val="Bullet"/>
      </w:pPr>
      <w:r w:rsidRPr="00982FFB">
        <w:t>the change must be consequential to that primary amendment</w:t>
      </w:r>
      <w:r w:rsidR="00A36778" w:rsidRPr="00982FFB">
        <w:t>,</w:t>
      </w:r>
      <w:r w:rsidRPr="00982FFB">
        <w:t xml:space="preserve"> and </w:t>
      </w:r>
    </w:p>
    <w:p w14:paraId="608F634B" w14:textId="77777777" w:rsidR="00FA7886" w:rsidRPr="00853674" w:rsidRDefault="00531435" w:rsidP="001B2975">
      <w:pPr>
        <w:pStyle w:val="Bullet"/>
      </w:pPr>
      <w:r w:rsidRPr="00853674">
        <w:t>the change must also be necessary to avoid duplication or conflict with the primary amendment.</w:t>
      </w:r>
    </w:p>
    <w:p w14:paraId="77E125E9" w14:textId="77777777" w:rsidR="00531435" w:rsidRPr="00853674" w:rsidRDefault="00AF5DA9" w:rsidP="0097451C">
      <w:pPr>
        <w:pStyle w:val="BodyText"/>
      </w:pPr>
      <w:r w:rsidRPr="00982FFB">
        <w:t>So f</w:t>
      </w:r>
      <w:r w:rsidR="00531435" w:rsidRPr="00982FFB">
        <w:t>or an amendment to be considered consequential and not go through a Schedule 1 process, it must meet two tests.</w:t>
      </w:r>
      <w:r w:rsidR="0062159C" w:rsidRPr="00982FFB">
        <w:t xml:space="preserve"> </w:t>
      </w:r>
      <w:r w:rsidR="00531435" w:rsidRPr="00982FFB">
        <w:t>First</w:t>
      </w:r>
      <w:r w:rsidR="00982FFB">
        <w:t>,</w:t>
      </w:r>
      <w:r w:rsidR="00531435" w:rsidRPr="00982FFB">
        <w:t xml:space="preserve"> it must be consequential and second</w:t>
      </w:r>
      <w:r w:rsidR="00982FFB">
        <w:t>,</w:t>
      </w:r>
      <w:r w:rsidR="00531435" w:rsidRPr="00982FFB">
        <w:t xml:space="preserve"> it must also be ‘necessary to avoid duplication or conflict with the amendments’.</w:t>
      </w:r>
      <w:r w:rsidR="0062159C" w:rsidRPr="00982FFB">
        <w:t xml:space="preserve"> </w:t>
      </w:r>
      <w:r w:rsidR="00531435" w:rsidRPr="00982FFB">
        <w:t>If a proposed amendment passes these two tests it will not trigger Schedule 1 and can be made directly i</w:t>
      </w:r>
      <w:r w:rsidRPr="00982FFB">
        <w:t>nto the plan.</w:t>
      </w:r>
      <w:r w:rsidR="0062159C" w:rsidRPr="00982FFB">
        <w:t xml:space="preserve"> </w:t>
      </w:r>
      <w:r w:rsidRPr="00982FFB">
        <w:t xml:space="preserve">If </w:t>
      </w:r>
      <w:r w:rsidR="00D841A9" w:rsidRPr="00982FFB">
        <w:t xml:space="preserve">only </w:t>
      </w:r>
      <w:r w:rsidRPr="00982FFB">
        <w:t>one of the tests is</w:t>
      </w:r>
      <w:r w:rsidR="00531435" w:rsidRPr="00982FFB">
        <w:t xml:space="preserve"> met</w:t>
      </w:r>
      <w:r w:rsidR="00531435" w:rsidRPr="00853674">
        <w:t xml:space="preserve"> then the amendment is beyond the scope of the section and a Schedule 1 process will be required.</w:t>
      </w:r>
    </w:p>
    <w:p w14:paraId="13784A8B" w14:textId="2FC478B7" w:rsidR="00AF5DA9" w:rsidRPr="00982FFB" w:rsidRDefault="00AF5DA9" w:rsidP="001B2975">
      <w:pPr>
        <w:pStyle w:val="BodyText"/>
      </w:pPr>
      <w:r w:rsidRPr="00C272CE">
        <w:t xml:space="preserve">We envisage </w:t>
      </w:r>
      <w:r w:rsidR="00651CBB" w:rsidRPr="00C272CE">
        <w:t xml:space="preserve">many of the </w:t>
      </w:r>
      <w:r w:rsidRPr="00C272CE">
        <w:t xml:space="preserve">consequential amendments will occur as a result of revising plans to make the new definitions from </w:t>
      </w:r>
      <w:r w:rsidRPr="00C272CE">
        <w:rPr>
          <w:i/>
        </w:rPr>
        <w:t xml:space="preserve">14. </w:t>
      </w:r>
      <w:r w:rsidRPr="003A0E43">
        <w:rPr>
          <w:i/>
        </w:rPr>
        <w:t>Definitions</w:t>
      </w:r>
      <w:r w:rsidRPr="001B2975">
        <w:rPr>
          <w:i/>
        </w:rPr>
        <w:t xml:space="preserve"> </w:t>
      </w:r>
      <w:r w:rsidR="003C5EF4" w:rsidRPr="00982FFB">
        <w:rPr>
          <w:i/>
        </w:rPr>
        <w:t>S</w:t>
      </w:r>
      <w:r w:rsidRPr="00982FFB">
        <w:rPr>
          <w:i/>
        </w:rPr>
        <w:t>tandard</w:t>
      </w:r>
      <w:r w:rsidRPr="001B2975">
        <w:t xml:space="preserve"> </w:t>
      </w:r>
      <w:r w:rsidRPr="00982FFB">
        <w:t>work well. Dire</w:t>
      </w:r>
      <w:r w:rsidR="00996714" w:rsidRPr="00982FFB">
        <w:t>ction 3 of that standard states:</w:t>
      </w:r>
      <w:r w:rsidR="0062159C" w:rsidRPr="00982FFB">
        <w:t xml:space="preserve"> </w:t>
      </w:r>
    </w:p>
    <w:p w14:paraId="08D06362" w14:textId="77777777" w:rsidR="00AF5DA9" w:rsidRPr="001B2975" w:rsidRDefault="00AF5DA9" w:rsidP="00AF5DA9">
      <w:pPr>
        <w:pStyle w:val="BodyText"/>
        <w:ind w:left="397"/>
        <w:jc w:val="both"/>
        <w:rPr>
          <w:i/>
        </w:rPr>
      </w:pPr>
      <w:r w:rsidRPr="001B2975">
        <w:rPr>
          <w:i/>
        </w:rPr>
        <w:t>When a definition in the Definitions List is used, consequential amendments may be required to the policy statement or plan to ensure that the application of the definition does not alter the effect or outcomes of policy statements or plans.</w:t>
      </w:r>
    </w:p>
    <w:p w14:paraId="3D815283" w14:textId="77777777" w:rsidR="000633C7" w:rsidRDefault="00AF5DA9" w:rsidP="000633C7">
      <w:pPr>
        <w:pStyle w:val="BodyText"/>
      </w:pPr>
      <w:r>
        <w:lastRenderedPageBreak/>
        <w:t>N</w:t>
      </w:r>
      <w:r w:rsidR="000633C7">
        <w:t>ew standards developed in the future may contain spe</w:t>
      </w:r>
      <w:r>
        <w:t>cific plan content.</w:t>
      </w:r>
      <w:r w:rsidR="0062159C">
        <w:t xml:space="preserve"> </w:t>
      </w:r>
      <w:r>
        <w:t xml:space="preserve">This means </w:t>
      </w:r>
      <w:r w:rsidR="000633C7">
        <w:t xml:space="preserve">the </w:t>
      </w:r>
      <w:r w:rsidR="000633C7" w:rsidRPr="00076A19">
        <w:t>scope of consequential amendments may be different</w:t>
      </w:r>
      <w:r w:rsidR="000633C7">
        <w:t xml:space="preserve"> for future standards.</w:t>
      </w:r>
    </w:p>
    <w:p w14:paraId="3709439F" w14:textId="77777777" w:rsidR="00531435" w:rsidRPr="00CE1DF0" w:rsidRDefault="00593650" w:rsidP="00CF01CB">
      <w:pPr>
        <w:pStyle w:val="Heading3"/>
      </w:pPr>
      <w:r>
        <w:t>Test 1: Does it flow from the primary amendment</w:t>
      </w:r>
      <w:r w:rsidR="00531435" w:rsidRPr="00CE1DF0">
        <w:t xml:space="preserve">? </w:t>
      </w:r>
    </w:p>
    <w:p w14:paraId="7973F982" w14:textId="58F38B0C" w:rsidR="00531435" w:rsidRPr="00982FFB" w:rsidRDefault="00531435" w:rsidP="0097451C">
      <w:pPr>
        <w:pStyle w:val="BodyText"/>
      </w:pPr>
      <w:r w:rsidRPr="00982FFB">
        <w:t xml:space="preserve">In the standards, consequential amendments are a matter of cause and effect, following </w:t>
      </w:r>
      <w:r w:rsidR="009F708C" w:rsidRPr="00982FFB">
        <w:t>‘</w:t>
      </w:r>
      <w:r w:rsidRPr="00982FFB">
        <w:t>as a result or consequence</w:t>
      </w:r>
      <w:r w:rsidR="009F708C" w:rsidRPr="00982FFB">
        <w:t xml:space="preserve"> </w:t>
      </w:r>
      <w:r w:rsidRPr="00982FFB">
        <w:t>of</w:t>
      </w:r>
      <w:r w:rsidR="00FE34C8" w:rsidRPr="00982FFB">
        <w:t>’</w:t>
      </w:r>
      <w:r w:rsidR="002F10C5" w:rsidRPr="00982FFB">
        <w:t xml:space="preserve"> </w:t>
      </w:r>
      <w:r w:rsidRPr="00982FFB">
        <w:t>the pr</w:t>
      </w:r>
      <w:r w:rsidR="008F0691" w:rsidRPr="00982FFB">
        <w:t>imary amendment to the plan.</w:t>
      </w:r>
      <w:r w:rsidR="0062159C" w:rsidRPr="00982FFB">
        <w:t xml:space="preserve"> </w:t>
      </w:r>
      <w:r w:rsidR="008F0691" w:rsidRPr="00982FFB">
        <w:t>‘Consequential’</w:t>
      </w:r>
      <w:r w:rsidRPr="00982FFB">
        <w:t xml:space="preserve"> does not imply the amendment is minor, technical or insignificant. To be consequ</w:t>
      </w:r>
      <w:r w:rsidRPr="00853674">
        <w:t xml:space="preserve">ential, the proposed amendment needs to occur </w:t>
      </w:r>
      <w:r w:rsidRPr="001B2975">
        <w:t>as a result of</w:t>
      </w:r>
      <w:r w:rsidRPr="00982FFB">
        <w:t xml:space="preserve"> the primary amendment.</w:t>
      </w:r>
      <w:r w:rsidR="0062159C" w:rsidRPr="00982FFB">
        <w:t xml:space="preserve"> </w:t>
      </w:r>
      <w:r w:rsidRPr="00982FFB">
        <w:t xml:space="preserve">Provided the amendment follows as a result or consequence of amendments required by the standards, it can be consequential even if it has an important or substantive effect. </w:t>
      </w:r>
    </w:p>
    <w:p w14:paraId="7137ECC1" w14:textId="122A244D" w:rsidR="00531435" w:rsidRPr="00982FFB" w:rsidRDefault="00531435" w:rsidP="001B2975">
      <w:pPr>
        <w:pStyle w:val="BodyText"/>
      </w:pPr>
      <w:r w:rsidRPr="00982FFB">
        <w:t>In submissions on the draft standards, some submitters sought to make a connection be</w:t>
      </w:r>
      <w:r w:rsidR="008F0691" w:rsidRPr="00982FFB">
        <w:t>tween amendments</w:t>
      </w:r>
      <w:r w:rsidRPr="00853674">
        <w:t xml:space="preserve"> </w:t>
      </w:r>
      <w:r w:rsidR="008F0691" w:rsidRPr="00853674">
        <w:t xml:space="preserve">made </w:t>
      </w:r>
      <w:r w:rsidRPr="00853674">
        <w:t xml:space="preserve">under </w:t>
      </w:r>
      <w:r w:rsidR="008F0691" w:rsidRPr="00853674">
        <w:t xml:space="preserve">RMA Schedule 1 </w:t>
      </w:r>
      <w:r w:rsidRPr="00853674">
        <w:t>claus</w:t>
      </w:r>
      <w:r w:rsidR="008F0691" w:rsidRPr="00853674">
        <w:t>e 16(2)</w:t>
      </w:r>
      <w:r w:rsidRPr="00853674">
        <w:t xml:space="preserve"> for minor errors</w:t>
      </w:r>
      <w:r w:rsidR="008F0691" w:rsidRPr="00853674">
        <w:t>, and</w:t>
      </w:r>
      <w:r w:rsidRPr="00C272CE">
        <w:t xml:space="preserve"> consequential amendments</w:t>
      </w:r>
      <w:r w:rsidR="008F0691" w:rsidRPr="00C272CE">
        <w:t xml:space="preserve"> for the standards</w:t>
      </w:r>
      <w:r w:rsidRPr="00C272CE">
        <w:t xml:space="preserve"> under </w:t>
      </w:r>
      <w:r w:rsidR="008F0691" w:rsidRPr="00C272CE">
        <w:t>s</w:t>
      </w:r>
      <w:r w:rsidR="00E71650" w:rsidRPr="00C272CE">
        <w:t xml:space="preserve">ection </w:t>
      </w:r>
      <w:r w:rsidR="008F0691" w:rsidRPr="00982FFB">
        <w:t>58I(3)(d).</w:t>
      </w:r>
      <w:r w:rsidR="0062159C" w:rsidRPr="00982FFB">
        <w:t xml:space="preserve"> </w:t>
      </w:r>
    </w:p>
    <w:p w14:paraId="0982A420" w14:textId="77777777" w:rsidR="00225B4B" w:rsidRDefault="00531435" w:rsidP="00CF01CB">
      <w:pPr>
        <w:pStyle w:val="BodyText"/>
        <w:jc w:val="both"/>
        <w:rPr>
          <w:sz w:val="24"/>
        </w:rPr>
      </w:pPr>
      <w:r w:rsidRPr="00E71650">
        <w:t>Clause 16(2) states:</w:t>
      </w:r>
      <w:r w:rsidRPr="00CF01CB">
        <w:rPr>
          <w:sz w:val="24"/>
        </w:rPr>
        <w:t xml:space="preserve"> </w:t>
      </w:r>
    </w:p>
    <w:p w14:paraId="73DF0469" w14:textId="77777777" w:rsidR="00531435" w:rsidRPr="001B2975" w:rsidRDefault="00996714" w:rsidP="00225B4B">
      <w:pPr>
        <w:pStyle w:val="BodyText"/>
        <w:ind w:left="397"/>
        <w:jc w:val="both"/>
        <w:rPr>
          <w:i/>
          <w:szCs w:val="20"/>
        </w:rPr>
      </w:pPr>
      <w:r w:rsidRPr="001B2975">
        <w:rPr>
          <w:i/>
          <w:szCs w:val="20"/>
        </w:rPr>
        <w:t>A</w:t>
      </w:r>
      <w:r w:rsidR="00531435" w:rsidRPr="001B2975">
        <w:rPr>
          <w:i/>
          <w:szCs w:val="20"/>
        </w:rPr>
        <w:t xml:space="preserve"> local authority may</w:t>
      </w:r>
      <w:r w:rsidR="00531435" w:rsidRPr="00982FFB">
        <w:rPr>
          <w:i/>
          <w:szCs w:val="20"/>
        </w:rPr>
        <w:t xml:space="preserve"> </w:t>
      </w:r>
      <w:r w:rsidR="00531435" w:rsidRPr="001B2975">
        <w:rPr>
          <w:i/>
          <w:szCs w:val="20"/>
        </w:rPr>
        <w:t xml:space="preserve">make an amendment, without using the process in this schedule, to its proposed policy statement or plan to alter any information, where such an alteration is of minor effect, or may correct any minor errors. </w:t>
      </w:r>
    </w:p>
    <w:p w14:paraId="4DB93777" w14:textId="32AFB71F" w:rsidR="008F0691" w:rsidRPr="00853674" w:rsidRDefault="008F0691" w:rsidP="0097451C">
      <w:pPr>
        <w:pStyle w:val="BodyText"/>
      </w:pPr>
      <w:r w:rsidRPr="00982FFB">
        <w:t>Submitters suggested the scope of consequential amendments for the standards would therefore be quite narrow.</w:t>
      </w:r>
      <w:r w:rsidR="0062159C" w:rsidRPr="00982FFB">
        <w:t xml:space="preserve"> </w:t>
      </w:r>
      <w:r w:rsidRPr="00982FFB">
        <w:t>However</w:t>
      </w:r>
      <w:r w:rsidR="00982FFB">
        <w:t>,</w:t>
      </w:r>
      <w:r w:rsidRPr="00982FFB">
        <w:t xml:space="preserve"> we see clause 16 as being distinct and serving a different purpose.</w:t>
      </w:r>
      <w:r w:rsidR="0062159C" w:rsidRPr="00982FFB">
        <w:t xml:space="preserve"> </w:t>
      </w:r>
      <w:r w:rsidRPr="00982FFB">
        <w:t xml:space="preserve"> It is concerned with minor effects and errors, whereas the requirement for ‘minor’ does not appear in s</w:t>
      </w:r>
      <w:r w:rsidR="003D7CDD" w:rsidRPr="00853674">
        <w:t xml:space="preserve">ection </w:t>
      </w:r>
      <w:r w:rsidRPr="00853674">
        <w:t>58I.</w:t>
      </w:r>
    </w:p>
    <w:p w14:paraId="5591ABDE" w14:textId="7C4D5992" w:rsidR="00531435" w:rsidRPr="00853674" w:rsidRDefault="00531435" w:rsidP="001B2975">
      <w:pPr>
        <w:pStyle w:val="BodyText"/>
      </w:pPr>
      <w:r w:rsidRPr="00853674">
        <w:t>Our view is that the limits to consequential amendments are around their function (to avoid duplication or conflict), not their size.</w:t>
      </w:r>
      <w:r w:rsidR="0062159C" w:rsidRPr="00853674">
        <w:t xml:space="preserve"> </w:t>
      </w:r>
    </w:p>
    <w:p w14:paraId="507B431B" w14:textId="77777777" w:rsidR="00531435" w:rsidRPr="00C272CE" w:rsidRDefault="00531435" w:rsidP="00CF01CB">
      <w:pPr>
        <w:pStyle w:val="Heading4"/>
      </w:pPr>
      <w:r w:rsidRPr="00C272CE">
        <w:t xml:space="preserve">Some factors to consider </w:t>
      </w:r>
    </w:p>
    <w:p w14:paraId="23CA4C62" w14:textId="77777777" w:rsidR="00531435" w:rsidRPr="00982FFB" w:rsidRDefault="00531435" w:rsidP="0097451C">
      <w:pPr>
        <w:pStyle w:val="BodyText"/>
      </w:pPr>
      <w:r w:rsidRPr="00C272CE">
        <w:t xml:space="preserve">While there are no statutory limits on the size or </w:t>
      </w:r>
      <w:r w:rsidR="003D6807" w:rsidRPr="00C272CE">
        <w:t>significance</w:t>
      </w:r>
      <w:r w:rsidRPr="003A0E43">
        <w:t xml:space="preserve"> of a consequential amendment, we </w:t>
      </w:r>
      <w:r w:rsidRPr="00982FFB">
        <w:t>think there are som</w:t>
      </w:r>
      <w:r w:rsidR="008F0691" w:rsidRPr="00982FFB">
        <w:t xml:space="preserve">e general </w:t>
      </w:r>
      <w:r w:rsidR="00C07A07" w:rsidRPr="00982FFB">
        <w:t xml:space="preserve">factors </w:t>
      </w:r>
      <w:r w:rsidR="008F0691" w:rsidRPr="00982FFB">
        <w:t xml:space="preserve">that </w:t>
      </w:r>
      <w:r w:rsidR="00C07A07" w:rsidRPr="00982FFB">
        <w:t xml:space="preserve">indicate the amendment may be beyond the limits of a consequential amendment. These </w:t>
      </w:r>
      <w:r w:rsidR="008F0691" w:rsidRPr="00982FFB">
        <w:t xml:space="preserve">can be </w:t>
      </w:r>
      <w:r w:rsidR="00C07A07" w:rsidRPr="00982FFB">
        <w:t xml:space="preserve">considered </w:t>
      </w:r>
      <w:r w:rsidR="008F0691" w:rsidRPr="00982FFB">
        <w:t>to reduce</w:t>
      </w:r>
      <w:r w:rsidRPr="00982FFB">
        <w:t xml:space="preserve"> the risk of these amendments being</w:t>
      </w:r>
      <w:r w:rsidR="008F0691" w:rsidRPr="00982FFB">
        <w:t xml:space="preserve"> successfully</w:t>
      </w:r>
      <w:r w:rsidRPr="00982FFB">
        <w:t xml:space="preserve"> challenged.</w:t>
      </w:r>
      <w:r w:rsidR="0062159C" w:rsidRPr="00982FFB">
        <w:t xml:space="preserve"> </w:t>
      </w:r>
      <w:r w:rsidR="008F0691" w:rsidRPr="00982FFB">
        <w:t>For example</w:t>
      </w:r>
      <w:r w:rsidR="00982FFB">
        <w:t xml:space="preserve"> where</w:t>
      </w:r>
      <w:r w:rsidR="008F0691" w:rsidRPr="00982FFB">
        <w:t>:</w:t>
      </w:r>
    </w:p>
    <w:p w14:paraId="22E122D2" w14:textId="77777777" w:rsidR="008F0691" w:rsidRPr="00982FFB" w:rsidRDefault="00531435" w:rsidP="001B2975">
      <w:pPr>
        <w:pStyle w:val="Bullet"/>
      </w:pPr>
      <w:r w:rsidRPr="00982FFB">
        <w:t xml:space="preserve">a </w:t>
      </w:r>
      <w:r w:rsidR="00A74CFE" w:rsidRPr="00982FFB">
        <w:t xml:space="preserve">proposed </w:t>
      </w:r>
      <w:r w:rsidRPr="00982FFB">
        <w:t>consequential amendment results in an effect on the plan which is greater than th</w:t>
      </w:r>
      <w:r w:rsidR="008F0691" w:rsidRPr="00982FFB">
        <w:t>e primary amendment</w:t>
      </w:r>
    </w:p>
    <w:p w14:paraId="32019640" w14:textId="5E1BA49E" w:rsidR="008F0691" w:rsidRPr="00853674" w:rsidRDefault="00531435" w:rsidP="001B2975">
      <w:pPr>
        <w:pStyle w:val="Bullet"/>
      </w:pPr>
      <w:r w:rsidRPr="00853674">
        <w:t>the nature of property rights change</w:t>
      </w:r>
      <w:r w:rsidR="008F0691" w:rsidRPr="00853674">
        <w:t>s</w:t>
      </w:r>
      <w:r w:rsidRPr="00853674">
        <w:t xml:space="preserve"> and</w:t>
      </w:r>
      <w:r w:rsidR="008F0691" w:rsidRPr="00853674">
        <w:t xml:space="preserve"> there is</w:t>
      </w:r>
      <w:r w:rsidRPr="00853674">
        <w:t xml:space="preserve"> no consu</w:t>
      </w:r>
      <w:r w:rsidR="008F0691" w:rsidRPr="00853674">
        <w:t>ltation on those changes</w:t>
      </w:r>
    </w:p>
    <w:p w14:paraId="01EDE56D" w14:textId="34F6D40A" w:rsidR="00531435" w:rsidRPr="007D3BD6" w:rsidRDefault="002665A7" w:rsidP="00204B24">
      <w:pPr>
        <w:pStyle w:val="Bullet"/>
      </w:pPr>
      <w:r w:rsidRPr="00853674">
        <w:t>a consequential amendment is proposed to a</w:t>
      </w:r>
      <w:r w:rsidR="0095271D" w:rsidRPr="00853674">
        <w:t xml:space="preserve"> provision that sits higher in the planning hierarchy than the primary amendment </w:t>
      </w:r>
      <w:r w:rsidR="007065C2" w:rsidRPr="00853674">
        <w:t>(</w:t>
      </w:r>
      <w:r w:rsidR="0095271D" w:rsidRPr="00853674">
        <w:t>ie</w:t>
      </w:r>
      <w:r w:rsidR="007065C2" w:rsidRPr="00C272CE">
        <w:t>,</w:t>
      </w:r>
      <w:r w:rsidR="0095271D" w:rsidRPr="00C272CE">
        <w:t xml:space="preserve"> a consequential change to an </w:t>
      </w:r>
      <w:r w:rsidRPr="00C272CE">
        <w:t xml:space="preserve">objective or policy </w:t>
      </w:r>
      <w:r w:rsidR="0095271D" w:rsidRPr="00E118D7">
        <w:t xml:space="preserve">related </w:t>
      </w:r>
      <w:r w:rsidRPr="00E118D7">
        <w:t>to a prima</w:t>
      </w:r>
      <w:r w:rsidRPr="007D3BD6">
        <w:t>ry amendment to a rule</w:t>
      </w:r>
      <w:r w:rsidR="007065C2" w:rsidRPr="007D3BD6">
        <w:t>)</w:t>
      </w:r>
      <w:r w:rsidR="00593650" w:rsidRPr="007D3BD6">
        <w:t>.</w:t>
      </w:r>
      <w:r w:rsidR="00531435" w:rsidRPr="007D3BD6">
        <w:t xml:space="preserve"> Consequential changes usually flow in accordance with the </w:t>
      </w:r>
      <w:r w:rsidR="00593650" w:rsidRPr="007D3BD6">
        <w:t>p</w:t>
      </w:r>
      <w:r w:rsidR="0095271D" w:rsidRPr="007D3BD6">
        <w:t xml:space="preserve">lanning </w:t>
      </w:r>
      <w:r w:rsidR="00531435" w:rsidRPr="007D3BD6">
        <w:t>cascade from objectives and policies down to rules.</w:t>
      </w:r>
      <w:r w:rsidR="0062159C" w:rsidRPr="007D3BD6">
        <w:t xml:space="preserve"> </w:t>
      </w:r>
      <w:r w:rsidR="0095271D" w:rsidRPr="007D3BD6">
        <w:t xml:space="preserve">However, </w:t>
      </w:r>
      <w:r w:rsidRPr="007D3BD6">
        <w:t xml:space="preserve">this is not always the case. We can envisage a situation where a consequential change to objectives and policies could be justified where a change to a definition or rule causes it to conflict with a pre-existing objective or policy. </w:t>
      </w:r>
    </w:p>
    <w:p w14:paraId="1E8747B6" w14:textId="77777777" w:rsidR="00531435" w:rsidRPr="007D242C" w:rsidRDefault="00531435" w:rsidP="00CF01CB">
      <w:pPr>
        <w:pStyle w:val="Heading3"/>
      </w:pPr>
      <w:r>
        <w:t xml:space="preserve">Test 2: </w:t>
      </w:r>
      <w:r w:rsidR="00593650">
        <w:t>Is it</w:t>
      </w:r>
      <w:r w:rsidRPr="007D242C">
        <w:t xml:space="preserve"> ‘necessary to avoid duplication or conflict’?</w:t>
      </w:r>
    </w:p>
    <w:p w14:paraId="46D6E50A" w14:textId="77777777" w:rsidR="00531435" w:rsidRDefault="00593650" w:rsidP="00CF01CB">
      <w:pPr>
        <w:pStyle w:val="BodyText"/>
        <w:jc w:val="both"/>
      </w:pPr>
      <w:r>
        <w:t>Being caused by a primary amendment</w:t>
      </w:r>
      <w:r w:rsidR="00531435" w:rsidRPr="007D242C">
        <w:t xml:space="preserve"> is only part of the test under section 58I(3)(d)</w:t>
      </w:r>
      <w:r w:rsidR="00531435">
        <w:t>. I</w:t>
      </w:r>
      <w:r w:rsidR="00531435" w:rsidRPr="007D242C">
        <w:t xml:space="preserve">n addition, amendments also need to be </w:t>
      </w:r>
      <w:r w:rsidR="00853674">
        <w:t>‘</w:t>
      </w:r>
      <w:r w:rsidR="00531435" w:rsidRPr="007D242C">
        <w:t>necessary to avoid duplication or conflict with the amendments</w:t>
      </w:r>
      <w:r w:rsidR="00853674">
        <w:t>’</w:t>
      </w:r>
      <w:r w:rsidR="00531435" w:rsidRPr="007D242C">
        <w:t xml:space="preserve">. </w:t>
      </w:r>
    </w:p>
    <w:p w14:paraId="3D1D8BE5" w14:textId="77777777" w:rsidR="00593650" w:rsidRDefault="00593650" w:rsidP="00593650">
      <w:pPr>
        <w:pStyle w:val="Heading4"/>
      </w:pPr>
      <w:r w:rsidRPr="009E3C89">
        <w:lastRenderedPageBreak/>
        <w:t>Avoid duplication</w:t>
      </w:r>
    </w:p>
    <w:p w14:paraId="318CB32C" w14:textId="23CA4F20" w:rsidR="00593650" w:rsidRPr="00853674" w:rsidRDefault="00593650" w:rsidP="0097451C">
      <w:pPr>
        <w:pStyle w:val="BodyText"/>
      </w:pPr>
      <w:r w:rsidRPr="00982FFB">
        <w:t xml:space="preserve">Having inserted the amendments required by the standards, </w:t>
      </w:r>
      <w:r w:rsidR="0097451C">
        <w:t xml:space="preserve">you </w:t>
      </w:r>
      <w:r w:rsidRPr="00982FFB">
        <w:t>will need to carefully check whether any</w:t>
      </w:r>
      <w:r w:rsidRPr="00853674">
        <w:t xml:space="preserve"> amendment creates a repetition of a provision (such as a definition, objective, policy or rule) or a component of one of those provisions already in a document. </w:t>
      </w:r>
      <w:r w:rsidR="0097451C">
        <w:t xml:space="preserve">You </w:t>
      </w:r>
      <w:r w:rsidR="00853674">
        <w:t xml:space="preserve">can </w:t>
      </w:r>
      <w:r w:rsidRPr="00853674">
        <w:t>remove the pre-existing duplicate as a consequential amendment.</w:t>
      </w:r>
      <w:r w:rsidR="00FD028A" w:rsidRPr="00853674">
        <w:t xml:space="preserve"> For example, implementing </w:t>
      </w:r>
      <w:r w:rsidR="00FD028A" w:rsidRPr="00853674">
        <w:rPr>
          <w:i/>
        </w:rPr>
        <w:t>4</w:t>
      </w:r>
      <w:r w:rsidR="00FD028A" w:rsidRPr="001B2975">
        <w:rPr>
          <w:i/>
        </w:rPr>
        <w:t xml:space="preserve"> </w:t>
      </w:r>
      <w:r w:rsidR="00FD028A" w:rsidRPr="00853674">
        <w:rPr>
          <w:i/>
        </w:rPr>
        <w:t>District Plan structure standard</w:t>
      </w:r>
      <w:r w:rsidR="00FD028A" w:rsidRPr="001B2975">
        <w:t xml:space="preserve"> </w:t>
      </w:r>
      <w:r w:rsidR="00FD028A" w:rsidRPr="00982FFB">
        <w:t>will require particular provisions to be moved in</w:t>
      </w:r>
      <w:r w:rsidR="00192C29" w:rsidRPr="00982FFB">
        <w:t xml:space="preserve">to </w:t>
      </w:r>
      <w:r w:rsidR="00FD028A" w:rsidRPr="00982FFB">
        <w:t>the named chapters</w:t>
      </w:r>
      <w:r w:rsidR="00853674">
        <w:t>,</w:t>
      </w:r>
      <w:r w:rsidR="00FD028A" w:rsidRPr="00982FFB">
        <w:t xml:space="preserve"> with any duplicate provisions </w:t>
      </w:r>
      <w:r w:rsidR="001235EF" w:rsidRPr="00853674">
        <w:t xml:space="preserve">being removed from </w:t>
      </w:r>
      <w:r w:rsidR="00FD028A" w:rsidRPr="00853674">
        <w:t>their existing locations.</w:t>
      </w:r>
      <w:r w:rsidR="0062159C" w:rsidRPr="00853674">
        <w:t xml:space="preserve"> </w:t>
      </w:r>
    </w:p>
    <w:p w14:paraId="7DC276CC" w14:textId="77777777" w:rsidR="00531435" w:rsidRDefault="00531435" w:rsidP="00CF01CB">
      <w:pPr>
        <w:pStyle w:val="Heading4"/>
      </w:pPr>
      <w:r w:rsidRPr="009E3C89">
        <w:t>Avoid conflict</w:t>
      </w:r>
    </w:p>
    <w:p w14:paraId="28546BD1" w14:textId="77777777" w:rsidR="00531435" w:rsidRPr="00853674" w:rsidRDefault="00531435" w:rsidP="0097451C">
      <w:pPr>
        <w:pStyle w:val="BodyText"/>
      </w:pPr>
      <w:r w:rsidRPr="00982FFB">
        <w:t>The provision ‘to avoid conflict’ allows standards to be implemented</w:t>
      </w:r>
      <w:r w:rsidR="00593650" w:rsidRPr="00982FFB">
        <w:t xml:space="preserve"> and flow-on changes to be made so </w:t>
      </w:r>
      <w:r w:rsidRPr="00853674">
        <w:t>plans or policy statements</w:t>
      </w:r>
      <w:r w:rsidR="00593650" w:rsidRPr="00853674">
        <w:t xml:space="preserve"> don’t become</w:t>
      </w:r>
      <w:r w:rsidRPr="00853674">
        <w:t xml:space="preserve"> incoherent or internal</w:t>
      </w:r>
      <w:r w:rsidR="00593650" w:rsidRPr="00853674">
        <w:t>ly inconsistent.</w:t>
      </w:r>
      <w:r w:rsidR="0062159C" w:rsidRPr="00853674">
        <w:t xml:space="preserve"> </w:t>
      </w:r>
      <w:r w:rsidR="00593650" w:rsidRPr="00853674">
        <w:t>This</w:t>
      </w:r>
      <w:r w:rsidRPr="00853674">
        <w:t xml:space="preserve"> ensure</w:t>
      </w:r>
      <w:r w:rsidR="00593650" w:rsidRPr="00853674">
        <w:t>s</w:t>
      </w:r>
      <w:r w:rsidRPr="00853674">
        <w:t xml:space="preserve"> the intent behind the standards is not hampered by inconsistencies elsewhere in the planning document.</w:t>
      </w:r>
    </w:p>
    <w:p w14:paraId="49B90692" w14:textId="5F3310A3" w:rsidR="00531435" w:rsidRPr="00853674" w:rsidRDefault="00531435" w:rsidP="0097451C">
      <w:pPr>
        <w:pStyle w:val="BodyText"/>
      </w:pPr>
      <w:r w:rsidRPr="00853674">
        <w:t>Because policy statements and plans must give effect to the standards, any conflict or inconsistency must be resolved in favour of the standards.</w:t>
      </w:r>
      <w:r w:rsidR="0062159C" w:rsidRPr="00C272CE">
        <w:t xml:space="preserve"> </w:t>
      </w:r>
      <w:r w:rsidRPr="00C272CE">
        <w:t xml:space="preserve">This means </w:t>
      </w:r>
      <w:r w:rsidRPr="00982FFB">
        <w:t>some pre-existing content may have to be removed or amended</w:t>
      </w:r>
      <w:r w:rsidR="00853674">
        <w:t>. T</w:t>
      </w:r>
      <w:r w:rsidRPr="00853674">
        <w:t>his may change how the plan is intended to function for a given plan provision. Making consequential amendments allows the plan to return to its intended policy outcome.</w:t>
      </w:r>
      <w:r w:rsidR="0062159C" w:rsidRPr="00853674">
        <w:t xml:space="preserve"> </w:t>
      </w:r>
    </w:p>
    <w:p w14:paraId="5A3DDA1E" w14:textId="77777777" w:rsidR="00531435" w:rsidRDefault="00531435" w:rsidP="00CF01CB">
      <w:pPr>
        <w:pStyle w:val="BodyText"/>
        <w:jc w:val="both"/>
      </w:pPr>
      <w:r>
        <w:t>Some examples of conflicts could include</w:t>
      </w:r>
      <w:r w:rsidR="00853674">
        <w:t xml:space="preserve"> where</w:t>
      </w:r>
      <w:r>
        <w:t>:</w:t>
      </w:r>
    </w:p>
    <w:p w14:paraId="11E58AE4" w14:textId="77777777" w:rsidR="008E241E" w:rsidRDefault="009F0F1C" w:rsidP="00724C43">
      <w:pPr>
        <w:pStyle w:val="BodyText"/>
        <w:numPr>
          <w:ilvl w:val="0"/>
          <w:numId w:val="58"/>
        </w:numPr>
      </w:pPr>
      <w:r>
        <w:t xml:space="preserve">the policy statement or plan </w:t>
      </w:r>
      <w:r w:rsidR="00222CC6">
        <w:t xml:space="preserve">contains </w:t>
      </w:r>
      <w:r>
        <w:t xml:space="preserve">a </w:t>
      </w:r>
      <w:r w:rsidR="008E241E">
        <w:t>pre-existing</w:t>
      </w:r>
      <w:r w:rsidR="00222CC6">
        <w:t>,</w:t>
      </w:r>
      <w:r w:rsidR="008E241E">
        <w:t xml:space="preserve"> </w:t>
      </w:r>
      <w:r>
        <w:t xml:space="preserve">different </w:t>
      </w:r>
      <w:r w:rsidR="008E241E">
        <w:t>definition</w:t>
      </w:r>
      <w:r>
        <w:t xml:space="preserve"> </w:t>
      </w:r>
      <w:r w:rsidR="00222CC6">
        <w:t xml:space="preserve">of </w:t>
      </w:r>
      <w:r>
        <w:t xml:space="preserve">a </w:t>
      </w:r>
      <w:r w:rsidR="008E241E">
        <w:t xml:space="preserve">term </w:t>
      </w:r>
      <w:r w:rsidR="0004591D">
        <w:t>d</w:t>
      </w:r>
      <w:r>
        <w:t>efined in the standards</w:t>
      </w:r>
    </w:p>
    <w:p w14:paraId="2E0E0613" w14:textId="77777777" w:rsidR="00B822E9" w:rsidRDefault="00B822E9" w:rsidP="00724C43">
      <w:pPr>
        <w:pStyle w:val="BodyText"/>
        <w:numPr>
          <w:ilvl w:val="0"/>
          <w:numId w:val="58"/>
        </w:numPr>
      </w:pPr>
      <w:r>
        <w:t>the policy statement or plan uses a different term for a matter defined in the standards</w:t>
      </w:r>
      <w:r w:rsidR="00C64DED">
        <w:t xml:space="preserve"> </w:t>
      </w:r>
      <w:r w:rsidR="00DE1EA6">
        <w:t>(i</w:t>
      </w:r>
      <w:r>
        <w:t>e</w:t>
      </w:r>
      <w:r w:rsidR="00DE1EA6">
        <w:t>,</w:t>
      </w:r>
      <w:r>
        <w:t xml:space="preserve"> a synonym) </w:t>
      </w:r>
    </w:p>
    <w:p w14:paraId="6B0BD80C" w14:textId="77777777" w:rsidR="00531435" w:rsidRDefault="00531435" w:rsidP="00724C43">
      <w:pPr>
        <w:pStyle w:val="BodyText"/>
        <w:numPr>
          <w:ilvl w:val="0"/>
          <w:numId w:val="58"/>
        </w:numPr>
      </w:pPr>
      <w:r>
        <w:t>the plan contains a rule that relies on a definition that has been changed by the standards, preventing the rule from f</w:t>
      </w:r>
      <w:r w:rsidR="00FC7AB9">
        <w:t>unctioning in its intended form</w:t>
      </w:r>
    </w:p>
    <w:p w14:paraId="406C39B3" w14:textId="77777777" w:rsidR="00531435" w:rsidRDefault="00531435" w:rsidP="00724C43">
      <w:pPr>
        <w:pStyle w:val="BodyText"/>
        <w:numPr>
          <w:ilvl w:val="0"/>
          <w:numId w:val="58"/>
        </w:numPr>
      </w:pPr>
      <w:r>
        <w:t>maps contain a symbol</w:t>
      </w:r>
      <w:r w:rsidR="00FC7AB9">
        <w:t xml:space="preserve"> or colour</w:t>
      </w:r>
      <w:r>
        <w:t xml:space="preserve"> which the standards</w:t>
      </w:r>
      <w:r w:rsidR="00C3491F">
        <w:t xml:space="preserve"> now assign to</w:t>
      </w:r>
      <w:r>
        <w:t xml:space="preserve"> a different</w:t>
      </w:r>
      <w:r w:rsidR="00095BC4">
        <w:t xml:space="preserve"> purpose</w:t>
      </w:r>
      <w:r w:rsidR="00A96CAF">
        <w:t xml:space="preserve"> </w:t>
      </w:r>
    </w:p>
    <w:p w14:paraId="12EE4CE4" w14:textId="77777777" w:rsidR="00531435" w:rsidRDefault="00531435" w:rsidP="00724C43">
      <w:pPr>
        <w:pStyle w:val="BodyText"/>
        <w:numPr>
          <w:ilvl w:val="0"/>
          <w:numId w:val="58"/>
        </w:numPr>
      </w:pPr>
      <w:r>
        <w:t xml:space="preserve">the </w:t>
      </w:r>
      <w:r w:rsidR="00FC7AB9">
        <w:t xml:space="preserve">plan refers to methods of measurement which differ from what the </w:t>
      </w:r>
      <w:r>
        <w:t>standards req</w:t>
      </w:r>
      <w:r w:rsidR="00FC7AB9">
        <w:t>uire, such as with</w:t>
      </w:r>
      <w:r>
        <w:t xml:space="preserve"> rules managing noise emissions</w:t>
      </w:r>
      <w:r w:rsidR="00492E2F">
        <w:t>.</w:t>
      </w:r>
      <w:r w:rsidR="00FC7AB9">
        <w:t xml:space="preserve"> </w:t>
      </w:r>
    </w:p>
    <w:p w14:paraId="5B087788" w14:textId="77777777" w:rsidR="00531435" w:rsidRPr="00A748AE" w:rsidRDefault="00531435" w:rsidP="00CF01CB">
      <w:pPr>
        <w:pStyle w:val="Heading2"/>
      </w:pPr>
      <w:r w:rsidRPr="00A748AE">
        <w:t>Examples of consequential amendments</w:t>
      </w:r>
    </w:p>
    <w:p w14:paraId="6EDE78CA" w14:textId="77777777" w:rsidR="00531435" w:rsidRPr="00FE56E2" w:rsidRDefault="00531435" w:rsidP="00CF01CB">
      <w:pPr>
        <w:pStyle w:val="Heading3"/>
      </w:pPr>
      <w:r w:rsidRPr="00FE56E2">
        <w:t>Building and structure</w:t>
      </w:r>
    </w:p>
    <w:p w14:paraId="67CCDC29" w14:textId="77777777" w:rsidR="000900A5" w:rsidRDefault="00531435" w:rsidP="00CF01CB">
      <w:pPr>
        <w:pStyle w:val="BodyText"/>
        <w:jc w:val="both"/>
      </w:pPr>
      <w:r>
        <w:t xml:space="preserve">The standards define ‘building’ as: </w:t>
      </w:r>
    </w:p>
    <w:p w14:paraId="3926F79F" w14:textId="77777777" w:rsidR="00531435" w:rsidRPr="001B2975" w:rsidRDefault="00B12AF1" w:rsidP="001B2975">
      <w:pPr>
        <w:pStyle w:val="BodyText"/>
        <w:ind w:left="360"/>
        <w:jc w:val="both"/>
        <w:rPr>
          <w:i/>
        </w:rPr>
      </w:pPr>
      <w:r w:rsidRPr="001B2975">
        <w:rPr>
          <w:i/>
        </w:rPr>
        <w:t>“</w:t>
      </w:r>
      <w:r w:rsidR="00531435" w:rsidRPr="001B2975">
        <w:rPr>
          <w:i/>
        </w:rPr>
        <w:t xml:space="preserve">a temporary or permanent movable or immovable physical construction that is: </w:t>
      </w:r>
    </w:p>
    <w:p w14:paraId="26F669BA" w14:textId="77777777" w:rsidR="00531435" w:rsidRPr="001B2975" w:rsidRDefault="00F72287" w:rsidP="00715EFE">
      <w:pPr>
        <w:pStyle w:val="Definitionbullet"/>
        <w:rPr>
          <w:i/>
        </w:rPr>
      </w:pPr>
      <w:r w:rsidRPr="001B2975">
        <w:rPr>
          <w:i/>
        </w:rPr>
        <w:t>p</w:t>
      </w:r>
      <w:r w:rsidR="00531435" w:rsidRPr="001B2975">
        <w:rPr>
          <w:i/>
        </w:rPr>
        <w:t>art</w:t>
      </w:r>
      <w:r w:rsidR="00264986" w:rsidRPr="001B2975">
        <w:rPr>
          <w:i/>
        </w:rPr>
        <w:t>ially</w:t>
      </w:r>
      <w:r w:rsidR="00531435" w:rsidRPr="001B2975">
        <w:rPr>
          <w:i/>
        </w:rPr>
        <w:t xml:space="preserve"> or fully roofed</w:t>
      </w:r>
      <w:r w:rsidR="000900A5" w:rsidRPr="001B2975">
        <w:rPr>
          <w:i/>
        </w:rPr>
        <w:t>;</w:t>
      </w:r>
      <w:r w:rsidR="00531435" w:rsidRPr="001B2975">
        <w:rPr>
          <w:i/>
        </w:rPr>
        <w:t xml:space="preserve"> and</w:t>
      </w:r>
    </w:p>
    <w:p w14:paraId="5642CBAD" w14:textId="77777777" w:rsidR="000900A5" w:rsidRPr="001B2975" w:rsidRDefault="00F72287" w:rsidP="00715EFE">
      <w:pPr>
        <w:pStyle w:val="Definitionbullet"/>
        <w:rPr>
          <w:i/>
        </w:rPr>
      </w:pPr>
      <w:r w:rsidRPr="001B2975">
        <w:rPr>
          <w:i/>
        </w:rPr>
        <w:t>f</w:t>
      </w:r>
      <w:r w:rsidR="00531435" w:rsidRPr="001B2975">
        <w:rPr>
          <w:i/>
        </w:rPr>
        <w:t>ixed or located on or in land</w:t>
      </w:r>
      <w:r w:rsidR="000900A5" w:rsidRPr="001B2975">
        <w:rPr>
          <w:i/>
        </w:rPr>
        <w:t>;</w:t>
      </w:r>
      <w:r w:rsidR="00531435" w:rsidRPr="001B2975">
        <w:rPr>
          <w:i/>
        </w:rPr>
        <w:t xml:space="preserve"> </w:t>
      </w:r>
    </w:p>
    <w:p w14:paraId="5B8C9425" w14:textId="77777777" w:rsidR="00531435" w:rsidRPr="001B2975" w:rsidRDefault="00531435" w:rsidP="001B2975">
      <w:pPr>
        <w:pStyle w:val="Definitionbullet"/>
        <w:numPr>
          <w:ilvl w:val="0"/>
          <w:numId w:val="0"/>
        </w:numPr>
        <w:ind w:left="357"/>
        <w:rPr>
          <w:i/>
        </w:rPr>
      </w:pPr>
      <w:r w:rsidRPr="001B2975">
        <w:rPr>
          <w:i/>
        </w:rPr>
        <w:t>but</w:t>
      </w:r>
      <w:r w:rsidR="000900A5" w:rsidRPr="001B2975">
        <w:rPr>
          <w:i/>
        </w:rPr>
        <w:t xml:space="preserve"> </w:t>
      </w:r>
      <w:r w:rsidR="00F72287" w:rsidRPr="001B2975">
        <w:rPr>
          <w:i/>
        </w:rPr>
        <w:t>e</w:t>
      </w:r>
      <w:r w:rsidRPr="001B2975">
        <w:rPr>
          <w:i/>
        </w:rPr>
        <w:t>xcludes any motorised vehicle or other mode of transport that could be moved under its own power.</w:t>
      </w:r>
      <w:r w:rsidR="00B12AF1" w:rsidRPr="001B2975">
        <w:rPr>
          <w:i/>
        </w:rPr>
        <w:t>”</w:t>
      </w:r>
    </w:p>
    <w:p w14:paraId="3B1C49A6" w14:textId="77777777" w:rsidR="00531435" w:rsidRPr="00853674" w:rsidRDefault="00531435" w:rsidP="001B2975">
      <w:pPr>
        <w:pStyle w:val="BodyText"/>
      </w:pPr>
      <w:r w:rsidRPr="00982FFB">
        <w:t>‘Structure’ has the same meaning as in s</w:t>
      </w:r>
      <w:r w:rsidR="00B12AF1" w:rsidRPr="00982FFB">
        <w:t xml:space="preserve">ection </w:t>
      </w:r>
      <w:r w:rsidRPr="00982FFB">
        <w:t>2 of the RMA</w:t>
      </w:r>
      <w:r w:rsidR="00971ABF" w:rsidRPr="00982FFB">
        <w:t xml:space="preserve"> which is </w:t>
      </w:r>
      <w:r w:rsidR="00391919" w:rsidRPr="00982FFB">
        <w:t>“</w:t>
      </w:r>
      <w:r w:rsidR="00971ABF" w:rsidRPr="00982FFB">
        <w:t>means any building, equipment, device, or other facility made by people and which is fixed to land; and inclu</w:t>
      </w:r>
      <w:r w:rsidR="00971ABF" w:rsidRPr="00853674">
        <w:t>des any raft</w:t>
      </w:r>
      <w:r w:rsidR="00391919" w:rsidRPr="00853674">
        <w:t xml:space="preserve">”. </w:t>
      </w:r>
    </w:p>
    <w:p w14:paraId="474248F6" w14:textId="623B6401" w:rsidR="00531435" w:rsidRPr="00982FFB" w:rsidRDefault="00531435" w:rsidP="0097451C">
      <w:pPr>
        <w:pStyle w:val="BodyText"/>
      </w:pPr>
      <w:r w:rsidRPr="00853674">
        <w:t>In many plans, adopting th</w:t>
      </w:r>
      <w:r w:rsidR="00E67EAC" w:rsidRPr="00853674">
        <w:t xml:space="preserve">e </w:t>
      </w:r>
      <w:r w:rsidRPr="00853674">
        <w:t>definition</w:t>
      </w:r>
      <w:r w:rsidR="00E67EAC" w:rsidRPr="00853674">
        <w:t xml:space="preserve"> of </w:t>
      </w:r>
      <w:r w:rsidR="00391919" w:rsidRPr="00853674">
        <w:t>‘</w:t>
      </w:r>
      <w:r w:rsidR="00E67EAC" w:rsidRPr="00853674">
        <w:t>building</w:t>
      </w:r>
      <w:r w:rsidR="00391919" w:rsidRPr="00853674">
        <w:t>’</w:t>
      </w:r>
      <w:r w:rsidR="00E67EAC" w:rsidRPr="00853674">
        <w:t xml:space="preserve"> </w:t>
      </w:r>
      <w:r w:rsidRPr="00853674">
        <w:t xml:space="preserve">will require new or amended rules because existing definitions of </w:t>
      </w:r>
      <w:r w:rsidR="00391919" w:rsidRPr="00853674">
        <w:t>‘</w:t>
      </w:r>
      <w:r w:rsidRPr="00853674">
        <w:t>building</w:t>
      </w:r>
      <w:r w:rsidR="00391919" w:rsidRPr="00853674">
        <w:t>’</w:t>
      </w:r>
      <w:r w:rsidRPr="00853674">
        <w:t xml:space="preserve"> </w:t>
      </w:r>
      <w:r w:rsidR="00585EC7" w:rsidRPr="00853674">
        <w:t xml:space="preserve">often specify a number of exclusions which are not then bound by the rules that apply to buildings. </w:t>
      </w:r>
      <w:r w:rsidRPr="00853674">
        <w:t xml:space="preserve">For example, a new permitted activity rule might be needed to </w:t>
      </w:r>
      <w:r w:rsidRPr="00853674">
        <w:lastRenderedPageBreak/>
        <w:t xml:space="preserve">describe </w:t>
      </w:r>
      <w:r w:rsidR="00585EC7" w:rsidRPr="00C272CE">
        <w:t xml:space="preserve">buildings </w:t>
      </w:r>
      <w:r w:rsidRPr="00C272CE">
        <w:t>that are permitted in terms of their area and height.</w:t>
      </w:r>
      <w:r w:rsidR="0062159C" w:rsidRPr="00982FFB">
        <w:t xml:space="preserve"> </w:t>
      </w:r>
      <w:r w:rsidR="00585EC7" w:rsidRPr="00982FFB">
        <w:t>Similarly</w:t>
      </w:r>
      <w:r w:rsidR="00853674">
        <w:t>,</w:t>
      </w:r>
      <w:r w:rsidR="00585EC7" w:rsidRPr="00853674">
        <w:t xml:space="preserve"> many existing plan definitions of </w:t>
      </w:r>
      <w:r w:rsidR="00391919" w:rsidRPr="00853674">
        <w:t>‘</w:t>
      </w:r>
      <w:r w:rsidR="00585EC7" w:rsidRPr="00853674">
        <w:t>building</w:t>
      </w:r>
      <w:r w:rsidR="00391919" w:rsidRPr="00853674">
        <w:t>’</w:t>
      </w:r>
      <w:r w:rsidR="00585EC7" w:rsidRPr="00853674">
        <w:t xml:space="preserve"> require </w:t>
      </w:r>
      <w:r w:rsidR="000805B2" w:rsidRPr="00853674">
        <w:t xml:space="preserve">buildings </w:t>
      </w:r>
      <w:r w:rsidR="00585EC7" w:rsidRPr="00853674">
        <w:t xml:space="preserve">to be </w:t>
      </w:r>
      <w:r w:rsidR="00391919" w:rsidRPr="00853674">
        <w:t>‘</w:t>
      </w:r>
      <w:r w:rsidR="00585EC7" w:rsidRPr="00853674">
        <w:t>structures</w:t>
      </w:r>
      <w:r w:rsidR="00391919" w:rsidRPr="00853674">
        <w:t>’</w:t>
      </w:r>
      <w:r w:rsidR="00585EC7" w:rsidRPr="00853674">
        <w:t xml:space="preserve"> and</w:t>
      </w:r>
      <w:r w:rsidR="00853674">
        <w:t>,</w:t>
      </w:r>
      <w:r w:rsidR="00585EC7" w:rsidRPr="00853674">
        <w:t xml:space="preserve"> as such</w:t>
      </w:r>
      <w:r w:rsidR="00556D21" w:rsidRPr="00853674">
        <w:t>,</w:t>
      </w:r>
      <w:r w:rsidR="00585EC7" w:rsidRPr="00853674">
        <w:t xml:space="preserve"> fixed to land. However, this is </w:t>
      </w:r>
      <w:r w:rsidR="00556D21" w:rsidRPr="00853674">
        <w:t>no</w:t>
      </w:r>
      <w:r w:rsidR="00D4678A" w:rsidRPr="00853674">
        <w:t>t</w:t>
      </w:r>
      <w:r w:rsidR="00556D21" w:rsidRPr="00853674">
        <w:t xml:space="preserve"> a </w:t>
      </w:r>
      <w:r w:rsidR="00585EC7" w:rsidRPr="00853674">
        <w:t xml:space="preserve">requirement of the </w:t>
      </w:r>
      <w:r w:rsidR="000805B2" w:rsidRPr="00C272CE">
        <w:t>standards</w:t>
      </w:r>
      <w:r w:rsidR="00391919" w:rsidRPr="00C272CE">
        <w:t>’</w:t>
      </w:r>
      <w:r w:rsidR="000805B2" w:rsidRPr="00C272CE">
        <w:t xml:space="preserve"> </w:t>
      </w:r>
      <w:r w:rsidR="00585EC7" w:rsidRPr="00C272CE">
        <w:t xml:space="preserve">definition of </w:t>
      </w:r>
      <w:r w:rsidR="00391919" w:rsidRPr="00C272CE">
        <w:t>‘</w:t>
      </w:r>
      <w:r w:rsidR="00585EC7" w:rsidRPr="00C272CE">
        <w:t>building</w:t>
      </w:r>
      <w:r w:rsidR="00391919" w:rsidRPr="003A0E43">
        <w:t>’</w:t>
      </w:r>
      <w:r w:rsidR="000805B2" w:rsidRPr="003A0E43">
        <w:t>.</w:t>
      </w:r>
      <w:r w:rsidR="0062159C" w:rsidRPr="00982FFB">
        <w:t xml:space="preserve"> </w:t>
      </w:r>
      <w:r w:rsidR="000805B2" w:rsidRPr="00982FFB">
        <w:t>A</w:t>
      </w:r>
      <w:r w:rsidR="00585EC7" w:rsidRPr="00982FFB">
        <w:t>mendm</w:t>
      </w:r>
      <w:r w:rsidR="00556D21" w:rsidRPr="00982FFB">
        <w:t xml:space="preserve">ents to </w:t>
      </w:r>
      <w:r w:rsidR="00585EC7" w:rsidRPr="00982FFB">
        <w:t xml:space="preserve">rules may be required to ensure </w:t>
      </w:r>
      <w:r w:rsidR="00556D21" w:rsidRPr="00982FFB">
        <w:t xml:space="preserve">buildings not fixed to land are not controlled by rules </w:t>
      </w:r>
      <w:r w:rsidR="00D4678A" w:rsidRPr="00982FFB">
        <w:t xml:space="preserve">if </w:t>
      </w:r>
      <w:r w:rsidR="00E21AB7" w:rsidRPr="00982FFB">
        <w:t>they previously</w:t>
      </w:r>
      <w:r w:rsidR="00556D21" w:rsidRPr="00982FFB">
        <w:t xml:space="preserve"> were not.</w:t>
      </w:r>
      <w:r w:rsidR="0062159C" w:rsidRPr="00982FFB">
        <w:t xml:space="preserve"> </w:t>
      </w:r>
      <w:r w:rsidRPr="00982FFB">
        <w:t>The policy in</w:t>
      </w:r>
      <w:r w:rsidR="00F72287" w:rsidRPr="00982FFB">
        <w:t>t</w:t>
      </w:r>
      <w:r w:rsidRPr="00982FFB">
        <w:t>ent is that this kind of rule amendment is consequential provided it does not alter the effect or outcomes of the plan. Definitions by themselves are planning-neutral; their impact is determined by the plan’s objectives, policies and rules.</w:t>
      </w:r>
      <w:r w:rsidR="0062159C" w:rsidRPr="00982FFB">
        <w:t xml:space="preserve"> </w:t>
      </w:r>
      <w:r w:rsidRPr="00982FFB">
        <w:t xml:space="preserve">If </w:t>
      </w:r>
      <w:r w:rsidR="00B05AE4">
        <w:t xml:space="preserve">you </w:t>
      </w:r>
      <w:r w:rsidRPr="00982FFB">
        <w:t xml:space="preserve">wish to use the standards as an opportunity to change </w:t>
      </w:r>
      <w:r w:rsidR="00B05AE4">
        <w:t xml:space="preserve">your plan’s </w:t>
      </w:r>
      <w:r w:rsidRPr="00982FFB">
        <w:t xml:space="preserve">approach to planning for structures, that amendment would not be consequential and a Schedule 1 process will be required. </w:t>
      </w:r>
    </w:p>
    <w:p w14:paraId="54F5CF2C" w14:textId="77777777" w:rsidR="00531435" w:rsidRPr="00FE56E2" w:rsidRDefault="00531435" w:rsidP="00CF01CB">
      <w:pPr>
        <w:pStyle w:val="Heading3"/>
      </w:pPr>
      <w:r w:rsidRPr="00FE56E2">
        <w:t>Earthworks</w:t>
      </w:r>
    </w:p>
    <w:p w14:paraId="7519A199" w14:textId="77777777" w:rsidR="00531435" w:rsidRDefault="00531435" w:rsidP="00CF01CB">
      <w:pPr>
        <w:pStyle w:val="BodyText"/>
      </w:pPr>
      <w:r>
        <w:t>The standards define ea</w:t>
      </w:r>
      <w:r w:rsidR="00E21AB7">
        <w:t>r</w:t>
      </w:r>
      <w:r>
        <w:t>thworks as:</w:t>
      </w:r>
    </w:p>
    <w:p w14:paraId="735969E2" w14:textId="77777777" w:rsidR="00531435" w:rsidRPr="00982FFB" w:rsidRDefault="008E3F25" w:rsidP="001B2975">
      <w:pPr>
        <w:pStyle w:val="BodyText"/>
        <w:ind w:left="397"/>
        <w:rPr>
          <w:i/>
        </w:rPr>
      </w:pPr>
      <w:r w:rsidRPr="001B2975">
        <w:rPr>
          <w:i/>
        </w:rPr>
        <w:t>“</w:t>
      </w:r>
      <w:r w:rsidR="00531435" w:rsidRPr="001B2975">
        <w:rPr>
          <w:i/>
        </w:rPr>
        <w:t xml:space="preserve">the alteration or disturbance of land, including by moving, removing, placing, blading, cutting, contouring, filling or excavation of earth (or any matter constituting the land including soil, clay, sand and rock); but excludes gardening, cultivation and disturbance of land for </w:t>
      </w:r>
      <w:r w:rsidR="00E21AB7" w:rsidRPr="001B2975">
        <w:rPr>
          <w:i/>
        </w:rPr>
        <w:t>the installation of fence posts</w:t>
      </w:r>
      <w:r w:rsidRPr="001B2975">
        <w:rPr>
          <w:i/>
        </w:rPr>
        <w:t>.”</w:t>
      </w:r>
    </w:p>
    <w:p w14:paraId="483FF451" w14:textId="6F9B1E6E" w:rsidR="00531435" w:rsidRDefault="00531435" w:rsidP="00CF01CB">
      <w:pPr>
        <w:pStyle w:val="BodyText"/>
      </w:pPr>
      <w:r w:rsidRPr="00C36EE2">
        <w:t>Let’s say that a plan has a slightly different definition which makes greater use of exclusions:</w:t>
      </w:r>
      <w:r w:rsidR="0062159C">
        <w:t xml:space="preserve"> </w:t>
      </w:r>
    </w:p>
    <w:p w14:paraId="588CB2F2" w14:textId="77777777" w:rsidR="00531435" w:rsidRPr="001B2975" w:rsidRDefault="00531435" w:rsidP="00CF01CB">
      <w:pPr>
        <w:pStyle w:val="BodyText"/>
        <w:ind w:left="397"/>
        <w:jc w:val="both"/>
        <w:rPr>
          <w:i/>
        </w:rPr>
      </w:pPr>
      <w:r w:rsidRPr="001B2975">
        <w:rPr>
          <w:i/>
        </w:rPr>
        <w:t>“the mechanical disturbance of the surface of the land by excavation, cutting and filling, blading, ripping, contouring, or placing or replacing earth, but does not include:</w:t>
      </w:r>
    </w:p>
    <w:p w14:paraId="28B9E0DB" w14:textId="77777777" w:rsidR="00531435" w:rsidRPr="001B2975" w:rsidRDefault="008E3F25" w:rsidP="001B2975">
      <w:pPr>
        <w:pStyle w:val="BodyText"/>
        <w:numPr>
          <w:ilvl w:val="1"/>
          <w:numId w:val="41"/>
        </w:numPr>
        <w:jc w:val="both"/>
        <w:rPr>
          <w:i/>
        </w:rPr>
      </w:pPr>
      <w:r w:rsidRPr="001B2975">
        <w:rPr>
          <w:i/>
        </w:rPr>
        <w:t>t</w:t>
      </w:r>
      <w:r w:rsidR="00531435" w:rsidRPr="001B2975">
        <w:rPr>
          <w:i/>
        </w:rPr>
        <w:t xml:space="preserve">he placement of cleanfill material, or </w:t>
      </w:r>
    </w:p>
    <w:p w14:paraId="7DF3FD75" w14:textId="77777777" w:rsidR="00531435" w:rsidRPr="001B2975" w:rsidRDefault="008E3F25" w:rsidP="001B2975">
      <w:pPr>
        <w:pStyle w:val="BodyText"/>
        <w:numPr>
          <w:ilvl w:val="1"/>
          <w:numId w:val="41"/>
        </w:numPr>
        <w:jc w:val="both"/>
        <w:rPr>
          <w:i/>
        </w:rPr>
      </w:pPr>
      <w:r w:rsidRPr="001B2975">
        <w:rPr>
          <w:i/>
        </w:rPr>
        <w:t>l</w:t>
      </w:r>
      <w:r w:rsidR="00531435" w:rsidRPr="001B2975">
        <w:rPr>
          <w:i/>
        </w:rPr>
        <w:t>and preparation, or</w:t>
      </w:r>
    </w:p>
    <w:p w14:paraId="144F71C9" w14:textId="77777777" w:rsidR="00531435" w:rsidRPr="001B2975" w:rsidRDefault="008E3F25" w:rsidP="001B2975">
      <w:pPr>
        <w:pStyle w:val="BodyText"/>
        <w:numPr>
          <w:ilvl w:val="1"/>
          <w:numId w:val="41"/>
        </w:numPr>
        <w:jc w:val="both"/>
        <w:rPr>
          <w:i/>
        </w:rPr>
      </w:pPr>
      <w:r w:rsidRPr="001B2975">
        <w:rPr>
          <w:i/>
        </w:rPr>
        <w:t>c</w:t>
      </w:r>
      <w:r w:rsidR="00531435" w:rsidRPr="001B2975">
        <w:rPr>
          <w:i/>
        </w:rPr>
        <w:t>onstruction, repair, alteration or maintenance of bores, or</w:t>
      </w:r>
    </w:p>
    <w:p w14:paraId="46CCDE4C" w14:textId="77777777" w:rsidR="00531435" w:rsidRPr="001B2975" w:rsidRDefault="008E3F25" w:rsidP="001B2975">
      <w:pPr>
        <w:pStyle w:val="BodyText"/>
        <w:numPr>
          <w:ilvl w:val="1"/>
          <w:numId w:val="41"/>
        </w:numPr>
        <w:jc w:val="both"/>
        <w:rPr>
          <w:i/>
        </w:rPr>
      </w:pPr>
      <w:r w:rsidRPr="001B2975">
        <w:rPr>
          <w:i/>
        </w:rPr>
        <w:t>t</w:t>
      </w:r>
      <w:r w:rsidR="00531435" w:rsidRPr="001B2975">
        <w:rPr>
          <w:i/>
        </w:rPr>
        <w:t>he maintenance of walking and other recreational tracks, or</w:t>
      </w:r>
    </w:p>
    <w:p w14:paraId="3C78DEE1" w14:textId="77777777" w:rsidR="00531435" w:rsidRPr="001B2975" w:rsidRDefault="008E3F25" w:rsidP="001B2975">
      <w:pPr>
        <w:pStyle w:val="BodyText"/>
        <w:numPr>
          <w:ilvl w:val="1"/>
          <w:numId w:val="41"/>
        </w:numPr>
        <w:jc w:val="both"/>
        <w:rPr>
          <w:i/>
        </w:rPr>
      </w:pPr>
      <w:r w:rsidRPr="001B2975">
        <w:rPr>
          <w:i/>
        </w:rPr>
        <w:t>t</w:t>
      </w:r>
      <w:r w:rsidR="00531435" w:rsidRPr="001B2975">
        <w:rPr>
          <w:i/>
        </w:rPr>
        <w:t>he placement of roading aggregates during road and track works, or</w:t>
      </w:r>
    </w:p>
    <w:p w14:paraId="040B2C58" w14:textId="77777777" w:rsidR="00531435" w:rsidRPr="001B2975" w:rsidRDefault="008E3F25" w:rsidP="001B2975">
      <w:pPr>
        <w:pStyle w:val="BodyText"/>
        <w:numPr>
          <w:ilvl w:val="1"/>
          <w:numId w:val="41"/>
        </w:numPr>
        <w:jc w:val="both"/>
        <w:rPr>
          <w:i/>
        </w:rPr>
      </w:pPr>
      <w:r w:rsidRPr="001B2975">
        <w:rPr>
          <w:i/>
        </w:rPr>
        <w:t>d</w:t>
      </w:r>
      <w:r w:rsidR="00531435" w:rsidRPr="001B2975">
        <w:rPr>
          <w:i/>
        </w:rPr>
        <w:t>igging post holes, or</w:t>
      </w:r>
    </w:p>
    <w:p w14:paraId="3BB0CDD6" w14:textId="77777777" w:rsidR="00531435" w:rsidRPr="001B2975" w:rsidRDefault="008E3F25" w:rsidP="001B2975">
      <w:pPr>
        <w:pStyle w:val="BodyText"/>
        <w:numPr>
          <w:ilvl w:val="1"/>
          <w:numId w:val="41"/>
        </w:numPr>
        <w:jc w:val="both"/>
        <w:rPr>
          <w:i/>
        </w:rPr>
      </w:pPr>
      <w:r w:rsidRPr="001B2975">
        <w:rPr>
          <w:i/>
        </w:rPr>
        <w:t>p</w:t>
      </w:r>
      <w:r w:rsidR="00531435" w:rsidRPr="001B2975">
        <w:rPr>
          <w:i/>
        </w:rPr>
        <w:t>lanting trees.”</w:t>
      </w:r>
    </w:p>
    <w:p w14:paraId="08D5687B" w14:textId="0A9F5329" w:rsidR="00531435" w:rsidRDefault="00531435" w:rsidP="00CF01CB">
      <w:pPr>
        <w:pStyle w:val="BodyText"/>
      </w:pPr>
      <w:r>
        <w:t>Some of these exclusions align with the new definition (for example ‘digging postholes’), while others conflict (for example</w:t>
      </w:r>
      <w:r w:rsidR="00F5303D">
        <w:t>,</w:t>
      </w:r>
      <w:r>
        <w:t xml:space="preserve"> the construction of bores).</w:t>
      </w:r>
      <w:r w:rsidR="0062159C">
        <w:t xml:space="preserve"> </w:t>
      </w:r>
      <w:r>
        <w:t xml:space="preserve">The effect of any rules in the plan </w:t>
      </w:r>
      <w:r w:rsidR="00F00E10">
        <w:t>which rely on bore construction</w:t>
      </w:r>
      <w:r>
        <w:t xml:space="preserve"> not being earthworks will need to be reviewed.</w:t>
      </w:r>
      <w:r w:rsidR="0062159C">
        <w:t xml:space="preserve"> </w:t>
      </w:r>
      <w:r>
        <w:t>T</w:t>
      </w:r>
      <w:r w:rsidRPr="00642663">
        <w:t xml:space="preserve">he </w:t>
      </w:r>
      <w:r w:rsidR="00E33DEB">
        <w:t>intent</w:t>
      </w:r>
      <w:r w:rsidR="00E33DEB" w:rsidRPr="00642663">
        <w:t xml:space="preserve"> </w:t>
      </w:r>
      <w:r w:rsidRPr="00642663">
        <w:t xml:space="preserve">of </w:t>
      </w:r>
      <w:r w:rsidRPr="001B2975">
        <w:rPr>
          <w:i/>
        </w:rPr>
        <w:t>14. Definitions</w:t>
      </w:r>
      <w:r w:rsidRPr="00853674">
        <w:rPr>
          <w:i/>
        </w:rPr>
        <w:t xml:space="preserve"> </w:t>
      </w:r>
      <w:r w:rsidR="00496BBD" w:rsidRPr="00853674">
        <w:rPr>
          <w:i/>
        </w:rPr>
        <w:t>S</w:t>
      </w:r>
      <w:r w:rsidRPr="00853674">
        <w:rPr>
          <w:i/>
        </w:rPr>
        <w:t>tandard</w:t>
      </w:r>
      <w:r w:rsidRPr="00853674">
        <w:t xml:space="preserve"> </w:t>
      </w:r>
      <w:r w:rsidRPr="00642663">
        <w:t xml:space="preserve">is not to </w:t>
      </w:r>
      <w:r w:rsidR="00E33DEB">
        <w:t>alter the effect or outcomes of plans</w:t>
      </w:r>
      <w:r>
        <w:t>.</w:t>
      </w:r>
      <w:r w:rsidR="0062159C">
        <w:t xml:space="preserve"> </w:t>
      </w:r>
      <w:r>
        <w:t>Instead</w:t>
      </w:r>
      <w:r w:rsidR="00853674">
        <w:t>,</w:t>
      </w:r>
      <w:r w:rsidRPr="00642663">
        <w:t xml:space="preserve"> the earthworks rules would need to be amended to ensure they do not capture the </w:t>
      </w:r>
      <w:r w:rsidR="00E21AB7">
        <w:t xml:space="preserve">previously </w:t>
      </w:r>
      <w:r w:rsidRPr="00642663">
        <w:t>excluded activities.</w:t>
      </w:r>
    </w:p>
    <w:p w14:paraId="7E15F313" w14:textId="77777777" w:rsidR="00531435" w:rsidRPr="00A748AE" w:rsidRDefault="00531435" w:rsidP="00CF01CB">
      <w:pPr>
        <w:pStyle w:val="Heading2"/>
      </w:pPr>
      <w:r>
        <w:t>Changes that are not directly related to the standards and require a Schedule 1 process</w:t>
      </w:r>
    </w:p>
    <w:p w14:paraId="2B1B092E" w14:textId="664AEA10" w:rsidR="00531435" w:rsidRDefault="00531435" w:rsidP="00CF01CB">
      <w:pPr>
        <w:pStyle w:val="BodyText"/>
      </w:pPr>
      <w:r>
        <w:t xml:space="preserve">In restructuring </w:t>
      </w:r>
      <w:r w:rsidR="00445687">
        <w:t xml:space="preserve">your </w:t>
      </w:r>
      <w:r w:rsidR="00263A33">
        <w:t xml:space="preserve">plan, </w:t>
      </w:r>
      <w:r w:rsidR="0097451C">
        <w:t xml:space="preserve">you </w:t>
      </w:r>
      <w:r>
        <w:t>might come across aspects of the plan which could be improved.</w:t>
      </w:r>
      <w:r w:rsidR="0062159C">
        <w:t xml:space="preserve"> </w:t>
      </w:r>
      <w:r>
        <w:t>For exam</w:t>
      </w:r>
      <w:r w:rsidR="00F00E10">
        <w:t xml:space="preserve">ple, </w:t>
      </w:r>
      <w:r>
        <w:t>rules which aren’t obviously linked to objectives or policies.</w:t>
      </w:r>
      <w:r w:rsidR="0062159C">
        <w:t xml:space="preserve"> </w:t>
      </w:r>
      <w:r>
        <w:t>Creating new objectives and policies to support these ‘orphan rules’ would likely require a Schedule 1 process.</w:t>
      </w:r>
    </w:p>
    <w:p w14:paraId="473BE521" w14:textId="77777777" w:rsidR="00531435" w:rsidRPr="00FE56E2" w:rsidRDefault="00F00E10" w:rsidP="00CF01CB">
      <w:pPr>
        <w:pStyle w:val="BodyText"/>
        <w:rPr>
          <w:b/>
        </w:rPr>
      </w:pPr>
      <w:r>
        <w:t>Other examples where</w:t>
      </w:r>
      <w:r w:rsidR="00531435" w:rsidRPr="00FE56E2">
        <w:t xml:space="preserve"> </w:t>
      </w:r>
      <w:r w:rsidR="00A929A1">
        <w:t xml:space="preserve">a </w:t>
      </w:r>
      <w:r w:rsidR="00531435" w:rsidRPr="00FE56E2">
        <w:t xml:space="preserve">Schedule 1 </w:t>
      </w:r>
      <w:r w:rsidR="00531435">
        <w:t xml:space="preserve">process </w:t>
      </w:r>
      <w:r w:rsidR="00531435" w:rsidRPr="00FE56E2">
        <w:t>may be required</w:t>
      </w:r>
      <w:r w:rsidR="00531435">
        <w:t xml:space="preserve"> include proposed amendments that</w:t>
      </w:r>
      <w:r w:rsidR="00531435" w:rsidRPr="00FE56E2">
        <w:t>:</w:t>
      </w:r>
    </w:p>
    <w:p w14:paraId="5FD1FE66" w14:textId="77777777" w:rsidR="00531435" w:rsidRPr="00715EFE" w:rsidRDefault="00531435" w:rsidP="001B2975">
      <w:pPr>
        <w:pStyle w:val="CommentText"/>
        <w:numPr>
          <w:ilvl w:val="0"/>
          <w:numId w:val="40"/>
        </w:numPr>
        <w:jc w:val="left"/>
        <w:rPr>
          <w:sz w:val="22"/>
          <w:szCs w:val="22"/>
        </w:rPr>
      </w:pPr>
      <w:r w:rsidRPr="00715EFE">
        <w:rPr>
          <w:sz w:val="22"/>
          <w:szCs w:val="22"/>
        </w:rPr>
        <w:t>are not</w:t>
      </w:r>
      <w:r w:rsidR="00F00E10" w:rsidRPr="00715EFE">
        <w:rPr>
          <w:sz w:val="22"/>
          <w:szCs w:val="22"/>
        </w:rPr>
        <w:t xml:space="preserve"> related to the standards </w:t>
      </w:r>
      <w:r w:rsidR="008317C2">
        <w:rPr>
          <w:sz w:val="22"/>
          <w:szCs w:val="22"/>
        </w:rPr>
        <w:t>(</w:t>
      </w:r>
      <w:r w:rsidR="00F00E10" w:rsidRPr="00715EFE">
        <w:rPr>
          <w:sz w:val="22"/>
          <w:szCs w:val="22"/>
        </w:rPr>
        <w:t>ie, fixing</w:t>
      </w:r>
      <w:r w:rsidRPr="00715EFE">
        <w:rPr>
          <w:sz w:val="22"/>
          <w:szCs w:val="22"/>
        </w:rPr>
        <w:t xml:space="preserve"> a pre-existing problem with the plan</w:t>
      </w:r>
      <w:r w:rsidR="008317C2">
        <w:rPr>
          <w:sz w:val="22"/>
          <w:szCs w:val="22"/>
        </w:rPr>
        <w:t>)</w:t>
      </w:r>
    </w:p>
    <w:p w14:paraId="16197FF9" w14:textId="77777777" w:rsidR="00531435" w:rsidRPr="00715EFE" w:rsidRDefault="00531435" w:rsidP="001B2975">
      <w:pPr>
        <w:pStyle w:val="CommentText"/>
        <w:numPr>
          <w:ilvl w:val="0"/>
          <w:numId w:val="40"/>
        </w:numPr>
        <w:jc w:val="left"/>
        <w:rPr>
          <w:sz w:val="22"/>
          <w:szCs w:val="22"/>
        </w:rPr>
      </w:pPr>
      <w:r w:rsidRPr="00715EFE">
        <w:rPr>
          <w:sz w:val="22"/>
          <w:szCs w:val="22"/>
        </w:rPr>
        <w:t>make major, sweeping chan</w:t>
      </w:r>
      <w:r w:rsidR="00F00E10" w:rsidRPr="00715EFE">
        <w:rPr>
          <w:sz w:val="22"/>
          <w:szCs w:val="22"/>
        </w:rPr>
        <w:t>ges to objectives and policies</w:t>
      </w:r>
    </w:p>
    <w:p w14:paraId="6B4F4307" w14:textId="5143F2BD" w:rsidR="00531435" w:rsidRPr="00715EFE" w:rsidRDefault="00F00E10" w:rsidP="00445687">
      <w:pPr>
        <w:pStyle w:val="CommentText"/>
        <w:numPr>
          <w:ilvl w:val="0"/>
          <w:numId w:val="40"/>
        </w:numPr>
        <w:jc w:val="left"/>
        <w:rPr>
          <w:sz w:val="22"/>
          <w:szCs w:val="22"/>
        </w:rPr>
      </w:pPr>
      <w:r w:rsidRPr="00715EFE">
        <w:rPr>
          <w:sz w:val="22"/>
          <w:szCs w:val="22"/>
        </w:rPr>
        <w:lastRenderedPageBreak/>
        <w:t>enlarge</w:t>
      </w:r>
      <w:r w:rsidR="00531435" w:rsidRPr="00715EFE">
        <w:rPr>
          <w:sz w:val="22"/>
          <w:szCs w:val="22"/>
        </w:rPr>
        <w:t xml:space="preserve"> the effect of the primary amendment made by the standard.</w:t>
      </w:r>
      <w:r w:rsidR="0062159C">
        <w:rPr>
          <w:sz w:val="22"/>
          <w:szCs w:val="22"/>
        </w:rPr>
        <w:t xml:space="preserve"> </w:t>
      </w:r>
      <w:r w:rsidR="00531435" w:rsidRPr="00715EFE">
        <w:rPr>
          <w:sz w:val="22"/>
          <w:szCs w:val="22"/>
        </w:rPr>
        <w:t xml:space="preserve">For example, the standards do not change the specific thresholds for noise rules, only </w:t>
      </w:r>
      <w:r w:rsidR="0044187E">
        <w:rPr>
          <w:sz w:val="22"/>
          <w:szCs w:val="22"/>
        </w:rPr>
        <w:t>how they are measured.</w:t>
      </w:r>
      <w:r w:rsidR="0062159C">
        <w:rPr>
          <w:sz w:val="22"/>
          <w:szCs w:val="22"/>
        </w:rPr>
        <w:t xml:space="preserve"> </w:t>
      </w:r>
      <w:r w:rsidR="00531435" w:rsidRPr="00715EFE">
        <w:rPr>
          <w:sz w:val="22"/>
          <w:szCs w:val="22"/>
        </w:rPr>
        <w:t xml:space="preserve"> So a change </w:t>
      </w:r>
      <w:r w:rsidRPr="00715EFE">
        <w:rPr>
          <w:sz w:val="22"/>
          <w:szCs w:val="22"/>
        </w:rPr>
        <w:t>to permitted noise levels is unlikely to be</w:t>
      </w:r>
      <w:r w:rsidR="00531435" w:rsidRPr="00715EFE">
        <w:rPr>
          <w:sz w:val="22"/>
          <w:szCs w:val="22"/>
        </w:rPr>
        <w:t xml:space="preserve"> consequential</w:t>
      </w:r>
    </w:p>
    <w:p w14:paraId="5ACB5FFF" w14:textId="77777777" w:rsidR="00531435" w:rsidRPr="00715EFE" w:rsidRDefault="00F00E10" w:rsidP="001B2975">
      <w:pPr>
        <w:pStyle w:val="CommentText"/>
        <w:numPr>
          <w:ilvl w:val="0"/>
          <w:numId w:val="40"/>
        </w:numPr>
        <w:jc w:val="left"/>
        <w:rPr>
          <w:sz w:val="22"/>
          <w:szCs w:val="22"/>
        </w:rPr>
      </w:pPr>
      <w:r w:rsidRPr="00715EFE">
        <w:rPr>
          <w:sz w:val="22"/>
          <w:szCs w:val="22"/>
        </w:rPr>
        <w:t>introduce</w:t>
      </w:r>
      <w:r w:rsidR="00531435" w:rsidRPr="00715EFE">
        <w:rPr>
          <w:sz w:val="22"/>
          <w:szCs w:val="22"/>
        </w:rPr>
        <w:t xml:space="preserve"> additional restrictions to property rights. </w:t>
      </w:r>
    </w:p>
    <w:p w14:paraId="472EAE9A" w14:textId="77777777" w:rsidR="00531435" w:rsidRPr="003A61FF" w:rsidRDefault="00531435" w:rsidP="00CF01CB">
      <w:pPr>
        <w:pStyle w:val="Heading2"/>
      </w:pPr>
      <w:r w:rsidRPr="003A61FF">
        <w:t>Final comment</w:t>
      </w:r>
    </w:p>
    <w:p w14:paraId="64ED122D" w14:textId="5EB14359" w:rsidR="00C272CE" w:rsidRDefault="00F00E10" w:rsidP="00C272CE">
      <w:pPr>
        <w:pStyle w:val="BodyText"/>
      </w:pPr>
      <w:r w:rsidRPr="00982FFB">
        <w:t xml:space="preserve">The checklist </w:t>
      </w:r>
      <w:r w:rsidR="00C272CE">
        <w:t>on the next page</w:t>
      </w:r>
      <w:r w:rsidRPr="00982FFB">
        <w:t xml:space="preserve"> is designed to help </w:t>
      </w:r>
      <w:r w:rsidR="001C322D">
        <w:t xml:space="preserve">you </w:t>
      </w:r>
      <w:r w:rsidRPr="00853674">
        <w:t xml:space="preserve">decide whether or not an amendment would require a Schedule 1 process. </w:t>
      </w:r>
      <w:r w:rsidR="00531435" w:rsidRPr="00853674">
        <w:t xml:space="preserve">We expect to update this, and other standards guidance, as we learn more from </w:t>
      </w:r>
      <w:r w:rsidR="001C322D">
        <w:t xml:space="preserve">your </w:t>
      </w:r>
      <w:r w:rsidR="00531435" w:rsidRPr="00853674">
        <w:t>experiences implementing the standards</w:t>
      </w:r>
      <w:r w:rsidRPr="00853674">
        <w:t>, and user groups working with plans</w:t>
      </w:r>
      <w:r w:rsidR="00531435" w:rsidRPr="00853674">
        <w:t>.</w:t>
      </w:r>
      <w:r w:rsidR="0062159C" w:rsidRPr="00853674">
        <w:t xml:space="preserve"> </w:t>
      </w:r>
      <w:r w:rsidR="00531435" w:rsidRPr="00853674">
        <w:t xml:space="preserve">Further support and examples may be also be </w:t>
      </w:r>
      <w:r w:rsidR="008A7BC5" w:rsidRPr="00853674">
        <w:t>available</w:t>
      </w:r>
      <w:r w:rsidR="00531435" w:rsidRPr="00853674">
        <w:t xml:space="preserve"> by checking </w:t>
      </w:r>
      <w:r w:rsidR="004504DA">
        <w:t xml:space="preserve">the RMA-PS discussion group </w:t>
      </w:r>
      <w:r w:rsidR="00531435" w:rsidRPr="00853674">
        <w:t xml:space="preserve">on </w:t>
      </w:r>
      <w:hyperlink r:id="rId9" w:history="1">
        <w:r w:rsidR="00531435" w:rsidRPr="00FD50BC">
          <w:rPr>
            <w:rStyle w:val="Hyperlink"/>
          </w:rPr>
          <w:t>the SOLGM LGConnect</w:t>
        </w:r>
      </w:hyperlink>
      <w:r w:rsidR="008A7BC5" w:rsidRPr="00853674">
        <w:t>.</w:t>
      </w:r>
    </w:p>
    <w:p w14:paraId="75DF2614" w14:textId="77777777" w:rsidR="00531435" w:rsidRDefault="00531435" w:rsidP="003A0E43">
      <w:pPr>
        <w:pStyle w:val="Heading2"/>
      </w:pPr>
      <w:r>
        <w:t>Checklist for consequential amendments</w:t>
      </w:r>
    </w:p>
    <w:p w14:paraId="0CC4D663" w14:textId="77777777" w:rsidR="00531435" w:rsidRPr="00853674" w:rsidRDefault="00C272CE" w:rsidP="001B2975">
      <w:pPr>
        <w:pStyle w:val="BodyText"/>
      </w:pPr>
      <w:r>
        <w:t xml:space="preserve">Use this checklist to test </w:t>
      </w:r>
      <w:r w:rsidR="00F00E10" w:rsidRPr="00853674">
        <w:t>if a consequential amendment may be</w:t>
      </w:r>
      <w:r w:rsidR="00531435" w:rsidRPr="00853674">
        <w:t xml:space="preserve"> within the scope of sect</w:t>
      </w:r>
      <w:r w:rsidR="00F00E10" w:rsidRPr="00853674">
        <w:t>ion 58I(3)(d)</w:t>
      </w:r>
      <w:r>
        <w:t>.</w:t>
      </w:r>
      <w:r w:rsidR="00531435" w:rsidRPr="00853674">
        <w:t xml:space="preserve"> </w:t>
      </w:r>
    </w:p>
    <w:tbl>
      <w:tblPr>
        <w:tblW w:w="9287" w:type="dxa"/>
        <w:tblBorders>
          <w:top w:val="single" w:sz="4" w:space="0" w:color="1C556C"/>
          <w:bottom w:val="single" w:sz="4" w:space="0" w:color="1C556C"/>
          <w:insideH w:val="single" w:sz="4" w:space="0" w:color="1C556C"/>
          <w:insideV w:val="single" w:sz="4" w:space="0" w:color="1C556C"/>
        </w:tblBorders>
        <w:tblLook w:val="04A0" w:firstRow="1" w:lastRow="0" w:firstColumn="1" w:lastColumn="0" w:noHBand="0" w:noVBand="1"/>
      </w:tblPr>
      <w:tblGrid>
        <w:gridCol w:w="3686"/>
        <w:gridCol w:w="1154"/>
        <w:gridCol w:w="4447"/>
      </w:tblGrid>
      <w:tr w:rsidR="00E2009B" w:rsidRPr="001363CE" w14:paraId="020DD2BA" w14:textId="77777777" w:rsidTr="001B2975">
        <w:trPr>
          <w:tblHeader/>
        </w:trPr>
        <w:tc>
          <w:tcPr>
            <w:tcW w:w="3686" w:type="dxa"/>
            <w:tcBorders>
              <w:bottom w:val="single" w:sz="4" w:space="0" w:color="1C556C"/>
            </w:tcBorders>
            <w:shd w:val="clear" w:color="auto" w:fill="2C9986"/>
          </w:tcPr>
          <w:p w14:paraId="76615706" w14:textId="77777777" w:rsidR="00E2009B" w:rsidRPr="001B2975" w:rsidRDefault="008A7630" w:rsidP="007E5617">
            <w:pPr>
              <w:pStyle w:val="TableTextbold"/>
              <w:rPr>
                <w:color w:val="FFFFFF"/>
                <w:sz w:val="24"/>
                <w:szCs w:val="24"/>
              </w:rPr>
            </w:pPr>
            <w:r w:rsidRPr="001B2975">
              <w:rPr>
                <w:color w:val="FFFFFF"/>
                <w:sz w:val="24"/>
                <w:szCs w:val="24"/>
              </w:rPr>
              <w:t>Question</w:t>
            </w:r>
          </w:p>
        </w:tc>
        <w:tc>
          <w:tcPr>
            <w:tcW w:w="1154" w:type="dxa"/>
            <w:tcBorders>
              <w:bottom w:val="single" w:sz="4" w:space="0" w:color="1C556C"/>
            </w:tcBorders>
            <w:shd w:val="clear" w:color="auto" w:fill="2C9986"/>
          </w:tcPr>
          <w:p w14:paraId="0F5470D3" w14:textId="77777777" w:rsidR="00E2009B" w:rsidRPr="001B2975" w:rsidRDefault="00E2009B" w:rsidP="007E5617">
            <w:pPr>
              <w:pStyle w:val="TableTextbold"/>
              <w:rPr>
                <w:color w:val="FFFFFF"/>
                <w:sz w:val="24"/>
                <w:szCs w:val="24"/>
              </w:rPr>
            </w:pPr>
            <w:r w:rsidRPr="001B2975">
              <w:rPr>
                <w:color w:val="FFFFFF"/>
                <w:sz w:val="24"/>
                <w:szCs w:val="24"/>
              </w:rPr>
              <w:t>Decision</w:t>
            </w:r>
          </w:p>
        </w:tc>
        <w:tc>
          <w:tcPr>
            <w:tcW w:w="4447" w:type="dxa"/>
            <w:tcBorders>
              <w:bottom w:val="single" w:sz="4" w:space="0" w:color="1C556C"/>
            </w:tcBorders>
            <w:shd w:val="clear" w:color="auto" w:fill="2C9986"/>
          </w:tcPr>
          <w:p w14:paraId="35791B01" w14:textId="77777777" w:rsidR="00E2009B" w:rsidRPr="001B2975" w:rsidRDefault="008A7630" w:rsidP="007E5617">
            <w:pPr>
              <w:pStyle w:val="TableTextbold"/>
              <w:rPr>
                <w:color w:val="FFFFFF"/>
                <w:sz w:val="24"/>
                <w:szCs w:val="24"/>
              </w:rPr>
            </w:pPr>
            <w:r w:rsidRPr="001B2975">
              <w:rPr>
                <w:color w:val="FFFFFF"/>
                <w:sz w:val="24"/>
                <w:szCs w:val="24"/>
              </w:rPr>
              <w:t>Comment</w:t>
            </w:r>
          </w:p>
        </w:tc>
      </w:tr>
      <w:tr w:rsidR="008A7630" w:rsidRPr="00887D2A" w14:paraId="7AE3FCFF" w14:textId="77777777" w:rsidTr="001B2975">
        <w:tc>
          <w:tcPr>
            <w:tcW w:w="3686" w:type="dxa"/>
            <w:shd w:val="clear" w:color="auto" w:fill="D9D9D9" w:themeFill="background1" w:themeFillShade="D9"/>
          </w:tcPr>
          <w:p w14:paraId="6759E97B" w14:textId="77777777" w:rsidR="008A7630" w:rsidRPr="007A0318" w:rsidRDefault="008A7630" w:rsidP="008A7630">
            <w:pPr>
              <w:pStyle w:val="TableText"/>
            </w:pPr>
            <w:r w:rsidRPr="007A0318">
              <w:t xml:space="preserve">Is the amendment directly required to comply with the </w:t>
            </w:r>
            <w:r>
              <w:t>s</w:t>
            </w:r>
            <w:r w:rsidRPr="007A0318">
              <w:t>tandards?</w:t>
            </w:r>
          </w:p>
          <w:p w14:paraId="7F5F1190" w14:textId="77777777" w:rsidR="008A7630" w:rsidRPr="00887D2A" w:rsidRDefault="008A7630" w:rsidP="00CF01CB">
            <w:pPr>
              <w:pStyle w:val="TableText"/>
            </w:pPr>
          </w:p>
        </w:tc>
        <w:tc>
          <w:tcPr>
            <w:tcW w:w="1154" w:type="dxa"/>
            <w:shd w:val="clear" w:color="auto" w:fill="D9D9D9" w:themeFill="background1" w:themeFillShade="D9"/>
          </w:tcPr>
          <w:p w14:paraId="7D31B825" w14:textId="77777777" w:rsidR="008A7630" w:rsidRPr="00887D2A" w:rsidRDefault="008A7630" w:rsidP="008A7630">
            <w:pPr>
              <w:pStyle w:val="TableText"/>
            </w:pPr>
            <w:r w:rsidRPr="007A0318">
              <w:t>Yes</w:t>
            </w:r>
          </w:p>
        </w:tc>
        <w:tc>
          <w:tcPr>
            <w:tcW w:w="4447" w:type="dxa"/>
            <w:shd w:val="clear" w:color="auto" w:fill="D9D9D9" w:themeFill="background1" w:themeFillShade="D9"/>
          </w:tcPr>
          <w:p w14:paraId="777266F0" w14:textId="6B1B3184" w:rsidR="008A7630" w:rsidRPr="00887D2A" w:rsidRDefault="00F00E10" w:rsidP="008A7630">
            <w:pPr>
              <w:pStyle w:val="TableText"/>
            </w:pPr>
            <w:r>
              <w:t>This is a primary</w:t>
            </w:r>
            <w:r w:rsidR="008A7630" w:rsidRPr="007A0318">
              <w:t xml:space="preserve"> amendment.</w:t>
            </w:r>
            <w:r w:rsidR="0062159C">
              <w:t xml:space="preserve"> </w:t>
            </w:r>
            <w:r w:rsidR="008A7630" w:rsidRPr="007A0318">
              <w:t>No further consideration required</w:t>
            </w:r>
            <w:r w:rsidR="008A7630">
              <w:t>.</w:t>
            </w:r>
          </w:p>
        </w:tc>
      </w:tr>
      <w:tr w:rsidR="00C568BB" w:rsidRPr="001363CE" w14:paraId="7C5C721A" w14:textId="77777777" w:rsidTr="001B2975">
        <w:tc>
          <w:tcPr>
            <w:tcW w:w="3686" w:type="dxa"/>
            <w:shd w:val="clear" w:color="auto" w:fill="6DD5C2" w:themeFill="accent4" w:themeFillTint="99"/>
          </w:tcPr>
          <w:p w14:paraId="176DAD90" w14:textId="77777777" w:rsidR="00C568BB" w:rsidRPr="001B2975" w:rsidRDefault="00C568BB" w:rsidP="00E752BD">
            <w:pPr>
              <w:pStyle w:val="TableText"/>
              <w:rPr>
                <w:b/>
                <w:sz w:val="20"/>
                <w:szCs w:val="20"/>
              </w:rPr>
            </w:pPr>
            <w:r w:rsidRPr="001B2975">
              <w:rPr>
                <w:b/>
                <w:sz w:val="20"/>
                <w:szCs w:val="20"/>
              </w:rPr>
              <w:t xml:space="preserve">Requirement </w:t>
            </w:r>
          </w:p>
        </w:tc>
        <w:tc>
          <w:tcPr>
            <w:tcW w:w="1154" w:type="dxa"/>
            <w:shd w:val="clear" w:color="auto" w:fill="6DD5C2" w:themeFill="accent4" w:themeFillTint="99"/>
          </w:tcPr>
          <w:p w14:paraId="65A82894" w14:textId="77777777" w:rsidR="00C568BB" w:rsidRPr="001B2975" w:rsidRDefault="00C568BB" w:rsidP="008A7630">
            <w:pPr>
              <w:pStyle w:val="TableText"/>
              <w:rPr>
                <w:sz w:val="20"/>
                <w:szCs w:val="20"/>
              </w:rPr>
            </w:pPr>
          </w:p>
        </w:tc>
        <w:tc>
          <w:tcPr>
            <w:tcW w:w="4447" w:type="dxa"/>
            <w:shd w:val="clear" w:color="auto" w:fill="6DD5C2" w:themeFill="accent4" w:themeFillTint="99"/>
          </w:tcPr>
          <w:p w14:paraId="7F29A99A" w14:textId="77777777" w:rsidR="00C568BB" w:rsidRPr="001B2975" w:rsidRDefault="00C568BB" w:rsidP="00600F14">
            <w:pPr>
              <w:pStyle w:val="TableText"/>
              <w:rPr>
                <w:sz w:val="20"/>
                <w:szCs w:val="20"/>
              </w:rPr>
            </w:pPr>
          </w:p>
        </w:tc>
      </w:tr>
      <w:tr w:rsidR="008A7630" w:rsidRPr="00887D2A" w14:paraId="26D53198" w14:textId="77777777" w:rsidTr="001B2975">
        <w:tc>
          <w:tcPr>
            <w:tcW w:w="3686" w:type="dxa"/>
            <w:shd w:val="clear" w:color="auto" w:fill="auto"/>
          </w:tcPr>
          <w:p w14:paraId="019244B6" w14:textId="77777777" w:rsidR="008A7630" w:rsidRPr="008A7630" w:rsidRDefault="008A7630" w:rsidP="00E752BD">
            <w:pPr>
              <w:pStyle w:val="TableText"/>
            </w:pPr>
            <w:r w:rsidRPr="007A0318">
              <w:t xml:space="preserve">Does the </w:t>
            </w:r>
            <w:r w:rsidR="000324D7">
              <w:t xml:space="preserve">proposed consequential </w:t>
            </w:r>
            <w:r w:rsidRPr="007A0318">
              <w:t xml:space="preserve">amendment follow as a result of the </w:t>
            </w:r>
            <w:r w:rsidR="00E752BD">
              <w:t xml:space="preserve">primary </w:t>
            </w:r>
            <w:r w:rsidRPr="007A0318">
              <w:t xml:space="preserve">amendment </w:t>
            </w:r>
            <w:r w:rsidR="00724C43">
              <w:t xml:space="preserve">required </w:t>
            </w:r>
            <w:r w:rsidR="00724C43" w:rsidRPr="007A0318">
              <w:t>by</w:t>
            </w:r>
            <w:r w:rsidRPr="007A0318">
              <w:t xml:space="preserve"> the </w:t>
            </w:r>
            <w:r>
              <w:t>s</w:t>
            </w:r>
            <w:r w:rsidRPr="007A0318">
              <w:t>tandards?</w:t>
            </w:r>
          </w:p>
        </w:tc>
        <w:tc>
          <w:tcPr>
            <w:tcW w:w="1154" w:type="dxa"/>
          </w:tcPr>
          <w:p w14:paraId="6362B7EE" w14:textId="77777777" w:rsidR="008A7630" w:rsidRPr="00887D2A" w:rsidRDefault="008A7630" w:rsidP="008A7630">
            <w:pPr>
              <w:pStyle w:val="TableText"/>
            </w:pPr>
            <w:r w:rsidRPr="007A0318">
              <w:t>Yes</w:t>
            </w:r>
          </w:p>
        </w:tc>
        <w:tc>
          <w:tcPr>
            <w:tcW w:w="4447" w:type="dxa"/>
            <w:shd w:val="clear" w:color="auto" w:fill="auto"/>
          </w:tcPr>
          <w:p w14:paraId="5D37200B" w14:textId="77777777" w:rsidR="008A7630" w:rsidRPr="00887D2A" w:rsidRDefault="00243D4F" w:rsidP="00600F14">
            <w:pPr>
              <w:pStyle w:val="TableText"/>
            </w:pPr>
            <w:r>
              <w:t>Record w</w:t>
            </w:r>
            <w:r w:rsidR="008A7630" w:rsidRPr="007A0318">
              <w:t xml:space="preserve">hich provision of the </w:t>
            </w:r>
            <w:r w:rsidR="008A7630">
              <w:t>s</w:t>
            </w:r>
            <w:r w:rsidR="008A7630" w:rsidRPr="007A0318">
              <w:t>tandards</w:t>
            </w:r>
            <w:r>
              <w:t xml:space="preserve"> and plan triggers the amendment</w:t>
            </w:r>
            <w:r w:rsidR="00E752BD">
              <w:t xml:space="preserve">. </w:t>
            </w:r>
          </w:p>
        </w:tc>
      </w:tr>
      <w:tr w:rsidR="00C568BB" w:rsidRPr="001363CE" w14:paraId="2CC9C8DD" w14:textId="77777777" w:rsidTr="001B2975">
        <w:tc>
          <w:tcPr>
            <w:tcW w:w="3686" w:type="dxa"/>
            <w:shd w:val="clear" w:color="auto" w:fill="CEF1EA" w:themeFill="accent4" w:themeFillTint="33"/>
          </w:tcPr>
          <w:p w14:paraId="5BDC67C3" w14:textId="77777777" w:rsidR="00C568BB" w:rsidRPr="001B2975" w:rsidRDefault="00C568BB" w:rsidP="00F70AC9">
            <w:pPr>
              <w:pStyle w:val="TableText"/>
              <w:rPr>
                <w:b/>
                <w:sz w:val="20"/>
                <w:szCs w:val="20"/>
              </w:rPr>
            </w:pPr>
            <w:r w:rsidRPr="001B2975">
              <w:rPr>
                <w:b/>
                <w:sz w:val="20"/>
                <w:szCs w:val="20"/>
              </w:rPr>
              <w:t xml:space="preserve">Indicating factor </w:t>
            </w:r>
          </w:p>
        </w:tc>
        <w:tc>
          <w:tcPr>
            <w:tcW w:w="1154" w:type="dxa"/>
            <w:shd w:val="clear" w:color="auto" w:fill="CEF1EA" w:themeFill="accent4" w:themeFillTint="33"/>
          </w:tcPr>
          <w:p w14:paraId="318591FC" w14:textId="77777777" w:rsidR="00C568BB" w:rsidRPr="001B2975" w:rsidRDefault="00C568BB" w:rsidP="00F70AC9">
            <w:pPr>
              <w:pStyle w:val="TableText"/>
              <w:rPr>
                <w:sz w:val="20"/>
                <w:szCs w:val="20"/>
              </w:rPr>
            </w:pPr>
          </w:p>
        </w:tc>
        <w:tc>
          <w:tcPr>
            <w:tcW w:w="4447" w:type="dxa"/>
            <w:shd w:val="clear" w:color="auto" w:fill="CEF1EA" w:themeFill="accent4" w:themeFillTint="33"/>
          </w:tcPr>
          <w:p w14:paraId="6C3E4AD5" w14:textId="77777777" w:rsidR="00C568BB" w:rsidRPr="001B2975" w:rsidRDefault="00C568BB" w:rsidP="00F70AC9">
            <w:pPr>
              <w:pStyle w:val="TableText"/>
              <w:rPr>
                <w:sz w:val="20"/>
                <w:szCs w:val="20"/>
              </w:rPr>
            </w:pPr>
          </w:p>
        </w:tc>
      </w:tr>
      <w:tr w:rsidR="00F70AC9" w:rsidRPr="00887D2A" w14:paraId="42DEE211" w14:textId="77777777" w:rsidTr="001B2975">
        <w:tc>
          <w:tcPr>
            <w:tcW w:w="3686" w:type="dxa"/>
            <w:shd w:val="clear" w:color="auto" w:fill="auto"/>
          </w:tcPr>
          <w:p w14:paraId="542B86F3" w14:textId="77777777" w:rsidR="00F70AC9" w:rsidRPr="007A0318" w:rsidRDefault="00F70AC9" w:rsidP="00F70AC9">
            <w:pPr>
              <w:pStyle w:val="TableText"/>
            </w:pPr>
            <w:r w:rsidRPr="007A0318">
              <w:t xml:space="preserve">Is the </w:t>
            </w:r>
            <w:r w:rsidRPr="000324D7">
              <w:t xml:space="preserve">proposed consequential </w:t>
            </w:r>
            <w:r w:rsidRPr="007A0318">
              <w:t xml:space="preserve">amendment a </w:t>
            </w:r>
            <w:r w:rsidRPr="007A0318">
              <w:rPr>
                <w:i/>
              </w:rPr>
              <w:t xml:space="preserve">logical and reasonably </w:t>
            </w:r>
            <w:r w:rsidR="001363CE" w:rsidRPr="007A0318">
              <w:rPr>
                <w:i/>
              </w:rPr>
              <w:t>foreseeable</w:t>
            </w:r>
            <w:r w:rsidRPr="007A0318">
              <w:rPr>
                <w:i/>
              </w:rPr>
              <w:t xml:space="preserve"> </w:t>
            </w:r>
            <w:r w:rsidRPr="007A0318">
              <w:t>result of the primary amendment</w:t>
            </w:r>
            <w:r>
              <w:t>s?</w:t>
            </w:r>
          </w:p>
        </w:tc>
        <w:tc>
          <w:tcPr>
            <w:tcW w:w="1154" w:type="dxa"/>
          </w:tcPr>
          <w:p w14:paraId="24E4E8C1" w14:textId="77777777" w:rsidR="00F70AC9" w:rsidRPr="007A0318" w:rsidRDefault="00F70AC9" w:rsidP="00F70AC9">
            <w:pPr>
              <w:pStyle w:val="TableText"/>
            </w:pPr>
            <w:r w:rsidRPr="007A0318">
              <w:t>Yes</w:t>
            </w:r>
          </w:p>
        </w:tc>
        <w:tc>
          <w:tcPr>
            <w:tcW w:w="4447" w:type="dxa"/>
            <w:shd w:val="clear" w:color="auto" w:fill="auto"/>
          </w:tcPr>
          <w:p w14:paraId="7CC1EABC" w14:textId="77777777" w:rsidR="00F70AC9" w:rsidRDefault="00F70AC9" w:rsidP="00F70AC9">
            <w:pPr>
              <w:pStyle w:val="TableText"/>
            </w:pPr>
            <w:r>
              <w:t xml:space="preserve">Is it more than just desirable? </w:t>
            </w:r>
          </w:p>
          <w:p w14:paraId="36571819" w14:textId="77777777" w:rsidR="00F70AC9" w:rsidRDefault="00F70AC9" w:rsidP="00F70AC9">
            <w:pPr>
              <w:pStyle w:val="TableText"/>
            </w:pPr>
            <w:r w:rsidRPr="007A0318">
              <w:t xml:space="preserve">Does it align with the scope and intent of the </w:t>
            </w:r>
            <w:r>
              <w:t>s</w:t>
            </w:r>
            <w:r w:rsidRPr="007A0318">
              <w:t>tandards amendment?</w:t>
            </w:r>
          </w:p>
          <w:p w14:paraId="46443CD7" w14:textId="0D479229" w:rsidR="00F70AC9" w:rsidRPr="007A0318" w:rsidRDefault="00F70AC9" w:rsidP="00F70AC9">
            <w:pPr>
              <w:pStyle w:val="TableText"/>
            </w:pPr>
            <w:r>
              <w:t>Is it consistent with retaining the nature and effect of the rule framework unaltered?</w:t>
            </w:r>
            <w:r w:rsidR="0062159C">
              <w:t xml:space="preserve"> </w:t>
            </w:r>
          </w:p>
        </w:tc>
      </w:tr>
      <w:tr w:rsidR="00C568BB" w:rsidRPr="001363CE" w14:paraId="37622490" w14:textId="77777777" w:rsidTr="001B2975">
        <w:tc>
          <w:tcPr>
            <w:tcW w:w="3686" w:type="dxa"/>
            <w:shd w:val="clear" w:color="auto" w:fill="6DD5C2" w:themeFill="accent4" w:themeFillTint="99"/>
          </w:tcPr>
          <w:p w14:paraId="7B937778" w14:textId="77777777" w:rsidR="00C568BB" w:rsidRPr="001B2975" w:rsidRDefault="00C568BB" w:rsidP="00F70AC9">
            <w:pPr>
              <w:pStyle w:val="TableText"/>
              <w:rPr>
                <w:b/>
                <w:sz w:val="20"/>
                <w:szCs w:val="20"/>
              </w:rPr>
            </w:pPr>
            <w:r w:rsidRPr="001B2975">
              <w:rPr>
                <w:b/>
                <w:sz w:val="20"/>
                <w:szCs w:val="20"/>
              </w:rPr>
              <w:t xml:space="preserve">Requirements </w:t>
            </w:r>
          </w:p>
        </w:tc>
        <w:tc>
          <w:tcPr>
            <w:tcW w:w="1154" w:type="dxa"/>
            <w:shd w:val="clear" w:color="auto" w:fill="6DD5C2" w:themeFill="accent4" w:themeFillTint="99"/>
          </w:tcPr>
          <w:p w14:paraId="635B39DE" w14:textId="77777777" w:rsidR="00C568BB" w:rsidRPr="001B2975" w:rsidRDefault="00C568BB" w:rsidP="00F70AC9">
            <w:pPr>
              <w:pStyle w:val="TableText"/>
              <w:rPr>
                <w:sz w:val="20"/>
                <w:szCs w:val="20"/>
              </w:rPr>
            </w:pPr>
          </w:p>
        </w:tc>
        <w:tc>
          <w:tcPr>
            <w:tcW w:w="4447" w:type="dxa"/>
            <w:shd w:val="clear" w:color="auto" w:fill="6DD5C2" w:themeFill="accent4" w:themeFillTint="99"/>
          </w:tcPr>
          <w:p w14:paraId="3DC7DC7B" w14:textId="77777777" w:rsidR="00C568BB" w:rsidRPr="001B2975" w:rsidRDefault="00C568BB" w:rsidP="00F70AC9">
            <w:pPr>
              <w:pStyle w:val="TableText"/>
              <w:rPr>
                <w:sz w:val="20"/>
                <w:szCs w:val="20"/>
              </w:rPr>
            </w:pPr>
          </w:p>
        </w:tc>
      </w:tr>
      <w:tr w:rsidR="00F70AC9" w:rsidRPr="00887D2A" w14:paraId="3A8FE880" w14:textId="77777777" w:rsidTr="001B2975">
        <w:tc>
          <w:tcPr>
            <w:tcW w:w="3686" w:type="dxa"/>
            <w:shd w:val="clear" w:color="auto" w:fill="auto"/>
          </w:tcPr>
          <w:p w14:paraId="4B2185E6" w14:textId="77777777" w:rsidR="00F70AC9" w:rsidRPr="008A7630" w:rsidRDefault="00F70AC9" w:rsidP="00F70AC9">
            <w:pPr>
              <w:pStyle w:val="TableText"/>
            </w:pPr>
            <w:r w:rsidRPr="007A0318">
              <w:t xml:space="preserve">Does the </w:t>
            </w:r>
            <w:r>
              <w:t xml:space="preserve">proposed consequential </w:t>
            </w:r>
            <w:r w:rsidRPr="007A0318">
              <w:t xml:space="preserve">amendment avoid </w:t>
            </w:r>
            <w:r w:rsidRPr="007A0318">
              <w:rPr>
                <w:i/>
              </w:rPr>
              <w:t>duplication</w:t>
            </w:r>
            <w:r w:rsidRPr="007A0318">
              <w:t xml:space="preserve"> or </w:t>
            </w:r>
            <w:r>
              <w:t xml:space="preserve">does it avoid </w:t>
            </w:r>
            <w:r w:rsidRPr="007A0318">
              <w:rPr>
                <w:i/>
              </w:rPr>
              <w:t>conflict</w:t>
            </w:r>
            <w:r w:rsidRPr="00591D28">
              <w:t>, where those are caused by an amendment required by the standards?</w:t>
            </w:r>
          </w:p>
        </w:tc>
        <w:tc>
          <w:tcPr>
            <w:tcW w:w="1154" w:type="dxa"/>
          </w:tcPr>
          <w:p w14:paraId="601A9D5F" w14:textId="77777777" w:rsidR="00F70AC9" w:rsidRPr="00887D2A" w:rsidRDefault="00F70AC9" w:rsidP="00F70AC9">
            <w:pPr>
              <w:pStyle w:val="TableText"/>
            </w:pPr>
            <w:r w:rsidRPr="007A0318">
              <w:t>Yes</w:t>
            </w:r>
          </w:p>
        </w:tc>
        <w:tc>
          <w:tcPr>
            <w:tcW w:w="4447" w:type="dxa"/>
            <w:shd w:val="clear" w:color="auto" w:fill="auto"/>
          </w:tcPr>
          <w:p w14:paraId="78143706" w14:textId="0DBEF674" w:rsidR="00F70AC9" w:rsidRPr="00887D2A" w:rsidRDefault="00F70AC9" w:rsidP="00F70AC9">
            <w:pPr>
              <w:pStyle w:val="TableText"/>
            </w:pPr>
            <w:r w:rsidRPr="007A0318">
              <w:t>State which one, and how the amendment avoids the duplication or conflict</w:t>
            </w:r>
            <w:r>
              <w:t>.</w:t>
            </w:r>
            <w:r w:rsidR="0062159C">
              <w:t xml:space="preserve"> </w:t>
            </w:r>
          </w:p>
        </w:tc>
      </w:tr>
      <w:tr w:rsidR="00F70AC9" w:rsidRPr="00887D2A" w14:paraId="3BE41795" w14:textId="77777777" w:rsidTr="001B2975">
        <w:tc>
          <w:tcPr>
            <w:tcW w:w="3686" w:type="dxa"/>
            <w:shd w:val="clear" w:color="auto" w:fill="auto"/>
          </w:tcPr>
          <w:p w14:paraId="3DD75223" w14:textId="77777777" w:rsidR="00F70AC9" w:rsidRPr="008A7630" w:rsidRDefault="00F70AC9" w:rsidP="00F70AC9">
            <w:pPr>
              <w:pStyle w:val="TableText"/>
            </w:pPr>
            <w:r w:rsidRPr="007A0318">
              <w:t xml:space="preserve">Is the </w:t>
            </w:r>
            <w:r w:rsidRPr="000324D7">
              <w:t xml:space="preserve">proposed consequential </w:t>
            </w:r>
            <w:r w:rsidRPr="007A0318">
              <w:t xml:space="preserve">amendment </w:t>
            </w:r>
            <w:r w:rsidRPr="007A0318">
              <w:rPr>
                <w:i/>
              </w:rPr>
              <w:t xml:space="preserve">necessary </w:t>
            </w:r>
            <w:r w:rsidRPr="007A0318">
              <w:t>for avoiding this duplication or conflict?</w:t>
            </w:r>
          </w:p>
        </w:tc>
        <w:tc>
          <w:tcPr>
            <w:tcW w:w="1154" w:type="dxa"/>
          </w:tcPr>
          <w:p w14:paraId="0876E82D" w14:textId="77777777" w:rsidR="00F70AC9" w:rsidRPr="00887D2A" w:rsidRDefault="00F70AC9" w:rsidP="00F70AC9">
            <w:pPr>
              <w:pStyle w:val="TableText"/>
            </w:pPr>
            <w:r w:rsidRPr="007A0318">
              <w:t>Yes</w:t>
            </w:r>
          </w:p>
        </w:tc>
        <w:tc>
          <w:tcPr>
            <w:tcW w:w="4447" w:type="dxa"/>
            <w:shd w:val="clear" w:color="auto" w:fill="auto"/>
          </w:tcPr>
          <w:p w14:paraId="54B5C98F" w14:textId="77777777" w:rsidR="00C07A07" w:rsidRDefault="00C07A07" w:rsidP="00F70AC9">
            <w:pPr>
              <w:pStyle w:val="TableText"/>
            </w:pPr>
            <w:r>
              <w:t xml:space="preserve">Is it more than just desirable? </w:t>
            </w:r>
          </w:p>
          <w:p w14:paraId="5D024A2A" w14:textId="3F6C4729" w:rsidR="00F70AC9" w:rsidRPr="008A7630" w:rsidRDefault="00F70AC9" w:rsidP="00F70AC9">
            <w:pPr>
              <w:pStyle w:val="TableText"/>
            </w:pPr>
            <w:r w:rsidRPr="007A0318">
              <w:t>Are there any other ways that the duplication or conflict could be resolved?</w:t>
            </w:r>
            <w:r w:rsidR="0062159C">
              <w:t xml:space="preserve"> </w:t>
            </w:r>
            <w:r w:rsidRPr="007A0318">
              <w:t>Are any of them practical?</w:t>
            </w:r>
            <w:r w:rsidR="0062159C">
              <w:t xml:space="preserve"> </w:t>
            </w:r>
            <w:r w:rsidRPr="007A0318">
              <w:t>What are the risks and benefits?</w:t>
            </w:r>
          </w:p>
        </w:tc>
      </w:tr>
      <w:tr w:rsidR="00C07A07" w:rsidRPr="001363CE" w14:paraId="3E323E4A" w14:textId="77777777" w:rsidTr="001B2975">
        <w:tc>
          <w:tcPr>
            <w:tcW w:w="3686" w:type="dxa"/>
            <w:shd w:val="clear" w:color="auto" w:fill="CEF1EA" w:themeFill="accent4" w:themeFillTint="33"/>
          </w:tcPr>
          <w:p w14:paraId="38697F4E" w14:textId="77777777" w:rsidR="00C07A07" w:rsidRPr="001B2975" w:rsidRDefault="00C07A07" w:rsidP="00C07A07">
            <w:pPr>
              <w:pStyle w:val="TableText"/>
              <w:rPr>
                <w:b/>
                <w:sz w:val="20"/>
                <w:szCs w:val="20"/>
              </w:rPr>
            </w:pPr>
            <w:r w:rsidRPr="001B2975">
              <w:rPr>
                <w:b/>
                <w:sz w:val="20"/>
                <w:szCs w:val="20"/>
              </w:rPr>
              <w:t xml:space="preserve">Indicating factors </w:t>
            </w:r>
          </w:p>
        </w:tc>
        <w:tc>
          <w:tcPr>
            <w:tcW w:w="1154" w:type="dxa"/>
            <w:shd w:val="clear" w:color="auto" w:fill="CEF1EA" w:themeFill="accent4" w:themeFillTint="33"/>
          </w:tcPr>
          <w:p w14:paraId="42459473" w14:textId="77777777" w:rsidR="00C07A07" w:rsidRPr="001B2975" w:rsidRDefault="00C07A07" w:rsidP="00F70AC9">
            <w:pPr>
              <w:pStyle w:val="TableText"/>
              <w:rPr>
                <w:sz w:val="20"/>
                <w:szCs w:val="20"/>
              </w:rPr>
            </w:pPr>
          </w:p>
        </w:tc>
        <w:tc>
          <w:tcPr>
            <w:tcW w:w="4447" w:type="dxa"/>
            <w:shd w:val="clear" w:color="auto" w:fill="CEF1EA" w:themeFill="accent4" w:themeFillTint="33"/>
          </w:tcPr>
          <w:p w14:paraId="025CD3B3" w14:textId="77777777" w:rsidR="00C07A07" w:rsidRPr="001B2975" w:rsidRDefault="00C07A07" w:rsidP="00F70AC9">
            <w:pPr>
              <w:pStyle w:val="TableText"/>
              <w:rPr>
                <w:sz w:val="20"/>
                <w:szCs w:val="20"/>
              </w:rPr>
            </w:pPr>
          </w:p>
        </w:tc>
      </w:tr>
      <w:tr w:rsidR="00F70AC9" w:rsidRPr="00887D2A" w14:paraId="59F2430A" w14:textId="77777777" w:rsidTr="001B2975">
        <w:tc>
          <w:tcPr>
            <w:tcW w:w="3686" w:type="dxa"/>
            <w:shd w:val="clear" w:color="auto" w:fill="auto"/>
          </w:tcPr>
          <w:p w14:paraId="288C6292" w14:textId="77777777" w:rsidR="00F70AC9" w:rsidRPr="007A0318" w:rsidRDefault="00F70AC9" w:rsidP="00F70AC9">
            <w:pPr>
              <w:pStyle w:val="TableText"/>
            </w:pPr>
            <w:r w:rsidRPr="007A0318">
              <w:t xml:space="preserve">Does the </w:t>
            </w:r>
            <w:r w:rsidRPr="000324D7">
              <w:t xml:space="preserve">proposed consequential </w:t>
            </w:r>
            <w:r w:rsidRPr="007A0318">
              <w:t xml:space="preserve">amendment occur </w:t>
            </w:r>
            <w:r>
              <w:t xml:space="preserve">at the same or </w:t>
            </w:r>
            <w:r w:rsidRPr="007A0318">
              <w:t xml:space="preserve">lower </w:t>
            </w:r>
            <w:r>
              <w:t xml:space="preserve">level </w:t>
            </w:r>
            <w:r w:rsidRPr="007A0318">
              <w:t>in the planning cascade</w:t>
            </w:r>
            <w:r>
              <w:t xml:space="preserve"> than the primary amendment</w:t>
            </w:r>
            <w:r w:rsidRPr="007A0318">
              <w:t xml:space="preserve"> (eg</w:t>
            </w:r>
            <w:r w:rsidR="00C272CE">
              <w:t>,</w:t>
            </w:r>
            <w:r w:rsidRPr="007A0318">
              <w:t xml:space="preserve"> methods)?</w:t>
            </w:r>
          </w:p>
          <w:p w14:paraId="2CAE42AC" w14:textId="77777777" w:rsidR="00F70AC9" w:rsidRDefault="00F70AC9" w:rsidP="00F70AC9">
            <w:pPr>
              <w:pStyle w:val="TableText"/>
            </w:pPr>
            <w:r w:rsidRPr="007A0318">
              <w:t>Is the orthodox planning cascade maintained?</w:t>
            </w:r>
          </w:p>
          <w:p w14:paraId="34408CD6" w14:textId="77777777" w:rsidR="00F70AC9" w:rsidRPr="008A7630" w:rsidRDefault="00F70AC9" w:rsidP="00C272CE">
            <w:pPr>
              <w:pStyle w:val="TableText"/>
            </w:pPr>
            <w:r>
              <w:t xml:space="preserve">Is </w:t>
            </w:r>
            <w:r w:rsidRPr="006C63DD">
              <w:t xml:space="preserve">the </w:t>
            </w:r>
            <w:r w:rsidRPr="000324D7">
              <w:t xml:space="preserve">proposed consequential </w:t>
            </w:r>
            <w:r w:rsidRPr="006C63DD">
              <w:t xml:space="preserve">amendment necessary to ensure the primary amendment </w:t>
            </w:r>
            <w:r w:rsidRPr="006C63DD">
              <w:lastRenderedPageBreak/>
              <w:t xml:space="preserve">required by the </w:t>
            </w:r>
            <w:r>
              <w:t>s</w:t>
            </w:r>
            <w:r w:rsidRPr="006C63DD">
              <w:t>tandards, including the intent behind it, is fully adopted</w:t>
            </w:r>
            <w:r>
              <w:t>?</w:t>
            </w:r>
          </w:p>
        </w:tc>
        <w:tc>
          <w:tcPr>
            <w:tcW w:w="1154" w:type="dxa"/>
          </w:tcPr>
          <w:p w14:paraId="2B67CB1B" w14:textId="77777777" w:rsidR="00F70AC9" w:rsidRPr="00887D2A" w:rsidRDefault="00F70AC9" w:rsidP="00F70AC9">
            <w:pPr>
              <w:pStyle w:val="TableText"/>
            </w:pPr>
            <w:r w:rsidRPr="007A0318">
              <w:lastRenderedPageBreak/>
              <w:t>Yes</w:t>
            </w:r>
          </w:p>
        </w:tc>
        <w:tc>
          <w:tcPr>
            <w:tcW w:w="4447" w:type="dxa"/>
            <w:shd w:val="clear" w:color="auto" w:fill="auto"/>
          </w:tcPr>
          <w:p w14:paraId="47E78AB9" w14:textId="77777777" w:rsidR="00F70AC9" w:rsidRDefault="00F70AC9" w:rsidP="00F70AC9">
            <w:pPr>
              <w:pStyle w:val="TableText"/>
            </w:pPr>
            <w:r w:rsidRPr="007A0318">
              <w:t xml:space="preserve">“The tail should not wag the dog” – objectives and policies drive methods of implementation, not the other way around. </w:t>
            </w:r>
          </w:p>
          <w:p w14:paraId="18C1B2BA" w14:textId="7A37BFC4" w:rsidR="00C07A07" w:rsidRPr="00887D2A" w:rsidRDefault="00C07A07" w:rsidP="00093E9F">
            <w:pPr>
              <w:pStyle w:val="TableText"/>
            </w:pPr>
            <w:r>
              <w:t>If the primary amendment is to a rule or a definition</w:t>
            </w:r>
            <w:r w:rsidR="004376FA">
              <w:t>,</w:t>
            </w:r>
            <w:r>
              <w:t xml:space="preserve"> it may be difficult to justify </w:t>
            </w:r>
            <w:r w:rsidR="00093E9F">
              <w:t xml:space="preserve">a change to objectives and policies </w:t>
            </w:r>
            <w:r>
              <w:t>as ‘consequential’</w:t>
            </w:r>
            <w:r w:rsidR="00093E9F">
              <w:t>;</w:t>
            </w:r>
            <w:r w:rsidR="0062159C">
              <w:t xml:space="preserve"> </w:t>
            </w:r>
            <w:r>
              <w:t xml:space="preserve"> </w:t>
            </w:r>
            <w:r w:rsidR="00093E9F">
              <w:t>a</w:t>
            </w:r>
            <w:r>
              <w:t>lthough this may be the case in some circumstances.</w:t>
            </w:r>
            <w:r w:rsidR="0062159C">
              <w:t xml:space="preserve"> </w:t>
            </w:r>
          </w:p>
        </w:tc>
      </w:tr>
      <w:tr w:rsidR="00F70AC9" w:rsidRPr="00887D2A" w14:paraId="319031A1" w14:textId="77777777" w:rsidTr="001B2975">
        <w:tc>
          <w:tcPr>
            <w:tcW w:w="3686" w:type="dxa"/>
            <w:shd w:val="clear" w:color="auto" w:fill="auto"/>
          </w:tcPr>
          <w:p w14:paraId="3E02BCB0" w14:textId="77777777" w:rsidR="00F70AC9" w:rsidRPr="007A0318" w:rsidRDefault="00F70AC9" w:rsidP="00F70AC9">
            <w:pPr>
              <w:pStyle w:val="TableText"/>
            </w:pPr>
            <w:r w:rsidRPr="007A0318">
              <w:t xml:space="preserve">Does the </w:t>
            </w:r>
            <w:r w:rsidRPr="000324D7">
              <w:t xml:space="preserve">proposed consequential </w:t>
            </w:r>
            <w:r w:rsidRPr="007A0318">
              <w:t>amendment enlarge the primary amendment or affect private property rights</w:t>
            </w:r>
            <w:r w:rsidR="00C272CE">
              <w:t xml:space="preserve"> and/or </w:t>
            </w:r>
            <w:r w:rsidRPr="007A0318">
              <w:t>use of land?</w:t>
            </w:r>
          </w:p>
          <w:p w14:paraId="0A0D6E8D" w14:textId="77777777" w:rsidR="00F70AC9" w:rsidRPr="00887D2A" w:rsidRDefault="00F70AC9" w:rsidP="00F70AC9">
            <w:pPr>
              <w:pStyle w:val="TableText"/>
            </w:pPr>
            <w:r w:rsidRPr="007A0318">
              <w:t>Are the effects of the amendment otherwise significant?</w:t>
            </w:r>
          </w:p>
        </w:tc>
        <w:tc>
          <w:tcPr>
            <w:tcW w:w="1154" w:type="dxa"/>
          </w:tcPr>
          <w:p w14:paraId="4056DD0E" w14:textId="77777777" w:rsidR="00F70AC9" w:rsidRPr="00887D2A" w:rsidRDefault="00F70AC9" w:rsidP="00F70AC9">
            <w:pPr>
              <w:pStyle w:val="TableText"/>
            </w:pPr>
            <w:r w:rsidRPr="007A0318">
              <w:t>No</w:t>
            </w:r>
          </w:p>
        </w:tc>
        <w:tc>
          <w:tcPr>
            <w:tcW w:w="4447" w:type="dxa"/>
            <w:shd w:val="clear" w:color="auto" w:fill="auto"/>
          </w:tcPr>
          <w:p w14:paraId="5F6B4703" w14:textId="77777777" w:rsidR="00F70AC9" w:rsidRPr="00887D2A" w:rsidRDefault="00F70AC9" w:rsidP="00F70AC9">
            <w:pPr>
              <w:pStyle w:val="TableText"/>
            </w:pPr>
            <w:r w:rsidRPr="007A0318">
              <w:t>If yes, seek legal advice</w:t>
            </w:r>
            <w:r>
              <w:t>.</w:t>
            </w:r>
          </w:p>
        </w:tc>
      </w:tr>
      <w:tr w:rsidR="00F70AC9" w:rsidRPr="00887D2A" w14:paraId="36D92992" w14:textId="77777777" w:rsidTr="001B2975">
        <w:tc>
          <w:tcPr>
            <w:tcW w:w="3686" w:type="dxa"/>
            <w:shd w:val="clear" w:color="auto" w:fill="auto"/>
          </w:tcPr>
          <w:p w14:paraId="03CCCAC7" w14:textId="77777777" w:rsidR="00F70AC9" w:rsidRPr="008A7630" w:rsidRDefault="00F70AC9" w:rsidP="00F70AC9">
            <w:pPr>
              <w:pStyle w:val="TableText"/>
            </w:pPr>
            <w:r w:rsidRPr="007A0318">
              <w:t xml:space="preserve">Does the </w:t>
            </w:r>
            <w:r w:rsidRPr="000324D7">
              <w:t xml:space="preserve">proposed consequential </w:t>
            </w:r>
            <w:r w:rsidRPr="007A0318">
              <w:t>amendment still align with existing objectives and policies?</w:t>
            </w:r>
          </w:p>
        </w:tc>
        <w:tc>
          <w:tcPr>
            <w:tcW w:w="1154" w:type="dxa"/>
          </w:tcPr>
          <w:p w14:paraId="628BED3D" w14:textId="77777777" w:rsidR="00F70AC9" w:rsidRPr="00887D2A" w:rsidRDefault="00F70AC9" w:rsidP="00F70AC9">
            <w:pPr>
              <w:pStyle w:val="TableText"/>
            </w:pPr>
            <w:r w:rsidRPr="007A0318">
              <w:t>Yes</w:t>
            </w:r>
          </w:p>
        </w:tc>
        <w:tc>
          <w:tcPr>
            <w:tcW w:w="4447" w:type="dxa"/>
            <w:shd w:val="clear" w:color="auto" w:fill="auto"/>
          </w:tcPr>
          <w:p w14:paraId="2D1918CD" w14:textId="77777777" w:rsidR="00F70AC9" w:rsidRPr="00887D2A" w:rsidRDefault="00F70AC9" w:rsidP="00F70AC9">
            <w:pPr>
              <w:pStyle w:val="TableText"/>
            </w:pPr>
            <w:r w:rsidRPr="007A0318">
              <w:t>If no, seek legal advice</w:t>
            </w:r>
            <w:r>
              <w:t>.</w:t>
            </w:r>
          </w:p>
        </w:tc>
      </w:tr>
    </w:tbl>
    <w:p w14:paraId="0CBF7DD2" w14:textId="77777777" w:rsidR="00283800" w:rsidRDefault="00283800" w:rsidP="001B2975">
      <w:pPr>
        <w:pStyle w:val="Heading3"/>
      </w:pPr>
    </w:p>
    <w:p w14:paraId="1FA2C004" w14:textId="5599EA54" w:rsidR="001B2975" w:rsidRDefault="001B2975" w:rsidP="001B2975">
      <w:pPr>
        <w:pStyle w:val="Heading3"/>
      </w:pPr>
      <w:r>
        <w:t>D</w:t>
      </w:r>
      <w:r w:rsidRPr="00CB130D">
        <w:t>isclaimer</w:t>
      </w:r>
    </w:p>
    <w:p w14:paraId="41AD1B8A" w14:textId="77777777" w:rsidR="001B2975" w:rsidRPr="001B2975" w:rsidRDefault="001B2975" w:rsidP="001B2975">
      <w:pPr>
        <w:pStyle w:val="BodyText"/>
        <w:rPr>
          <w:sz w:val="20"/>
          <w:szCs w:val="20"/>
        </w:rPr>
      </w:pPr>
      <w:r w:rsidRPr="001B2975">
        <w:rPr>
          <w:sz w:val="20"/>
          <w:szCs w:val="20"/>
        </w:rPr>
        <w:t>The information in this publication is, according to the Ministry for the Environment’s best efforts, accurate at the time of publication. The Ministry will make every reasonable effort to keep it current and accurate. However, users of this publication are advised that:</w:t>
      </w:r>
    </w:p>
    <w:p w14:paraId="29065EEA" w14:textId="77777777" w:rsidR="001B2975" w:rsidRPr="008B789E" w:rsidRDefault="001B2975" w:rsidP="001B2975">
      <w:pPr>
        <w:pStyle w:val="CommentText"/>
        <w:numPr>
          <w:ilvl w:val="0"/>
          <w:numId w:val="39"/>
        </w:numPr>
        <w:jc w:val="left"/>
      </w:pPr>
      <w:r w:rsidRPr="008B789E">
        <w:t>The information provided has no official status and does not alter the laws of New Zealand, other official guidelines or requirements.</w:t>
      </w:r>
    </w:p>
    <w:p w14:paraId="7474126B" w14:textId="77777777" w:rsidR="001B2975" w:rsidRPr="008B789E" w:rsidRDefault="001B2975" w:rsidP="001B2975">
      <w:pPr>
        <w:pStyle w:val="CommentText"/>
        <w:numPr>
          <w:ilvl w:val="0"/>
          <w:numId w:val="39"/>
        </w:numPr>
        <w:jc w:val="left"/>
      </w:pPr>
      <w:r w:rsidRPr="008B789E">
        <w:t>It does not constitute legal advice, and users should take specific advice from qualified professionals before taking any action as a result of information obtained from this publication.</w:t>
      </w:r>
    </w:p>
    <w:p w14:paraId="23F383CA" w14:textId="77777777" w:rsidR="001B2975" w:rsidRPr="008B789E" w:rsidRDefault="001B2975" w:rsidP="001B2975">
      <w:pPr>
        <w:pStyle w:val="CommentText"/>
        <w:numPr>
          <w:ilvl w:val="0"/>
          <w:numId w:val="39"/>
        </w:numPr>
        <w:jc w:val="left"/>
      </w:pPr>
      <w:r w:rsidRPr="008B789E">
        <w:t>The Ministry for the Environment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provided in this publication.</w:t>
      </w:r>
    </w:p>
    <w:p w14:paraId="5013AC08" w14:textId="77777777" w:rsidR="001B2975" w:rsidRPr="008B789E" w:rsidRDefault="001B2975" w:rsidP="001B2975">
      <w:pPr>
        <w:pStyle w:val="CommentText"/>
        <w:numPr>
          <w:ilvl w:val="0"/>
          <w:numId w:val="39"/>
        </w:numPr>
        <w:jc w:val="left"/>
      </w:pPr>
      <w:r w:rsidRPr="008B789E">
        <w:t>All references to websites, organisations or people not within the Ministry for the Environment are provided for convenience only and should not be taken as endorsement of those websites or information contained in those websites nor of organisations or people referred to.</w:t>
      </w:r>
    </w:p>
    <w:p w14:paraId="1DBB8BF8" w14:textId="77777777" w:rsidR="001B2975" w:rsidRDefault="001B2975" w:rsidP="001B2975">
      <w:pPr>
        <w:pStyle w:val="Bluetext"/>
        <w:ind w:left="0"/>
      </w:pPr>
    </w:p>
    <w:p w14:paraId="3EF5737F" w14:textId="77777777" w:rsidR="001B2975" w:rsidRPr="005904DB" w:rsidRDefault="001B2975" w:rsidP="001B2975">
      <w:pPr>
        <w:pStyle w:val="Boxheading"/>
      </w:pPr>
      <w:r w:rsidRPr="005904DB">
        <w:t>Find out more</w:t>
      </w:r>
    </w:p>
    <w:p w14:paraId="695CB723" w14:textId="223A3B5A" w:rsidR="001B2975" w:rsidRPr="0017262B" w:rsidRDefault="001B2975" w:rsidP="001B2975">
      <w:pPr>
        <w:pStyle w:val="Box"/>
      </w:pPr>
      <w:r w:rsidRPr="0017262B">
        <w:t xml:space="preserve">Contact the Ministry for the </w:t>
      </w:r>
      <w:r w:rsidRPr="00FD50BC">
        <w:t>Environment</w:t>
      </w:r>
      <w:r w:rsidRPr="0017262B">
        <w:t xml:space="preserve"> by emailing </w:t>
      </w:r>
      <w:hyperlink r:id="rId10" w:history="1">
        <w:r w:rsidRPr="00FD50BC">
          <w:rPr>
            <w:rStyle w:val="Hyperlink"/>
            <w:b/>
          </w:rPr>
          <w:t>planningstandards@mfe.govt.nz</w:t>
        </w:r>
      </w:hyperlink>
      <w:r w:rsidR="00FD50BC">
        <w:rPr>
          <w:rStyle w:val="Hyperlink"/>
          <w:b/>
        </w:rPr>
        <w:t xml:space="preserve"> </w:t>
      </w:r>
      <w:r w:rsidRPr="0017262B">
        <w:t>or visit</w:t>
      </w:r>
      <w:r>
        <w:t xml:space="preserve"> </w:t>
      </w:r>
      <w:hyperlink r:id="rId11" w:history="1">
        <w:r w:rsidR="00E25015" w:rsidRPr="00E25015">
          <w:rPr>
            <w:rStyle w:val="Hyperlink"/>
            <w:b/>
          </w:rPr>
          <w:t>https://www.mfe.govt.nz/rma/national-direction/national-planning-standards</w:t>
        </w:r>
      </w:hyperlink>
    </w:p>
    <w:p w14:paraId="24EA980D" w14:textId="77777777" w:rsidR="001B2975" w:rsidRDefault="001B2975" w:rsidP="001B2975">
      <w:pPr>
        <w:pStyle w:val="Imprint"/>
        <w:spacing w:after="240"/>
        <w:rPr>
          <w:sz w:val="18"/>
        </w:rPr>
      </w:pPr>
    </w:p>
    <w:p w14:paraId="56D7F87F" w14:textId="77777777" w:rsidR="001B2975" w:rsidRPr="00C96B91" w:rsidRDefault="001B2975" w:rsidP="001B2975">
      <w:pPr>
        <w:pStyle w:val="Imprint"/>
        <w:spacing w:after="240"/>
        <w:rPr>
          <w:sz w:val="18"/>
        </w:rPr>
      </w:pPr>
      <w:r w:rsidRPr="00C96B91">
        <w:rPr>
          <w:sz w:val="18"/>
        </w:rPr>
        <w:t xml:space="preserve">Published in </w:t>
      </w:r>
      <w:r w:rsidRPr="0062159C">
        <w:rPr>
          <w:sz w:val="18"/>
        </w:rPr>
        <w:t>January 2020</w:t>
      </w:r>
      <w:r w:rsidRPr="00C96B91">
        <w:rPr>
          <w:sz w:val="18"/>
        </w:rPr>
        <w:t xml:space="preserve"> by the</w:t>
      </w:r>
      <w:r w:rsidRPr="00C96B91">
        <w:rPr>
          <w:sz w:val="18"/>
        </w:rPr>
        <w:br/>
        <w:t xml:space="preserve">Ministry for the Environment </w:t>
      </w:r>
      <w:r w:rsidRPr="00C96B91">
        <w:rPr>
          <w:sz w:val="18"/>
        </w:rPr>
        <w:br/>
        <w:t xml:space="preserve">Publication number: INFO </w:t>
      </w:r>
      <w:r>
        <w:rPr>
          <w:sz w:val="18"/>
        </w:rPr>
        <w:t>926</w:t>
      </w:r>
    </w:p>
    <w:p w14:paraId="3ABB4C6E" w14:textId="0A1EBA3B" w:rsidR="00A160B7" w:rsidRPr="003F4792" w:rsidRDefault="001B2975" w:rsidP="001B2975">
      <w:pPr>
        <w:pStyle w:val="Heading3"/>
        <w:rPr>
          <w:sz w:val="20"/>
        </w:rPr>
      </w:pPr>
      <w:r>
        <w:rPr>
          <w:noProof/>
        </w:rPr>
        <w:drawing>
          <wp:anchor distT="0" distB="0" distL="114300" distR="114300" simplePos="0" relativeHeight="251659776" behindDoc="1" locked="0" layoutInCell="1" allowOverlap="1" wp14:anchorId="5DF5D98A" wp14:editId="3BA761C5">
            <wp:simplePos x="0" y="0"/>
            <wp:positionH relativeFrom="column">
              <wp:posOffset>3850640</wp:posOffset>
            </wp:positionH>
            <wp:positionV relativeFrom="paragraph">
              <wp:posOffset>727075</wp:posOffset>
            </wp:positionV>
            <wp:extent cx="1924050" cy="412115"/>
            <wp:effectExtent l="0" t="0" r="0" b="6985"/>
            <wp:wrapTight wrapText="bothSides">
              <wp:wrapPolygon edited="0">
                <wp:start x="0" y="0"/>
                <wp:lineTo x="0" y="20968"/>
                <wp:lineTo x="21386" y="20968"/>
                <wp:lineTo x="21386" y="0"/>
                <wp:lineTo x="0" y="0"/>
              </wp:wrapPolygon>
            </wp:wrapTight>
            <wp:docPr id="1" name="Picture 5" descr="All-of-govt_NZ_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l-of-govt_NZ_Gov"/>
                    <pic:cNvPicPr>
                      <a:picLocks noChangeAspect="1" noChangeArrowheads="1"/>
                    </pic:cNvPicPr>
                  </pic:nvPicPr>
                  <pic:blipFill>
                    <a:blip r:embed="rId12" cstate="print">
                      <a:extLst>
                        <a:ext uri="{28A0092B-C50C-407E-A947-70E740481C1C}">
                          <a14:useLocalDpi xmlns:a14="http://schemas.microsoft.com/office/drawing/2010/main" val="0"/>
                        </a:ext>
                      </a:extLst>
                    </a:blip>
                    <a:srcRect l="6377" b="21339"/>
                    <a:stretch>
                      <a:fillRect/>
                    </a:stretch>
                  </pic:blipFill>
                  <pic:spPr bwMode="auto">
                    <a:xfrm>
                      <a:off x="0" y="0"/>
                      <a:ext cx="192405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inline distT="0" distB="0" distL="0" distR="0" wp14:anchorId="1F5E85DB" wp14:editId="0841DA62">
            <wp:extent cx="2667000" cy="1143000"/>
            <wp:effectExtent l="0" t="0" r="0" b="0"/>
            <wp:docPr id="5" name="Picture 5" descr="stacked-up-purpose-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cked-up-purpose-lock-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1143000"/>
                    </a:xfrm>
                    <a:prstGeom prst="rect">
                      <a:avLst/>
                    </a:prstGeom>
                    <a:noFill/>
                    <a:ln>
                      <a:noFill/>
                    </a:ln>
                  </pic:spPr>
                </pic:pic>
              </a:graphicData>
            </a:graphic>
          </wp:inline>
        </w:drawing>
      </w:r>
    </w:p>
    <w:sectPr w:rsidR="00A160B7" w:rsidRPr="003F4792" w:rsidSect="001E494E">
      <w:footerReference w:type="even" r:id="rId14"/>
      <w:footerReference w:type="default" r:id="rId15"/>
      <w:pgSz w:w="11907" w:h="16840" w:code="9"/>
      <w:pgMar w:top="1134" w:right="1418" w:bottom="1134"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AC507" w14:textId="77777777" w:rsidR="00BF57F7" w:rsidRDefault="00BF57F7" w:rsidP="0080531E">
      <w:pPr>
        <w:spacing w:before="0" w:after="0" w:line="240" w:lineRule="auto"/>
      </w:pPr>
      <w:r>
        <w:separator/>
      </w:r>
    </w:p>
    <w:p w14:paraId="6DD58EFB" w14:textId="77777777" w:rsidR="00BF57F7" w:rsidRDefault="00BF57F7"/>
  </w:endnote>
  <w:endnote w:type="continuationSeparator" w:id="0">
    <w:p w14:paraId="585AAE31" w14:textId="77777777" w:rsidR="00BF57F7" w:rsidRDefault="00BF57F7" w:rsidP="0080531E">
      <w:pPr>
        <w:spacing w:before="0" w:after="0" w:line="240" w:lineRule="auto"/>
      </w:pPr>
      <w:r>
        <w:continuationSeparator/>
      </w:r>
    </w:p>
    <w:p w14:paraId="29D9840A" w14:textId="77777777" w:rsidR="00BF57F7" w:rsidRDefault="00BF5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5C533" w14:textId="514C3C73" w:rsidR="00E453AB" w:rsidRDefault="00E5210B" w:rsidP="00CD25E1">
    <w:pPr>
      <w:pStyle w:val="Footereven"/>
    </w:pPr>
    <w:r w:rsidRPr="004F458A">
      <w:rPr>
        <w:b/>
      </w:rPr>
      <w:fldChar w:fldCharType="begin"/>
    </w:r>
    <w:r w:rsidRPr="004F458A">
      <w:instrText xml:space="preserve"> PAGE </w:instrText>
    </w:r>
    <w:r w:rsidRPr="004F458A">
      <w:rPr>
        <w:b/>
      </w:rPr>
      <w:fldChar w:fldCharType="separate"/>
    </w:r>
    <w:r w:rsidR="009007C0">
      <w:rPr>
        <w:noProof/>
      </w:rPr>
      <w:t>2</w:t>
    </w:r>
    <w:r w:rsidRPr="004F458A">
      <w:rPr>
        <w:b/>
      </w:rPr>
      <w:fldChar w:fldCharType="end"/>
    </w:r>
    <w:r>
      <w:tab/>
    </w:r>
    <w:r w:rsidR="00C272CE">
      <w:t>Guidance on consequential amendments to policy statements and plans</w:t>
    </w:r>
    <w:r w:rsidR="00C272CE" w:rsidDel="00C272CE">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3C083" w14:textId="3477634F" w:rsidR="00E453AB" w:rsidRDefault="00E5210B" w:rsidP="001B2975">
    <w:pPr>
      <w:pStyle w:val="Footerodd"/>
      <w:tabs>
        <w:tab w:val="clear" w:pos="7938"/>
      </w:tabs>
    </w:pPr>
    <w:r>
      <w:tab/>
    </w:r>
    <w:r w:rsidR="00531435">
      <w:t>Guidance on</w:t>
    </w:r>
    <w:r w:rsidR="00C272CE">
      <w:t xml:space="preserve"> consequential amendments to policy statements and plans</w:t>
    </w:r>
    <w:r>
      <w:tab/>
    </w:r>
    <w:r w:rsidR="008540A6">
      <w:fldChar w:fldCharType="begin"/>
    </w:r>
    <w:r w:rsidR="008540A6">
      <w:instrText xml:space="preserve"> PAGE   \* MERGEFORMAT </w:instrText>
    </w:r>
    <w:r w:rsidR="008540A6">
      <w:fldChar w:fldCharType="separate"/>
    </w:r>
    <w:r w:rsidR="009007C0">
      <w:rPr>
        <w:noProof/>
      </w:rPr>
      <w:t>1</w:t>
    </w:r>
    <w:r w:rsidR="008540A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4C640" w14:textId="77777777" w:rsidR="00BF57F7" w:rsidRDefault="00BF57F7" w:rsidP="00CB5C5F">
      <w:pPr>
        <w:spacing w:before="0" w:after="80" w:line="240" w:lineRule="auto"/>
      </w:pPr>
      <w:r>
        <w:separator/>
      </w:r>
    </w:p>
  </w:footnote>
  <w:footnote w:type="continuationSeparator" w:id="0">
    <w:p w14:paraId="06CE1D21" w14:textId="77777777" w:rsidR="00BF57F7" w:rsidRDefault="00BF57F7" w:rsidP="0080531E">
      <w:pPr>
        <w:spacing w:before="0" w:after="0" w:line="240" w:lineRule="auto"/>
      </w:pPr>
      <w:r>
        <w:continuationSeparator/>
      </w:r>
    </w:p>
    <w:p w14:paraId="2C403582" w14:textId="77777777" w:rsidR="00BF57F7" w:rsidRDefault="00BF57F7"/>
  </w:footnote>
  <w:footnote w:id="1">
    <w:p w14:paraId="078905D0" w14:textId="38A295FD" w:rsidR="007D3BD6" w:rsidRDefault="007D3BD6">
      <w:pPr>
        <w:pStyle w:val="FootnoteText"/>
      </w:pPr>
      <w:r>
        <w:rPr>
          <w:rStyle w:val="FootnoteReference"/>
        </w:rPr>
        <w:footnoteRef/>
      </w:r>
      <w:r>
        <w:t xml:space="preserve"> </w:t>
      </w:r>
      <w:r w:rsidR="001B2975">
        <w:tab/>
      </w:r>
      <w:r w:rsidRPr="007D3BD6">
        <w:t xml:space="preserve">Where this guidance refers to ‘plans’, references are also relevant to proposed plans, policy statements and proposed policy statements.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46266"/>
    <w:multiLevelType w:val="hybridMultilevel"/>
    <w:tmpl w:val="00B45A18"/>
    <w:lvl w:ilvl="0" w:tplc="1409000F">
      <w:start w:val="1"/>
      <w:numFmt w:val="decimal"/>
      <w:lvlText w:val="%1."/>
      <w:lvlJc w:val="left"/>
      <w:pPr>
        <w:ind w:left="720" w:hanging="360"/>
      </w:pPr>
      <w:rPr>
        <w:rFonts w:hint="default"/>
      </w:rPr>
    </w:lvl>
    <w:lvl w:ilvl="1" w:tplc="2E6A16D8">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hybridMultilevel"/>
    <w:tmpl w:val="2AD6E0C0"/>
    <w:lvl w:ilvl="0" w:tplc="DCECFA8A">
      <w:start w:val="1"/>
      <w:numFmt w:val="bullet"/>
      <w:pStyle w:val="Greenbullet-casestudytables"/>
      <w:lvlText w:val=""/>
      <w:lvlJc w:val="left"/>
      <w:pPr>
        <w:ind w:left="644" w:hanging="360"/>
      </w:pPr>
      <w:rPr>
        <w:rFonts w:ascii="Symbol" w:hAnsi="Symbol" w:hint="default"/>
        <w:color w:val="0F7B7D"/>
        <w:sz w:val="20"/>
        <w:szCs w:val="20"/>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 w15:restartNumberingAfterBreak="0">
    <w:nsid w:val="0C204959"/>
    <w:multiLevelType w:val="hybridMultilevel"/>
    <w:tmpl w:val="2FFA14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E61AC9"/>
    <w:multiLevelType w:val="hybridMultilevel"/>
    <w:tmpl w:val="4B485B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07A50D9"/>
    <w:multiLevelType w:val="hybridMultilevel"/>
    <w:tmpl w:val="81A630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1836FE3"/>
    <w:multiLevelType w:val="hybridMultilevel"/>
    <w:tmpl w:val="7E90EEAC"/>
    <w:lvl w:ilvl="0" w:tplc="14090019">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3717A5E"/>
    <w:multiLevelType w:val="hybridMultilevel"/>
    <w:tmpl w:val="5DB8D2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82E4A56"/>
    <w:multiLevelType w:val="hybridMultilevel"/>
    <w:tmpl w:val="11041216"/>
    <w:lvl w:ilvl="0" w:tplc="4CBE96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0" w15:restartNumberingAfterBreak="0">
    <w:nsid w:val="21EC0DBD"/>
    <w:multiLevelType w:val="hybridMultilevel"/>
    <w:tmpl w:val="790E96E2"/>
    <w:lvl w:ilvl="0" w:tplc="B5E8398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724F9"/>
    <w:multiLevelType w:val="hybridMultilevel"/>
    <w:tmpl w:val="B544651E"/>
    <w:lvl w:ilvl="0" w:tplc="CF8A8A7E">
      <w:start w:val="1"/>
      <w:numFmt w:val="lowerLetter"/>
      <w:pStyle w:val="Definitionbullet"/>
      <w:lvlText w:val="(%1)"/>
      <w:lvlJc w:val="left"/>
      <w:pPr>
        <w:ind w:left="1117" w:hanging="360"/>
      </w:pPr>
      <w:rPr>
        <w:rFonts w:asciiTheme="minorHAnsi" w:hAnsiTheme="minorHAnsi" w:cstheme="minorHAnsi" w:hint="default"/>
        <w:b w:val="0"/>
        <w:color w:val="auto"/>
        <w:sz w:val="22"/>
        <w:szCs w:val="22"/>
      </w:rPr>
    </w:lvl>
    <w:lvl w:ilvl="1" w:tplc="14090019" w:tentative="1">
      <w:start w:val="1"/>
      <w:numFmt w:val="lowerLetter"/>
      <w:lvlText w:val="%2."/>
      <w:lvlJc w:val="left"/>
      <w:pPr>
        <w:ind w:left="1837" w:hanging="360"/>
      </w:pPr>
    </w:lvl>
    <w:lvl w:ilvl="2" w:tplc="1409001B" w:tentative="1">
      <w:start w:val="1"/>
      <w:numFmt w:val="lowerRoman"/>
      <w:lvlText w:val="%3."/>
      <w:lvlJc w:val="right"/>
      <w:pPr>
        <w:ind w:left="2557" w:hanging="180"/>
      </w:pPr>
    </w:lvl>
    <w:lvl w:ilvl="3" w:tplc="1409000F" w:tentative="1">
      <w:start w:val="1"/>
      <w:numFmt w:val="decimal"/>
      <w:lvlText w:val="%4."/>
      <w:lvlJc w:val="left"/>
      <w:pPr>
        <w:ind w:left="3277" w:hanging="360"/>
      </w:pPr>
    </w:lvl>
    <w:lvl w:ilvl="4" w:tplc="14090019" w:tentative="1">
      <w:start w:val="1"/>
      <w:numFmt w:val="lowerLetter"/>
      <w:lvlText w:val="%5."/>
      <w:lvlJc w:val="left"/>
      <w:pPr>
        <w:ind w:left="3997" w:hanging="360"/>
      </w:pPr>
    </w:lvl>
    <w:lvl w:ilvl="5" w:tplc="1409001B" w:tentative="1">
      <w:start w:val="1"/>
      <w:numFmt w:val="lowerRoman"/>
      <w:lvlText w:val="%6."/>
      <w:lvlJc w:val="right"/>
      <w:pPr>
        <w:ind w:left="4717" w:hanging="180"/>
      </w:pPr>
    </w:lvl>
    <w:lvl w:ilvl="6" w:tplc="1409000F" w:tentative="1">
      <w:start w:val="1"/>
      <w:numFmt w:val="decimal"/>
      <w:lvlText w:val="%7."/>
      <w:lvlJc w:val="left"/>
      <w:pPr>
        <w:ind w:left="5437" w:hanging="360"/>
      </w:pPr>
    </w:lvl>
    <w:lvl w:ilvl="7" w:tplc="14090019" w:tentative="1">
      <w:start w:val="1"/>
      <w:numFmt w:val="lowerLetter"/>
      <w:lvlText w:val="%8."/>
      <w:lvlJc w:val="left"/>
      <w:pPr>
        <w:ind w:left="6157" w:hanging="360"/>
      </w:pPr>
    </w:lvl>
    <w:lvl w:ilvl="8" w:tplc="1409001B" w:tentative="1">
      <w:start w:val="1"/>
      <w:numFmt w:val="lowerRoman"/>
      <w:lvlText w:val="%9."/>
      <w:lvlJc w:val="right"/>
      <w:pPr>
        <w:ind w:left="6877" w:hanging="180"/>
      </w:pPr>
    </w:lvl>
  </w:abstractNum>
  <w:abstractNum w:abstractNumId="13"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5" w15:restartNumberingAfterBreak="0">
    <w:nsid w:val="31F955E7"/>
    <w:multiLevelType w:val="hybridMultilevel"/>
    <w:tmpl w:val="6CAECFD8"/>
    <w:lvl w:ilvl="0" w:tplc="1409000F">
      <w:start w:val="1"/>
      <w:numFmt w:val="decimal"/>
      <w:lvlText w:val="%1."/>
      <w:lvlJc w:val="left"/>
      <w:pPr>
        <w:ind w:left="720" w:hanging="360"/>
      </w:pPr>
      <w:rPr>
        <w:rFonts w:hint="default"/>
      </w:rPr>
    </w:lvl>
    <w:lvl w:ilvl="1" w:tplc="14090017">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7" w15:restartNumberingAfterBreak="0">
    <w:nsid w:val="3D465A16"/>
    <w:multiLevelType w:val="multilevel"/>
    <w:tmpl w:val="60C255BE"/>
    <w:lvl w:ilvl="0">
      <w:start w:val="1"/>
      <w:numFmt w:val="bullet"/>
      <w:pStyle w:val="Bullet"/>
      <w:lvlText w:val=""/>
      <w:lvlJc w:val="left"/>
      <w:pPr>
        <w:tabs>
          <w:tab w:val="num" w:pos="397"/>
        </w:tabs>
        <w:ind w:left="397" w:hanging="397"/>
      </w:pPr>
      <w:rPr>
        <w:rFonts w:ascii="Symbol" w:hAnsi="Symbol" w:hint="default"/>
        <w:color w:val="auto"/>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407187"/>
    <w:multiLevelType w:val="hybridMultilevel"/>
    <w:tmpl w:val="0B620B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1CB4ECA"/>
    <w:multiLevelType w:val="hybridMultilevel"/>
    <w:tmpl w:val="B9CEABDA"/>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2062489"/>
    <w:multiLevelType w:val="hybridMultilevel"/>
    <w:tmpl w:val="24A07630"/>
    <w:lvl w:ilvl="0" w:tplc="7BAA9AB6">
      <w:start w:val="1"/>
      <w:numFmt w:val="lowerLetter"/>
      <w:pStyle w:val="Greenmandatorytext"/>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27701FB"/>
    <w:multiLevelType w:val="hybridMultilevel"/>
    <w:tmpl w:val="0BA89340"/>
    <w:lvl w:ilvl="0" w:tplc="C04A679E">
      <w:start w:val="1"/>
      <w:numFmt w:val="bullet"/>
      <w:pStyle w:val="Sub-list"/>
      <w:lvlText w:val=""/>
      <w:lvlJc w:val="left"/>
      <w:pPr>
        <w:tabs>
          <w:tab w:val="num" w:pos="1588"/>
        </w:tabs>
        <w:ind w:left="1588" w:firstLine="0"/>
      </w:pPr>
      <w:rPr>
        <w:rFonts w:ascii="Symbol" w:hAnsi="Symbol" w:hint="default"/>
      </w:rPr>
    </w:lvl>
    <w:lvl w:ilvl="1" w:tplc="14090003">
      <w:start w:val="1"/>
      <w:numFmt w:val="bullet"/>
      <w:lvlText w:val="o"/>
      <w:lvlJc w:val="left"/>
      <w:pPr>
        <w:tabs>
          <w:tab w:val="num" w:pos="2631"/>
        </w:tabs>
        <w:ind w:left="2631" w:hanging="360"/>
      </w:pPr>
      <w:rPr>
        <w:rFonts w:ascii="Courier New" w:hAnsi="Courier New" w:cs="Courier New" w:hint="default"/>
      </w:rPr>
    </w:lvl>
    <w:lvl w:ilvl="2" w:tplc="14090005" w:tentative="1">
      <w:start w:val="1"/>
      <w:numFmt w:val="bullet"/>
      <w:lvlText w:val=""/>
      <w:lvlJc w:val="left"/>
      <w:pPr>
        <w:tabs>
          <w:tab w:val="num" w:pos="3351"/>
        </w:tabs>
        <w:ind w:left="3351" w:hanging="360"/>
      </w:pPr>
      <w:rPr>
        <w:rFonts w:ascii="Wingdings" w:hAnsi="Wingdings" w:hint="default"/>
      </w:rPr>
    </w:lvl>
    <w:lvl w:ilvl="3" w:tplc="14090001" w:tentative="1">
      <w:start w:val="1"/>
      <w:numFmt w:val="bullet"/>
      <w:lvlText w:val=""/>
      <w:lvlJc w:val="left"/>
      <w:pPr>
        <w:tabs>
          <w:tab w:val="num" w:pos="4071"/>
        </w:tabs>
        <w:ind w:left="4071" w:hanging="360"/>
      </w:pPr>
      <w:rPr>
        <w:rFonts w:ascii="Symbol" w:hAnsi="Symbol" w:hint="default"/>
      </w:rPr>
    </w:lvl>
    <w:lvl w:ilvl="4" w:tplc="14090003" w:tentative="1">
      <w:start w:val="1"/>
      <w:numFmt w:val="bullet"/>
      <w:lvlText w:val="o"/>
      <w:lvlJc w:val="left"/>
      <w:pPr>
        <w:tabs>
          <w:tab w:val="num" w:pos="4791"/>
        </w:tabs>
        <w:ind w:left="4791" w:hanging="360"/>
      </w:pPr>
      <w:rPr>
        <w:rFonts w:ascii="Courier New" w:hAnsi="Courier New" w:cs="Courier New" w:hint="default"/>
      </w:rPr>
    </w:lvl>
    <w:lvl w:ilvl="5" w:tplc="14090005" w:tentative="1">
      <w:start w:val="1"/>
      <w:numFmt w:val="bullet"/>
      <w:lvlText w:val=""/>
      <w:lvlJc w:val="left"/>
      <w:pPr>
        <w:tabs>
          <w:tab w:val="num" w:pos="5511"/>
        </w:tabs>
        <w:ind w:left="5511" w:hanging="360"/>
      </w:pPr>
      <w:rPr>
        <w:rFonts w:ascii="Wingdings" w:hAnsi="Wingdings" w:hint="default"/>
      </w:rPr>
    </w:lvl>
    <w:lvl w:ilvl="6" w:tplc="14090001" w:tentative="1">
      <w:start w:val="1"/>
      <w:numFmt w:val="bullet"/>
      <w:lvlText w:val=""/>
      <w:lvlJc w:val="left"/>
      <w:pPr>
        <w:tabs>
          <w:tab w:val="num" w:pos="6231"/>
        </w:tabs>
        <w:ind w:left="6231" w:hanging="360"/>
      </w:pPr>
      <w:rPr>
        <w:rFonts w:ascii="Symbol" w:hAnsi="Symbol" w:hint="default"/>
      </w:rPr>
    </w:lvl>
    <w:lvl w:ilvl="7" w:tplc="14090003" w:tentative="1">
      <w:start w:val="1"/>
      <w:numFmt w:val="bullet"/>
      <w:lvlText w:val="o"/>
      <w:lvlJc w:val="left"/>
      <w:pPr>
        <w:tabs>
          <w:tab w:val="num" w:pos="6951"/>
        </w:tabs>
        <w:ind w:left="6951" w:hanging="360"/>
      </w:pPr>
      <w:rPr>
        <w:rFonts w:ascii="Courier New" w:hAnsi="Courier New" w:cs="Courier New" w:hint="default"/>
      </w:rPr>
    </w:lvl>
    <w:lvl w:ilvl="8" w:tplc="14090005" w:tentative="1">
      <w:start w:val="1"/>
      <w:numFmt w:val="bullet"/>
      <w:lvlText w:val=""/>
      <w:lvlJc w:val="left"/>
      <w:pPr>
        <w:tabs>
          <w:tab w:val="num" w:pos="7671"/>
        </w:tabs>
        <w:ind w:left="7671" w:hanging="360"/>
      </w:pPr>
      <w:rPr>
        <w:rFonts w:ascii="Wingdings" w:hAnsi="Wingdings" w:hint="default"/>
      </w:rPr>
    </w:lvl>
  </w:abstractNum>
  <w:abstractNum w:abstractNumId="22" w15:restartNumberingAfterBreak="0">
    <w:nsid w:val="43A96E39"/>
    <w:multiLevelType w:val="hybridMultilevel"/>
    <w:tmpl w:val="E702FD4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D5397E"/>
    <w:multiLevelType w:val="hybridMultilevel"/>
    <w:tmpl w:val="30B2757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6" w15:restartNumberingAfterBreak="0">
    <w:nsid w:val="47111CBC"/>
    <w:multiLevelType w:val="multilevel"/>
    <w:tmpl w:val="33A22176"/>
    <w:styleLink w:val="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4C0B46"/>
    <w:multiLevelType w:val="hybridMultilevel"/>
    <w:tmpl w:val="4CB2D9BE"/>
    <w:lvl w:ilvl="0" w:tplc="82C0621E">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8" w15:restartNumberingAfterBreak="0">
    <w:nsid w:val="4F467BF3"/>
    <w:multiLevelType w:val="hybridMultilevel"/>
    <w:tmpl w:val="6F2663D6"/>
    <w:lvl w:ilvl="0" w:tplc="14090001">
      <w:start w:val="1"/>
      <w:numFmt w:val="bullet"/>
      <w:lvlText w:val=""/>
      <w:lvlJc w:val="left"/>
      <w:pPr>
        <w:ind w:left="720" w:hanging="360"/>
      </w:pPr>
      <w:rPr>
        <w:rFonts w:ascii="Symbol" w:hAnsi="Symbol"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4FF00294"/>
    <w:multiLevelType w:val="hybridMultilevel"/>
    <w:tmpl w:val="0B08805C"/>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0B31E5A"/>
    <w:multiLevelType w:val="hybridMultilevel"/>
    <w:tmpl w:val="3828C2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0DE2ABD"/>
    <w:multiLevelType w:val="hybridMultilevel"/>
    <w:tmpl w:val="44BA29D8"/>
    <w:lvl w:ilvl="0" w:tplc="14090015">
      <w:start w:val="1"/>
      <w:numFmt w:val="upp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2" w15:restartNumberingAfterBreak="0">
    <w:nsid w:val="53535234"/>
    <w:multiLevelType w:val="singleLevel"/>
    <w:tmpl w:val="B414D800"/>
    <w:lvl w:ilvl="0">
      <w:start w:val="1"/>
      <w:numFmt w:val="bullet"/>
      <w:pStyle w:val="Boxbullet"/>
      <w:lvlText w:val=""/>
      <w:lvlJc w:val="left"/>
      <w:pPr>
        <w:ind w:left="644" w:hanging="360"/>
      </w:pPr>
      <w:rPr>
        <w:rFonts w:ascii="Symbol" w:hAnsi="Symbol" w:hint="default"/>
        <w:color w:val="2C9986"/>
        <w:sz w:val="16"/>
      </w:rPr>
    </w:lvl>
  </w:abstractNum>
  <w:abstractNum w:abstractNumId="33" w15:restartNumberingAfterBreak="0">
    <w:nsid w:val="58254C4D"/>
    <w:multiLevelType w:val="hybridMultilevel"/>
    <w:tmpl w:val="E9308C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B2B574A"/>
    <w:multiLevelType w:val="hybridMultilevel"/>
    <w:tmpl w:val="4314B2A2"/>
    <w:lvl w:ilvl="0" w:tplc="278C79E2">
      <w:start w:val="1"/>
      <w:numFmt w:val="lowerLetter"/>
      <w:lvlText w:val="(%1)"/>
      <w:lvlJc w:val="left"/>
      <w:pPr>
        <w:ind w:left="757" w:hanging="360"/>
      </w:pPr>
      <w:rPr>
        <w:rFonts w:hint="default"/>
      </w:rPr>
    </w:lvl>
    <w:lvl w:ilvl="1" w:tplc="14090019" w:tentative="1">
      <w:start w:val="1"/>
      <w:numFmt w:val="lowerLetter"/>
      <w:lvlText w:val="%2."/>
      <w:lvlJc w:val="left"/>
      <w:pPr>
        <w:ind w:left="1477" w:hanging="360"/>
      </w:pPr>
    </w:lvl>
    <w:lvl w:ilvl="2" w:tplc="1409001B" w:tentative="1">
      <w:start w:val="1"/>
      <w:numFmt w:val="lowerRoman"/>
      <w:lvlText w:val="%3."/>
      <w:lvlJc w:val="right"/>
      <w:pPr>
        <w:ind w:left="2197" w:hanging="180"/>
      </w:pPr>
    </w:lvl>
    <w:lvl w:ilvl="3" w:tplc="1409000F" w:tentative="1">
      <w:start w:val="1"/>
      <w:numFmt w:val="decimal"/>
      <w:lvlText w:val="%4."/>
      <w:lvlJc w:val="left"/>
      <w:pPr>
        <w:ind w:left="2917" w:hanging="360"/>
      </w:pPr>
    </w:lvl>
    <w:lvl w:ilvl="4" w:tplc="14090019" w:tentative="1">
      <w:start w:val="1"/>
      <w:numFmt w:val="lowerLetter"/>
      <w:lvlText w:val="%5."/>
      <w:lvlJc w:val="left"/>
      <w:pPr>
        <w:ind w:left="3637" w:hanging="360"/>
      </w:pPr>
    </w:lvl>
    <w:lvl w:ilvl="5" w:tplc="1409001B" w:tentative="1">
      <w:start w:val="1"/>
      <w:numFmt w:val="lowerRoman"/>
      <w:lvlText w:val="%6."/>
      <w:lvlJc w:val="right"/>
      <w:pPr>
        <w:ind w:left="4357" w:hanging="180"/>
      </w:pPr>
    </w:lvl>
    <w:lvl w:ilvl="6" w:tplc="1409000F" w:tentative="1">
      <w:start w:val="1"/>
      <w:numFmt w:val="decimal"/>
      <w:lvlText w:val="%7."/>
      <w:lvlJc w:val="left"/>
      <w:pPr>
        <w:ind w:left="5077" w:hanging="360"/>
      </w:pPr>
    </w:lvl>
    <w:lvl w:ilvl="7" w:tplc="14090019" w:tentative="1">
      <w:start w:val="1"/>
      <w:numFmt w:val="lowerLetter"/>
      <w:lvlText w:val="%8."/>
      <w:lvlJc w:val="left"/>
      <w:pPr>
        <w:ind w:left="5797" w:hanging="360"/>
      </w:pPr>
    </w:lvl>
    <w:lvl w:ilvl="8" w:tplc="1409001B" w:tentative="1">
      <w:start w:val="1"/>
      <w:numFmt w:val="lowerRoman"/>
      <w:lvlText w:val="%9."/>
      <w:lvlJc w:val="right"/>
      <w:pPr>
        <w:ind w:left="6517" w:hanging="180"/>
      </w:pPr>
    </w:lvl>
  </w:abstractNum>
  <w:abstractNum w:abstractNumId="35" w15:restartNumberingAfterBreak="0">
    <w:nsid w:val="5C696345"/>
    <w:multiLevelType w:val="hybridMultilevel"/>
    <w:tmpl w:val="4D6CB8D2"/>
    <w:lvl w:ilvl="0" w:tplc="B5E8398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5D2E6E9E"/>
    <w:multiLevelType w:val="multilevel"/>
    <w:tmpl w:val="14090001"/>
    <w:styleLink w:val="Bulletss"/>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E3E3C63"/>
    <w:multiLevelType w:val="hybridMultilevel"/>
    <w:tmpl w:val="D2DAADE2"/>
    <w:lvl w:ilvl="0" w:tplc="B5E8398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62191B71"/>
    <w:multiLevelType w:val="hybridMultilevel"/>
    <w:tmpl w:val="49A015E4"/>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6518291C"/>
    <w:multiLevelType w:val="hybridMultilevel"/>
    <w:tmpl w:val="1EB6AA56"/>
    <w:lvl w:ilvl="0" w:tplc="B5E8398E">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0" w15:restartNumberingAfterBreak="0">
    <w:nsid w:val="664128E4"/>
    <w:multiLevelType w:val="hybridMultilevel"/>
    <w:tmpl w:val="EA8824D6"/>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6CAF4BE2"/>
    <w:multiLevelType w:val="hybridMultilevel"/>
    <w:tmpl w:val="BEBA5E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CEF5D9F"/>
    <w:multiLevelType w:val="hybridMultilevel"/>
    <w:tmpl w:val="4C08660A"/>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43" w15:restartNumberingAfterBreak="0">
    <w:nsid w:val="6DFB0E59"/>
    <w:multiLevelType w:val="hybridMultilevel"/>
    <w:tmpl w:val="4778376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4"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01A73CA"/>
    <w:multiLevelType w:val="hybridMultilevel"/>
    <w:tmpl w:val="AEFC8DFA"/>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747E5B9B"/>
    <w:multiLevelType w:val="hybridMultilevel"/>
    <w:tmpl w:val="14E26B32"/>
    <w:lvl w:ilvl="0" w:tplc="14090001">
      <w:start w:val="1"/>
      <w:numFmt w:val="bullet"/>
      <w:lvlText w:val=""/>
      <w:lvlJc w:val="left"/>
      <w:pPr>
        <w:ind w:left="1117" w:hanging="360"/>
      </w:pPr>
      <w:rPr>
        <w:rFonts w:ascii="Symbol" w:hAnsi="Symbol" w:hint="default"/>
      </w:rPr>
    </w:lvl>
    <w:lvl w:ilvl="1" w:tplc="14090003" w:tentative="1">
      <w:start w:val="1"/>
      <w:numFmt w:val="bullet"/>
      <w:lvlText w:val="o"/>
      <w:lvlJc w:val="left"/>
      <w:pPr>
        <w:ind w:left="1837" w:hanging="360"/>
      </w:pPr>
      <w:rPr>
        <w:rFonts w:ascii="Courier New" w:hAnsi="Courier New" w:cs="Courier New" w:hint="default"/>
      </w:rPr>
    </w:lvl>
    <w:lvl w:ilvl="2" w:tplc="14090005" w:tentative="1">
      <w:start w:val="1"/>
      <w:numFmt w:val="bullet"/>
      <w:lvlText w:val=""/>
      <w:lvlJc w:val="left"/>
      <w:pPr>
        <w:ind w:left="2557" w:hanging="360"/>
      </w:pPr>
      <w:rPr>
        <w:rFonts w:ascii="Wingdings" w:hAnsi="Wingdings" w:hint="default"/>
      </w:rPr>
    </w:lvl>
    <w:lvl w:ilvl="3" w:tplc="14090001" w:tentative="1">
      <w:start w:val="1"/>
      <w:numFmt w:val="bullet"/>
      <w:lvlText w:val=""/>
      <w:lvlJc w:val="left"/>
      <w:pPr>
        <w:ind w:left="3277" w:hanging="360"/>
      </w:pPr>
      <w:rPr>
        <w:rFonts w:ascii="Symbol" w:hAnsi="Symbol" w:hint="default"/>
      </w:rPr>
    </w:lvl>
    <w:lvl w:ilvl="4" w:tplc="14090003" w:tentative="1">
      <w:start w:val="1"/>
      <w:numFmt w:val="bullet"/>
      <w:lvlText w:val="o"/>
      <w:lvlJc w:val="left"/>
      <w:pPr>
        <w:ind w:left="3997" w:hanging="360"/>
      </w:pPr>
      <w:rPr>
        <w:rFonts w:ascii="Courier New" w:hAnsi="Courier New" w:cs="Courier New" w:hint="default"/>
      </w:rPr>
    </w:lvl>
    <w:lvl w:ilvl="5" w:tplc="14090005" w:tentative="1">
      <w:start w:val="1"/>
      <w:numFmt w:val="bullet"/>
      <w:lvlText w:val=""/>
      <w:lvlJc w:val="left"/>
      <w:pPr>
        <w:ind w:left="4717" w:hanging="360"/>
      </w:pPr>
      <w:rPr>
        <w:rFonts w:ascii="Wingdings" w:hAnsi="Wingdings" w:hint="default"/>
      </w:rPr>
    </w:lvl>
    <w:lvl w:ilvl="6" w:tplc="14090001" w:tentative="1">
      <w:start w:val="1"/>
      <w:numFmt w:val="bullet"/>
      <w:lvlText w:val=""/>
      <w:lvlJc w:val="left"/>
      <w:pPr>
        <w:ind w:left="5437" w:hanging="360"/>
      </w:pPr>
      <w:rPr>
        <w:rFonts w:ascii="Symbol" w:hAnsi="Symbol" w:hint="default"/>
      </w:rPr>
    </w:lvl>
    <w:lvl w:ilvl="7" w:tplc="14090003" w:tentative="1">
      <w:start w:val="1"/>
      <w:numFmt w:val="bullet"/>
      <w:lvlText w:val="o"/>
      <w:lvlJc w:val="left"/>
      <w:pPr>
        <w:ind w:left="6157" w:hanging="360"/>
      </w:pPr>
      <w:rPr>
        <w:rFonts w:ascii="Courier New" w:hAnsi="Courier New" w:cs="Courier New" w:hint="default"/>
      </w:rPr>
    </w:lvl>
    <w:lvl w:ilvl="8" w:tplc="14090005" w:tentative="1">
      <w:start w:val="1"/>
      <w:numFmt w:val="bullet"/>
      <w:lvlText w:val=""/>
      <w:lvlJc w:val="left"/>
      <w:pPr>
        <w:ind w:left="6877" w:hanging="360"/>
      </w:pPr>
      <w:rPr>
        <w:rFonts w:ascii="Wingdings" w:hAnsi="Wingdings" w:hint="default"/>
      </w:rPr>
    </w:lvl>
  </w:abstractNum>
  <w:abstractNum w:abstractNumId="47"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661FE0"/>
    <w:multiLevelType w:val="hybridMultilevel"/>
    <w:tmpl w:val="0958AEE8"/>
    <w:lvl w:ilvl="0" w:tplc="B5E8398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7A35065C"/>
    <w:multiLevelType w:val="hybridMultilevel"/>
    <w:tmpl w:val="2B76A3E6"/>
    <w:lvl w:ilvl="0" w:tplc="14090019">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7B7164F3"/>
    <w:multiLevelType w:val="hybridMultilevel"/>
    <w:tmpl w:val="CFAEF394"/>
    <w:lvl w:ilvl="0" w:tplc="2124ADDE">
      <w:start w:val="1"/>
      <w:numFmt w:val="decimal"/>
      <w:lvlText w:val="%1."/>
      <w:lvlJc w:val="left"/>
      <w:pPr>
        <w:ind w:left="360" w:hanging="360"/>
      </w:pPr>
      <w:rPr>
        <w:i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1" w15:restartNumberingAfterBreak="0">
    <w:nsid w:val="7BCC150B"/>
    <w:multiLevelType w:val="hybridMultilevel"/>
    <w:tmpl w:val="E6562F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7C9E0509"/>
    <w:multiLevelType w:val="hybridMultilevel"/>
    <w:tmpl w:val="BAC4A21A"/>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6"/>
  </w:num>
  <w:num w:numId="2">
    <w:abstractNumId w:val="32"/>
  </w:num>
  <w:num w:numId="3">
    <w:abstractNumId w:val="21"/>
  </w:num>
  <w:num w:numId="4">
    <w:abstractNumId w:val="14"/>
  </w:num>
  <w:num w:numId="5">
    <w:abstractNumId w:val="9"/>
  </w:num>
  <w:num w:numId="6">
    <w:abstractNumId w:val="25"/>
  </w:num>
  <w:num w:numId="7">
    <w:abstractNumId w:val="23"/>
  </w:num>
  <w:num w:numId="8">
    <w:abstractNumId w:val="4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6"/>
  </w:num>
  <w:num w:numId="12">
    <w:abstractNumId w:val="44"/>
  </w:num>
  <w:num w:numId="13">
    <w:abstractNumId w:val="36"/>
  </w:num>
  <w:num w:numId="14">
    <w:abstractNumId w:val="2"/>
  </w:num>
  <w:num w:numId="15">
    <w:abstractNumId w:val="11"/>
  </w:num>
  <w:num w:numId="16">
    <w:abstractNumId w:val="17"/>
  </w:num>
  <w:num w:numId="17">
    <w:abstractNumId w:val="31"/>
  </w:num>
  <w:num w:numId="18">
    <w:abstractNumId w:val="20"/>
  </w:num>
  <w:num w:numId="19">
    <w:abstractNumId w:val="43"/>
  </w:num>
  <w:num w:numId="20">
    <w:abstractNumId w:val="9"/>
    <w:lvlOverride w:ilvl="0">
      <w:startOverride w:val="1"/>
    </w:lvlOverride>
  </w:num>
  <w:num w:numId="21">
    <w:abstractNumId w:val="9"/>
  </w:num>
  <w:num w:numId="22">
    <w:abstractNumId w:val="1"/>
  </w:num>
  <w:num w:numId="23">
    <w:abstractNumId w:val="9"/>
    <w:lvlOverride w:ilvl="0">
      <w:startOverride w:val="1"/>
    </w:lvlOverride>
  </w:num>
  <w:num w:numId="24">
    <w:abstractNumId w:val="9"/>
  </w:num>
  <w:num w:numId="25">
    <w:abstractNumId w:val="9"/>
    <w:lvlOverride w:ilvl="0">
      <w:startOverride w:val="1"/>
    </w:lvlOverride>
  </w:num>
  <w:num w:numId="26">
    <w:abstractNumId w:val="4"/>
  </w:num>
  <w:num w:numId="27">
    <w:abstractNumId w:val="5"/>
  </w:num>
  <w:num w:numId="28">
    <w:abstractNumId w:val="30"/>
  </w:num>
  <w:num w:numId="29">
    <w:abstractNumId w:val="18"/>
  </w:num>
  <w:num w:numId="30">
    <w:abstractNumId w:val="24"/>
  </w:num>
  <w:num w:numId="31">
    <w:abstractNumId w:val="22"/>
  </w:num>
  <w:num w:numId="32">
    <w:abstractNumId w:val="29"/>
  </w:num>
  <w:num w:numId="33">
    <w:abstractNumId w:val="7"/>
  </w:num>
  <w:num w:numId="34">
    <w:abstractNumId w:val="42"/>
  </w:num>
  <w:num w:numId="35">
    <w:abstractNumId w:val="39"/>
  </w:num>
  <w:num w:numId="36">
    <w:abstractNumId w:val="27"/>
  </w:num>
  <w:num w:numId="37">
    <w:abstractNumId w:val="51"/>
  </w:num>
  <w:num w:numId="38">
    <w:abstractNumId w:val="50"/>
  </w:num>
  <w:num w:numId="39">
    <w:abstractNumId w:val="33"/>
  </w:num>
  <w:num w:numId="40">
    <w:abstractNumId w:val="3"/>
  </w:num>
  <w:num w:numId="41">
    <w:abstractNumId w:val="0"/>
  </w:num>
  <w:num w:numId="42">
    <w:abstractNumId w:val="8"/>
  </w:num>
  <w:num w:numId="43">
    <w:abstractNumId w:val="46"/>
  </w:num>
  <w:num w:numId="44">
    <w:abstractNumId w:val="34"/>
  </w:num>
  <w:num w:numId="45">
    <w:abstractNumId w:val="35"/>
  </w:num>
  <w:num w:numId="46">
    <w:abstractNumId w:val="48"/>
  </w:num>
  <w:num w:numId="47">
    <w:abstractNumId w:val="10"/>
  </w:num>
  <w:num w:numId="48">
    <w:abstractNumId w:val="49"/>
  </w:num>
  <w:num w:numId="49">
    <w:abstractNumId w:val="37"/>
  </w:num>
  <w:num w:numId="50">
    <w:abstractNumId w:val="12"/>
  </w:num>
  <w:num w:numId="51">
    <w:abstractNumId w:val="38"/>
  </w:num>
  <w:num w:numId="52">
    <w:abstractNumId w:val="6"/>
  </w:num>
  <w:num w:numId="53">
    <w:abstractNumId w:val="52"/>
  </w:num>
  <w:num w:numId="54">
    <w:abstractNumId w:val="45"/>
  </w:num>
  <w:num w:numId="55">
    <w:abstractNumId w:val="40"/>
  </w:num>
  <w:num w:numId="56">
    <w:abstractNumId w:val="19"/>
  </w:num>
  <w:num w:numId="57">
    <w:abstractNumId w:val="41"/>
  </w:num>
  <w:num w:numId="58">
    <w:abstractNumId w:val="28"/>
  </w:num>
  <w:num w:numId="59">
    <w:abstractNumId w:val="1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isplayBackgroundShape/>
  <w:trackRevisions/>
  <w:defaultTabStop w:val="397"/>
  <w:evenAndOddHeaders/>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919"/>
    <w:rsid w:val="00000792"/>
    <w:rsid w:val="00000F04"/>
    <w:rsid w:val="00003576"/>
    <w:rsid w:val="00003C4F"/>
    <w:rsid w:val="00004E0A"/>
    <w:rsid w:val="00004FD3"/>
    <w:rsid w:val="00006DF5"/>
    <w:rsid w:val="00006F95"/>
    <w:rsid w:val="00007023"/>
    <w:rsid w:val="0000709F"/>
    <w:rsid w:val="000071D6"/>
    <w:rsid w:val="00007F2D"/>
    <w:rsid w:val="00007FAC"/>
    <w:rsid w:val="000103B2"/>
    <w:rsid w:val="00010A9C"/>
    <w:rsid w:val="00010ABA"/>
    <w:rsid w:val="00010E15"/>
    <w:rsid w:val="00010F57"/>
    <w:rsid w:val="0001100C"/>
    <w:rsid w:val="00011188"/>
    <w:rsid w:val="00012555"/>
    <w:rsid w:val="0001400A"/>
    <w:rsid w:val="00014236"/>
    <w:rsid w:val="000148F6"/>
    <w:rsid w:val="00015217"/>
    <w:rsid w:val="000159D2"/>
    <w:rsid w:val="00016264"/>
    <w:rsid w:val="00016993"/>
    <w:rsid w:val="00016CAB"/>
    <w:rsid w:val="00016E5B"/>
    <w:rsid w:val="0001749B"/>
    <w:rsid w:val="00017D75"/>
    <w:rsid w:val="00017FE5"/>
    <w:rsid w:val="00021910"/>
    <w:rsid w:val="00022E8D"/>
    <w:rsid w:val="0002348A"/>
    <w:rsid w:val="00023534"/>
    <w:rsid w:val="00023D7B"/>
    <w:rsid w:val="00024708"/>
    <w:rsid w:val="00024EE7"/>
    <w:rsid w:val="00025F96"/>
    <w:rsid w:val="00025FAB"/>
    <w:rsid w:val="00026E89"/>
    <w:rsid w:val="000275A3"/>
    <w:rsid w:val="00030558"/>
    <w:rsid w:val="00030699"/>
    <w:rsid w:val="00030725"/>
    <w:rsid w:val="00030DB8"/>
    <w:rsid w:val="00030DBD"/>
    <w:rsid w:val="00031A83"/>
    <w:rsid w:val="0003213A"/>
    <w:rsid w:val="000324D7"/>
    <w:rsid w:val="00032526"/>
    <w:rsid w:val="00032A81"/>
    <w:rsid w:val="000340D8"/>
    <w:rsid w:val="0003427D"/>
    <w:rsid w:val="000349A9"/>
    <w:rsid w:val="00034DFA"/>
    <w:rsid w:val="000357ED"/>
    <w:rsid w:val="00035E15"/>
    <w:rsid w:val="0003640E"/>
    <w:rsid w:val="0003688A"/>
    <w:rsid w:val="000368FC"/>
    <w:rsid w:val="00036DA3"/>
    <w:rsid w:val="000379BF"/>
    <w:rsid w:val="00037BEC"/>
    <w:rsid w:val="000400D9"/>
    <w:rsid w:val="0004035C"/>
    <w:rsid w:val="00040860"/>
    <w:rsid w:val="00040CED"/>
    <w:rsid w:val="00040EA1"/>
    <w:rsid w:val="0004205F"/>
    <w:rsid w:val="000423C6"/>
    <w:rsid w:val="00042EDB"/>
    <w:rsid w:val="00044A50"/>
    <w:rsid w:val="00044C65"/>
    <w:rsid w:val="000458C7"/>
    <w:rsid w:val="0004591D"/>
    <w:rsid w:val="00045991"/>
    <w:rsid w:val="00045E5C"/>
    <w:rsid w:val="00046288"/>
    <w:rsid w:val="00047941"/>
    <w:rsid w:val="000507EA"/>
    <w:rsid w:val="00050A22"/>
    <w:rsid w:val="0005144F"/>
    <w:rsid w:val="00051D42"/>
    <w:rsid w:val="000538A1"/>
    <w:rsid w:val="00054783"/>
    <w:rsid w:val="00055375"/>
    <w:rsid w:val="00055550"/>
    <w:rsid w:val="0005567E"/>
    <w:rsid w:val="00056319"/>
    <w:rsid w:val="000564E7"/>
    <w:rsid w:val="00056770"/>
    <w:rsid w:val="00057386"/>
    <w:rsid w:val="00057EEF"/>
    <w:rsid w:val="000619CB"/>
    <w:rsid w:val="00062387"/>
    <w:rsid w:val="000633C7"/>
    <w:rsid w:val="00063C8F"/>
    <w:rsid w:val="000640F0"/>
    <w:rsid w:val="0006434D"/>
    <w:rsid w:val="000643A1"/>
    <w:rsid w:val="00064679"/>
    <w:rsid w:val="00064A13"/>
    <w:rsid w:val="00064AF4"/>
    <w:rsid w:val="00064DB1"/>
    <w:rsid w:val="00065BA3"/>
    <w:rsid w:val="00065D3B"/>
    <w:rsid w:val="000664EA"/>
    <w:rsid w:val="000667E9"/>
    <w:rsid w:val="00067128"/>
    <w:rsid w:val="000675CD"/>
    <w:rsid w:val="00067872"/>
    <w:rsid w:val="000678AC"/>
    <w:rsid w:val="000703B2"/>
    <w:rsid w:val="00070566"/>
    <w:rsid w:val="00070FBF"/>
    <w:rsid w:val="000711EE"/>
    <w:rsid w:val="0007180E"/>
    <w:rsid w:val="00071AE4"/>
    <w:rsid w:val="00071CB5"/>
    <w:rsid w:val="00071CCB"/>
    <w:rsid w:val="00071D03"/>
    <w:rsid w:val="0007232B"/>
    <w:rsid w:val="00072CC9"/>
    <w:rsid w:val="000735A2"/>
    <w:rsid w:val="0007517E"/>
    <w:rsid w:val="00075FE1"/>
    <w:rsid w:val="00076667"/>
    <w:rsid w:val="000767E0"/>
    <w:rsid w:val="00077473"/>
    <w:rsid w:val="00077481"/>
    <w:rsid w:val="000776F9"/>
    <w:rsid w:val="00077EE0"/>
    <w:rsid w:val="000802F9"/>
    <w:rsid w:val="000805B2"/>
    <w:rsid w:val="0008145A"/>
    <w:rsid w:val="0008162D"/>
    <w:rsid w:val="000831C8"/>
    <w:rsid w:val="00083F5E"/>
    <w:rsid w:val="00084FDB"/>
    <w:rsid w:val="0008505C"/>
    <w:rsid w:val="00085C46"/>
    <w:rsid w:val="0008686A"/>
    <w:rsid w:val="00087175"/>
    <w:rsid w:val="00087D35"/>
    <w:rsid w:val="000900A5"/>
    <w:rsid w:val="00091796"/>
    <w:rsid w:val="00091BA2"/>
    <w:rsid w:val="00091CB0"/>
    <w:rsid w:val="00093E9F"/>
    <w:rsid w:val="00094344"/>
    <w:rsid w:val="00094A39"/>
    <w:rsid w:val="000953C6"/>
    <w:rsid w:val="000953F4"/>
    <w:rsid w:val="0009590C"/>
    <w:rsid w:val="000959E7"/>
    <w:rsid w:val="00095BC4"/>
    <w:rsid w:val="00095E7D"/>
    <w:rsid w:val="000964DE"/>
    <w:rsid w:val="000967DE"/>
    <w:rsid w:val="000972AB"/>
    <w:rsid w:val="00097B40"/>
    <w:rsid w:val="00097D0E"/>
    <w:rsid w:val="000A17EA"/>
    <w:rsid w:val="000A1C7A"/>
    <w:rsid w:val="000A2345"/>
    <w:rsid w:val="000A2394"/>
    <w:rsid w:val="000A2E99"/>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6128"/>
    <w:rsid w:val="000A7658"/>
    <w:rsid w:val="000A7F0F"/>
    <w:rsid w:val="000A7F4C"/>
    <w:rsid w:val="000B02BC"/>
    <w:rsid w:val="000B0498"/>
    <w:rsid w:val="000B1942"/>
    <w:rsid w:val="000B1BED"/>
    <w:rsid w:val="000B2240"/>
    <w:rsid w:val="000B2477"/>
    <w:rsid w:val="000B2600"/>
    <w:rsid w:val="000B36F9"/>
    <w:rsid w:val="000B4074"/>
    <w:rsid w:val="000B4732"/>
    <w:rsid w:val="000B4BCD"/>
    <w:rsid w:val="000B5EC1"/>
    <w:rsid w:val="000B5F0D"/>
    <w:rsid w:val="000B66DC"/>
    <w:rsid w:val="000B6D1F"/>
    <w:rsid w:val="000C062F"/>
    <w:rsid w:val="000C17E7"/>
    <w:rsid w:val="000C3270"/>
    <w:rsid w:val="000C577E"/>
    <w:rsid w:val="000D04BA"/>
    <w:rsid w:val="000D0B6E"/>
    <w:rsid w:val="000D0D65"/>
    <w:rsid w:val="000D12E0"/>
    <w:rsid w:val="000D1944"/>
    <w:rsid w:val="000D1DD9"/>
    <w:rsid w:val="000D2172"/>
    <w:rsid w:val="000D293C"/>
    <w:rsid w:val="000D2BC1"/>
    <w:rsid w:val="000D337B"/>
    <w:rsid w:val="000D385A"/>
    <w:rsid w:val="000D38C2"/>
    <w:rsid w:val="000D3CA7"/>
    <w:rsid w:val="000D4704"/>
    <w:rsid w:val="000D5B16"/>
    <w:rsid w:val="000D5FD6"/>
    <w:rsid w:val="000D6201"/>
    <w:rsid w:val="000D6488"/>
    <w:rsid w:val="000D7088"/>
    <w:rsid w:val="000D718D"/>
    <w:rsid w:val="000D770B"/>
    <w:rsid w:val="000D788E"/>
    <w:rsid w:val="000E12B0"/>
    <w:rsid w:val="000E1BC8"/>
    <w:rsid w:val="000E1D32"/>
    <w:rsid w:val="000E26D8"/>
    <w:rsid w:val="000E2B94"/>
    <w:rsid w:val="000E3156"/>
    <w:rsid w:val="000E35B6"/>
    <w:rsid w:val="000E3AB7"/>
    <w:rsid w:val="000E3BB8"/>
    <w:rsid w:val="000E3D9B"/>
    <w:rsid w:val="000E3DFD"/>
    <w:rsid w:val="000E4261"/>
    <w:rsid w:val="000E4697"/>
    <w:rsid w:val="000E5300"/>
    <w:rsid w:val="000E58C5"/>
    <w:rsid w:val="000E6203"/>
    <w:rsid w:val="000E64CB"/>
    <w:rsid w:val="000E722C"/>
    <w:rsid w:val="000E755B"/>
    <w:rsid w:val="000E786F"/>
    <w:rsid w:val="000E7DA7"/>
    <w:rsid w:val="000E7FA0"/>
    <w:rsid w:val="000F00BA"/>
    <w:rsid w:val="000F02F8"/>
    <w:rsid w:val="000F0409"/>
    <w:rsid w:val="000F049F"/>
    <w:rsid w:val="000F0642"/>
    <w:rsid w:val="000F07FA"/>
    <w:rsid w:val="000F0B5E"/>
    <w:rsid w:val="000F0B73"/>
    <w:rsid w:val="000F1D43"/>
    <w:rsid w:val="000F1FFF"/>
    <w:rsid w:val="000F20AA"/>
    <w:rsid w:val="000F2620"/>
    <w:rsid w:val="000F2651"/>
    <w:rsid w:val="000F28B7"/>
    <w:rsid w:val="000F348D"/>
    <w:rsid w:val="000F369A"/>
    <w:rsid w:val="000F4463"/>
    <w:rsid w:val="000F5285"/>
    <w:rsid w:val="000F52E0"/>
    <w:rsid w:val="000F53A9"/>
    <w:rsid w:val="000F6464"/>
    <w:rsid w:val="000F6628"/>
    <w:rsid w:val="000F6C25"/>
    <w:rsid w:val="000F76EB"/>
    <w:rsid w:val="000F78AE"/>
    <w:rsid w:val="000F7E25"/>
    <w:rsid w:val="001007EE"/>
    <w:rsid w:val="00100F76"/>
    <w:rsid w:val="0010148E"/>
    <w:rsid w:val="0010253C"/>
    <w:rsid w:val="00102BD1"/>
    <w:rsid w:val="0010486A"/>
    <w:rsid w:val="0010561C"/>
    <w:rsid w:val="00105C0F"/>
    <w:rsid w:val="00105E39"/>
    <w:rsid w:val="00106561"/>
    <w:rsid w:val="00106A29"/>
    <w:rsid w:val="00106D63"/>
    <w:rsid w:val="001075F3"/>
    <w:rsid w:val="00107A01"/>
    <w:rsid w:val="00107C23"/>
    <w:rsid w:val="00110307"/>
    <w:rsid w:val="00110C7F"/>
    <w:rsid w:val="00110EE2"/>
    <w:rsid w:val="00111A88"/>
    <w:rsid w:val="0011221A"/>
    <w:rsid w:val="00113283"/>
    <w:rsid w:val="001137AE"/>
    <w:rsid w:val="00113B20"/>
    <w:rsid w:val="001147B3"/>
    <w:rsid w:val="001148F7"/>
    <w:rsid w:val="001149B2"/>
    <w:rsid w:val="00114C2D"/>
    <w:rsid w:val="00115125"/>
    <w:rsid w:val="001152F2"/>
    <w:rsid w:val="001157D7"/>
    <w:rsid w:val="00116382"/>
    <w:rsid w:val="00116484"/>
    <w:rsid w:val="00116ACF"/>
    <w:rsid w:val="00116D5C"/>
    <w:rsid w:val="001172B2"/>
    <w:rsid w:val="001174D5"/>
    <w:rsid w:val="00117F9B"/>
    <w:rsid w:val="00121211"/>
    <w:rsid w:val="00121628"/>
    <w:rsid w:val="0012167D"/>
    <w:rsid w:val="00122189"/>
    <w:rsid w:val="00122280"/>
    <w:rsid w:val="00122D42"/>
    <w:rsid w:val="00123345"/>
    <w:rsid w:val="00123572"/>
    <w:rsid w:val="001235EF"/>
    <w:rsid w:val="00123C46"/>
    <w:rsid w:val="0012470B"/>
    <w:rsid w:val="00125C75"/>
    <w:rsid w:val="00125C7E"/>
    <w:rsid w:val="00127945"/>
    <w:rsid w:val="00127D94"/>
    <w:rsid w:val="00127E90"/>
    <w:rsid w:val="001302C1"/>
    <w:rsid w:val="001306D3"/>
    <w:rsid w:val="001310BF"/>
    <w:rsid w:val="00132924"/>
    <w:rsid w:val="00133E73"/>
    <w:rsid w:val="00133FDB"/>
    <w:rsid w:val="00134F4A"/>
    <w:rsid w:val="00135E4E"/>
    <w:rsid w:val="00136246"/>
    <w:rsid w:val="001363CE"/>
    <w:rsid w:val="001364D4"/>
    <w:rsid w:val="001371C8"/>
    <w:rsid w:val="001372ED"/>
    <w:rsid w:val="001414E0"/>
    <w:rsid w:val="00142B50"/>
    <w:rsid w:val="00143873"/>
    <w:rsid w:val="001439E9"/>
    <w:rsid w:val="00143C55"/>
    <w:rsid w:val="00144C6F"/>
    <w:rsid w:val="00145089"/>
    <w:rsid w:val="001451E7"/>
    <w:rsid w:val="001462E3"/>
    <w:rsid w:val="0014720C"/>
    <w:rsid w:val="001472C2"/>
    <w:rsid w:val="00147458"/>
    <w:rsid w:val="00147E21"/>
    <w:rsid w:val="00150BA8"/>
    <w:rsid w:val="00150D19"/>
    <w:rsid w:val="0015181B"/>
    <w:rsid w:val="00151A9F"/>
    <w:rsid w:val="00152B87"/>
    <w:rsid w:val="00153A96"/>
    <w:rsid w:val="00153D1C"/>
    <w:rsid w:val="001543E2"/>
    <w:rsid w:val="00155B43"/>
    <w:rsid w:val="001565A2"/>
    <w:rsid w:val="001567C3"/>
    <w:rsid w:val="00156A12"/>
    <w:rsid w:val="00157B3F"/>
    <w:rsid w:val="00157F8A"/>
    <w:rsid w:val="00160C3D"/>
    <w:rsid w:val="00161B24"/>
    <w:rsid w:val="00161C41"/>
    <w:rsid w:val="00161DD5"/>
    <w:rsid w:val="001633A4"/>
    <w:rsid w:val="001634D6"/>
    <w:rsid w:val="001648DD"/>
    <w:rsid w:val="00165705"/>
    <w:rsid w:val="00166389"/>
    <w:rsid w:val="00166E03"/>
    <w:rsid w:val="00167E4C"/>
    <w:rsid w:val="00171449"/>
    <w:rsid w:val="0017199C"/>
    <w:rsid w:val="00171C7E"/>
    <w:rsid w:val="00171F35"/>
    <w:rsid w:val="00172552"/>
    <w:rsid w:val="00172873"/>
    <w:rsid w:val="00172CF7"/>
    <w:rsid w:val="0017319E"/>
    <w:rsid w:val="00173A1F"/>
    <w:rsid w:val="00173BC3"/>
    <w:rsid w:val="00174128"/>
    <w:rsid w:val="001751F5"/>
    <w:rsid w:val="00175C34"/>
    <w:rsid w:val="00175F9A"/>
    <w:rsid w:val="00176E98"/>
    <w:rsid w:val="00177996"/>
    <w:rsid w:val="00180B3F"/>
    <w:rsid w:val="00180C83"/>
    <w:rsid w:val="00180CE5"/>
    <w:rsid w:val="00180F67"/>
    <w:rsid w:val="0018175B"/>
    <w:rsid w:val="001820A3"/>
    <w:rsid w:val="0018332A"/>
    <w:rsid w:val="00183D80"/>
    <w:rsid w:val="001842C8"/>
    <w:rsid w:val="00185044"/>
    <w:rsid w:val="001850DB"/>
    <w:rsid w:val="0018599C"/>
    <w:rsid w:val="001869EE"/>
    <w:rsid w:val="00186D00"/>
    <w:rsid w:val="0018743A"/>
    <w:rsid w:val="00190A57"/>
    <w:rsid w:val="00190B3F"/>
    <w:rsid w:val="0019122C"/>
    <w:rsid w:val="00191908"/>
    <w:rsid w:val="00192C29"/>
    <w:rsid w:val="00192DF3"/>
    <w:rsid w:val="0019301F"/>
    <w:rsid w:val="00193286"/>
    <w:rsid w:val="001937B8"/>
    <w:rsid w:val="00194BB7"/>
    <w:rsid w:val="00194CC5"/>
    <w:rsid w:val="001951B2"/>
    <w:rsid w:val="00197564"/>
    <w:rsid w:val="00197EC2"/>
    <w:rsid w:val="00197ECE"/>
    <w:rsid w:val="001A13E1"/>
    <w:rsid w:val="001A1CED"/>
    <w:rsid w:val="001A279B"/>
    <w:rsid w:val="001A2DC3"/>
    <w:rsid w:val="001A2E87"/>
    <w:rsid w:val="001A3869"/>
    <w:rsid w:val="001A38C2"/>
    <w:rsid w:val="001A65C8"/>
    <w:rsid w:val="001A732E"/>
    <w:rsid w:val="001A7F30"/>
    <w:rsid w:val="001B06E2"/>
    <w:rsid w:val="001B103A"/>
    <w:rsid w:val="001B103D"/>
    <w:rsid w:val="001B1513"/>
    <w:rsid w:val="001B1767"/>
    <w:rsid w:val="001B2453"/>
    <w:rsid w:val="001B2975"/>
    <w:rsid w:val="001B3D48"/>
    <w:rsid w:val="001B4DD4"/>
    <w:rsid w:val="001B5AF9"/>
    <w:rsid w:val="001B6600"/>
    <w:rsid w:val="001B6B9B"/>
    <w:rsid w:val="001B6C27"/>
    <w:rsid w:val="001B7126"/>
    <w:rsid w:val="001B7144"/>
    <w:rsid w:val="001B7E91"/>
    <w:rsid w:val="001C059C"/>
    <w:rsid w:val="001C147E"/>
    <w:rsid w:val="001C151B"/>
    <w:rsid w:val="001C19E5"/>
    <w:rsid w:val="001C322D"/>
    <w:rsid w:val="001C3800"/>
    <w:rsid w:val="001C3C7B"/>
    <w:rsid w:val="001C6122"/>
    <w:rsid w:val="001C6587"/>
    <w:rsid w:val="001C69BE"/>
    <w:rsid w:val="001C6DB5"/>
    <w:rsid w:val="001C71AC"/>
    <w:rsid w:val="001C7316"/>
    <w:rsid w:val="001C7E5C"/>
    <w:rsid w:val="001D00CC"/>
    <w:rsid w:val="001D0494"/>
    <w:rsid w:val="001D07B7"/>
    <w:rsid w:val="001D1719"/>
    <w:rsid w:val="001D171B"/>
    <w:rsid w:val="001D1732"/>
    <w:rsid w:val="001D1E2E"/>
    <w:rsid w:val="001D2203"/>
    <w:rsid w:val="001D255C"/>
    <w:rsid w:val="001D2DEF"/>
    <w:rsid w:val="001D30BB"/>
    <w:rsid w:val="001D488C"/>
    <w:rsid w:val="001D4CDF"/>
    <w:rsid w:val="001D4F88"/>
    <w:rsid w:val="001D578D"/>
    <w:rsid w:val="001D5818"/>
    <w:rsid w:val="001D653A"/>
    <w:rsid w:val="001D7DEE"/>
    <w:rsid w:val="001E02CB"/>
    <w:rsid w:val="001E14FD"/>
    <w:rsid w:val="001E180F"/>
    <w:rsid w:val="001E1C64"/>
    <w:rsid w:val="001E1CEC"/>
    <w:rsid w:val="001E2ECB"/>
    <w:rsid w:val="001E494E"/>
    <w:rsid w:val="001E4B64"/>
    <w:rsid w:val="001E552A"/>
    <w:rsid w:val="001E57B9"/>
    <w:rsid w:val="001E6E8D"/>
    <w:rsid w:val="001E7EE4"/>
    <w:rsid w:val="001E7F76"/>
    <w:rsid w:val="001F0B1B"/>
    <w:rsid w:val="001F0E82"/>
    <w:rsid w:val="001F0FAF"/>
    <w:rsid w:val="001F139F"/>
    <w:rsid w:val="001F2805"/>
    <w:rsid w:val="001F2E79"/>
    <w:rsid w:val="001F2F07"/>
    <w:rsid w:val="001F3123"/>
    <w:rsid w:val="001F376D"/>
    <w:rsid w:val="001F39CC"/>
    <w:rsid w:val="001F418C"/>
    <w:rsid w:val="001F4B2D"/>
    <w:rsid w:val="001F4F40"/>
    <w:rsid w:val="001F50E0"/>
    <w:rsid w:val="001F594C"/>
    <w:rsid w:val="001F69FC"/>
    <w:rsid w:val="001F6D62"/>
    <w:rsid w:val="001F7675"/>
    <w:rsid w:val="00200FAE"/>
    <w:rsid w:val="0020102D"/>
    <w:rsid w:val="002010E2"/>
    <w:rsid w:val="00201B73"/>
    <w:rsid w:val="00202517"/>
    <w:rsid w:val="00202ADB"/>
    <w:rsid w:val="00202BB7"/>
    <w:rsid w:val="0020435B"/>
    <w:rsid w:val="00204533"/>
    <w:rsid w:val="00204B24"/>
    <w:rsid w:val="00205566"/>
    <w:rsid w:val="002063AA"/>
    <w:rsid w:val="002067CF"/>
    <w:rsid w:val="00210549"/>
    <w:rsid w:val="0021069E"/>
    <w:rsid w:val="00210804"/>
    <w:rsid w:val="0021088F"/>
    <w:rsid w:val="002113FE"/>
    <w:rsid w:val="00211737"/>
    <w:rsid w:val="0021181B"/>
    <w:rsid w:val="0021230F"/>
    <w:rsid w:val="002125B0"/>
    <w:rsid w:val="00212A82"/>
    <w:rsid w:val="00214EA2"/>
    <w:rsid w:val="002160FA"/>
    <w:rsid w:val="002166DD"/>
    <w:rsid w:val="00216704"/>
    <w:rsid w:val="002168A2"/>
    <w:rsid w:val="00217867"/>
    <w:rsid w:val="002205E4"/>
    <w:rsid w:val="00220D67"/>
    <w:rsid w:val="002215F8"/>
    <w:rsid w:val="00221F80"/>
    <w:rsid w:val="0022273A"/>
    <w:rsid w:val="00222CC6"/>
    <w:rsid w:val="00222D28"/>
    <w:rsid w:val="00223CF4"/>
    <w:rsid w:val="00224220"/>
    <w:rsid w:val="00224398"/>
    <w:rsid w:val="00224A81"/>
    <w:rsid w:val="00224E91"/>
    <w:rsid w:val="00225B4B"/>
    <w:rsid w:val="00225B4C"/>
    <w:rsid w:val="00225E1E"/>
    <w:rsid w:val="00226129"/>
    <w:rsid w:val="0022614D"/>
    <w:rsid w:val="00226AA2"/>
    <w:rsid w:val="00227218"/>
    <w:rsid w:val="0022770A"/>
    <w:rsid w:val="00227B8E"/>
    <w:rsid w:val="00227BEE"/>
    <w:rsid w:val="00227FB4"/>
    <w:rsid w:val="0023057E"/>
    <w:rsid w:val="002312BC"/>
    <w:rsid w:val="002337E5"/>
    <w:rsid w:val="00233C06"/>
    <w:rsid w:val="00233D23"/>
    <w:rsid w:val="00233F24"/>
    <w:rsid w:val="00234BBB"/>
    <w:rsid w:val="002356F4"/>
    <w:rsid w:val="00235F02"/>
    <w:rsid w:val="00236D28"/>
    <w:rsid w:val="00237FE4"/>
    <w:rsid w:val="00240656"/>
    <w:rsid w:val="00241610"/>
    <w:rsid w:val="00241AED"/>
    <w:rsid w:val="00243182"/>
    <w:rsid w:val="00243928"/>
    <w:rsid w:val="00243946"/>
    <w:rsid w:val="00243BC5"/>
    <w:rsid w:val="00243C7D"/>
    <w:rsid w:val="00243D4F"/>
    <w:rsid w:val="00243E9A"/>
    <w:rsid w:val="00244371"/>
    <w:rsid w:val="00244AF8"/>
    <w:rsid w:val="00244BC5"/>
    <w:rsid w:val="00244E68"/>
    <w:rsid w:val="002456C5"/>
    <w:rsid w:val="00245ABE"/>
    <w:rsid w:val="00245C0B"/>
    <w:rsid w:val="00246EAE"/>
    <w:rsid w:val="00247116"/>
    <w:rsid w:val="002471E5"/>
    <w:rsid w:val="002517A8"/>
    <w:rsid w:val="00251EEE"/>
    <w:rsid w:val="00253177"/>
    <w:rsid w:val="002538B8"/>
    <w:rsid w:val="0025396F"/>
    <w:rsid w:val="00254319"/>
    <w:rsid w:val="0025539F"/>
    <w:rsid w:val="00256388"/>
    <w:rsid w:val="00256E44"/>
    <w:rsid w:val="00260740"/>
    <w:rsid w:val="00260919"/>
    <w:rsid w:val="00260DCF"/>
    <w:rsid w:val="002612FD"/>
    <w:rsid w:val="002613DC"/>
    <w:rsid w:val="00261755"/>
    <w:rsid w:val="00261AAA"/>
    <w:rsid w:val="00262097"/>
    <w:rsid w:val="00262D20"/>
    <w:rsid w:val="002634AB"/>
    <w:rsid w:val="002638E0"/>
    <w:rsid w:val="00263A33"/>
    <w:rsid w:val="00263C19"/>
    <w:rsid w:val="00263E9F"/>
    <w:rsid w:val="00264986"/>
    <w:rsid w:val="00264F03"/>
    <w:rsid w:val="00264F8F"/>
    <w:rsid w:val="002655AE"/>
    <w:rsid w:val="0026591F"/>
    <w:rsid w:val="00265A65"/>
    <w:rsid w:val="002660F0"/>
    <w:rsid w:val="002665A7"/>
    <w:rsid w:val="002675B6"/>
    <w:rsid w:val="00267A99"/>
    <w:rsid w:val="00270271"/>
    <w:rsid w:val="00272174"/>
    <w:rsid w:val="002721A6"/>
    <w:rsid w:val="002722E0"/>
    <w:rsid w:val="002730EC"/>
    <w:rsid w:val="00273100"/>
    <w:rsid w:val="002735CC"/>
    <w:rsid w:val="00274588"/>
    <w:rsid w:val="00274A67"/>
    <w:rsid w:val="00274AA2"/>
    <w:rsid w:val="002756EF"/>
    <w:rsid w:val="00275708"/>
    <w:rsid w:val="002768CF"/>
    <w:rsid w:val="00276F82"/>
    <w:rsid w:val="002805DF"/>
    <w:rsid w:val="0028092D"/>
    <w:rsid w:val="00280BE4"/>
    <w:rsid w:val="002815D9"/>
    <w:rsid w:val="00282317"/>
    <w:rsid w:val="00282D25"/>
    <w:rsid w:val="00282DF9"/>
    <w:rsid w:val="00283800"/>
    <w:rsid w:val="00283A44"/>
    <w:rsid w:val="0028529F"/>
    <w:rsid w:val="00285687"/>
    <w:rsid w:val="00287649"/>
    <w:rsid w:val="002876EE"/>
    <w:rsid w:val="00287DAB"/>
    <w:rsid w:val="00287FB6"/>
    <w:rsid w:val="002900C5"/>
    <w:rsid w:val="002901E0"/>
    <w:rsid w:val="0029075B"/>
    <w:rsid w:val="00290BB1"/>
    <w:rsid w:val="00291BC1"/>
    <w:rsid w:val="002933CA"/>
    <w:rsid w:val="00293A8F"/>
    <w:rsid w:val="00295155"/>
    <w:rsid w:val="00295D51"/>
    <w:rsid w:val="00296203"/>
    <w:rsid w:val="00296428"/>
    <w:rsid w:val="0029643D"/>
    <w:rsid w:val="0029706A"/>
    <w:rsid w:val="002972EE"/>
    <w:rsid w:val="00297F01"/>
    <w:rsid w:val="002A052D"/>
    <w:rsid w:val="002A0DF8"/>
    <w:rsid w:val="002A1367"/>
    <w:rsid w:val="002A1928"/>
    <w:rsid w:val="002A1B61"/>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7BE"/>
    <w:rsid w:val="002A59BD"/>
    <w:rsid w:val="002A66CE"/>
    <w:rsid w:val="002A75CA"/>
    <w:rsid w:val="002A763E"/>
    <w:rsid w:val="002A7889"/>
    <w:rsid w:val="002A799A"/>
    <w:rsid w:val="002B097D"/>
    <w:rsid w:val="002B0D69"/>
    <w:rsid w:val="002B11B2"/>
    <w:rsid w:val="002B18F7"/>
    <w:rsid w:val="002B3ED7"/>
    <w:rsid w:val="002B4778"/>
    <w:rsid w:val="002B616A"/>
    <w:rsid w:val="002B75B2"/>
    <w:rsid w:val="002B79B7"/>
    <w:rsid w:val="002C141D"/>
    <w:rsid w:val="002C19C0"/>
    <w:rsid w:val="002C2485"/>
    <w:rsid w:val="002C25E0"/>
    <w:rsid w:val="002C2A2D"/>
    <w:rsid w:val="002C36C0"/>
    <w:rsid w:val="002C3928"/>
    <w:rsid w:val="002C3B33"/>
    <w:rsid w:val="002C435E"/>
    <w:rsid w:val="002C43BB"/>
    <w:rsid w:val="002C44AB"/>
    <w:rsid w:val="002C5E39"/>
    <w:rsid w:val="002C5FA2"/>
    <w:rsid w:val="002C6F3A"/>
    <w:rsid w:val="002C7A02"/>
    <w:rsid w:val="002C7BD4"/>
    <w:rsid w:val="002D0107"/>
    <w:rsid w:val="002D062E"/>
    <w:rsid w:val="002D0D43"/>
    <w:rsid w:val="002D15C2"/>
    <w:rsid w:val="002D2B10"/>
    <w:rsid w:val="002D386A"/>
    <w:rsid w:val="002D4100"/>
    <w:rsid w:val="002D477F"/>
    <w:rsid w:val="002D4F48"/>
    <w:rsid w:val="002D519B"/>
    <w:rsid w:val="002D5BFD"/>
    <w:rsid w:val="002D621E"/>
    <w:rsid w:val="002D66DA"/>
    <w:rsid w:val="002D7027"/>
    <w:rsid w:val="002D70DC"/>
    <w:rsid w:val="002D758B"/>
    <w:rsid w:val="002D79BC"/>
    <w:rsid w:val="002D7E58"/>
    <w:rsid w:val="002E0623"/>
    <w:rsid w:val="002E0D31"/>
    <w:rsid w:val="002E0EFA"/>
    <w:rsid w:val="002E1073"/>
    <w:rsid w:val="002E12EC"/>
    <w:rsid w:val="002E146D"/>
    <w:rsid w:val="002E272B"/>
    <w:rsid w:val="002E29F8"/>
    <w:rsid w:val="002E2C52"/>
    <w:rsid w:val="002E342B"/>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0B5D"/>
    <w:rsid w:val="002F10C5"/>
    <w:rsid w:val="002F10EC"/>
    <w:rsid w:val="002F1136"/>
    <w:rsid w:val="002F1231"/>
    <w:rsid w:val="002F1521"/>
    <w:rsid w:val="002F15EE"/>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D0A"/>
    <w:rsid w:val="003027B8"/>
    <w:rsid w:val="0030284F"/>
    <w:rsid w:val="0030293F"/>
    <w:rsid w:val="00302947"/>
    <w:rsid w:val="00302C50"/>
    <w:rsid w:val="003031C2"/>
    <w:rsid w:val="00303861"/>
    <w:rsid w:val="00303FEF"/>
    <w:rsid w:val="0030497C"/>
    <w:rsid w:val="00304FFF"/>
    <w:rsid w:val="00305557"/>
    <w:rsid w:val="0030561F"/>
    <w:rsid w:val="00305BC0"/>
    <w:rsid w:val="00305CA3"/>
    <w:rsid w:val="00306E5C"/>
    <w:rsid w:val="00307C19"/>
    <w:rsid w:val="00310732"/>
    <w:rsid w:val="00310BC9"/>
    <w:rsid w:val="00311762"/>
    <w:rsid w:val="00311E98"/>
    <w:rsid w:val="00312215"/>
    <w:rsid w:val="0031249C"/>
    <w:rsid w:val="003125C3"/>
    <w:rsid w:val="0031265D"/>
    <w:rsid w:val="00312896"/>
    <w:rsid w:val="00313EAC"/>
    <w:rsid w:val="003142F4"/>
    <w:rsid w:val="0031454E"/>
    <w:rsid w:val="0031611F"/>
    <w:rsid w:val="00317A33"/>
    <w:rsid w:val="00320339"/>
    <w:rsid w:val="00320478"/>
    <w:rsid w:val="00321214"/>
    <w:rsid w:val="003213D5"/>
    <w:rsid w:val="00323737"/>
    <w:rsid w:val="00323AD6"/>
    <w:rsid w:val="00323F27"/>
    <w:rsid w:val="003242EF"/>
    <w:rsid w:val="00325339"/>
    <w:rsid w:val="003255AA"/>
    <w:rsid w:val="00325973"/>
    <w:rsid w:val="003314B6"/>
    <w:rsid w:val="00331A20"/>
    <w:rsid w:val="00331E65"/>
    <w:rsid w:val="00333107"/>
    <w:rsid w:val="0033343B"/>
    <w:rsid w:val="0033393C"/>
    <w:rsid w:val="003357EE"/>
    <w:rsid w:val="00337368"/>
    <w:rsid w:val="00337B4D"/>
    <w:rsid w:val="00337CDD"/>
    <w:rsid w:val="003407A9"/>
    <w:rsid w:val="00340BA3"/>
    <w:rsid w:val="00340BAF"/>
    <w:rsid w:val="00340C2B"/>
    <w:rsid w:val="00340F9A"/>
    <w:rsid w:val="00341018"/>
    <w:rsid w:val="003420D9"/>
    <w:rsid w:val="0034237D"/>
    <w:rsid w:val="003423E0"/>
    <w:rsid w:val="00343D76"/>
    <w:rsid w:val="00344DFD"/>
    <w:rsid w:val="003451D3"/>
    <w:rsid w:val="00346631"/>
    <w:rsid w:val="00346AAD"/>
    <w:rsid w:val="00346D96"/>
    <w:rsid w:val="0034736A"/>
    <w:rsid w:val="0034747C"/>
    <w:rsid w:val="00347B6C"/>
    <w:rsid w:val="0035151C"/>
    <w:rsid w:val="00352254"/>
    <w:rsid w:val="003522A3"/>
    <w:rsid w:val="00353929"/>
    <w:rsid w:val="00353F9E"/>
    <w:rsid w:val="003540D1"/>
    <w:rsid w:val="003545BF"/>
    <w:rsid w:val="003549D0"/>
    <w:rsid w:val="0035586A"/>
    <w:rsid w:val="0035611A"/>
    <w:rsid w:val="00356C3D"/>
    <w:rsid w:val="0036059F"/>
    <w:rsid w:val="00360B75"/>
    <w:rsid w:val="0036151C"/>
    <w:rsid w:val="00361A9B"/>
    <w:rsid w:val="00362CCF"/>
    <w:rsid w:val="003631DB"/>
    <w:rsid w:val="00364524"/>
    <w:rsid w:val="0036513A"/>
    <w:rsid w:val="00365237"/>
    <w:rsid w:val="0036559C"/>
    <w:rsid w:val="0036587E"/>
    <w:rsid w:val="003660CD"/>
    <w:rsid w:val="00366B08"/>
    <w:rsid w:val="00367496"/>
    <w:rsid w:val="003678BE"/>
    <w:rsid w:val="003700F8"/>
    <w:rsid w:val="00370949"/>
    <w:rsid w:val="0037243B"/>
    <w:rsid w:val="0037251C"/>
    <w:rsid w:val="003726F8"/>
    <w:rsid w:val="0037272C"/>
    <w:rsid w:val="00372B9A"/>
    <w:rsid w:val="003731BF"/>
    <w:rsid w:val="00373842"/>
    <w:rsid w:val="00375791"/>
    <w:rsid w:val="00375826"/>
    <w:rsid w:val="00375994"/>
    <w:rsid w:val="00375C59"/>
    <w:rsid w:val="00375E05"/>
    <w:rsid w:val="00376BB7"/>
    <w:rsid w:val="00376EEE"/>
    <w:rsid w:val="00377BA1"/>
    <w:rsid w:val="00377FF0"/>
    <w:rsid w:val="00380501"/>
    <w:rsid w:val="00380616"/>
    <w:rsid w:val="00381022"/>
    <w:rsid w:val="003814B8"/>
    <w:rsid w:val="00382909"/>
    <w:rsid w:val="00382EE1"/>
    <w:rsid w:val="00384258"/>
    <w:rsid w:val="003848A9"/>
    <w:rsid w:val="00385131"/>
    <w:rsid w:val="00385C42"/>
    <w:rsid w:val="0038620B"/>
    <w:rsid w:val="00387647"/>
    <w:rsid w:val="0038791A"/>
    <w:rsid w:val="00390056"/>
    <w:rsid w:val="0039055C"/>
    <w:rsid w:val="00390718"/>
    <w:rsid w:val="00390767"/>
    <w:rsid w:val="00390883"/>
    <w:rsid w:val="00391470"/>
    <w:rsid w:val="00391919"/>
    <w:rsid w:val="003920C4"/>
    <w:rsid w:val="00392184"/>
    <w:rsid w:val="00392652"/>
    <w:rsid w:val="00392B41"/>
    <w:rsid w:val="0039456F"/>
    <w:rsid w:val="003945C8"/>
    <w:rsid w:val="0039480D"/>
    <w:rsid w:val="00395446"/>
    <w:rsid w:val="00396725"/>
    <w:rsid w:val="00397A28"/>
    <w:rsid w:val="00397E94"/>
    <w:rsid w:val="00397F05"/>
    <w:rsid w:val="003A0442"/>
    <w:rsid w:val="003A0899"/>
    <w:rsid w:val="003A0E43"/>
    <w:rsid w:val="003A1512"/>
    <w:rsid w:val="003A1EB7"/>
    <w:rsid w:val="003A23F3"/>
    <w:rsid w:val="003A2D82"/>
    <w:rsid w:val="003A337C"/>
    <w:rsid w:val="003A36DA"/>
    <w:rsid w:val="003A38F1"/>
    <w:rsid w:val="003A3D1B"/>
    <w:rsid w:val="003A3F39"/>
    <w:rsid w:val="003A4296"/>
    <w:rsid w:val="003A4549"/>
    <w:rsid w:val="003A49B3"/>
    <w:rsid w:val="003A55B4"/>
    <w:rsid w:val="003A61B6"/>
    <w:rsid w:val="003A623F"/>
    <w:rsid w:val="003A71AD"/>
    <w:rsid w:val="003A7D1D"/>
    <w:rsid w:val="003B1688"/>
    <w:rsid w:val="003B1FA4"/>
    <w:rsid w:val="003B1FE6"/>
    <w:rsid w:val="003B3106"/>
    <w:rsid w:val="003B3974"/>
    <w:rsid w:val="003B39E0"/>
    <w:rsid w:val="003B3DAB"/>
    <w:rsid w:val="003B404D"/>
    <w:rsid w:val="003B4B34"/>
    <w:rsid w:val="003B4CDA"/>
    <w:rsid w:val="003B4F2D"/>
    <w:rsid w:val="003B5BD9"/>
    <w:rsid w:val="003B64A3"/>
    <w:rsid w:val="003B6557"/>
    <w:rsid w:val="003B6DB8"/>
    <w:rsid w:val="003B72B9"/>
    <w:rsid w:val="003B7415"/>
    <w:rsid w:val="003C0887"/>
    <w:rsid w:val="003C08AF"/>
    <w:rsid w:val="003C2EDD"/>
    <w:rsid w:val="003C3220"/>
    <w:rsid w:val="003C3A47"/>
    <w:rsid w:val="003C3A79"/>
    <w:rsid w:val="003C48F2"/>
    <w:rsid w:val="003C5177"/>
    <w:rsid w:val="003C52B0"/>
    <w:rsid w:val="003C5911"/>
    <w:rsid w:val="003C5CDB"/>
    <w:rsid w:val="003C5EF4"/>
    <w:rsid w:val="003C6465"/>
    <w:rsid w:val="003C65E4"/>
    <w:rsid w:val="003C7712"/>
    <w:rsid w:val="003C7862"/>
    <w:rsid w:val="003C7ECD"/>
    <w:rsid w:val="003D007D"/>
    <w:rsid w:val="003D01A1"/>
    <w:rsid w:val="003D04D6"/>
    <w:rsid w:val="003D04F6"/>
    <w:rsid w:val="003D18CC"/>
    <w:rsid w:val="003D3583"/>
    <w:rsid w:val="003D391E"/>
    <w:rsid w:val="003D3B6F"/>
    <w:rsid w:val="003D40E8"/>
    <w:rsid w:val="003D455E"/>
    <w:rsid w:val="003D5785"/>
    <w:rsid w:val="003D5A2D"/>
    <w:rsid w:val="003D5A9D"/>
    <w:rsid w:val="003D62C0"/>
    <w:rsid w:val="003D65F6"/>
    <w:rsid w:val="003D6807"/>
    <w:rsid w:val="003D6911"/>
    <w:rsid w:val="003D7CDD"/>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72C"/>
    <w:rsid w:val="003E67E7"/>
    <w:rsid w:val="003E6B3C"/>
    <w:rsid w:val="003E6B95"/>
    <w:rsid w:val="003E70FF"/>
    <w:rsid w:val="003E7F1B"/>
    <w:rsid w:val="003F0B41"/>
    <w:rsid w:val="003F1E39"/>
    <w:rsid w:val="003F229D"/>
    <w:rsid w:val="003F25F0"/>
    <w:rsid w:val="003F2D5B"/>
    <w:rsid w:val="003F4701"/>
    <w:rsid w:val="003F4792"/>
    <w:rsid w:val="003F5AD2"/>
    <w:rsid w:val="003F5CA4"/>
    <w:rsid w:val="003F60E0"/>
    <w:rsid w:val="003F6D50"/>
    <w:rsid w:val="003F7006"/>
    <w:rsid w:val="003F7507"/>
    <w:rsid w:val="003F7C72"/>
    <w:rsid w:val="003F7D10"/>
    <w:rsid w:val="00401000"/>
    <w:rsid w:val="004016C6"/>
    <w:rsid w:val="0040179A"/>
    <w:rsid w:val="00401856"/>
    <w:rsid w:val="004028A2"/>
    <w:rsid w:val="00402FEB"/>
    <w:rsid w:val="00403344"/>
    <w:rsid w:val="00403C82"/>
    <w:rsid w:val="00404C44"/>
    <w:rsid w:val="00404EE8"/>
    <w:rsid w:val="0040510D"/>
    <w:rsid w:val="0040512D"/>
    <w:rsid w:val="0040602F"/>
    <w:rsid w:val="00406AFB"/>
    <w:rsid w:val="00407382"/>
    <w:rsid w:val="0040791B"/>
    <w:rsid w:val="00411958"/>
    <w:rsid w:val="00411B2A"/>
    <w:rsid w:val="00412973"/>
    <w:rsid w:val="00412D42"/>
    <w:rsid w:val="00412DA4"/>
    <w:rsid w:val="00412EB6"/>
    <w:rsid w:val="0041351F"/>
    <w:rsid w:val="004137C8"/>
    <w:rsid w:val="00413BF9"/>
    <w:rsid w:val="00413C2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55B4"/>
    <w:rsid w:val="00426766"/>
    <w:rsid w:val="004267D0"/>
    <w:rsid w:val="004279CA"/>
    <w:rsid w:val="00427A82"/>
    <w:rsid w:val="00427EA2"/>
    <w:rsid w:val="00430115"/>
    <w:rsid w:val="00430A4B"/>
    <w:rsid w:val="00431589"/>
    <w:rsid w:val="00431C46"/>
    <w:rsid w:val="004327E6"/>
    <w:rsid w:val="004329DC"/>
    <w:rsid w:val="00432AC6"/>
    <w:rsid w:val="004349EB"/>
    <w:rsid w:val="00434C5E"/>
    <w:rsid w:val="00435765"/>
    <w:rsid w:val="004360B6"/>
    <w:rsid w:val="004362E5"/>
    <w:rsid w:val="00436356"/>
    <w:rsid w:val="004376FA"/>
    <w:rsid w:val="00440722"/>
    <w:rsid w:val="0044187E"/>
    <w:rsid w:val="004425D9"/>
    <w:rsid w:val="00443244"/>
    <w:rsid w:val="00444AF6"/>
    <w:rsid w:val="0044519D"/>
    <w:rsid w:val="00445544"/>
    <w:rsid w:val="00445687"/>
    <w:rsid w:val="00445C0B"/>
    <w:rsid w:val="00446195"/>
    <w:rsid w:val="00447CD0"/>
    <w:rsid w:val="00447FC2"/>
    <w:rsid w:val="004502F4"/>
    <w:rsid w:val="004504DA"/>
    <w:rsid w:val="004506F4"/>
    <w:rsid w:val="004509D1"/>
    <w:rsid w:val="00450A42"/>
    <w:rsid w:val="004513A5"/>
    <w:rsid w:val="00451D50"/>
    <w:rsid w:val="00452BCD"/>
    <w:rsid w:val="00452EC4"/>
    <w:rsid w:val="00453340"/>
    <w:rsid w:val="00453426"/>
    <w:rsid w:val="00453775"/>
    <w:rsid w:val="00453890"/>
    <w:rsid w:val="00454380"/>
    <w:rsid w:val="0045470C"/>
    <w:rsid w:val="004552C8"/>
    <w:rsid w:val="0045536C"/>
    <w:rsid w:val="00455A07"/>
    <w:rsid w:val="00455AEB"/>
    <w:rsid w:val="0045603C"/>
    <w:rsid w:val="00456053"/>
    <w:rsid w:val="00456068"/>
    <w:rsid w:val="00456896"/>
    <w:rsid w:val="00456ADA"/>
    <w:rsid w:val="00456B0D"/>
    <w:rsid w:val="0045770D"/>
    <w:rsid w:val="0045790F"/>
    <w:rsid w:val="00457D63"/>
    <w:rsid w:val="00457E21"/>
    <w:rsid w:val="0046007E"/>
    <w:rsid w:val="0046024B"/>
    <w:rsid w:val="00460E36"/>
    <w:rsid w:val="00461155"/>
    <w:rsid w:val="0046218C"/>
    <w:rsid w:val="004623D4"/>
    <w:rsid w:val="00463944"/>
    <w:rsid w:val="00463BE8"/>
    <w:rsid w:val="0046512A"/>
    <w:rsid w:val="00465234"/>
    <w:rsid w:val="00465B24"/>
    <w:rsid w:val="00466858"/>
    <w:rsid w:val="00466D0F"/>
    <w:rsid w:val="00467544"/>
    <w:rsid w:val="004676BA"/>
    <w:rsid w:val="0046784C"/>
    <w:rsid w:val="00467ECB"/>
    <w:rsid w:val="004710C3"/>
    <w:rsid w:val="00471459"/>
    <w:rsid w:val="00472274"/>
    <w:rsid w:val="004722D4"/>
    <w:rsid w:val="00472D9C"/>
    <w:rsid w:val="004730E7"/>
    <w:rsid w:val="00473B60"/>
    <w:rsid w:val="00475AFF"/>
    <w:rsid w:val="00475D30"/>
    <w:rsid w:val="004765F4"/>
    <w:rsid w:val="00476B4D"/>
    <w:rsid w:val="00476CBC"/>
    <w:rsid w:val="00476E6C"/>
    <w:rsid w:val="00477282"/>
    <w:rsid w:val="00477947"/>
    <w:rsid w:val="00480FA1"/>
    <w:rsid w:val="00481FD7"/>
    <w:rsid w:val="004823B0"/>
    <w:rsid w:val="00482B50"/>
    <w:rsid w:val="00482DE5"/>
    <w:rsid w:val="00483266"/>
    <w:rsid w:val="0048352E"/>
    <w:rsid w:val="00483B23"/>
    <w:rsid w:val="004840D7"/>
    <w:rsid w:val="00484682"/>
    <w:rsid w:val="004846F4"/>
    <w:rsid w:val="00484801"/>
    <w:rsid w:val="00485C26"/>
    <w:rsid w:val="00485EC0"/>
    <w:rsid w:val="004875E1"/>
    <w:rsid w:val="00487B37"/>
    <w:rsid w:val="00490636"/>
    <w:rsid w:val="00490FF0"/>
    <w:rsid w:val="004910FE"/>
    <w:rsid w:val="00491198"/>
    <w:rsid w:val="004917E0"/>
    <w:rsid w:val="00491BF6"/>
    <w:rsid w:val="00491FED"/>
    <w:rsid w:val="00492E2F"/>
    <w:rsid w:val="00492F82"/>
    <w:rsid w:val="004943C2"/>
    <w:rsid w:val="00494918"/>
    <w:rsid w:val="00494C65"/>
    <w:rsid w:val="00494F0C"/>
    <w:rsid w:val="00495557"/>
    <w:rsid w:val="0049618D"/>
    <w:rsid w:val="004965EF"/>
    <w:rsid w:val="00496BBD"/>
    <w:rsid w:val="0049719D"/>
    <w:rsid w:val="00497FCD"/>
    <w:rsid w:val="004A0D1E"/>
    <w:rsid w:val="004A0E66"/>
    <w:rsid w:val="004A0EEC"/>
    <w:rsid w:val="004A130F"/>
    <w:rsid w:val="004A17EF"/>
    <w:rsid w:val="004A1BDA"/>
    <w:rsid w:val="004A22DA"/>
    <w:rsid w:val="004A2700"/>
    <w:rsid w:val="004A36C8"/>
    <w:rsid w:val="004A3721"/>
    <w:rsid w:val="004A3742"/>
    <w:rsid w:val="004A37B8"/>
    <w:rsid w:val="004A3ED3"/>
    <w:rsid w:val="004A47BC"/>
    <w:rsid w:val="004A4AC6"/>
    <w:rsid w:val="004B1199"/>
    <w:rsid w:val="004B16C4"/>
    <w:rsid w:val="004B1867"/>
    <w:rsid w:val="004B2A64"/>
    <w:rsid w:val="004B41DA"/>
    <w:rsid w:val="004B470D"/>
    <w:rsid w:val="004B4764"/>
    <w:rsid w:val="004B4846"/>
    <w:rsid w:val="004B5394"/>
    <w:rsid w:val="004B5BDD"/>
    <w:rsid w:val="004B6E9E"/>
    <w:rsid w:val="004B6F83"/>
    <w:rsid w:val="004B7C29"/>
    <w:rsid w:val="004C06E5"/>
    <w:rsid w:val="004C1919"/>
    <w:rsid w:val="004C1B7D"/>
    <w:rsid w:val="004C1E3C"/>
    <w:rsid w:val="004C25F0"/>
    <w:rsid w:val="004C26DD"/>
    <w:rsid w:val="004C2B5D"/>
    <w:rsid w:val="004C2B6E"/>
    <w:rsid w:val="004C2D68"/>
    <w:rsid w:val="004C2F56"/>
    <w:rsid w:val="004C339D"/>
    <w:rsid w:val="004C33E8"/>
    <w:rsid w:val="004C4307"/>
    <w:rsid w:val="004C4309"/>
    <w:rsid w:val="004C49E3"/>
    <w:rsid w:val="004C4E8A"/>
    <w:rsid w:val="004C514A"/>
    <w:rsid w:val="004C6572"/>
    <w:rsid w:val="004C6D4F"/>
    <w:rsid w:val="004C7541"/>
    <w:rsid w:val="004D1123"/>
    <w:rsid w:val="004D1E71"/>
    <w:rsid w:val="004D2CDF"/>
    <w:rsid w:val="004D33CE"/>
    <w:rsid w:val="004D7C86"/>
    <w:rsid w:val="004E0197"/>
    <w:rsid w:val="004E1122"/>
    <w:rsid w:val="004E1409"/>
    <w:rsid w:val="004E1A87"/>
    <w:rsid w:val="004E1BB0"/>
    <w:rsid w:val="004E3030"/>
    <w:rsid w:val="004E3311"/>
    <w:rsid w:val="004E38EC"/>
    <w:rsid w:val="004E3933"/>
    <w:rsid w:val="004E4549"/>
    <w:rsid w:val="004E4552"/>
    <w:rsid w:val="004E4C83"/>
    <w:rsid w:val="004E4D53"/>
    <w:rsid w:val="004E4D84"/>
    <w:rsid w:val="004E4E82"/>
    <w:rsid w:val="004E4EBC"/>
    <w:rsid w:val="004E5104"/>
    <w:rsid w:val="004E5B06"/>
    <w:rsid w:val="004E5FA8"/>
    <w:rsid w:val="004E684C"/>
    <w:rsid w:val="004E6FF1"/>
    <w:rsid w:val="004E76DB"/>
    <w:rsid w:val="004F1F90"/>
    <w:rsid w:val="004F2401"/>
    <w:rsid w:val="004F2A44"/>
    <w:rsid w:val="004F2DAD"/>
    <w:rsid w:val="004F34F7"/>
    <w:rsid w:val="004F4DE6"/>
    <w:rsid w:val="004F55D6"/>
    <w:rsid w:val="004F565A"/>
    <w:rsid w:val="004F571B"/>
    <w:rsid w:val="004F64EB"/>
    <w:rsid w:val="004F7A74"/>
    <w:rsid w:val="00500250"/>
    <w:rsid w:val="00500264"/>
    <w:rsid w:val="00500824"/>
    <w:rsid w:val="00500DAB"/>
    <w:rsid w:val="00501144"/>
    <w:rsid w:val="005013EF"/>
    <w:rsid w:val="005019E0"/>
    <w:rsid w:val="0050211F"/>
    <w:rsid w:val="005022E7"/>
    <w:rsid w:val="00502A93"/>
    <w:rsid w:val="00506083"/>
    <w:rsid w:val="00506B86"/>
    <w:rsid w:val="00506EEC"/>
    <w:rsid w:val="00506FD4"/>
    <w:rsid w:val="005107FF"/>
    <w:rsid w:val="00510CBC"/>
    <w:rsid w:val="0051102D"/>
    <w:rsid w:val="005112A5"/>
    <w:rsid w:val="00511F48"/>
    <w:rsid w:val="00512448"/>
    <w:rsid w:val="0051253A"/>
    <w:rsid w:val="0051266C"/>
    <w:rsid w:val="00513B72"/>
    <w:rsid w:val="00514F2B"/>
    <w:rsid w:val="00515277"/>
    <w:rsid w:val="005158C2"/>
    <w:rsid w:val="005169DE"/>
    <w:rsid w:val="0051785D"/>
    <w:rsid w:val="00517913"/>
    <w:rsid w:val="0052005F"/>
    <w:rsid w:val="00520200"/>
    <w:rsid w:val="00520E2D"/>
    <w:rsid w:val="00520F04"/>
    <w:rsid w:val="00521717"/>
    <w:rsid w:val="005224B2"/>
    <w:rsid w:val="00523B23"/>
    <w:rsid w:val="00523DFA"/>
    <w:rsid w:val="005249A9"/>
    <w:rsid w:val="005254BC"/>
    <w:rsid w:val="005256FC"/>
    <w:rsid w:val="00526A06"/>
    <w:rsid w:val="00526C27"/>
    <w:rsid w:val="00526DFF"/>
    <w:rsid w:val="00527473"/>
    <w:rsid w:val="00527EF9"/>
    <w:rsid w:val="005305FF"/>
    <w:rsid w:val="00530C9B"/>
    <w:rsid w:val="00531435"/>
    <w:rsid w:val="00532334"/>
    <w:rsid w:val="005324AF"/>
    <w:rsid w:val="0053402C"/>
    <w:rsid w:val="00534090"/>
    <w:rsid w:val="00534ABA"/>
    <w:rsid w:val="00535FFF"/>
    <w:rsid w:val="0053616F"/>
    <w:rsid w:val="005368AD"/>
    <w:rsid w:val="005370BC"/>
    <w:rsid w:val="00537B35"/>
    <w:rsid w:val="00537DE7"/>
    <w:rsid w:val="00537EC4"/>
    <w:rsid w:val="00537FE4"/>
    <w:rsid w:val="0054027D"/>
    <w:rsid w:val="00541222"/>
    <w:rsid w:val="00541A8D"/>
    <w:rsid w:val="00544DA0"/>
    <w:rsid w:val="005454BD"/>
    <w:rsid w:val="00545582"/>
    <w:rsid w:val="005457E4"/>
    <w:rsid w:val="00546C49"/>
    <w:rsid w:val="0055010B"/>
    <w:rsid w:val="00550D59"/>
    <w:rsid w:val="0055110D"/>
    <w:rsid w:val="00551F81"/>
    <w:rsid w:val="0055210F"/>
    <w:rsid w:val="00552CD7"/>
    <w:rsid w:val="005533BE"/>
    <w:rsid w:val="00554FFB"/>
    <w:rsid w:val="005568DE"/>
    <w:rsid w:val="00556D21"/>
    <w:rsid w:val="00557C50"/>
    <w:rsid w:val="005606B6"/>
    <w:rsid w:val="005608D6"/>
    <w:rsid w:val="00560F19"/>
    <w:rsid w:val="00561E6B"/>
    <w:rsid w:val="005621D2"/>
    <w:rsid w:val="005621E0"/>
    <w:rsid w:val="00562D90"/>
    <w:rsid w:val="00563A23"/>
    <w:rsid w:val="00563A5A"/>
    <w:rsid w:val="00563C61"/>
    <w:rsid w:val="00563ECB"/>
    <w:rsid w:val="00563F47"/>
    <w:rsid w:val="005640BB"/>
    <w:rsid w:val="00564C23"/>
    <w:rsid w:val="00565406"/>
    <w:rsid w:val="00565570"/>
    <w:rsid w:val="005657DD"/>
    <w:rsid w:val="00565B29"/>
    <w:rsid w:val="005664CC"/>
    <w:rsid w:val="0056664B"/>
    <w:rsid w:val="00567588"/>
    <w:rsid w:val="00567738"/>
    <w:rsid w:val="00567992"/>
    <w:rsid w:val="00567C3C"/>
    <w:rsid w:val="005702F8"/>
    <w:rsid w:val="00571231"/>
    <w:rsid w:val="00571767"/>
    <w:rsid w:val="00571E44"/>
    <w:rsid w:val="00573E61"/>
    <w:rsid w:val="0057411B"/>
    <w:rsid w:val="00574525"/>
    <w:rsid w:val="00574778"/>
    <w:rsid w:val="0057498F"/>
    <w:rsid w:val="00574DE9"/>
    <w:rsid w:val="00575DF4"/>
    <w:rsid w:val="0057765D"/>
    <w:rsid w:val="005777FC"/>
    <w:rsid w:val="005808EB"/>
    <w:rsid w:val="00580D37"/>
    <w:rsid w:val="005817D2"/>
    <w:rsid w:val="00581FA0"/>
    <w:rsid w:val="00582B90"/>
    <w:rsid w:val="00583321"/>
    <w:rsid w:val="0058341E"/>
    <w:rsid w:val="00584F3A"/>
    <w:rsid w:val="005853AB"/>
    <w:rsid w:val="00585748"/>
    <w:rsid w:val="005859C5"/>
    <w:rsid w:val="00585C79"/>
    <w:rsid w:val="00585EC7"/>
    <w:rsid w:val="00586144"/>
    <w:rsid w:val="00587785"/>
    <w:rsid w:val="0058788D"/>
    <w:rsid w:val="00587E29"/>
    <w:rsid w:val="00587FE6"/>
    <w:rsid w:val="00591698"/>
    <w:rsid w:val="00591D28"/>
    <w:rsid w:val="00593650"/>
    <w:rsid w:val="00593B87"/>
    <w:rsid w:val="00593C1C"/>
    <w:rsid w:val="00594143"/>
    <w:rsid w:val="00594543"/>
    <w:rsid w:val="00594612"/>
    <w:rsid w:val="00595036"/>
    <w:rsid w:val="00595873"/>
    <w:rsid w:val="00595CDD"/>
    <w:rsid w:val="005964BB"/>
    <w:rsid w:val="00596A70"/>
    <w:rsid w:val="00596BD3"/>
    <w:rsid w:val="00596BE7"/>
    <w:rsid w:val="00596C3E"/>
    <w:rsid w:val="005977DD"/>
    <w:rsid w:val="005A04BD"/>
    <w:rsid w:val="005A0A3F"/>
    <w:rsid w:val="005A114F"/>
    <w:rsid w:val="005A1F49"/>
    <w:rsid w:val="005A2364"/>
    <w:rsid w:val="005A2480"/>
    <w:rsid w:val="005A2B2C"/>
    <w:rsid w:val="005A2D6B"/>
    <w:rsid w:val="005A3252"/>
    <w:rsid w:val="005A33F7"/>
    <w:rsid w:val="005A40CF"/>
    <w:rsid w:val="005A4A9C"/>
    <w:rsid w:val="005A4BAE"/>
    <w:rsid w:val="005A574D"/>
    <w:rsid w:val="005A5B5C"/>
    <w:rsid w:val="005A6E93"/>
    <w:rsid w:val="005A707A"/>
    <w:rsid w:val="005A7234"/>
    <w:rsid w:val="005A7340"/>
    <w:rsid w:val="005A7F93"/>
    <w:rsid w:val="005B07EA"/>
    <w:rsid w:val="005B0B20"/>
    <w:rsid w:val="005B0BD6"/>
    <w:rsid w:val="005B0EFB"/>
    <w:rsid w:val="005B1060"/>
    <w:rsid w:val="005B12B9"/>
    <w:rsid w:val="005B17C1"/>
    <w:rsid w:val="005B3473"/>
    <w:rsid w:val="005B3737"/>
    <w:rsid w:val="005B3A42"/>
    <w:rsid w:val="005B5D40"/>
    <w:rsid w:val="005B5EFC"/>
    <w:rsid w:val="005B5FC1"/>
    <w:rsid w:val="005B6388"/>
    <w:rsid w:val="005B6412"/>
    <w:rsid w:val="005B68A7"/>
    <w:rsid w:val="005B6AC3"/>
    <w:rsid w:val="005C055E"/>
    <w:rsid w:val="005C0FA1"/>
    <w:rsid w:val="005C1615"/>
    <w:rsid w:val="005C1C28"/>
    <w:rsid w:val="005C1D98"/>
    <w:rsid w:val="005C1DA5"/>
    <w:rsid w:val="005C2559"/>
    <w:rsid w:val="005C2873"/>
    <w:rsid w:val="005C34FC"/>
    <w:rsid w:val="005C3B5C"/>
    <w:rsid w:val="005C3C7F"/>
    <w:rsid w:val="005C5143"/>
    <w:rsid w:val="005C5639"/>
    <w:rsid w:val="005C5742"/>
    <w:rsid w:val="005C760E"/>
    <w:rsid w:val="005C7E9E"/>
    <w:rsid w:val="005D15C4"/>
    <w:rsid w:val="005D1643"/>
    <w:rsid w:val="005D18C9"/>
    <w:rsid w:val="005D1B72"/>
    <w:rsid w:val="005D2471"/>
    <w:rsid w:val="005D2779"/>
    <w:rsid w:val="005D3F61"/>
    <w:rsid w:val="005D610C"/>
    <w:rsid w:val="005D74E7"/>
    <w:rsid w:val="005D7F7B"/>
    <w:rsid w:val="005E3BCD"/>
    <w:rsid w:val="005E4A87"/>
    <w:rsid w:val="005E4DA5"/>
    <w:rsid w:val="005E503E"/>
    <w:rsid w:val="005E59C7"/>
    <w:rsid w:val="005E5E7B"/>
    <w:rsid w:val="005E6095"/>
    <w:rsid w:val="005E6A3F"/>
    <w:rsid w:val="005E6B9C"/>
    <w:rsid w:val="005E6DB8"/>
    <w:rsid w:val="005E7228"/>
    <w:rsid w:val="005E7284"/>
    <w:rsid w:val="005E7BAC"/>
    <w:rsid w:val="005F0E5C"/>
    <w:rsid w:val="005F134E"/>
    <w:rsid w:val="005F1365"/>
    <w:rsid w:val="005F26E3"/>
    <w:rsid w:val="005F2C1F"/>
    <w:rsid w:val="005F2E44"/>
    <w:rsid w:val="005F3690"/>
    <w:rsid w:val="005F3986"/>
    <w:rsid w:val="005F4C57"/>
    <w:rsid w:val="005F6774"/>
    <w:rsid w:val="005F79AA"/>
    <w:rsid w:val="0060044B"/>
    <w:rsid w:val="00600F14"/>
    <w:rsid w:val="006013D7"/>
    <w:rsid w:val="006014DB"/>
    <w:rsid w:val="00601587"/>
    <w:rsid w:val="00602079"/>
    <w:rsid w:val="006022F3"/>
    <w:rsid w:val="00602579"/>
    <w:rsid w:val="00602BA4"/>
    <w:rsid w:val="00602DA2"/>
    <w:rsid w:val="00602FF4"/>
    <w:rsid w:val="00603228"/>
    <w:rsid w:val="00604ACD"/>
    <w:rsid w:val="00604C15"/>
    <w:rsid w:val="00604DC2"/>
    <w:rsid w:val="006060C4"/>
    <w:rsid w:val="00607C35"/>
    <w:rsid w:val="00611777"/>
    <w:rsid w:val="0061189F"/>
    <w:rsid w:val="0061219B"/>
    <w:rsid w:val="00612D05"/>
    <w:rsid w:val="00613FB6"/>
    <w:rsid w:val="006140C6"/>
    <w:rsid w:val="00614134"/>
    <w:rsid w:val="00614241"/>
    <w:rsid w:val="0061428D"/>
    <w:rsid w:val="00615411"/>
    <w:rsid w:val="0061599E"/>
    <w:rsid w:val="00615AC7"/>
    <w:rsid w:val="006162E6"/>
    <w:rsid w:val="006171A5"/>
    <w:rsid w:val="00617B21"/>
    <w:rsid w:val="00620309"/>
    <w:rsid w:val="0062159C"/>
    <w:rsid w:val="0062159D"/>
    <w:rsid w:val="00621680"/>
    <w:rsid w:val="00621EC5"/>
    <w:rsid w:val="006223E0"/>
    <w:rsid w:val="006224D0"/>
    <w:rsid w:val="00622BCE"/>
    <w:rsid w:val="00622E29"/>
    <w:rsid w:val="00623643"/>
    <w:rsid w:val="00624018"/>
    <w:rsid w:val="006240C4"/>
    <w:rsid w:val="00625304"/>
    <w:rsid w:val="0062581B"/>
    <w:rsid w:val="006261F4"/>
    <w:rsid w:val="0063164E"/>
    <w:rsid w:val="0063191D"/>
    <w:rsid w:val="00633488"/>
    <w:rsid w:val="00633581"/>
    <w:rsid w:val="006339AF"/>
    <w:rsid w:val="00633C47"/>
    <w:rsid w:val="006348F7"/>
    <w:rsid w:val="006350FA"/>
    <w:rsid w:val="0063512D"/>
    <w:rsid w:val="006358FB"/>
    <w:rsid w:val="00635AE2"/>
    <w:rsid w:val="00635E1E"/>
    <w:rsid w:val="0063677C"/>
    <w:rsid w:val="00636972"/>
    <w:rsid w:val="00636B69"/>
    <w:rsid w:val="00636BC2"/>
    <w:rsid w:val="00637432"/>
    <w:rsid w:val="006404D1"/>
    <w:rsid w:val="00640F43"/>
    <w:rsid w:val="006412CA"/>
    <w:rsid w:val="006420DA"/>
    <w:rsid w:val="00643AC1"/>
    <w:rsid w:val="00643D62"/>
    <w:rsid w:val="00644A5E"/>
    <w:rsid w:val="00644A6C"/>
    <w:rsid w:val="00644D69"/>
    <w:rsid w:val="006457A8"/>
    <w:rsid w:val="00645EA0"/>
    <w:rsid w:val="00645F76"/>
    <w:rsid w:val="0064635E"/>
    <w:rsid w:val="00646B24"/>
    <w:rsid w:val="00646EB0"/>
    <w:rsid w:val="0064714D"/>
    <w:rsid w:val="0064727D"/>
    <w:rsid w:val="00647B32"/>
    <w:rsid w:val="00647C27"/>
    <w:rsid w:val="006519E6"/>
    <w:rsid w:val="00651CBB"/>
    <w:rsid w:val="00651CDE"/>
    <w:rsid w:val="00652326"/>
    <w:rsid w:val="00652907"/>
    <w:rsid w:val="00652E06"/>
    <w:rsid w:val="00653FC4"/>
    <w:rsid w:val="00654F91"/>
    <w:rsid w:val="00655361"/>
    <w:rsid w:val="00655CB1"/>
    <w:rsid w:val="00656253"/>
    <w:rsid w:val="00656799"/>
    <w:rsid w:val="00656B77"/>
    <w:rsid w:val="00656E72"/>
    <w:rsid w:val="006578A1"/>
    <w:rsid w:val="006603E9"/>
    <w:rsid w:val="0066137B"/>
    <w:rsid w:val="0066174E"/>
    <w:rsid w:val="00661BBB"/>
    <w:rsid w:val="00661E57"/>
    <w:rsid w:val="006629E4"/>
    <w:rsid w:val="00663E47"/>
    <w:rsid w:val="006644A7"/>
    <w:rsid w:val="00664BDE"/>
    <w:rsid w:val="0066565B"/>
    <w:rsid w:val="00665C44"/>
    <w:rsid w:val="00666284"/>
    <w:rsid w:val="006667F3"/>
    <w:rsid w:val="00667AEA"/>
    <w:rsid w:val="006704FA"/>
    <w:rsid w:val="00670687"/>
    <w:rsid w:val="00670DC5"/>
    <w:rsid w:val="00671652"/>
    <w:rsid w:val="00671FAA"/>
    <w:rsid w:val="0067218A"/>
    <w:rsid w:val="00675305"/>
    <w:rsid w:val="00675DA5"/>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1C7"/>
    <w:rsid w:val="00685BCF"/>
    <w:rsid w:val="006871D0"/>
    <w:rsid w:val="0068751F"/>
    <w:rsid w:val="00687F34"/>
    <w:rsid w:val="006900D1"/>
    <w:rsid w:val="00690297"/>
    <w:rsid w:val="0069115A"/>
    <w:rsid w:val="006912F1"/>
    <w:rsid w:val="00691387"/>
    <w:rsid w:val="00692328"/>
    <w:rsid w:val="006927F2"/>
    <w:rsid w:val="00692E75"/>
    <w:rsid w:val="006931E1"/>
    <w:rsid w:val="00694310"/>
    <w:rsid w:val="00694700"/>
    <w:rsid w:val="00694803"/>
    <w:rsid w:val="00694CE8"/>
    <w:rsid w:val="0069569E"/>
    <w:rsid w:val="006956C6"/>
    <w:rsid w:val="00696A71"/>
    <w:rsid w:val="00696EE3"/>
    <w:rsid w:val="0069715D"/>
    <w:rsid w:val="00697392"/>
    <w:rsid w:val="006973E5"/>
    <w:rsid w:val="00697664"/>
    <w:rsid w:val="00697681"/>
    <w:rsid w:val="0069770C"/>
    <w:rsid w:val="006979BF"/>
    <w:rsid w:val="00697BD1"/>
    <w:rsid w:val="006A08F2"/>
    <w:rsid w:val="006A151A"/>
    <w:rsid w:val="006A1E62"/>
    <w:rsid w:val="006A23C4"/>
    <w:rsid w:val="006A2A12"/>
    <w:rsid w:val="006A2E9C"/>
    <w:rsid w:val="006A35E0"/>
    <w:rsid w:val="006A377F"/>
    <w:rsid w:val="006A384A"/>
    <w:rsid w:val="006A3875"/>
    <w:rsid w:val="006A3D40"/>
    <w:rsid w:val="006A561D"/>
    <w:rsid w:val="006A5A0C"/>
    <w:rsid w:val="006A5BA0"/>
    <w:rsid w:val="006A5BB1"/>
    <w:rsid w:val="006A5F88"/>
    <w:rsid w:val="006A6453"/>
    <w:rsid w:val="006A7D95"/>
    <w:rsid w:val="006A7E29"/>
    <w:rsid w:val="006B120D"/>
    <w:rsid w:val="006B13C1"/>
    <w:rsid w:val="006B2CC7"/>
    <w:rsid w:val="006B3AF9"/>
    <w:rsid w:val="006B44C5"/>
    <w:rsid w:val="006B555F"/>
    <w:rsid w:val="006B5D97"/>
    <w:rsid w:val="006B6242"/>
    <w:rsid w:val="006B6C7C"/>
    <w:rsid w:val="006B6EA4"/>
    <w:rsid w:val="006B77BB"/>
    <w:rsid w:val="006B7F8F"/>
    <w:rsid w:val="006B7FC5"/>
    <w:rsid w:val="006C055E"/>
    <w:rsid w:val="006C0D13"/>
    <w:rsid w:val="006C14E2"/>
    <w:rsid w:val="006C187F"/>
    <w:rsid w:val="006C19BC"/>
    <w:rsid w:val="006C19D5"/>
    <w:rsid w:val="006C1B44"/>
    <w:rsid w:val="006C1F77"/>
    <w:rsid w:val="006C2211"/>
    <w:rsid w:val="006C3031"/>
    <w:rsid w:val="006C3607"/>
    <w:rsid w:val="006C3990"/>
    <w:rsid w:val="006C3ED2"/>
    <w:rsid w:val="006C4233"/>
    <w:rsid w:val="006C42E7"/>
    <w:rsid w:val="006C4422"/>
    <w:rsid w:val="006C5CCA"/>
    <w:rsid w:val="006C6060"/>
    <w:rsid w:val="006C625F"/>
    <w:rsid w:val="006C78A6"/>
    <w:rsid w:val="006C7AB4"/>
    <w:rsid w:val="006D006B"/>
    <w:rsid w:val="006D105C"/>
    <w:rsid w:val="006D30E7"/>
    <w:rsid w:val="006D48E7"/>
    <w:rsid w:val="006D4947"/>
    <w:rsid w:val="006D5401"/>
    <w:rsid w:val="006D5F16"/>
    <w:rsid w:val="006D63AD"/>
    <w:rsid w:val="006D6764"/>
    <w:rsid w:val="006D67D9"/>
    <w:rsid w:val="006D6C93"/>
    <w:rsid w:val="006D7573"/>
    <w:rsid w:val="006E0340"/>
    <w:rsid w:val="006E06F9"/>
    <w:rsid w:val="006E07A9"/>
    <w:rsid w:val="006E0D91"/>
    <w:rsid w:val="006E1706"/>
    <w:rsid w:val="006E3CB2"/>
    <w:rsid w:val="006E3DA8"/>
    <w:rsid w:val="006E4D1E"/>
    <w:rsid w:val="006E5DAA"/>
    <w:rsid w:val="006E6C6D"/>
    <w:rsid w:val="006E7006"/>
    <w:rsid w:val="006F00E7"/>
    <w:rsid w:val="006F0F6E"/>
    <w:rsid w:val="006F1B22"/>
    <w:rsid w:val="006F1BA4"/>
    <w:rsid w:val="006F2259"/>
    <w:rsid w:val="006F23E1"/>
    <w:rsid w:val="006F2593"/>
    <w:rsid w:val="006F2EAC"/>
    <w:rsid w:val="006F2F8F"/>
    <w:rsid w:val="006F2FDA"/>
    <w:rsid w:val="006F2FE5"/>
    <w:rsid w:val="006F3460"/>
    <w:rsid w:val="006F34FE"/>
    <w:rsid w:val="006F3615"/>
    <w:rsid w:val="006F3FA3"/>
    <w:rsid w:val="006F48BA"/>
    <w:rsid w:val="006F4AF9"/>
    <w:rsid w:val="006F4B47"/>
    <w:rsid w:val="006F54EB"/>
    <w:rsid w:val="006F5CC1"/>
    <w:rsid w:val="006F67A5"/>
    <w:rsid w:val="006F762D"/>
    <w:rsid w:val="00700492"/>
    <w:rsid w:val="0070167E"/>
    <w:rsid w:val="00701E1B"/>
    <w:rsid w:val="00702ED0"/>
    <w:rsid w:val="0070309D"/>
    <w:rsid w:val="00703C09"/>
    <w:rsid w:val="0070434A"/>
    <w:rsid w:val="007048C4"/>
    <w:rsid w:val="00704CC4"/>
    <w:rsid w:val="00705345"/>
    <w:rsid w:val="0070638D"/>
    <w:rsid w:val="007065C2"/>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58E"/>
    <w:rsid w:val="00714631"/>
    <w:rsid w:val="00714B6E"/>
    <w:rsid w:val="0071512F"/>
    <w:rsid w:val="00715E8E"/>
    <w:rsid w:val="00715EFE"/>
    <w:rsid w:val="007169AC"/>
    <w:rsid w:val="007169DD"/>
    <w:rsid w:val="00717679"/>
    <w:rsid w:val="00717B67"/>
    <w:rsid w:val="007206A2"/>
    <w:rsid w:val="00720B38"/>
    <w:rsid w:val="00720CA7"/>
    <w:rsid w:val="0072147B"/>
    <w:rsid w:val="0072181E"/>
    <w:rsid w:val="00722267"/>
    <w:rsid w:val="0072285E"/>
    <w:rsid w:val="00722C62"/>
    <w:rsid w:val="0072321F"/>
    <w:rsid w:val="00723295"/>
    <w:rsid w:val="007238E2"/>
    <w:rsid w:val="007239B4"/>
    <w:rsid w:val="00724446"/>
    <w:rsid w:val="00724584"/>
    <w:rsid w:val="00724AA1"/>
    <w:rsid w:val="00724C43"/>
    <w:rsid w:val="00724D39"/>
    <w:rsid w:val="00725A19"/>
    <w:rsid w:val="00726356"/>
    <w:rsid w:val="007268C7"/>
    <w:rsid w:val="00726AAB"/>
    <w:rsid w:val="00727077"/>
    <w:rsid w:val="00730EA6"/>
    <w:rsid w:val="00731C15"/>
    <w:rsid w:val="00732045"/>
    <w:rsid w:val="007322A0"/>
    <w:rsid w:val="00732806"/>
    <w:rsid w:val="00732C1A"/>
    <w:rsid w:val="00733CDC"/>
    <w:rsid w:val="00734B9A"/>
    <w:rsid w:val="00735695"/>
    <w:rsid w:val="007360CB"/>
    <w:rsid w:val="00737566"/>
    <w:rsid w:val="00741BA2"/>
    <w:rsid w:val="00741CF4"/>
    <w:rsid w:val="00741DCC"/>
    <w:rsid w:val="00741DE2"/>
    <w:rsid w:val="007421A1"/>
    <w:rsid w:val="007427FE"/>
    <w:rsid w:val="00742C51"/>
    <w:rsid w:val="00743445"/>
    <w:rsid w:val="00745E01"/>
    <w:rsid w:val="0074666B"/>
    <w:rsid w:val="007468D6"/>
    <w:rsid w:val="00746BFF"/>
    <w:rsid w:val="00746D26"/>
    <w:rsid w:val="007473E1"/>
    <w:rsid w:val="00747897"/>
    <w:rsid w:val="00747E47"/>
    <w:rsid w:val="00750192"/>
    <w:rsid w:val="007504E1"/>
    <w:rsid w:val="00750544"/>
    <w:rsid w:val="00750804"/>
    <w:rsid w:val="007509AB"/>
    <w:rsid w:val="00751689"/>
    <w:rsid w:val="007524AA"/>
    <w:rsid w:val="00753744"/>
    <w:rsid w:val="00753A93"/>
    <w:rsid w:val="007545DF"/>
    <w:rsid w:val="00755663"/>
    <w:rsid w:val="00756386"/>
    <w:rsid w:val="00756603"/>
    <w:rsid w:val="007575C0"/>
    <w:rsid w:val="00757D2F"/>
    <w:rsid w:val="0076000E"/>
    <w:rsid w:val="00760C00"/>
    <w:rsid w:val="007610E9"/>
    <w:rsid w:val="00761728"/>
    <w:rsid w:val="00761C6C"/>
    <w:rsid w:val="00762B72"/>
    <w:rsid w:val="007634A1"/>
    <w:rsid w:val="00763CCB"/>
    <w:rsid w:val="007642B4"/>
    <w:rsid w:val="00764C45"/>
    <w:rsid w:val="00766277"/>
    <w:rsid w:val="0076656A"/>
    <w:rsid w:val="00766701"/>
    <w:rsid w:val="00766911"/>
    <w:rsid w:val="00767793"/>
    <w:rsid w:val="007679D8"/>
    <w:rsid w:val="00770803"/>
    <w:rsid w:val="00771319"/>
    <w:rsid w:val="007713E8"/>
    <w:rsid w:val="00771794"/>
    <w:rsid w:val="00771CCF"/>
    <w:rsid w:val="00771F7D"/>
    <w:rsid w:val="00772C3E"/>
    <w:rsid w:val="007736E8"/>
    <w:rsid w:val="00774ACE"/>
    <w:rsid w:val="00775823"/>
    <w:rsid w:val="00775F57"/>
    <w:rsid w:val="00776584"/>
    <w:rsid w:val="007769EF"/>
    <w:rsid w:val="00776D4F"/>
    <w:rsid w:val="00776DDC"/>
    <w:rsid w:val="007770F9"/>
    <w:rsid w:val="00777179"/>
    <w:rsid w:val="00777945"/>
    <w:rsid w:val="00777D40"/>
    <w:rsid w:val="00780B8D"/>
    <w:rsid w:val="00780B8E"/>
    <w:rsid w:val="00781649"/>
    <w:rsid w:val="0078254E"/>
    <w:rsid w:val="00782628"/>
    <w:rsid w:val="007826AB"/>
    <w:rsid w:val="007840E2"/>
    <w:rsid w:val="0078569F"/>
    <w:rsid w:val="00785803"/>
    <w:rsid w:val="00785EB4"/>
    <w:rsid w:val="0078609A"/>
    <w:rsid w:val="00786F85"/>
    <w:rsid w:val="0078731A"/>
    <w:rsid w:val="00787487"/>
    <w:rsid w:val="00787E6F"/>
    <w:rsid w:val="007906F1"/>
    <w:rsid w:val="00790EDA"/>
    <w:rsid w:val="00791349"/>
    <w:rsid w:val="00791D85"/>
    <w:rsid w:val="00791DAF"/>
    <w:rsid w:val="007924CA"/>
    <w:rsid w:val="00793FD4"/>
    <w:rsid w:val="00794CBF"/>
    <w:rsid w:val="00795365"/>
    <w:rsid w:val="0079567E"/>
    <w:rsid w:val="007961D5"/>
    <w:rsid w:val="00796A6F"/>
    <w:rsid w:val="00796C5D"/>
    <w:rsid w:val="00797B06"/>
    <w:rsid w:val="00797B9C"/>
    <w:rsid w:val="007A0483"/>
    <w:rsid w:val="007A1065"/>
    <w:rsid w:val="007A1D86"/>
    <w:rsid w:val="007A2A97"/>
    <w:rsid w:val="007A2CDC"/>
    <w:rsid w:val="007A371B"/>
    <w:rsid w:val="007A3832"/>
    <w:rsid w:val="007A3A0F"/>
    <w:rsid w:val="007A3E60"/>
    <w:rsid w:val="007A407D"/>
    <w:rsid w:val="007A464F"/>
    <w:rsid w:val="007A6196"/>
    <w:rsid w:val="007A63D5"/>
    <w:rsid w:val="007A689A"/>
    <w:rsid w:val="007A68EA"/>
    <w:rsid w:val="007A6B7D"/>
    <w:rsid w:val="007A7629"/>
    <w:rsid w:val="007B1027"/>
    <w:rsid w:val="007B15B6"/>
    <w:rsid w:val="007B1691"/>
    <w:rsid w:val="007B174F"/>
    <w:rsid w:val="007B1863"/>
    <w:rsid w:val="007B22E0"/>
    <w:rsid w:val="007B28CA"/>
    <w:rsid w:val="007B2F70"/>
    <w:rsid w:val="007B358D"/>
    <w:rsid w:val="007B5401"/>
    <w:rsid w:val="007B5FB4"/>
    <w:rsid w:val="007B6B2B"/>
    <w:rsid w:val="007B7949"/>
    <w:rsid w:val="007B7D30"/>
    <w:rsid w:val="007C0FA9"/>
    <w:rsid w:val="007C2413"/>
    <w:rsid w:val="007C3152"/>
    <w:rsid w:val="007C333B"/>
    <w:rsid w:val="007C3914"/>
    <w:rsid w:val="007C3916"/>
    <w:rsid w:val="007C3CEA"/>
    <w:rsid w:val="007C3D92"/>
    <w:rsid w:val="007C3E98"/>
    <w:rsid w:val="007C4996"/>
    <w:rsid w:val="007C5A8F"/>
    <w:rsid w:val="007C5B38"/>
    <w:rsid w:val="007C76E8"/>
    <w:rsid w:val="007D01E6"/>
    <w:rsid w:val="007D035E"/>
    <w:rsid w:val="007D0396"/>
    <w:rsid w:val="007D0644"/>
    <w:rsid w:val="007D1801"/>
    <w:rsid w:val="007D1FE0"/>
    <w:rsid w:val="007D20BB"/>
    <w:rsid w:val="007D261E"/>
    <w:rsid w:val="007D2F61"/>
    <w:rsid w:val="007D2FF0"/>
    <w:rsid w:val="007D3004"/>
    <w:rsid w:val="007D3BD6"/>
    <w:rsid w:val="007D3D0E"/>
    <w:rsid w:val="007D3D33"/>
    <w:rsid w:val="007D41C2"/>
    <w:rsid w:val="007D4F02"/>
    <w:rsid w:val="007D59BD"/>
    <w:rsid w:val="007D674C"/>
    <w:rsid w:val="007D6B7B"/>
    <w:rsid w:val="007D6CF1"/>
    <w:rsid w:val="007D7131"/>
    <w:rsid w:val="007D7BEC"/>
    <w:rsid w:val="007D7CE3"/>
    <w:rsid w:val="007E051A"/>
    <w:rsid w:val="007E0798"/>
    <w:rsid w:val="007E1B72"/>
    <w:rsid w:val="007E20B0"/>
    <w:rsid w:val="007E3EE3"/>
    <w:rsid w:val="007E57DE"/>
    <w:rsid w:val="007E5902"/>
    <w:rsid w:val="007E5E09"/>
    <w:rsid w:val="007E6719"/>
    <w:rsid w:val="007E68ED"/>
    <w:rsid w:val="007E69ED"/>
    <w:rsid w:val="007E7B2D"/>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4114"/>
    <w:rsid w:val="00804634"/>
    <w:rsid w:val="008047E8"/>
    <w:rsid w:val="0080531E"/>
    <w:rsid w:val="00805C3D"/>
    <w:rsid w:val="00806F1D"/>
    <w:rsid w:val="008077ED"/>
    <w:rsid w:val="00807B6F"/>
    <w:rsid w:val="00807E93"/>
    <w:rsid w:val="00810172"/>
    <w:rsid w:val="00810762"/>
    <w:rsid w:val="00810858"/>
    <w:rsid w:val="00810BAD"/>
    <w:rsid w:val="00810EFF"/>
    <w:rsid w:val="00811314"/>
    <w:rsid w:val="00811A39"/>
    <w:rsid w:val="0081291B"/>
    <w:rsid w:val="00813622"/>
    <w:rsid w:val="00813DCF"/>
    <w:rsid w:val="00813FAB"/>
    <w:rsid w:val="0081498C"/>
    <w:rsid w:val="00814AE1"/>
    <w:rsid w:val="00815D31"/>
    <w:rsid w:val="0081601F"/>
    <w:rsid w:val="00816064"/>
    <w:rsid w:val="008174B2"/>
    <w:rsid w:val="00817CFF"/>
    <w:rsid w:val="0082000D"/>
    <w:rsid w:val="0082001D"/>
    <w:rsid w:val="0082037E"/>
    <w:rsid w:val="00820C9C"/>
    <w:rsid w:val="00820F55"/>
    <w:rsid w:val="00821572"/>
    <w:rsid w:val="00821878"/>
    <w:rsid w:val="00822310"/>
    <w:rsid w:val="00823794"/>
    <w:rsid w:val="008237F4"/>
    <w:rsid w:val="00823F67"/>
    <w:rsid w:val="00824022"/>
    <w:rsid w:val="0082483A"/>
    <w:rsid w:val="00824A81"/>
    <w:rsid w:val="008257B8"/>
    <w:rsid w:val="008260ED"/>
    <w:rsid w:val="0082699D"/>
    <w:rsid w:val="00826E6B"/>
    <w:rsid w:val="008275FD"/>
    <w:rsid w:val="00830BA1"/>
    <w:rsid w:val="00830DDE"/>
    <w:rsid w:val="00830EB2"/>
    <w:rsid w:val="00831652"/>
    <w:rsid w:val="008317C2"/>
    <w:rsid w:val="0083202E"/>
    <w:rsid w:val="0083304F"/>
    <w:rsid w:val="008334C9"/>
    <w:rsid w:val="00834122"/>
    <w:rsid w:val="008352C5"/>
    <w:rsid w:val="00835346"/>
    <w:rsid w:val="008358A6"/>
    <w:rsid w:val="008359FB"/>
    <w:rsid w:val="00835C56"/>
    <w:rsid w:val="008360FC"/>
    <w:rsid w:val="00836445"/>
    <w:rsid w:val="00836E81"/>
    <w:rsid w:val="008377C1"/>
    <w:rsid w:val="00837C90"/>
    <w:rsid w:val="00837EB1"/>
    <w:rsid w:val="0084042B"/>
    <w:rsid w:val="0084086E"/>
    <w:rsid w:val="008409BB"/>
    <w:rsid w:val="00840FE8"/>
    <w:rsid w:val="0084184A"/>
    <w:rsid w:val="008423F2"/>
    <w:rsid w:val="00842A30"/>
    <w:rsid w:val="00842F71"/>
    <w:rsid w:val="00843179"/>
    <w:rsid w:val="0084386A"/>
    <w:rsid w:val="00843E0E"/>
    <w:rsid w:val="008442EA"/>
    <w:rsid w:val="00844589"/>
    <w:rsid w:val="00844794"/>
    <w:rsid w:val="00844AE6"/>
    <w:rsid w:val="00844FE7"/>
    <w:rsid w:val="00845969"/>
    <w:rsid w:val="00845F37"/>
    <w:rsid w:val="00845FF5"/>
    <w:rsid w:val="00846001"/>
    <w:rsid w:val="0084615D"/>
    <w:rsid w:val="0084642A"/>
    <w:rsid w:val="008465C4"/>
    <w:rsid w:val="00846710"/>
    <w:rsid w:val="008478ED"/>
    <w:rsid w:val="0085162A"/>
    <w:rsid w:val="00851728"/>
    <w:rsid w:val="00851DFF"/>
    <w:rsid w:val="00853084"/>
    <w:rsid w:val="00853142"/>
    <w:rsid w:val="00853674"/>
    <w:rsid w:val="008540A6"/>
    <w:rsid w:val="00854338"/>
    <w:rsid w:val="00854420"/>
    <w:rsid w:val="00854481"/>
    <w:rsid w:val="00857591"/>
    <w:rsid w:val="00857E88"/>
    <w:rsid w:val="008612DB"/>
    <w:rsid w:val="00861B57"/>
    <w:rsid w:val="00862AC4"/>
    <w:rsid w:val="008633AC"/>
    <w:rsid w:val="008634E3"/>
    <w:rsid w:val="00864627"/>
    <w:rsid w:val="00864635"/>
    <w:rsid w:val="00864678"/>
    <w:rsid w:val="00864C1A"/>
    <w:rsid w:val="00865217"/>
    <w:rsid w:val="008658AA"/>
    <w:rsid w:val="00865CBD"/>
    <w:rsid w:val="00866E37"/>
    <w:rsid w:val="00866F9E"/>
    <w:rsid w:val="008672E2"/>
    <w:rsid w:val="0086793D"/>
    <w:rsid w:val="00867B1C"/>
    <w:rsid w:val="00870DBE"/>
    <w:rsid w:val="008713D6"/>
    <w:rsid w:val="00871643"/>
    <w:rsid w:val="0087281D"/>
    <w:rsid w:val="008732D8"/>
    <w:rsid w:val="00873377"/>
    <w:rsid w:val="00873577"/>
    <w:rsid w:val="0087409F"/>
    <w:rsid w:val="00874D58"/>
    <w:rsid w:val="008750D2"/>
    <w:rsid w:val="00875AB5"/>
    <w:rsid w:val="00875C91"/>
    <w:rsid w:val="00875F85"/>
    <w:rsid w:val="00876C6B"/>
    <w:rsid w:val="00876DC9"/>
    <w:rsid w:val="00877125"/>
    <w:rsid w:val="008777C2"/>
    <w:rsid w:val="00880E7A"/>
    <w:rsid w:val="00881511"/>
    <w:rsid w:val="00882448"/>
    <w:rsid w:val="00882F1D"/>
    <w:rsid w:val="00883A4D"/>
    <w:rsid w:val="00883B21"/>
    <w:rsid w:val="00883F8F"/>
    <w:rsid w:val="00884235"/>
    <w:rsid w:val="00885285"/>
    <w:rsid w:val="00885985"/>
    <w:rsid w:val="00886699"/>
    <w:rsid w:val="0088709A"/>
    <w:rsid w:val="00887D2A"/>
    <w:rsid w:val="008917D4"/>
    <w:rsid w:val="0089199F"/>
    <w:rsid w:val="00891C32"/>
    <w:rsid w:val="00891D7F"/>
    <w:rsid w:val="00892265"/>
    <w:rsid w:val="0089233E"/>
    <w:rsid w:val="0089330E"/>
    <w:rsid w:val="00893A8E"/>
    <w:rsid w:val="00893E27"/>
    <w:rsid w:val="008945F7"/>
    <w:rsid w:val="0089463D"/>
    <w:rsid w:val="0089554F"/>
    <w:rsid w:val="008955E6"/>
    <w:rsid w:val="00895B5F"/>
    <w:rsid w:val="00895FC4"/>
    <w:rsid w:val="0089637C"/>
    <w:rsid w:val="00896712"/>
    <w:rsid w:val="00896870"/>
    <w:rsid w:val="008969BD"/>
    <w:rsid w:val="008A13BD"/>
    <w:rsid w:val="008A1596"/>
    <w:rsid w:val="008A1EDF"/>
    <w:rsid w:val="008A2695"/>
    <w:rsid w:val="008A2DC9"/>
    <w:rsid w:val="008A2FF1"/>
    <w:rsid w:val="008A32D4"/>
    <w:rsid w:val="008A367F"/>
    <w:rsid w:val="008A37AF"/>
    <w:rsid w:val="008A448D"/>
    <w:rsid w:val="008A4A55"/>
    <w:rsid w:val="008A506F"/>
    <w:rsid w:val="008A528A"/>
    <w:rsid w:val="008A5298"/>
    <w:rsid w:val="008A535A"/>
    <w:rsid w:val="008A720F"/>
    <w:rsid w:val="008A7630"/>
    <w:rsid w:val="008A7BC5"/>
    <w:rsid w:val="008A7C72"/>
    <w:rsid w:val="008B04F2"/>
    <w:rsid w:val="008B0D0E"/>
    <w:rsid w:val="008B12BB"/>
    <w:rsid w:val="008B1411"/>
    <w:rsid w:val="008B17A2"/>
    <w:rsid w:val="008B25F2"/>
    <w:rsid w:val="008B2643"/>
    <w:rsid w:val="008B2FAE"/>
    <w:rsid w:val="008B3317"/>
    <w:rsid w:val="008B414B"/>
    <w:rsid w:val="008B4B08"/>
    <w:rsid w:val="008B4E0E"/>
    <w:rsid w:val="008B4FB9"/>
    <w:rsid w:val="008B5715"/>
    <w:rsid w:val="008B5A2D"/>
    <w:rsid w:val="008B5BC2"/>
    <w:rsid w:val="008B5D36"/>
    <w:rsid w:val="008B60BB"/>
    <w:rsid w:val="008B6732"/>
    <w:rsid w:val="008B68EC"/>
    <w:rsid w:val="008B711E"/>
    <w:rsid w:val="008C042F"/>
    <w:rsid w:val="008C057B"/>
    <w:rsid w:val="008C0CAC"/>
    <w:rsid w:val="008C13B4"/>
    <w:rsid w:val="008C1557"/>
    <w:rsid w:val="008C1B8C"/>
    <w:rsid w:val="008C2306"/>
    <w:rsid w:val="008C26D1"/>
    <w:rsid w:val="008C2B7F"/>
    <w:rsid w:val="008C36AC"/>
    <w:rsid w:val="008C4953"/>
    <w:rsid w:val="008C4E44"/>
    <w:rsid w:val="008C4EEE"/>
    <w:rsid w:val="008C6255"/>
    <w:rsid w:val="008C684B"/>
    <w:rsid w:val="008C6ABD"/>
    <w:rsid w:val="008C6F18"/>
    <w:rsid w:val="008C7685"/>
    <w:rsid w:val="008C7BE4"/>
    <w:rsid w:val="008D007A"/>
    <w:rsid w:val="008D013B"/>
    <w:rsid w:val="008D07DE"/>
    <w:rsid w:val="008D0831"/>
    <w:rsid w:val="008D0E40"/>
    <w:rsid w:val="008D1E7F"/>
    <w:rsid w:val="008D2367"/>
    <w:rsid w:val="008D427A"/>
    <w:rsid w:val="008D4DD5"/>
    <w:rsid w:val="008D5657"/>
    <w:rsid w:val="008D6752"/>
    <w:rsid w:val="008D69E7"/>
    <w:rsid w:val="008D6FC1"/>
    <w:rsid w:val="008E0140"/>
    <w:rsid w:val="008E0688"/>
    <w:rsid w:val="008E0939"/>
    <w:rsid w:val="008E0BEF"/>
    <w:rsid w:val="008E241E"/>
    <w:rsid w:val="008E266D"/>
    <w:rsid w:val="008E2F0C"/>
    <w:rsid w:val="008E3E23"/>
    <w:rsid w:val="008E3F25"/>
    <w:rsid w:val="008E547B"/>
    <w:rsid w:val="008E5DF8"/>
    <w:rsid w:val="008F0250"/>
    <w:rsid w:val="008F0691"/>
    <w:rsid w:val="008F11F4"/>
    <w:rsid w:val="008F1952"/>
    <w:rsid w:val="008F254D"/>
    <w:rsid w:val="008F310B"/>
    <w:rsid w:val="008F322B"/>
    <w:rsid w:val="008F34CB"/>
    <w:rsid w:val="008F3519"/>
    <w:rsid w:val="008F3AD3"/>
    <w:rsid w:val="008F3CA7"/>
    <w:rsid w:val="008F443F"/>
    <w:rsid w:val="008F5DE5"/>
    <w:rsid w:val="008F5E42"/>
    <w:rsid w:val="008F63B1"/>
    <w:rsid w:val="008F680E"/>
    <w:rsid w:val="008F6973"/>
    <w:rsid w:val="008F6E6A"/>
    <w:rsid w:val="008F7AA7"/>
    <w:rsid w:val="009007C0"/>
    <w:rsid w:val="00900947"/>
    <w:rsid w:val="00900EB8"/>
    <w:rsid w:val="00900FBA"/>
    <w:rsid w:val="00902E5B"/>
    <w:rsid w:val="00903FD9"/>
    <w:rsid w:val="00904337"/>
    <w:rsid w:val="00904CF5"/>
    <w:rsid w:val="00905259"/>
    <w:rsid w:val="0090556C"/>
    <w:rsid w:val="00905633"/>
    <w:rsid w:val="00905EAE"/>
    <w:rsid w:val="009060C4"/>
    <w:rsid w:val="009065F2"/>
    <w:rsid w:val="00906C91"/>
    <w:rsid w:val="00906C95"/>
    <w:rsid w:val="00907656"/>
    <w:rsid w:val="00907E47"/>
    <w:rsid w:val="009115EF"/>
    <w:rsid w:val="009116DD"/>
    <w:rsid w:val="00912D1C"/>
    <w:rsid w:val="00913019"/>
    <w:rsid w:val="00913F1E"/>
    <w:rsid w:val="00913FB2"/>
    <w:rsid w:val="009140C4"/>
    <w:rsid w:val="009144A9"/>
    <w:rsid w:val="0091468B"/>
    <w:rsid w:val="0091526F"/>
    <w:rsid w:val="009153D2"/>
    <w:rsid w:val="00916286"/>
    <w:rsid w:val="00916595"/>
    <w:rsid w:val="00916C47"/>
    <w:rsid w:val="009171AD"/>
    <w:rsid w:val="00917569"/>
    <w:rsid w:val="00920174"/>
    <w:rsid w:val="009219D2"/>
    <w:rsid w:val="00921A4E"/>
    <w:rsid w:val="00921E37"/>
    <w:rsid w:val="00922511"/>
    <w:rsid w:val="00922F07"/>
    <w:rsid w:val="00923463"/>
    <w:rsid w:val="00925238"/>
    <w:rsid w:val="009255B8"/>
    <w:rsid w:val="00925ACF"/>
    <w:rsid w:val="0092615D"/>
    <w:rsid w:val="00926546"/>
    <w:rsid w:val="009265A1"/>
    <w:rsid w:val="0092672A"/>
    <w:rsid w:val="00927700"/>
    <w:rsid w:val="0093036E"/>
    <w:rsid w:val="00931224"/>
    <w:rsid w:val="009333D3"/>
    <w:rsid w:val="009339B6"/>
    <w:rsid w:val="00933B4C"/>
    <w:rsid w:val="00933DC4"/>
    <w:rsid w:val="0093431B"/>
    <w:rsid w:val="009346D6"/>
    <w:rsid w:val="00934743"/>
    <w:rsid w:val="0093487E"/>
    <w:rsid w:val="00934FFE"/>
    <w:rsid w:val="00936405"/>
    <w:rsid w:val="00936B64"/>
    <w:rsid w:val="009379C4"/>
    <w:rsid w:val="0094041A"/>
    <w:rsid w:val="00940D32"/>
    <w:rsid w:val="0094190D"/>
    <w:rsid w:val="00942354"/>
    <w:rsid w:val="00942681"/>
    <w:rsid w:val="00943A7E"/>
    <w:rsid w:val="00943E42"/>
    <w:rsid w:val="00943E5D"/>
    <w:rsid w:val="00944728"/>
    <w:rsid w:val="009453E8"/>
    <w:rsid w:val="00945664"/>
    <w:rsid w:val="00946ECB"/>
    <w:rsid w:val="00947268"/>
    <w:rsid w:val="0094750E"/>
    <w:rsid w:val="00947C94"/>
    <w:rsid w:val="00950174"/>
    <w:rsid w:val="009507C8"/>
    <w:rsid w:val="0095115E"/>
    <w:rsid w:val="0095118A"/>
    <w:rsid w:val="00952468"/>
    <w:rsid w:val="0095271D"/>
    <w:rsid w:val="00954767"/>
    <w:rsid w:val="0095487A"/>
    <w:rsid w:val="009548FB"/>
    <w:rsid w:val="0095538B"/>
    <w:rsid w:val="00957AF7"/>
    <w:rsid w:val="00960ACA"/>
    <w:rsid w:val="00960C4F"/>
    <w:rsid w:val="0096217C"/>
    <w:rsid w:val="00962441"/>
    <w:rsid w:val="00963277"/>
    <w:rsid w:val="00964B53"/>
    <w:rsid w:val="00964C3F"/>
    <w:rsid w:val="00964C6C"/>
    <w:rsid w:val="00965176"/>
    <w:rsid w:val="00965240"/>
    <w:rsid w:val="00965847"/>
    <w:rsid w:val="00965A3E"/>
    <w:rsid w:val="00965C48"/>
    <w:rsid w:val="00966E4A"/>
    <w:rsid w:val="00967041"/>
    <w:rsid w:val="00970918"/>
    <w:rsid w:val="0097099E"/>
    <w:rsid w:val="00971761"/>
    <w:rsid w:val="00971ABF"/>
    <w:rsid w:val="0097216F"/>
    <w:rsid w:val="00972A4D"/>
    <w:rsid w:val="00972C3B"/>
    <w:rsid w:val="00973057"/>
    <w:rsid w:val="0097451C"/>
    <w:rsid w:val="009747F5"/>
    <w:rsid w:val="00974D50"/>
    <w:rsid w:val="009751AF"/>
    <w:rsid w:val="00975326"/>
    <w:rsid w:val="00975DEA"/>
    <w:rsid w:val="00977CDF"/>
    <w:rsid w:val="0098043F"/>
    <w:rsid w:val="00981038"/>
    <w:rsid w:val="0098106E"/>
    <w:rsid w:val="00981511"/>
    <w:rsid w:val="00981D1C"/>
    <w:rsid w:val="00981E1C"/>
    <w:rsid w:val="00982118"/>
    <w:rsid w:val="00982C62"/>
    <w:rsid w:val="00982C91"/>
    <w:rsid w:val="00982F76"/>
    <w:rsid w:val="00982FA3"/>
    <w:rsid w:val="00982FFB"/>
    <w:rsid w:val="009831F1"/>
    <w:rsid w:val="009840FD"/>
    <w:rsid w:val="00984701"/>
    <w:rsid w:val="00984847"/>
    <w:rsid w:val="00984BEC"/>
    <w:rsid w:val="00985EB8"/>
    <w:rsid w:val="00985FB3"/>
    <w:rsid w:val="00986566"/>
    <w:rsid w:val="00986CC1"/>
    <w:rsid w:val="00986F4E"/>
    <w:rsid w:val="00987191"/>
    <w:rsid w:val="00987A5A"/>
    <w:rsid w:val="00987CB4"/>
    <w:rsid w:val="0099097E"/>
    <w:rsid w:val="009921FC"/>
    <w:rsid w:val="0099272B"/>
    <w:rsid w:val="00992A0E"/>
    <w:rsid w:val="0099399E"/>
    <w:rsid w:val="0099413C"/>
    <w:rsid w:val="00994230"/>
    <w:rsid w:val="0099479E"/>
    <w:rsid w:val="009951D8"/>
    <w:rsid w:val="00995355"/>
    <w:rsid w:val="0099586F"/>
    <w:rsid w:val="00996714"/>
    <w:rsid w:val="0099719E"/>
    <w:rsid w:val="009A0169"/>
    <w:rsid w:val="009A10D6"/>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B0E"/>
    <w:rsid w:val="009B2596"/>
    <w:rsid w:val="009B42B6"/>
    <w:rsid w:val="009B42CC"/>
    <w:rsid w:val="009B43D6"/>
    <w:rsid w:val="009B5081"/>
    <w:rsid w:val="009B6985"/>
    <w:rsid w:val="009B69B3"/>
    <w:rsid w:val="009B7011"/>
    <w:rsid w:val="009B71E4"/>
    <w:rsid w:val="009C04EE"/>
    <w:rsid w:val="009C0CD4"/>
    <w:rsid w:val="009C15E7"/>
    <w:rsid w:val="009C17C8"/>
    <w:rsid w:val="009C28AE"/>
    <w:rsid w:val="009C385B"/>
    <w:rsid w:val="009C3E3C"/>
    <w:rsid w:val="009C4353"/>
    <w:rsid w:val="009C49C2"/>
    <w:rsid w:val="009C4E2D"/>
    <w:rsid w:val="009C62C0"/>
    <w:rsid w:val="009C6A88"/>
    <w:rsid w:val="009C765D"/>
    <w:rsid w:val="009C7ADA"/>
    <w:rsid w:val="009D000A"/>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DE3"/>
    <w:rsid w:val="009E004A"/>
    <w:rsid w:val="009E066B"/>
    <w:rsid w:val="009E1515"/>
    <w:rsid w:val="009E1CFF"/>
    <w:rsid w:val="009E1FEE"/>
    <w:rsid w:val="009E23EA"/>
    <w:rsid w:val="009E2D24"/>
    <w:rsid w:val="009E2EA0"/>
    <w:rsid w:val="009E305F"/>
    <w:rsid w:val="009E36FF"/>
    <w:rsid w:val="009E37D3"/>
    <w:rsid w:val="009E3D28"/>
    <w:rsid w:val="009E5028"/>
    <w:rsid w:val="009E50FB"/>
    <w:rsid w:val="009E5280"/>
    <w:rsid w:val="009E5386"/>
    <w:rsid w:val="009E5DD1"/>
    <w:rsid w:val="009E60AD"/>
    <w:rsid w:val="009E68C8"/>
    <w:rsid w:val="009E6AB5"/>
    <w:rsid w:val="009E6DAB"/>
    <w:rsid w:val="009E6F4B"/>
    <w:rsid w:val="009E703C"/>
    <w:rsid w:val="009E7E4C"/>
    <w:rsid w:val="009F08F5"/>
    <w:rsid w:val="009F0956"/>
    <w:rsid w:val="009F0EE5"/>
    <w:rsid w:val="009F0F1C"/>
    <w:rsid w:val="009F1264"/>
    <w:rsid w:val="009F245B"/>
    <w:rsid w:val="009F25E6"/>
    <w:rsid w:val="009F27D0"/>
    <w:rsid w:val="009F2BE8"/>
    <w:rsid w:val="009F2F09"/>
    <w:rsid w:val="009F39A7"/>
    <w:rsid w:val="009F40B7"/>
    <w:rsid w:val="009F4188"/>
    <w:rsid w:val="009F4302"/>
    <w:rsid w:val="009F4393"/>
    <w:rsid w:val="009F4BE9"/>
    <w:rsid w:val="009F62D3"/>
    <w:rsid w:val="009F708C"/>
    <w:rsid w:val="00A00112"/>
    <w:rsid w:val="00A008B5"/>
    <w:rsid w:val="00A017B4"/>
    <w:rsid w:val="00A01C53"/>
    <w:rsid w:val="00A01D38"/>
    <w:rsid w:val="00A02414"/>
    <w:rsid w:val="00A025B9"/>
    <w:rsid w:val="00A0355C"/>
    <w:rsid w:val="00A03A13"/>
    <w:rsid w:val="00A040CD"/>
    <w:rsid w:val="00A04429"/>
    <w:rsid w:val="00A06446"/>
    <w:rsid w:val="00A06697"/>
    <w:rsid w:val="00A06C40"/>
    <w:rsid w:val="00A10586"/>
    <w:rsid w:val="00A10A48"/>
    <w:rsid w:val="00A110DA"/>
    <w:rsid w:val="00A1132B"/>
    <w:rsid w:val="00A11930"/>
    <w:rsid w:val="00A1238C"/>
    <w:rsid w:val="00A1263D"/>
    <w:rsid w:val="00A1265F"/>
    <w:rsid w:val="00A12AF2"/>
    <w:rsid w:val="00A12D8A"/>
    <w:rsid w:val="00A12E6C"/>
    <w:rsid w:val="00A136D0"/>
    <w:rsid w:val="00A13D1A"/>
    <w:rsid w:val="00A14DC2"/>
    <w:rsid w:val="00A14DD6"/>
    <w:rsid w:val="00A15D5E"/>
    <w:rsid w:val="00A160B7"/>
    <w:rsid w:val="00A161F8"/>
    <w:rsid w:val="00A169FA"/>
    <w:rsid w:val="00A1766A"/>
    <w:rsid w:val="00A200F4"/>
    <w:rsid w:val="00A206C9"/>
    <w:rsid w:val="00A20C27"/>
    <w:rsid w:val="00A20E7D"/>
    <w:rsid w:val="00A216BC"/>
    <w:rsid w:val="00A23931"/>
    <w:rsid w:val="00A23FD6"/>
    <w:rsid w:val="00A25317"/>
    <w:rsid w:val="00A25706"/>
    <w:rsid w:val="00A25D84"/>
    <w:rsid w:val="00A26029"/>
    <w:rsid w:val="00A262E4"/>
    <w:rsid w:val="00A268EA"/>
    <w:rsid w:val="00A26A9F"/>
    <w:rsid w:val="00A31CE0"/>
    <w:rsid w:val="00A31FA9"/>
    <w:rsid w:val="00A333BF"/>
    <w:rsid w:val="00A33825"/>
    <w:rsid w:val="00A3398F"/>
    <w:rsid w:val="00A35583"/>
    <w:rsid w:val="00A363EF"/>
    <w:rsid w:val="00A365FA"/>
    <w:rsid w:val="00A36778"/>
    <w:rsid w:val="00A36DFE"/>
    <w:rsid w:val="00A370FD"/>
    <w:rsid w:val="00A3798C"/>
    <w:rsid w:val="00A37DD9"/>
    <w:rsid w:val="00A40ED7"/>
    <w:rsid w:val="00A40F83"/>
    <w:rsid w:val="00A412BA"/>
    <w:rsid w:val="00A41416"/>
    <w:rsid w:val="00A4200D"/>
    <w:rsid w:val="00A424BF"/>
    <w:rsid w:val="00A4258E"/>
    <w:rsid w:val="00A432D1"/>
    <w:rsid w:val="00A43716"/>
    <w:rsid w:val="00A442C5"/>
    <w:rsid w:val="00A44712"/>
    <w:rsid w:val="00A44AF5"/>
    <w:rsid w:val="00A44B8B"/>
    <w:rsid w:val="00A45EC4"/>
    <w:rsid w:val="00A47212"/>
    <w:rsid w:val="00A474EA"/>
    <w:rsid w:val="00A501B2"/>
    <w:rsid w:val="00A5034A"/>
    <w:rsid w:val="00A50FFA"/>
    <w:rsid w:val="00A539D1"/>
    <w:rsid w:val="00A54DAE"/>
    <w:rsid w:val="00A56D3B"/>
    <w:rsid w:val="00A57450"/>
    <w:rsid w:val="00A57479"/>
    <w:rsid w:val="00A57C08"/>
    <w:rsid w:val="00A600D9"/>
    <w:rsid w:val="00A604CD"/>
    <w:rsid w:val="00A60CAF"/>
    <w:rsid w:val="00A637A0"/>
    <w:rsid w:val="00A63ECD"/>
    <w:rsid w:val="00A64093"/>
    <w:rsid w:val="00A640EB"/>
    <w:rsid w:val="00A64815"/>
    <w:rsid w:val="00A65043"/>
    <w:rsid w:val="00A66DF9"/>
    <w:rsid w:val="00A704E4"/>
    <w:rsid w:val="00A7136A"/>
    <w:rsid w:val="00A71C44"/>
    <w:rsid w:val="00A72296"/>
    <w:rsid w:val="00A72647"/>
    <w:rsid w:val="00A7388E"/>
    <w:rsid w:val="00A74548"/>
    <w:rsid w:val="00A74CFE"/>
    <w:rsid w:val="00A74DF2"/>
    <w:rsid w:val="00A74E4D"/>
    <w:rsid w:val="00A7592E"/>
    <w:rsid w:val="00A76C1F"/>
    <w:rsid w:val="00A803FC"/>
    <w:rsid w:val="00A8071A"/>
    <w:rsid w:val="00A80DD9"/>
    <w:rsid w:val="00A80FCA"/>
    <w:rsid w:val="00A81CBC"/>
    <w:rsid w:val="00A82506"/>
    <w:rsid w:val="00A837CE"/>
    <w:rsid w:val="00A83DB5"/>
    <w:rsid w:val="00A83FBA"/>
    <w:rsid w:val="00A84636"/>
    <w:rsid w:val="00A85080"/>
    <w:rsid w:val="00A86406"/>
    <w:rsid w:val="00A86853"/>
    <w:rsid w:val="00A86B75"/>
    <w:rsid w:val="00A86E75"/>
    <w:rsid w:val="00A86F33"/>
    <w:rsid w:val="00A9065F"/>
    <w:rsid w:val="00A90B0E"/>
    <w:rsid w:val="00A91AA1"/>
    <w:rsid w:val="00A91C8C"/>
    <w:rsid w:val="00A91F0D"/>
    <w:rsid w:val="00A9235A"/>
    <w:rsid w:val="00A929A1"/>
    <w:rsid w:val="00A92FF7"/>
    <w:rsid w:val="00A93069"/>
    <w:rsid w:val="00A9468F"/>
    <w:rsid w:val="00A9498D"/>
    <w:rsid w:val="00A95335"/>
    <w:rsid w:val="00A9566B"/>
    <w:rsid w:val="00A9657F"/>
    <w:rsid w:val="00A96CAF"/>
    <w:rsid w:val="00A9797D"/>
    <w:rsid w:val="00AA015F"/>
    <w:rsid w:val="00AA0B1E"/>
    <w:rsid w:val="00AA0C3A"/>
    <w:rsid w:val="00AA1723"/>
    <w:rsid w:val="00AA190D"/>
    <w:rsid w:val="00AA1FDD"/>
    <w:rsid w:val="00AA22C3"/>
    <w:rsid w:val="00AA230D"/>
    <w:rsid w:val="00AA4941"/>
    <w:rsid w:val="00AA49E9"/>
    <w:rsid w:val="00AA5475"/>
    <w:rsid w:val="00AA5876"/>
    <w:rsid w:val="00AA6A8A"/>
    <w:rsid w:val="00AA6DD8"/>
    <w:rsid w:val="00AA6FA3"/>
    <w:rsid w:val="00AA70BB"/>
    <w:rsid w:val="00AA757C"/>
    <w:rsid w:val="00AA7F10"/>
    <w:rsid w:val="00AB0391"/>
    <w:rsid w:val="00AB0497"/>
    <w:rsid w:val="00AB1CD4"/>
    <w:rsid w:val="00AB2151"/>
    <w:rsid w:val="00AB2C59"/>
    <w:rsid w:val="00AB2C8A"/>
    <w:rsid w:val="00AB42B6"/>
    <w:rsid w:val="00AB4D67"/>
    <w:rsid w:val="00AB545D"/>
    <w:rsid w:val="00AB54D7"/>
    <w:rsid w:val="00AB57D3"/>
    <w:rsid w:val="00AB6886"/>
    <w:rsid w:val="00AB6AE4"/>
    <w:rsid w:val="00AB6E00"/>
    <w:rsid w:val="00AB6F37"/>
    <w:rsid w:val="00AB769E"/>
    <w:rsid w:val="00AB7D55"/>
    <w:rsid w:val="00AC0681"/>
    <w:rsid w:val="00AC154B"/>
    <w:rsid w:val="00AC155A"/>
    <w:rsid w:val="00AC1B72"/>
    <w:rsid w:val="00AC26FE"/>
    <w:rsid w:val="00AC350D"/>
    <w:rsid w:val="00AC3568"/>
    <w:rsid w:val="00AC3CF2"/>
    <w:rsid w:val="00AC47EC"/>
    <w:rsid w:val="00AC4E5D"/>
    <w:rsid w:val="00AC6C53"/>
    <w:rsid w:val="00AC6E85"/>
    <w:rsid w:val="00AC7284"/>
    <w:rsid w:val="00AC7CE6"/>
    <w:rsid w:val="00AD0828"/>
    <w:rsid w:val="00AD0B13"/>
    <w:rsid w:val="00AD0E69"/>
    <w:rsid w:val="00AD103D"/>
    <w:rsid w:val="00AD159C"/>
    <w:rsid w:val="00AD17FA"/>
    <w:rsid w:val="00AD19EC"/>
    <w:rsid w:val="00AD2717"/>
    <w:rsid w:val="00AD3DC4"/>
    <w:rsid w:val="00AD3E53"/>
    <w:rsid w:val="00AD4FF4"/>
    <w:rsid w:val="00AD531D"/>
    <w:rsid w:val="00AD567F"/>
    <w:rsid w:val="00AD600C"/>
    <w:rsid w:val="00AD63D6"/>
    <w:rsid w:val="00AD6CD5"/>
    <w:rsid w:val="00AD733B"/>
    <w:rsid w:val="00AD7CA7"/>
    <w:rsid w:val="00AE0040"/>
    <w:rsid w:val="00AE0898"/>
    <w:rsid w:val="00AE184D"/>
    <w:rsid w:val="00AE1C03"/>
    <w:rsid w:val="00AE23E3"/>
    <w:rsid w:val="00AE2F65"/>
    <w:rsid w:val="00AE317E"/>
    <w:rsid w:val="00AE35A5"/>
    <w:rsid w:val="00AE4E2A"/>
    <w:rsid w:val="00AE5CF9"/>
    <w:rsid w:val="00AE5DB6"/>
    <w:rsid w:val="00AE6C3C"/>
    <w:rsid w:val="00AE702E"/>
    <w:rsid w:val="00AE73E0"/>
    <w:rsid w:val="00AF03C0"/>
    <w:rsid w:val="00AF113D"/>
    <w:rsid w:val="00AF166F"/>
    <w:rsid w:val="00AF1C03"/>
    <w:rsid w:val="00AF2A39"/>
    <w:rsid w:val="00AF39AF"/>
    <w:rsid w:val="00AF3E3B"/>
    <w:rsid w:val="00AF3E5A"/>
    <w:rsid w:val="00AF46FE"/>
    <w:rsid w:val="00AF486F"/>
    <w:rsid w:val="00AF548B"/>
    <w:rsid w:val="00AF55E0"/>
    <w:rsid w:val="00AF5666"/>
    <w:rsid w:val="00AF5870"/>
    <w:rsid w:val="00AF5DA9"/>
    <w:rsid w:val="00AF6619"/>
    <w:rsid w:val="00AF6BBE"/>
    <w:rsid w:val="00AF6CFD"/>
    <w:rsid w:val="00AF7DC1"/>
    <w:rsid w:val="00B000AE"/>
    <w:rsid w:val="00B0040B"/>
    <w:rsid w:val="00B00830"/>
    <w:rsid w:val="00B00AB5"/>
    <w:rsid w:val="00B00CC0"/>
    <w:rsid w:val="00B00F5C"/>
    <w:rsid w:val="00B019C1"/>
    <w:rsid w:val="00B0236E"/>
    <w:rsid w:val="00B02506"/>
    <w:rsid w:val="00B02ACE"/>
    <w:rsid w:val="00B03913"/>
    <w:rsid w:val="00B04CEA"/>
    <w:rsid w:val="00B05607"/>
    <w:rsid w:val="00B05A08"/>
    <w:rsid w:val="00B05AE4"/>
    <w:rsid w:val="00B05F14"/>
    <w:rsid w:val="00B06737"/>
    <w:rsid w:val="00B07298"/>
    <w:rsid w:val="00B0784C"/>
    <w:rsid w:val="00B07CE9"/>
    <w:rsid w:val="00B101D5"/>
    <w:rsid w:val="00B10633"/>
    <w:rsid w:val="00B10B08"/>
    <w:rsid w:val="00B11A78"/>
    <w:rsid w:val="00B11CFB"/>
    <w:rsid w:val="00B12111"/>
    <w:rsid w:val="00B12AF1"/>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1736"/>
    <w:rsid w:val="00B218B1"/>
    <w:rsid w:val="00B21A33"/>
    <w:rsid w:val="00B224AA"/>
    <w:rsid w:val="00B22998"/>
    <w:rsid w:val="00B229FE"/>
    <w:rsid w:val="00B2302B"/>
    <w:rsid w:val="00B24363"/>
    <w:rsid w:val="00B2456E"/>
    <w:rsid w:val="00B24979"/>
    <w:rsid w:val="00B250A5"/>
    <w:rsid w:val="00B25651"/>
    <w:rsid w:val="00B26937"/>
    <w:rsid w:val="00B26E66"/>
    <w:rsid w:val="00B27625"/>
    <w:rsid w:val="00B27A6A"/>
    <w:rsid w:val="00B30243"/>
    <w:rsid w:val="00B30421"/>
    <w:rsid w:val="00B30DC8"/>
    <w:rsid w:val="00B315BB"/>
    <w:rsid w:val="00B31977"/>
    <w:rsid w:val="00B3235A"/>
    <w:rsid w:val="00B333FE"/>
    <w:rsid w:val="00B3382B"/>
    <w:rsid w:val="00B34303"/>
    <w:rsid w:val="00B35094"/>
    <w:rsid w:val="00B350F0"/>
    <w:rsid w:val="00B357AC"/>
    <w:rsid w:val="00B35992"/>
    <w:rsid w:val="00B35E4B"/>
    <w:rsid w:val="00B35FCC"/>
    <w:rsid w:val="00B36518"/>
    <w:rsid w:val="00B378CC"/>
    <w:rsid w:val="00B41615"/>
    <w:rsid w:val="00B41FD8"/>
    <w:rsid w:val="00B420DF"/>
    <w:rsid w:val="00B428E2"/>
    <w:rsid w:val="00B42A2C"/>
    <w:rsid w:val="00B42A5C"/>
    <w:rsid w:val="00B42A66"/>
    <w:rsid w:val="00B42A98"/>
    <w:rsid w:val="00B42C64"/>
    <w:rsid w:val="00B43AFE"/>
    <w:rsid w:val="00B448EF"/>
    <w:rsid w:val="00B46EFA"/>
    <w:rsid w:val="00B47493"/>
    <w:rsid w:val="00B474C8"/>
    <w:rsid w:val="00B474DF"/>
    <w:rsid w:val="00B47915"/>
    <w:rsid w:val="00B50E18"/>
    <w:rsid w:val="00B513A9"/>
    <w:rsid w:val="00B51568"/>
    <w:rsid w:val="00B51610"/>
    <w:rsid w:val="00B5167B"/>
    <w:rsid w:val="00B517BE"/>
    <w:rsid w:val="00B51EB7"/>
    <w:rsid w:val="00B520E3"/>
    <w:rsid w:val="00B52336"/>
    <w:rsid w:val="00B5388C"/>
    <w:rsid w:val="00B55CED"/>
    <w:rsid w:val="00B55D57"/>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5958"/>
    <w:rsid w:val="00B66064"/>
    <w:rsid w:val="00B66995"/>
    <w:rsid w:val="00B671A1"/>
    <w:rsid w:val="00B675A6"/>
    <w:rsid w:val="00B6794D"/>
    <w:rsid w:val="00B67B55"/>
    <w:rsid w:val="00B67C6C"/>
    <w:rsid w:val="00B70C61"/>
    <w:rsid w:val="00B70E5A"/>
    <w:rsid w:val="00B7220D"/>
    <w:rsid w:val="00B749B6"/>
    <w:rsid w:val="00B7509A"/>
    <w:rsid w:val="00B7613E"/>
    <w:rsid w:val="00B766C1"/>
    <w:rsid w:val="00B76966"/>
    <w:rsid w:val="00B76B96"/>
    <w:rsid w:val="00B76EFB"/>
    <w:rsid w:val="00B77129"/>
    <w:rsid w:val="00B77C37"/>
    <w:rsid w:val="00B807BF"/>
    <w:rsid w:val="00B809B1"/>
    <w:rsid w:val="00B822E9"/>
    <w:rsid w:val="00B82543"/>
    <w:rsid w:val="00B82998"/>
    <w:rsid w:val="00B834B0"/>
    <w:rsid w:val="00B837F6"/>
    <w:rsid w:val="00B83DAE"/>
    <w:rsid w:val="00B84FB4"/>
    <w:rsid w:val="00B8756E"/>
    <w:rsid w:val="00B87DF9"/>
    <w:rsid w:val="00B91951"/>
    <w:rsid w:val="00B91A58"/>
    <w:rsid w:val="00B91EAD"/>
    <w:rsid w:val="00B920B9"/>
    <w:rsid w:val="00B930D2"/>
    <w:rsid w:val="00B937CD"/>
    <w:rsid w:val="00B938BC"/>
    <w:rsid w:val="00B93997"/>
    <w:rsid w:val="00B93C98"/>
    <w:rsid w:val="00B976BB"/>
    <w:rsid w:val="00BA01A7"/>
    <w:rsid w:val="00BA0224"/>
    <w:rsid w:val="00BA05C8"/>
    <w:rsid w:val="00BA09AA"/>
    <w:rsid w:val="00BA0AD5"/>
    <w:rsid w:val="00BA0CA0"/>
    <w:rsid w:val="00BA0E3C"/>
    <w:rsid w:val="00BA1F74"/>
    <w:rsid w:val="00BA1FE7"/>
    <w:rsid w:val="00BA2B1D"/>
    <w:rsid w:val="00BA3D14"/>
    <w:rsid w:val="00BA435A"/>
    <w:rsid w:val="00BA54BA"/>
    <w:rsid w:val="00BA5603"/>
    <w:rsid w:val="00BA56D9"/>
    <w:rsid w:val="00BA6194"/>
    <w:rsid w:val="00BA7EEE"/>
    <w:rsid w:val="00BB2008"/>
    <w:rsid w:val="00BB2CFC"/>
    <w:rsid w:val="00BB34DC"/>
    <w:rsid w:val="00BB35D0"/>
    <w:rsid w:val="00BB3AC4"/>
    <w:rsid w:val="00BB4999"/>
    <w:rsid w:val="00BB4BCD"/>
    <w:rsid w:val="00BB56C7"/>
    <w:rsid w:val="00BB5B62"/>
    <w:rsid w:val="00BB6502"/>
    <w:rsid w:val="00BB6BCD"/>
    <w:rsid w:val="00BB70F9"/>
    <w:rsid w:val="00BB786A"/>
    <w:rsid w:val="00BB7C9B"/>
    <w:rsid w:val="00BC1527"/>
    <w:rsid w:val="00BC2306"/>
    <w:rsid w:val="00BC2F31"/>
    <w:rsid w:val="00BC4036"/>
    <w:rsid w:val="00BC4F0A"/>
    <w:rsid w:val="00BC509F"/>
    <w:rsid w:val="00BC51D2"/>
    <w:rsid w:val="00BC64BE"/>
    <w:rsid w:val="00BC703E"/>
    <w:rsid w:val="00BC7155"/>
    <w:rsid w:val="00BC7550"/>
    <w:rsid w:val="00BD0B72"/>
    <w:rsid w:val="00BD2668"/>
    <w:rsid w:val="00BD3924"/>
    <w:rsid w:val="00BD450F"/>
    <w:rsid w:val="00BD4512"/>
    <w:rsid w:val="00BD52AA"/>
    <w:rsid w:val="00BE1061"/>
    <w:rsid w:val="00BE1321"/>
    <w:rsid w:val="00BE2886"/>
    <w:rsid w:val="00BE2893"/>
    <w:rsid w:val="00BE2EB4"/>
    <w:rsid w:val="00BE2F5A"/>
    <w:rsid w:val="00BE37D3"/>
    <w:rsid w:val="00BE522A"/>
    <w:rsid w:val="00BE57B5"/>
    <w:rsid w:val="00BE7A7C"/>
    <w:rsid w:val="00BF0A44"/>
    <w:rsid w:val="00BF0CEC"/>
    <w:rsid w:val="00BF1A44"/>
    <w:rsid w:val="00BF1EDF"/>
    <w:rsid w:val="00BF4D3D"/>
    <w:rsid w:val="00BF57F7"/>
    <w:rsid w:val="00BF5B10"/>
    <w:rsid w:val="00BF5B8C"/>
    <w:rsid w:val="00BF66B7"/>
    <w:rsid w:val="00BF6A68"/>
    <w:rsid w:val="00BF7152"/>
    <w:rsid w:val="00BF73F0"/>
    <w:rsid w:val="00BF75B1"/>
    <w:rsid w:val="00BF75C9"/>
    <w:rsid w:val="00BF7BD3"/>
    <w:rsid w:val="00C00352"/>
    <w:rsid w:val="00C007CE"/>
    <w:rsid w:val="00C00A22"/>
    <w:rsid w:val="00C00F18"/>
    <w:rsid w:val="00C01D39"/>
    <w:rsid w:val="00C020A8"/>
    <w:rsid w:val="00C034A4"/>
    <w:rsid w:val="00C03DD0"/>
    <w:rsid w:val="00C04445"/>
    <w:rsid w:val="00C04A7F"/>
    <w:rsid w:val="00C04E2B"/>
    <w:rsid w:val="00C051AA"/>
    <w:rsid w:val="00C060A0"/>
    <w:rsid w:val="00C07187"/>
    <w:rsid w:val="00C075C9"/>
    <w:rsid w:val="00C07A07"/>
    <w:rsid w:val="00C07FAD"/>
    <w:rsid w:val="00C106C4"/>
    <w:rsid w:val="00C111EA"/>
    <w:rsid w:val="00C119AD"/>
    <w:rsid w:val="00C1228D"/>
    <w:rsid w:val="00C13FED"/>
    <w:rsid w:val="00C14E7D"/>
    <w:rsid w:val="00C16897"/>
    <w:rsid w:val="00C200C9"/>
    <w:rsid w:val="00C21D8E"/>
    <w:rsid w:val="00C22525"/>
    <w:rsid w:val="00C23DBB"/>
    <w:rsid w:val="00C23FE1"/>
    <w:rsid w:val="00C2410D"/>
    <w:rsid w:val="00C24BAF"/>
    <w:rsid w:val="00C25F8B"/>
    <w:rsid w:val="00C265C0"/>
    <w:rsid w:val="00C26B9E"/>
    <w:rsid w:val="00C272CE"/>
    <w:rsid w:val="00C272EF"/>
    <w:rsid w:val="00C2732B"/>
    <w:rsid w:val="00C2753F"/>
    <w:rsid w:val="00C276A8"/>
    <w:rsid w:val="00C27975"/>
    <w:rsid w:val="00C300BC"/>
    <w:rsid w:val="00C318F7"/>
    <w:rsid w:val="00C319D2"/>
    <w:rsid w:val="00C31F85"/>
    <w:rsid w:val="00C32534"/>
    <w:rsid w:val="00C326EE"/>
    <w:rsid w:val="00C32951"/>
    <w:rsid w:val="00C32C02"/>
    <w:rsid w:val="00C33235"/>
    <w:rsid w:val="00C33677"/>
    <w:rsid w:val="00C34137"/>
    <w:rsid w:val="00C344E3"/>
    <w:rsid w:val="00C3476B"/>
    <w:rsid w:val="00C3491F"/>
    <w:rsid w:val="00C35240"/>
    <w:rsid w:val="00C368B3"/>
    <w:rsid w:val="00C36F07"/>
    <w:rsid w:val="00C37214"/>
    <w:rsid w:val="00C372E8"/>
    <w:rsid w:val="00C409DC"/>
    <w:rsid w:val="00C40B1B"/>
    <w:rsid w:val="00C40E88"/>
    <w:rsid w:val="00C416A3"/>
    <w:rsid w:val="00C41785"/>
    <w:rsid w:val="00C41C6E"/>
    <w:rsid w:val="00C41FC1"/>
    <w:rsid w:val="00C42564"/>
    <w:rsid w:val="00C434C2"/>
    <w:rsid w:val="00C43940"/>
    <w:rsid w:val="00C44342"/>
    <w:rsid w:val="00C44694"/>
    <w:rsid w:val="00C44744"/>
    <w:rsid w:val="00C44C07"/>
    <w:rsid w:val="00C45285"/>
    <w:rsid w:val="00C457C1"/>
    <w:rsid w:val="00C46625"/>
    <w:rsid w:val="00C46870"/>
    <w:rsid w:val="00C47545"/>
    <w:rsid w:val="00C47593"/>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6324"/>
    <w:rsid w:val="00C5653B"/>
    <w:rsid w:val="00C565A3"/>
    <w:rsid w:val="00C568BB"/>
    <w:rsid w:val="00C577F7"/>
    <w:rsid w:val="00C60667"/>
    <w:rsid w:val="00C61AB9"/>
    <w:rsid w:val="00C61F84"/>
    <w:rsid w:val="00C62FF7"/>
    <w:rsid w:val="00C63135"/>
    <w:rsid w:val="00C637DC"/>
    <w:rsid w:val="00C63EE8"/>
    <w:rsid w:val="00C6432E"/>
    <w:rsid w:val="00C64DED"/>
    <w:rsid w:val="00C65718"/>
    <w:rsid w:val="00C65C81"/>
    <w:rsid w:val="00C66772"/>
    <w:rsid w:val="00C66D2B"/>
    <w:rsid w:val="00C67580"/>
    <w:rsid w:val="00C6781C"/>
    <w:rsid w:val="00C67EA1"/>
    <w:rsid w:val="00C70AEE"/>
    <w:rsid w:val="00C71D15"/>
    <w:rsid w:val="00C7234D"/>
    <w:rsid w:val="00C7244E"/>
    <w:rsid w:val="00C726C9"/>
    <w:rsid w:val="00C72801"/>
    <w:rsid w:val="00C72C0A"/>
    <w:rsid w:val="00C735EE"/>
    <w:rsid w:val="00C73E67"/>
    <w:rsid w:val="00C73FAD"/>
    <w:rsid w:val="00C74AE1"/>
    <w:rsid w:val="00C757B8"/>
    <w:rsid w:val="00C76906"/>
    <w:rsid w:val="00C76B7C"/>
    <w:rsid w:val="00C76CC7"/>
    <w:rsid w:val="00C76F81"/>
    <w:rsid w:val="00C776A4"/>
    <w:rsid w:val="00C800DD"/>
    <w:rsid w:val="00C80920"/>
    <w:rsid w:val="00C80B03"/>
    <w:rsid w:val="00C8243F"/>
    <w:rsid w:val="00C8289B"/>
    <w:rsid w:val="00C82D54"/>
    <w:rsid w:val="00C82F3B"/>
    <w:rsid w:val="00C837C4"/>
    <w:rsid w:val="00C83829"/>
    <w:rsid w:val="00C83EDD"/>
    <w:rsid w:val="00C84BF1"/>
    <w:rsid w:val="00C84CA2"/>
    <w:rsid w:val="00C85A36"/>
    <w:rsid w:val="00C85CD1"/>
    <w:rsid w:val="00C86C56"/>
    <w:rsid w:val="00C8773E"/>
    <w:rsid w:val="00C90601"/>
    <w:rsid w:val="00C90D16"/>
    <w:rsid w:val="00C9116A"/>
    <w:rsid w:val="00C9265D"/>
    <w:rsid w:val="00C92824"/>
    <w:rsid w:val="00C937BA"/>
    <w:rsid w:val="00C949FC"/>
    <w:rsid w:val="00C960CF"/>
    <w:rsid w:val="00C96672"/>
    <w:rsid w:val="00C96678"/>
    <w:rsid w:val="00C96772"/>
    <w:rsid w:val="00C96B91"/>
    <w:rsid w:val="00C96CFA"/>
    <w:rsid w:val="00C96E5A"/>
    <w:rsid w:val="00C96EB5"/>
    <w:rsid w:val="00CA0257"/>
    <w:rsid w:val="00CA0917"/>
    <w:rsid w:val="00CA102B"/>
    <w:rsid w:val="00CA283D"/>
    <w:rsid w:val="00CA29D1"/>
    <w:rsid w:val="00CA2DD6"/>
    <w:rsid w:val="00CA3247"/>
    <w:rsid w:val="00CA3752"/>
    <w:rsid w:val="00CA3999"/>
    <w:rsid w:val="00CA39C0"/>
    <w:rsid w:val="00CA5AD3"/>
    <w:rsid w:val="00CA62DD"/>
    <w:rsid w:val="00CA69BA"/>
    <w:rsid w:val="00CA7DE6"/>
    <w:rsid w:val="00CB0339"/>
    <w:rsid w:val="00CB110E"/>
    <w:rsid w:val="00CB15D6"/>
    <w:rsid w:val="00CB225B"/>
    <w:rsid w:val="00CB2EF5"/>
    <w:rsid w:val="00CB33E4"/>
    <w:rsid w:val="00CB387C"/>
    <w:rsid w:val="00CB4230"/>
    <w:rsid w:val="00CB431B"/>
    <w:rsid w:val="00CB4A77"/>
    <w:rsid w:val="00CB4EA5"/>
    <w:rsid w:val="00CB52A1"/>
    <w:rsid w:val="00CB557F"/>
    <w:rsid w:val="00CB592B"/>
    <w:rsid w:val="00CB5C5F"/>
    <w:rsid w:val="00CB600E"/>
    <w:rsid w:val="00CB65B8"/>
    <w:rsid w:val="00CB6CDF"/>
    <w:rsid w:val="00CB6E75"/>
    <w:rsid w:val="00CB7264"/>
    <w:rsid w:val="00CB730F"/>
    <w:rsid w:val="00CB761C"/>
    <w:rsid w:val="00CB76B5"/>
    <w:rsid w:val="00CB7853"/>
    <w:rsid w:val="00CB7AD6"/>
    <w:rsid w:val="00CC0495"/>
    <w:rsid w:val="00CC110F"/>
    <w:rsid w:val="00CC11B8"/>
    <w:rsid w:val="00CC1AF9"/>
    <w:rsid w:val="00CC20E0"/>
    <w:rsid w:val="00CC2818"/>
    <w:rsid w:val="00CC2F7A"/>
    <w:rsid w:val="00CC340B"/>
    <w:rsid w:val="00CC3A70"/>
    <w:rsid w:val="00CC4033"/>
    <w:rsid w:val="00CC40B8"/>
    <w:rsid w:val="00CC4668"/>
    <w:rsid w:val="00CC5444"/>
    <w:rsid w:val="00CC5631"/>
    <w:rsid w:val="00CC5F40"/>
    <w:rsid w:val="00CC62A6"/>
    <w:rsid w:val="00CC676C"/>
    <w:rsid w:val="00CC7A11"/>
    <w:rsid w:val="00CD04A8"/>
    <w:rsid w:val="00CD051B"/>
    <w:rsid w:val="00CD06B0"/>
    <w:rsid w:val="00CD1DB1"/>
    <w:rsid w:val="00CD22B5"/>
    <w:rsid w:val="00CD25E1"/>
    <w:rsid w:val="00CD367C"/>
    <w:rsid w:val="00CD454A"/>
    <w:rsid w:val="00CD4F54"/>
    <w:rsid w:val="00CD4FFE"/>
    <w:rsid w:val="00CD57FA"/>
    <w:rsid w:val="00CD5A6E"/>
    <w:rsid w:val="00CD5BD9"/>
    <w:rsid w:val="00CD711F"/>
    <w:rsid w:val="00CD74A7"/>
    <w:rsid w:val="00CD79B2"/>
    <w:rsid w:val="00CE157C"/>
    <w:rsid w:val="00CE1AF6"/>
    <w:rsid w:val="00CE2298"/>
    <w:rsid w:val="00CE3064"/>
    <w:rsid w:val="00CE3990"/>
    <w:rsid w:val="00CE39E4"/>
    <w:rsid w:val="00CE4282"/>
    <w:rsid w:val="00CE54E1"/>
    <w:rsid w:val="00CE55B6"/>
    <w:rsid w:val="00CE5856"/>
    <w:rsid w:val="00CE5BDE"/>
    <w:rsid w:val="00CE6A6D"/>
    <w:rsid w:val="00CE774C"/>
    <w:rsid w:val="00CE7E3D"/>
    <w:rsid w:val="00CF012E"/>
    <w:rsid w:val="00CF01CB"/>
    <w:rsid w:val="00CF04D4"/>
    <w:rsid w:val="00CF0B4C"/>
    <w:rsid w:val="00CF1680"/>
    <w:rsid w:val="00CF1BD7"/>
    <w:rsid w:val="00CF21A5"/>
    <w:rsid w:val="00CF2518"/>
    <w:rsid w:val="00CF2DDE"/>
    <w:rsid w:val="00CF344A"/>
    <w:rsid w:val="00CF39A0"/>
    <w:rsid w:val="00CF3D1C"/>
    <w:rsid w:val="00CF4B12"/>
    <w:rsid w:val="00CF538E"/>
    <w:rsid w:val="00CF58FE"/>
    <w:rsid w:val="00CF5EBE"/>
    <w:rsid w:val="00CF783B"/>
    <w:rsid w:val="00CF7D97"/>
    <w:rsid w:val="00CF7EEC"/>
    <w:rsid w:val="00D001C2"/>
    <w:rsid w:val="00D00779"/>
    <w:rsid w:val="00D009D8"/>
    <w:rsid w:val="00D012E1"/>
    <w:rsid w:val="00D01318"/>
    <w:rsid w:val="00D01665"/>
    <w:rsid w:val="00D01D1E"/>
    <w:rsid w:val="00D02580"/>
    <w:rsid w:val="00D03BF7"/>
    <w:rsid w:val="00D03F1E"/>
    <w:rsid w:val="00D0428E"/>
    <w:rsid w:val="00D04426"/>
    <w:rsid w:val="00D0482F"/>
    <w:rsid w:val="00D04A33"/>
    <w:rsid w:val="00D05892"/>
    <w:rsid w:val="00D06824"/>
    <w:rsid w:val="00D06C03"/>
    <w:rsid w:val="00D1037A"/>
    <w:rsid w:val="00D10D09"/>
    <w:rsid w:val="00D1163E"/>
    <w:rsid w:val="00D12362"/>
    <w:rsid w:val="00D12A4F"/>
    <w:rsid w:val="00D14C15"/>
    <w:rsid w:val="00D15CB3"/>
    <w:rsid w:val="00D15F51"/>
    <w:rsid w:val="00D16ED5"/>
    <w:rsid w:val="00D202B1"/>
    <w:rsid w:val="00D20662"/>
    <w:rsid w:val="00D21291"/>
    <w:rsid w:val="00D21489"/>
    <w:rsid w:val="00D21C8A"/>
    <w:rsid w:val="00D2297E"/>
    <w:rsid w:val="00D22DE5"/>
    <w:rsid w:val="00D233BD"/>
    <w:rsid w:val="00D233D7"/>
    <w:rsid w:val="00D23875"/>
    <w:rsid w:val="00D23CBB"/>
    <w:rsid w:val="00D25806"/>
    <w:rsid w:val="00D25E2A"/>
    <w:rsid w:val="00D25E9D"/>
    <w:rsid w:val="00D25F1C"/>
    <w:rsid w:val="00D26DE6"/>
    <w:rsid w:val="00D26EE7"/>
    <w:rsid w:val="00D30718"/>
    <w:rsid w:val="00D322FB"/>
    <w:rsid w:val="00D32475"/>
    <w:rsid w:val="00D32EF4"/>
    <w:rsid w:val="00D33F81"/>
    <w:rsid w:val="00D34850"/>
    <w:rsid w:val="00D35060"/>
    <w:rsid w:val="00D35976"/>
    <w:rsid w:val="00D36128"/>
    <w:rsid w:val="00D369D4"/>
    <w:rsid w:val="00D36AD7"/>
    <w:rsid w:val="00D373E9"/>
    <w:rsid w:val="00D37C61"/>
    <w:rsid w:val="00D37D49"/>
    <w:rsid w:val="00D403FF"/>
    <w:rsid w:val="00D404C4"/>
    <w:rsid w:val="00D40CE9"/>
    <w:rsid w:val="00D42115"/>
    <w:rsid w:val="00D42755"/>
    <w:rsid w:val="00D42EFD"/>
    <w:rsid w:val="00D457D1"/>
    <w:rsid w:val="00D458AA"/>
    <w:rsid w:val="00D46338"/>
    <w:rsid w:val="00D46359"/>
    <w:rsid w:val="00D4678A"/>
    <w:rsid w:val="00D46BA2"/>
    <w:rsid w:val="00D47234"/>
    <w:rsid w:val="00D47281"/>
    <w:rsid w:val="00D47581"/>
    <w:rsid w:val="00D50295"/>
    <w:rsid w:val="00D5069A"/>
    <w:rsid w:val="00D5092F"/>
    <w:rsid w:val="00D50E43"/>
    <w:rsid w:val="00D51469"/>
    <w:rsid w:val="00D5290E"/>
    <w:rsid w:val="00D52B45"/>
    <w:rsid w:val="00D530EB"/>
    <w:rsid w:val="00D53393"/>
    <w:rsid w:val="00D535B6"/>
    <w:rsid w:val="00D55235"/>
    <w:rsid w:val="00D55D78"/>
    <w:rsid w:val="00D572B2"/>
    <w:rsid w:val="00D57F53"/>
    <w:rsid w:val="00D60CAB"/>
    <w:rsid w:val="00D610FD"/>
    <w:rsid w:val="00D612AF"/>
    <w:rsid w:val="00D619F3"/>
    <w:rsid w:val="00D62A5B"/>
    <w:rsid w:val="00D62B43"/>
    <w:rsid w:val="00D62ECD"/>
    <w:rsid w:val="00D63748"/>
    <w:rsid w:val="00D639F0"/>
    <w:rsid w:val="00D63C1B"/>
    <w:rsid w:val="00D63D76"/>
    <w:rsid w:val="00D63F28"/>
    <w:rsid w:val="00D64BFF"/>
    <w:rsid w:val="00D64C7A"/>
    <w:rsid w:val="00D64DE1"/>
    <w:rsid w:val="00D64E3F"/>
    <w:rsid w:val="00D653D0"/>
    <w:rsid w:val="00D6692A"/>
    <w:rsid w:val="00D66E55"/>
    <w:rsid w:val="00D674E9"/>
    <w:rsid w:val="00D6799A"/>
    <w:rsid w:val="00D7009C"/>
    <w:rsid w:val="00D70F17"/>
    <w:rsid w:val="00D712DA"/>
    <w:rsid w:val="00D719EF"/>
    <w:rsid w:val="00D72327"/>
    <w:rsid w:val="00D727E0"/>
    <w:rsid w:val="00D72B87"/>
    <w:rsid w:val="00D72C72"/>
    <w:rsid w:val="00D74160"/>
    <w:rsid w:val="00D74B65"/>
    <w:rsid w:val="00D75D22"/>
    <w:rsid w:val="00D75DA5"/>
    <w:rsid w:val="00D76C58"/>
    <w:rsid w:val="00D76CF2"/>
    <w:rsid w:val="00D76E7C"/>
    <w:rsid w:val="00D80046"/>
    <w:rsid w:val="00D80B40"/>
    <w:rsid w:val="00D8155B"/>
    <w:rsid w:val="00D81E79"/>
    <w:rsid w:val="00D825A5"/>
    <w:rsid w:val="00D825B7"/>
    <w:rsid w:val="00D8290E"/>
    <w:rsid w:val="00D82AD1"/>
    <w:rsid w:val="00D82E6E"/>
    <w:rsid w:val="00D83040"/>
    <w:rsid w:val="00D8323B"/>
    <w:rsid w:val="00D83489"/>
    <w:rsid w:val="00D83D13"/>
    <w:rsid w:val="00D841A9"/>
    <w:rsid w:val="00D841AC"/>
    <w:rsid w:val="00D8589D"/>
    <w:rsid w:val="00D85A81"/>
    <w:rsid w:val="00D86466"/>
    <w:rsid w:val="00D870E8"/>
    <w:rsid w:val="00D87423"/>
    <w:rsid w:val="00D87452"/>
    <w:rsid w:val="00D87485"/>
    <w:rsid w:val="00D907CB"/>
    <w:rsid w:val="00D91BF2"/>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2FD5"/>
    <w:rsid w:val="00DA4838"/>
    <w:rsid w:val="00DA4989"/>
    <w:rsid w:val="00DA5721"/>
    <w:rsid w:val="00DA6173"/>
    <w:rsid w:val="00DA7477"/>
    <w:rsid w:val="00DA7573"/>
    <w:rsid w:val="00DA7BD4"/>
    <w:rsid w:val="00DB0191"/>
    <w:rsid w:val="00DB0359"/>
    <w:rsid w:val="00DB0EF6"/>
    <w:rsid w:val="00DB0F8A"/>
    <w:rsid w:val="00DB0FC0"/>
    <w:rsid w:val="00DB26A8"/>
    <w:rsid w:val="00DB27CF"/>
    <w:rsid w:val="00DB324C"/>
    <w:rsid w:val="00DB3FD3"/>
    <w:rsid w:val="00DB5EA3"/>
    <w:rsid w:val="00DB5F2A"/>
    <w:rsid w:val="00DB6F45"/>
    <w:rsid w:val="00DB72B7"/>
    <w:rsid w:val="00DB7546"/>
    <w:rsid w:val="00DC0624"/>
    <w:rsid w:val="00DC09E2"/>
    <w:rsid w:val="00DC0FC3"/>
    <w:rsid w:val="00DC1A58"/>
    <w:rsid w:val="00DC1AC0"/>
    <w:rsid w:val="00DC1CDD"/>
    <w:rsid w:val="00DC1D8E"/>
    <w:rsid w:val="00DC20C3"/>
    <w:rsid w:val="00DC227A"/>
    <w:rsid w:val="00DC22AD"/>
    <w:rsid w:val="00DC2360"/>
    <w:rsid w:val="00DC26E4"/>
    <w:rsid w:val="00DC292C"/>
    <w:rsid w:val="00DC2BAE"/>
    <w:rsid w:val="00DC2CEE"/>
    <w:rsid w:val="00DC3257"/>
    <w:rsid w:val="00DC3279"/>
    <w:rsid w:val="00DC3BF1"/>
    <w:rsid w:val="00DC4D1D"/>
    <w:rsid w:val="00DC4D87"/>
    <w:rsid w:val="00DC54EB"/>
    <w:rsid w:val="00DC580A"/>
    <w:rsid w:val="00DC5B50"/>
    <w:rsid w:val="00DC5FC2"/>
    <w:rsid w:val="00DC66BC"/>
    <w:rsid w:val="00DC727F"/>
    <w:rsid w:val="00DC7E78"/>
    <w:rsid w:val="00DD0493"/>
    <w:rsid w:val="00DD0924"/>
    <w:rsid w:val="00DD0CBF"/>
    <w:rsid w:val="00DD1071"/>
    <w:rsid w:val="00DD12FD"/>
    <w:rsid w:val="00DD1576"/>
    <w:rsid w:val="00DD2893"/>
    <w:rsid w:val="00DD4717"/>
    <w:rsid w:val="00DD4F74"/>
    <w:rsid w:val="00DD531F"/>
    <w:rsid w:val="00DD556C"/>
    <w:rsid w:val="00DD5737"/>
    <w:rsid w:val="00DD5E81"/>
    <w:rsid w:val="00DD6C46"/>
    <w:rsid w:val="00DD6C7A"/>
    <w:rsid w:val="00DD6F44"/>
    <w:rsid w:val="00DD7CCA"/>
    <w:rsid w:val="00DE0BDE"/>
    <w:rsid w:val="00DE10CF"/>
    <w:rsid w:val="00DE1270"/>
    <w:rsid w:val="00DE1E1E"/>
    <w:rsid w:val="00DE1EA6"/>
    <w:rsid w:val="00DE223E"/>
    <w:rsid w:val="00DE2D33"/>
    <w:rsid w:val="00DE34EB"/>
    <w:rsid w:val="00DE3592"/>
    <w:rsid w:val="00DE375F"/>
    <w:rsid w:val="00DE3E78"/>
    <w:rsid w:val="00DE41F8"/>
    <w:rsid w:val="00DE4B9D"/>
    <w:rsid w:val="00DE50EA"/>
    <w:rsid w:val="00DE545C"/>
    <w:rsid w:val="00DE5C9F"/>
    <w:rsid w:val="00DE674B"/>
    <w:rsid w:val="00DE734E"/>
    <w:rsid w:val="00DE7887"/>
    <w:rsid w:val="00DE7BF8"/>
    <w:rsid w:val="00DF0DC3"/>
    <w:rsid w:val="00DF14F9"/>
    <w:rsid w:val="00DF1C2D"/>
    <w:rsid w:val="00DF1FAE"/>
    <w:rsid w:val="00DF2AD9"/>
    <w:rsid w:val="00DF54D0"/>
    <w:rsid w:val="00DF580C"/>
    <w:rsid w:val="00DF5C1A"/>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06642"/>
    <w:rsid w:val="00E1024A"/>
    <w:rsid w:val="00E10B17"/>
    <w:rsid w:val="00E10B67"/>
    <w:rsid w:val="00E118D7"/>
    <w:rsid w:val="00E12742"/>
    <w:rsid w:val="00E12AB9"/>
    <w:rsid w:val="00E12B67"/>
    <w:rsid w:val="00E13EA5"/>
    <w:rsid w:val="00E141D3"/>
    <w:rsid w:val="00E1436E"/>
    <w:rsid w:val="00E14941"/>
    <w:rsid w:val="00E1526B"/>
    <w:rsid w:val="00E1534B"/>
    <w:rsid w:val="00E15408"/>
    <w:rsid w:val="00E15743"/>
    <w:rsid w:val="00E15C52"/>
    <w:rsid w:val="00E15EDA"/>
    <w:rsid w:val="00E15F0B"/>
    <w:rsid w:val="00E160E8"/>
    <w:rsid w:val="00E16199"/>
    <w:rsid w:val="00E16311"/>
    <w:rsid w:val="00E1702C"/>
    <w:rsid w:val="00E2009B"/>
    <w:rsid w:val="00E20CC5"/>
    <w:rsid w:val="00E21AB7"/>
    <w:rsid w:val="00E21ACA"/>
    <w:rsid w:val="00E22B80"/>
    <w:rsid w:val="00E22C0E"/>
    <w:rsid w:val="00E22CFF"/>
    <w:rsid w:val="00E231CD"/>
    <w:rsid w:val="00E231E1"/>
    <w:rsid w:val="00E23888"/>
    <w:rsid w:val="00E23B9C"/>
    <w:rsid w:val="00E23CE3"/>
    <w:rsid w:val="00E23CF7"/>
    <w:rsid w:val="00E23E76"/>
    <w:rsid w:val="00E249DB"/>
    <w:rsid w:val="00E25015"/>
    <w:rsid w:val="00E253A3"/>
    <w:rsid w:val="00E25402"/>
    <w:rsid w:val="00E259B0"/>
    <w:rsid w:val="00E25AF8"/>
    <w:rsid w:val="00E26AEC"/>
    <w:rsid w:val="00E2757B"/>
    <w:rsid w:val="00E2792D"/>
    <w:rsid w:val="00E30828"/>
    <w:rsid w:val="00E30B37"/>
    <w:rsid w:val="00E3109C"/>
    <w:rsid w:val="00E311D1"/>
    <w:rsid w:val="00E31C2D"/>
    <w:rsid w:val="00E32432"/>
    <w:rsid w:val="00E33B1E"/>
    <w:rsid w:val="00E33DEB"/>
    <w:rsid w:val="00E34277"/>
    <w:rsid w:val="00E3621B"/>
    <w:rsid w:val="00E36F43"/>
    <w:rsid w:val="00E37752"/>
    <w:rsid w:val="00E37F0C"/>
    <w:rsid w:val="00E40ADF"/>
    <w:rsid w:val="00E418E3"/>
    <w:rsid w:val="00E423DE"/>
    <w:rsid w:val="00E42F07"/>
    <w:rsid w:val="00E4370F"/>
    <w:rsid w:val="00E4441D"/>
    <w:rsid w:val="00E453AB"/>
    <w:rsid w:val="00E462E6"/>
    <w:rsid w:val="00E463A0"/>
    <w:rsid w:val="00E47839"/>
    <w:rsid w:val="00E47958"/>
    <w:rsid w:val="00E51CDE"/>
    <w:rsid w:val="00E5210B"/>
    <w:rsid w:val="00E53631"/>
    <w:rsid w:val="00E5388F"/>
    <w:rsid w:val="00E54239"/>
    <w:rsid w:val="00E54272"/>
    <w:rsid w:val="00E542BC"/>
    <w:rsid w:val="00E54521"/>
    <w:rsid w:val="00E54617"/>
    <w:rsid w:val="00E5484B"/>
    <w:rsid w:val="00E553BA"/>
    <w:rsid w:val="00E56023"/>
    <w:rsid w:val="00E56D6E"/>
    <w:rsid w:val="00E56FEF"/>
    <w:rsid w:val="00E577F9"/>
    <w:rsid w:val="00E57FB5"/>
    <w:rsid w:val="00E60F14"/>
    <w:rsid w:val="00E61B23"/>
    <w:rsid w:val="00E625BE"/>
    <w:rsid w:val="00E6284B"/>
    <w:rsid w:val="00E62D07"/>
    <w:rsid w:val="00E62DF6"/>
    <w:rsid w:val="00E63A22"/>
    <w:rsid w:val="00E63B8F"/>
    <w:rsid w:val="00E63B9B"/>
    <w:rsid w:val="00E6543F"/>
    <w:rsid w:val="00E661C0"/>
    <w:rsid w:val="00E663F5"/>
    <w:rsid w:val="00E66E97"/>
    <w:rsid w:val="00E67EAC"/>
    <w:rsid w:val="00E701EA"/>
    <w:rsid w:val="00E70BD6"/>
    <w:rsid w:val="00E71305"/>
    <w:rsid w:val="00E71650"/>
    <w:rsid w:val="00E72383"/>
    <w:rsid w:val="00E724D2"/>
    <w:rsid w:val="00E72D9F"/>
    <w:rsid w:val="00E73C41"/>
    <w:rsid w:val="00E74933"/>
    <w:rsid w:val="00E74EDC"/>
    <w:rsid w:val="00E752BD"/>
    <w:rsid w:val="00E75737"/>
    <w:rsid w:val="00E75875"/>
    <w:rsid w:val="00E75886"/>
    <w:rsid w:val="00E75D6E"/>
    <w:rsid w:val="00E75F57"/>
    <w:rsid w:val="00E76007"/>
    <w:rsid w:val="00E76181"/>
    <w:rsid w:val="00E770F2"/>
    <w:rsid w:val="00E77EAC"/>
    <w:rsid w:val="00E81069"/>
    <w:rsid w:val="00E817AD"/>
    <w:rsid w:val="00E817EF"/>
    <w:rsid w:val="00E8184F"/>
    <w:rsid w:val="00E828D5"/>
    <w:rsid w:val="00E82D81"/>
    <w:rsid w:val="00E83259"/>
    <w:rsid w:val="00E839BE"/>
    <w:rsid w:val="00E83CAC"/>
    <w:rsid w:val="00E84C89"/>
    <w:rsid w:val="00E85E56"/>
    <w:rsid w:val="00E860DD"/>
    <w:rsid w:val="00E8713D"/>
    <w:rsid w:val="00E87778"/>
    <w:rsid w:val="00E90329"/>
    <w:rsid w:val="00E910D5"/>
    <w:rsid w:val="00E92019"/>
    <w:rsid w:val="00E922C4"/>
    <w:rsid w:val="00E9242B"/>
    <w:rsid w:val="00E943AE"/>
    <w:rsid w:val="00E947B0"/>
    <w:rsid w:val="00E95D82"/>
    <w:rsid w:val="00E95F21"/>
    <w:rsid w:val="00E96273"/>
    <w:rsid w:val="00E96E97"/>
    <w:rsid w:val="00E9737D"/>
    <w:rsid w:val="00E97D49"/>
    <w:rsid w:val="00EA0251"/>
    <w:rsid w:val="00EA0263"/>
    <w:rsid w:val="00EA1065"/>
    <w:rsid w:val="00EA1434"/>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A7EBC"/>
    <w:rsid w:val="00EB05DA"/>
    <w:rsid w:val="00EB1547"/>
    <w:rsid w:val="00EB190F"/>
    <w:rsid w:val="00EB235B"/>
    <w:rsid w:val="00EB31A3"/>
    <w:rsid w:val="00EB325B"/>
    <w:rsid w:val="00EB3E22"/>
    <w:rsid w:val="00EB48D6"/>
    <w:rsid w:val="00EB693B"/>
    <w:rsid w:val="00EB7BA9"/>
    <w:rsid w:val="00EB7D75"/>
    <w:rsid w:val="00EB7DDF"/>
    <w:rsid w:val="00EC0B20"/>
    <w:rsid w:val="00EC0E0D"/>
    <w:rsid w:val="00EC0EE7"/>
    <w:rsid w:val="00EC1C3A"/>
    <w:rsid w:val="00EC1F51"/>
    <w:rsid w:val="00EC2B1D"/>
    <w:rsid w:val="00EC4233"/>
    <w:rsid w:val="00EC4544"/>
    <w:rsid w:val="00EC4A85"/>
    <w:rsid w:val="00EC57B2"/>
    <w:rsid w:val="00EC58F4"/>
    <w:rsid w:val="00EC650B"/>
    <w:rsid w:val="00EC7808"/>
    <w:rsid w:val="00EC7BFA"/>
    <w:rsid w:val="00ED042E"/>
    <w:rsid w:val="00ED0A53"/>
    <w:rsid w:val="00ED1295"/>
    <w:rsid w:val="00ED2725"/>
    <w:rsid w:val="00ED34D1"/>
    <w:rsid w:val="00ED367F"/>
    <w:rsid w:val="00ED4206"/>
    <w:rsid w:val="00ED58A2"/>
    <w:rsid w:val="00ED58C3"/>
    <w:rsid w:val="00ED5C71"/>
    <w:rsid w:val="00ED5EEE"/>
    <w:rsid w:val="00ED667C"/>
    <w:rsid w:val="00ED7966"/>
    <w:rsid w:val="00ED7D0A"/>
    <w:rsid w:val="00EE01CC"/>
    <w:rsid w:val="00EE04EE"/>
    <w:rsid w:val="00EE1760"/>
    <w:rsid w:val="00EE287D"/>
    <w:rsid w:val="00EE3B32"/>
    <w:rsid w:val="00EE3CFF"/>
    <w:rsid w:val="00EE3F39"/>
    <w:rsid w:val="00EE414C"/>
    <w:rsid w:val="00EE44FE"/>
    <w:rsid w:val="00EE5406"/>
    <w:rsid w:val="00EE5EF8"/>
    <w:rsid w:val="00EE6964"/>
    <w:rsid w:val="00EE6A1D"/>
    <w:rsid w:val="00EE6D18"/>
    <w:rsid w:val="00EE7E7A"/>
    <w:rsid w:val="00EF223B"/>
    <w:rsid w:val="00EF29DE"/>
    <w:rsid w:val="00EF3978"/>
    <w:rsid w:val="00EF3AAC"/>
    <w:rsid w:val="00EF4D42"/>
    <w:rsid w:val="00EF4FD1"/>
    <w:rsid w:val="00EF5318"/>
    <w:rsid w:val="00EF708A"/>
    <w:rsid w:val="00EF72C3"/>
    <w:rsid w:val="00EF79CE"/>
    <w:rsid w:val="00F00152"/>
    <w:rsid w:val="00F00352"/>
    <w:rsid w:val="00F00B1B"/>
    <w:rsid w:val="00F00E10"/>
    <w:rsid w:val="00F00E37"/>
    <w:rsid w:val="00F010EE"/>
    <w:rsid w:val="00F01383"/>
    <w:rsid w:val="00F0167D"/>
    <w:rsid w:val="00F0177A"/>
    <w:rsid w:val="00F019D5"/>
    <w:rsid w:val="00F02500"/>
    <w:rsid w:val="00F032E2"/>
    <w:rsid w:val="00F037E3"/>
    <w:rsid w:val="00F03FF2"/>
    <w:rsid w:val="00F04F9E"/>
    <w:rsid w:val="00F0633A"/>
    <w:rsid w:val="00F0699B"/>
    <w:rsid w:val="00F06A47"/>
    <w:rsid w:val="00F0717F"/>
    <w:rsid w:val="00F0747A"/>
    <w:rsid w:val="00F07849"/>
    <w:rsid w:val="00F07882"/>
    <w:rsid w:val="00F07883"/>
    <w:rsid w:val="00F10177"/>
    <w:rsid w:val="00F10D83"/>
    <w:rsid w:val="00F1196B"/>
    <w:rsid w:val="00F11A6A"/>
    <w:rsid w:val="00F126BD"/>
    <w:rsid w:val="00F13433"/>
    <w:rsid w:val="00F134FC"/>
    <w:rsid w:val="00F1350E"/>
    <w:rsid w:val="00F13DF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EF5"/>
    <w:rsid w:val="00F27FDB"/>
    <w:rsid w:val="00F30251"/>
    <w:rsid w:val="00F305CC"/>
    <w:rsid w:val="00F3179A"/>
    <w:rsid w:val="00F31D54"/>
    <w:rsid w:val="00F32357"/>
    <w:rsid w:val="00F32C70"/>
    <w:rsid w:val="00F34E02"/>
    <w:rsid w:val="00F3549E"/>
    <w:rsid w:val="00F365A7"/>
    <w:rsid w:val="00F3681C"/>
    <w:rsid w:val="00F3769D"/>
    <w:rsid w:val="00F404F4"/>
    <w:rsid w:val="00F4143E"/>
    <w:rsid w:val="00F41639"/>
    <w:rsid w:val="00F41CC5"/>
    <w:rsid w:val="00F41D25"/>
    <w:rsid w:val="00F423C2"/>
    <w:rsid w:val="00F42B47"/>
    <w:rsid w:val="00F433F8"/>
    <w:rsid w:val="00F433FE"/>
    <w:rsid w:val="00F43627"/>
    <w:rsid w:val="00F43781"/>
    <w:rsid w:val="00F4463C"/>
    <w:rsid w:val="00F473A5"/>
    <w:rsid w:val="00F473F3"/>
    <w:rsid w:val="00F474B8"/>
    <w:rsid w:val="00F478CA"/>
    <w:rsid w:val="00F47CE2"/>
    <w:rsid w:val="00F50109"/>
    <w:rsid w:val="00F501F3"/>
    <w:rsid w:val="00F50A98"/>
    <w:rsid w:val="00F50C50"/>
    <w:rsid w:val="00F50E5F"/>
    <w:rsid w:val="00F51460"/>
    <w:rsid w:val="00F51667"/>
    <w:rsid w:val="00F51AE4"/>
    <w:rsid w:val="00F521DC"/>
    <w:rsid w:val="00F5303D"/>
    <w:rsid w:val="00F53199"/>
    <w:rsid w:val="00F541A1"/>
    <w:rsid w:val="00F54B09"/>
    <w:rsid w:val="00F54BEA"/>
    <w:rsid w:val="00F54E8A"/>
    <w:rsid w:val="00F559A8"/>
    <w:rsid w:val="00F55C21"/>
    <w:rsid w:val="00F55E5F"/>
    <w:rsid w:val="00F55F40"/>
    <w:rsid w:val="00F55F6D"/>
    <w:rsid w:val="00F5736B"/>
    <w:rsid w:val="00F57880"/>
    <w:rsid w:val="00F6027C"/>
    <w:rsid w:val="00F608AB"/>
    <w:rsid w:val="00F60BE7"/>
    <w:rsid w:val="00F6159C"/>
    <w:rsid w:val="00F61714"/>
    <w:rsid w:val="00F6238F"/>
    <w:rsid w:val="00F63E59"/>
    <w:rsid w:val="00F64BE0"/>
    <w:rsid w:val="00F65B68"/>
    <w:rsid w:val="00F67846"/>
    <w:rsid w:val="00F67B42"/>
    <w:rsid w:val="00F70AC9"/>
    <w:rsid w:val="00F70B72"/>
    <w:rsid w:val="00F70DEF"/>
    <w:rsid w:val="00F70EA3"/>
    <w:rsid w:val="00F71398"/>
    <w:rsid w:val="00F72287"/>
    <w:rsid w:val="00F7294C"/>
    <w:rsid w:val="00F72C5F"/>
    <w:rsid w:val="00F73549"/>
    <w:rsid w:val="00F75782"/>
    <w:rsid w:val="00F80C1D"/>
    <w:rsid w:val="00F81130"/>
    <w:rsid w:val="00F818F7"/>
    <w:rsid w:val="00F8325D"/>
    <w:rsid w:val="00F832A9"/>
    <w:rsid w:val="00F832B0"/>
    <w:rsid w:val="00F83307"/>
    <w:rsid w:val="00F833A5"/>
    <w:rsid w:val="00F844D3"/>
    <w:rsid w:val="00F84629"/>
    <w:rsid w:val="00F84B71"/>
    <w:rsid w:val="00F84F0E"/>
    <w:rsid w:val="00F8519E"/>
    <w:rsid w:val="00F85FF5"/>
    <w:rsid w:val="00F86BB4"/>
    <w:rsid w:val="00F870F5"/>
    <w:rsid w:val="00F902D2"/>
    <w:rsid w:val="00F9039B"/>
    <w:rsid w:val="00F90B12"/>
    <w:rsid w:val="00F90CBD"/>
    <w:rsid w:val="00F9109E"/>
    <w:rsid w:val="00F9177E"/>
    <w:rsid w:val="00F91E4F"/>
    <w:rsid w:val="00F91FDF"/>
    <w:rsid w:val="00F920A1"/>
    <w:rsid w:val="00F92AA1"/>
    <w:rsid w:val="00F92FDC"/>
    <w:rsid w:val="00F931D2"/>
    <w:rsid w:val="00F93431"/>
    <w:rsid w:val="00F93A4A"/>
    <w:rsid w:val="00F93D27"/>
    <w:rsid w:val="00F95DD6"/>
    <w:rsid w:val="00F96370"/>
    <w:rsid w:val="00F97940"/>
    <w:rsid w:val="00F97BA3"/>
    <w:rsid w:val="00F97EA2"/>
    <w:rsid w:val="00F97F0D"/>
    <w:rsid w:val="00FA0B0A"/>
    <w:rsid w:val="00FA121C"/>
    <w:rsid w:val="00FA1407"/>
    <w:rsid w:val="00FA1A68"/>
    <w:rsid w:val="00FA1B1A"/>
    <w:rsid w:val="00FA2747"/>
    <w:rsid w:val="00FA2A33"/>
    <w:rsid w:val="00FA2C8F"/>
    <w:rsid w:val="00FA2CF7"/>
    <w:rsid w:val="00FA3410"/>
    <w:rsid w:val="00FA360B"/>
    <w:rsid w:val="00FA3860"/>
    <w:rsid w:val="00FA3A50"/>
    <w:rsid w:val="00FA4763"/>
    <w:rsid w:val="00FA4830"/>
    <w:rsid w:val="00FA5032"/>
    <w:rsid w:val="00FA66CF"/>
    <w:rsid w:val="00FA6980"/>
    <w:rsid w:val="00FA6CDF"/>
    <w:rsid w:val="00FA7886"/>
    <w:rsid w:val="00FA7BB5"/>
    <w:rsid w:val="00FA7C85"/>
    <w:rsid w:val="00FB12D8"/>
    <w:rsid w:val="00FB176A"/>
    <w:rsid w:val="00FB1CDC"/>
    <w:rsid w:val="00FB238A"/>
    <w:rsid w:val="00FB2446"/>
    <w:rsid w:val="00FB2C81"/>
    <w:rsid w:val="00FB3BC4"/>
    <w:rsid w:val="00FB3F9C"/>
    <w:rsid w:val="00FB3FDE"/>
    <w:rsid w:val="00FB4676"/>
    <w:rsid w:val="00FB4AAC"/>
    <w:rsid w:val="00FB5552"/>
    <w:rsid w:val="00FB5789"/>
    <w:rsid w:val="00FB5F3A"/>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876"/>
    <w:rsid w:val="00FC62F5"/>
    <w:rsid w:val="00FC6805"/>
    <w:rsid w:val="00FC731E"/>
    <w:rsid w:val="00FC7AB9"/>
    <w:rsid w:val="00FD028A"/>
    <w:rsid w:val="00FD035A"/>
    <w:rsid w:val="00FD19F1"/>
    <w:rsid w:val="00FD1A7E"/>
    <w:rsid w:val="00FD2CC3"/>
    <w:rsid w:val="00FD31BF"/>
    <w:rsid w:val="00FD3CC7"/>
    <w:rsid w:val="00FD4148"/>
    <w:rsid w:val="00FD4D5B"/>
    <w:rsid w:val="00FD50BC"/>
    <w:rsid w:val="00FD6453"/>
    <w:rsid w:val="00FD67FD"/>
    <w:rsid w:val="00FD7CB2"/>
    <w:rsid w:val="00FD7D46"/>
    <w:rsid w:val="00FD7D8B"/>
    <w:rsid w:val="00FE0963"/>
    <w:rsid w:val="00FE0AF2"/>
    <w:rsid w:val="00FE1C47"/>
    <w:rsid w:val="00FE22DD"/>
    <w:rsid w:val="00FE2CFB"/>
    <w:rsid w:val="00FE34C8"/>
    <w:rsid w:val="00FE4A60"/>
    <w:rsid w:val="00FE54E0"/>
    <w:rsid w:val="00FE55F0"/>
    <w:rsid w:val="00FE6331"/>
    <w:rsid w:val="00FE63C0"/>
    <w:rsid w:val="00FE685B"/>
    <w:rsid w:val="00FE6C12"/>
    <w:rsid w:val="00FE7894"/>
    <w:rsid w:val="00FF01FA"/>
    <w:rsid w:val="00FF16AF"/>
    <w:rsid w:val="00FF21B5"/>
    <w:rsid w:val="00FF21C3"/>
    <w:rsid w:val="00FF2A11"/>
    <w:rsid w:val="00FF2AA0"/>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EB508D"/>
  <w15:docId w15:val="{B1CBEC1D-8B06-4F0B-B13C-561E4082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1702C"/>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5E6B9C"/>
    <w:pPr>
      <w:keepNext/>
      <w:tabs>
        <w:tab w:val="left" w:pos="851"/>
      </w:tabs>
      <w:spacing w:before="0" w:after="360" w:line="240" w:lineRule="auto"/>
      <w:jc w:val="left"/>
      <w:outlineLvl w:val="0"/>
    </w:pPr>
    <w:rPr>
      <w:b/>
      <w:bCs/>
      <w:color w:val="2C9986"/>
      <w:sz w:val="48"/>
      <w:szCs w:val="28"/>
    </w:rPr>
  </w:style>
  <w:style w:type="paragraph" w:styleId="Heading2">
    <w:name w:val="heading 2"/>
    <w:basedOn w:val="Normal"/>
    <w:next w:val="BodyText"/>
    <w:link w:val="Heading2Char"/>
    <w:qFormat/>
    <w:rsid w:val="005E6B9C"/>
    <w:pPr>
      <w:keepNext/>
      <w:tabs>
        <w:tab w:val="left" w:pos="851"/>
      </w:tabs>
      <w:spacing w:before="360" w:after="0" w:line="240" w:lineRule="auto"/>
      <w:jc w:val="left"/>
      <w:outlineLvl w:val="1"/>
    </w:pPr>
    <w:rPr>
      <w:b/>
      <w:bCs/>
      <w:color w:val="6FC7B7"/>
      <w:sz w:val="36"/>
      <w:szCs w:val="26"/>
    </w:rPr>
  </w:style>
  <w:style w:type="paragraph" w:styleId="Heading3">
    <w:name w:val="heading 3"/>
    <w:basedOn w:val="Normal"/>
    <w:next w:val="BodyText"/>
    <w:link w:val="Heading3Char"/>
    <w:qFormat/>
    <w:rsid w:val="008B68EC"/>
    <w:pPr>
      <w:keepNext/>
      <w:tabs>
        <w:tab w:val="left" w:pos="851"/>
      </w:tabs>
      <w:spacing w:before="360" w:after="0" w:line="240" w:lineRule="auto"/>
      <w:jc w:val="left"/>
      <w:outlineLvl w:val="2"/>
    </w:pPr>
    <w:rPr>
      <w:b/>
      <w:bCs/>
      <w:sz w:val="28"/>
    </w:rPr>
  </w:style>
  <w:style w:type="paragraph" w:styleId="Heading4">
    <w:name w:val="heading 4"/>
    <w:basedOn w:val="Heading3"/>
    <w:next w:val="BodyText"/>
    <w:link w:val="Heading4Char"/>
    <w:qFormat/>
    <w:rsid w:val="005E6B9C"/>
    <w:pPr>
      <w:outlineLvl w:val="3"/>
    </w:pPr>
    <w:rPr>
      <w:color w:val="6FC7B7"/>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6B9C"/>
    <w:rPr>
      <w:rFonts w:eastAsia="Times New Roman"/>
      <w:b/>
      <w:bCs/>
      <w:color w:val="2C9986"/>
      <w:sz w:val="48"/>
      <w:szCs w:val="28"/>
    </w:rPr>
  </w:style>
  <w:style w:type="character" w:customStyle="1" w:styleId="Heading2Char">
    <w:name w:val="Heading 2 Char"/>
    <w:link w:val="Heading2"/>
    <w:rsid w:val="005E6B9C"/>
    <w:rPr>
      <w:rFonts w:eastAsia="Times New Roman"/>
      <w:b/>
      <w:bCs/>
      <w:color w:val="6FC7B7"/>
      <w:sz w:val="36"/>
      <w:szCs w:val="26"/>
    </w:rPr>
  </w:style>
  <w:style w:type="character" w:customStyle="1" w:styleId="Heading3Char">
    <w:name w:val="Heading 3 Char"/>
    <w:link w:val="Heading3"/>
    <w:rsid w:val="008B68EC"/>
    <w:rPr>
      <w:rFonts w:ascii="Calibri" w:eastAsia="Times New Roman" w:hAnsi="Calibri" w:cs="Times New Roman"/>
      <w:b/>
      <w:bCs/>
      <w:sz w:val="28"/>
      <w:lang w:eastAsia="en-NZ"/>
    </w:rPr>
  </w:style>
  <w:style w:type="character" w:customStyle="1" w:styleId="Heading4Char">
    <w:name w:val="Heading 4 Char"/>
    <w:link w:val="Heading4"/>
    <w:rsid w:val="005E6B9C"/>
    <w:rPr>
      <w:rFonts w:eastAsia="Times New Roman"/>
      <w:b/>
      <w:bCs/>
      <w:color w:val="6FC7B7"/>
      <w:sz w:val="24"/>
      <w:szCs w:val="22"/>
    </w:rPr>
  </w:style>
  <w:style w:type="character" w:customStyle="1" w:styleId="Heading5Char">
    <w:name w:val="Heading 5 Char"/>
    <w:link w:val="Heading5"/>
    <w:rsid w:val="008B68EC"/>
    <w:rPr>
      <w:rFonts w:ascii="Calibri" w:eastAsia="Times New Roman" w:hAnsi="Calibri" w:cs="Times New Roman"/>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39"/>
    <w:rsid w:val="00EA64B4"/>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link w:val="Quote"/>
    <w:uiPriority w:val="1"/>
    <w:rsid w:val="00684D9B"/>
    <w:rPr>
      <w:rFonts w:ascii="Calibri" w:eastAsia="Times New Roman" w:hAnsi="Calibri"/>
      <w:sz w:val="20"/>
      <w:lang w:eastAsia="en-NZ"/>
    </w:rPr>
  </w:style>
  <w:style w:type="paragraph" w:customStyle="1" w:styleId="Box">
    <w:name w:val="Box"/>
    <w:basedOn w:val="Normal"/>
    <w:uiPriority w:val="1"/>
    <w:qFormat/>
    <w:rsid w:val="00545582"/>
    <w:pPr>
      <w:pBdr>
        <w:top w:val="single" w:sz="4" w:space="15" w:color="CBEBE5"/>
        <w:left w:val="single" w:sz="4" w:space="15" w:color="CBEBE5"/>
        <w:bottom w:val="single" w:sz="4" w:space="15" w:color="CBEBE5"/>
        <w:right w:val="single" w:sz="4" w:space="15" w:color="CBEBE5"/>
      </w:pBdr>
      <w:shd w:val="clear" w:color="auto" w:fill="CBEBE5"/>
      <w:ind w:left="284" w:right="284"/>
      <w:jc w:val="left"/>
    </w:pPr>
    <w:rPr>
      <w:color w:val="2C9986"/>
      <w:sz w:val="20"/>
    </w:rPr>
  </w:style>
  <w:style w:type="paragraph" w:customStyle="1" w:styleId="Boxbullet">
    <w:name w:val="Box bullet"/>
    <w:basedOn w:val="Box"/>
    <w:uiPriority w:val="1"/>
    <w:qFormat/>
    <w:rsid w:val="006C14E2"/>
    <w:pPr>
      <w:numPr>
        <w:numId w:val="2"/>
      </w:numPr>
      <w:tabs>
        <w:tab w:val="left" w:pos="680"/>
      </w:tabs>
      <w:spacing w:before="0"/>
    </w:pPr>
  </w:style>
  <w:style w:type="paragraph" w:customStyle="1" w:styleId="Boxheading">
    <w:name w:val="Box heading"/>
    <w:basedOn w:val="Box"/>
    <w:next w:val="Box"/>
    <w:uiPriority w:val="1"/>
    <w:qFormat/>
    <w:rsid w:val="00DC292C"/>
    <w:pPr>
      <w:keepNext/>
      <w:spacing w:after="0"/>
    </w:pPr>
    <w:rPr>
      <w:b/>
      <w:sz w:val="28"/>
    </w:rPr>
  </w:style>
  <w:style w:type="paragraph" w:customStyle="1" w:styleId="Bullet">
    <w:name w:val="Bullet"/>
    <w:basedOn w:val="Normal"/>
    <w:link w:val="BulletChar"/>
    <w:qFormat/>
    <w:rsid w:val="00982FFB"/>
    <w:pPr>
      <w:numPr>
        <w:numId w:val="16"/>
      </w:numPr>
      <w:tabs>
        <w:tab w:val="clear" w:pos="397"/>
        <w:tab w:val="left" w:pos="709"/>
      </w:tabs>
      <w:spacing w:before="0" w:line="280" w:lineRule="exact"/>
      <w:ind w:left="709" w:hanging="283"/>
      <w:jc w:val="left"/>
    </w:pPr>
    <w:rPr>
      <w:szCs w:val="20"/>
    </w:rPr>
  </w:style>
  <w:style w:type="paragraph" w:customStyle="1" w:styleId="Heading">
    <w:name w:val="Heading"/>
    <w:basedOn w:val="Heading1"/>
    <w:next w:val="Normal"/>
    <w:uiPriority w:val="3"/>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F03FF2"/>
    <w:rPr>
      <w:rFonts w:ascii="Calibri" w:eastAsia="Times New Roman" w:hAnsi="Calibri"/>
      <w:lang w:eastAsia="en-NZ"/>
    </w:rPr>
  </w:style>
  <w:style w:type="paragraph" w:customStyle="1" w:styleId="Sub-list">
    <w:name w:val="Sub-list"/>
    <w:basedOn w:val="Normal"/>
    <w:qFormat/>
    <w:rsid w:val="002A533C"/>
    <w:pPr>
      <w:numPr>
        <w:numId w:val="3"/>
      </w:numPr>
      <w:tabs>
        <w:tab w:val="left" w:pos="794"/>
      </w:tabs>
      <w:spacing w:before="0"/>
      <w:ind w:left="794" w:hanging="397"/>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uiPriority w:val="99"/>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1A13E1"/>
    <w:rPr>
      <w:color w:val="2C9986"/>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375791"/>
    <w:pPr>
      <w:spacing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624018"/>
    <w:pPr>
      <w:spacing w:line="360" w:lineRule="auto"/>
      <w:jc w:val="center"/>
    </w:pPr>
    <w:rPr>
      <w:b/>
      <w:color w:val="17556C"/>
      <w:sz w:val="52"/>
    </w:rPr>
  </w:style>
  <w:style w:type="character" w:customStyle="1" w:styleId="TitleChar">
    <w:name w:val="Title Char"/>
    <w:link w:val="Title"/>
    <w:uiPriority w:val="2"/>
    <w:rsid w:val="00684D9B"/>
    <w:rPr>
      <w:rFonts w:ascii="Calibri" w:eastAsia="Times New Roman" w:hAnsi="Calibri"/>
      <w:b/>
      <w:color w:val="17556C"/>
      <w:sz w:val="52"/>
      <w:lang w:eastAsia="en-NZ"/>
    </w:rPr>
  </w:style>
  <w:style w:type="paragraph" w:styleId="Subtitle">
    <w:name w:val="Subtitle"/>
    <w:basedOn w:val="Title"/>
    <w:link w:val="SubtitleChar"/>
    <w:uiPriority w:val="2"/>
    <w:rsid w:val="00D94120"/>
    <w:pPr>
      <w:spacing w:before="600" w:line="240" w:lineRule="auto"/>
    </w:pPr>
    <w:rPr>
      <w:sz w:val="36"/>
      <w:szCs w:val="36"/>
    </w:rPr>
  </w:style>
  <w:style w:type="character" w:customStyle="1" w:styleId="SubtitleChar">
    <w:name w:val="Subtitle Char"/>
    <w:link w:val="Subtitle"/>
    <w:uiPriority w:val="2"/>
    <w:rsid w:val="00D94120"/>
    <w:rPr>
      <w:rFonts w:ascii="Calibri" w:eastAsia="Times New Roman" w:hAnsi="Calibri"/>
      <w:b/>
      <w:color w:val="17556C"/>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3B7415"/>
    <w:pPr>
      <w:spacing w:before="60" w:after="60" w:line="240" w:lineRule="atLeast"/>
      <w:jc w:val="left"/>
    </w:pPr>
    <w:rPr>
      <w:rFonts w:asciiTheme="minorHAnsi" w:hAnsiTheme="minorHAnsi"/>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EA64B4"/>
    <w:pPr>
      <w:tabs>
        <w:tab w:val="right" w:pos="7938"/>
        <w:tab w:val="right" w:pos="8505"/>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240656"/>
    <w:pPr>
      <w:numPr>
        <w:numId w:val="4"/>
      </w:numPr>
      <w:spacing w:before="0"/>
      <w:ind w:firstLine="0"/>
      <w:jc w:val="left"/>
    </w:pPr>
  </w:style>
  <w:style w:type="paragraph" w:customStyle="1" w:styleId="Sub-lista">
    <w:name w:val="Sub-list a"/>
    <w:aliases w:val="b"/>
    <w:basedOn w:val="Normal"/>
    <w:uiPriority w:val="2"/>
    <w:rsid w:val="00E21ACA"/>
    <w:pPr>
      <w:numPr>
        <w:numId w:val="5"/>
      </w:numPr>
      <w:spacing w:before="0"/>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6"/>
      </w:numPr>
      <w:spacing w:before="60" w:after="60"/>
    </w:pPr>
  </w:style>
  <w:style w:type="paragraph" w:customStyle="1" w:styleId="TableBullet">
    <w:name w:val="TableBullet"/>
    <w:basedOn w:val="Normal"/>
    <w:qFormat/>
    <w:rsid w:val="00523DFA"/>
    <w:pPr>
      <w:numPr>
        <w:numId w:val="7"/>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8"/>
      </w:numPr>
      <w:ind w:left="568" w:hanging="284"/>
    </w:pPr>
  </w:style>
  <w:style w:type="paragraph" w:styleId="ListParagraph">
    <w:name w:val="List Paragraph"/>
    <w:basedOn w:val="Normal"/>
    <w:uiPriority w:val="34"/>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Cambria" w:eastAsia="Times New Roman" w:hAnsi="Cambria"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Cambria" w:eastAsia="Times New Roman" w:hAnsi="Cambria"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EA64B4"/>
    <w:tblPr>
      <w:tblStyleRowBandSize w:val="1"/>
      <w:tblStyleColBandSize w:val="1"/>
      <w:tblBorders>
        <w:top w:val="single" w:sz="8" w:space="0" w:color="1C556C"/>
        <w:left w:val="single" w:sz="8" w:space="0" w:color="1C556C"/>
        <w:bottom w:val="single" w:sz="8" w:space="0" w:color="1C556C"/>
        <w:right w:val="single" w:sz="8" w:space="0" w:color="1C556C"/>
        <w:insideH w:val="single" w:sz="8" w:space="0" w:color="1C556C"/>
        <w:insideV w:val="single" w:sz="8" w:space="0" w:color="1C556C"/>
      </w:tblBorders>
    </w:tblPr>
    <w:tblStylePr w:type="firstRow">
      <w:pPr>
        <w:spacing w:before="0" w:after="0" w:line="240" w:lineRule="auto"/>
      </w:pPr>
      <w:rPr>
        <w:rFonts w:ascii="Cambria" w:eastAsia="Times New Roman" w:hAnsi="Cambria" w:cs="Times New Roman"/>
        <w:b/>
        <w:bCs/>
      </w:rPr>
      <w:tblPr/>
      <w:tcPr>
        <w:tcBorders>
          <w:top w:val="single" w:sz="8" w:space="0" w:color="1C556C"/>
          <w:left w:val="single" w:sz="8" w:space="0" w:color="1C556C"/>
          <w:bottom w:val="single" w:sz="18" w:space="0" w:color="1C556C"/>
          <w:right w:val="single" w:sz="8" w:space="0" w:color="1C556C"/>
          <w:insideH w:val="nil"/>
          <w:insideV w:val="single" w:sz="8" w:space="0" w:color="1C556C"/>
        </w:tcBorders>
      </w:tcPr>
    </w:tblStylePr>
    <w:tblStylePr w:type="lastRow">
      <w:pPr>
        <w:spacing w:before="0" w:after="0" w:line="240" w:lineRule="auto"/>
      </w:pPr>
      <w:rPr>
        <w:rFonts w:ascii="Cambria" w:eastAsia="Times New Roman" w:hAnsi="Cambria" w:cs="Times New Roman"/>
        <w:b/>
        <w:bCs/>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1Vert">
      <w:tblPr/>
      <w:tcPr>
        <w:tcBorders>
          <w:top w:val="single" w:sz="8" w:space="0" w:color="1C556C"/>
          <w:left w:val="single" w:sz="8" w:space="0" w:color="1C556C"/>
          <w:bottom w:val="single" w:sz="8" w:space="0" w:color="1C556C"/>
          <w:right w:val="single" w:sz="8" w:space="0" w:color="1C556C"/>
        </w:tcBorders>
        <w:shd w:val="clear" w:color="auto" w:fill="B5DCEC"/>
      </w:tcPr>
    </w:tblStylePr>
    <w:tblStylePr w:type="band1Horz">
      <w:tblPr/>
      <w:tcPr>
        <w:tcBorders>
          <w:top w:val="single" w:sz="8" w:space="0" w:color="1C556C"/>
          <w:left w:val="single" w:sz="8" w:space="0" w:color="1C556C"/>
          <w:bottom w:val="single" w:sz="8" w:space="0" w:color="1C556C"/>
          <w:right w:val="single" w:sz="8" w:space="0" w:color="1C556C"/>
          <w:insideV w:val="single" w:sz="8" w:space="0" w:color="1C556C"/>
        </w:tcBorders>
        <w:shd w:val="clear" w:color="auto" w:fill="B5DCEC"/>
      </w:tcPr>
    </w:tblStylePr>
    <w:tblStylePr w:type="band2Horz">
      <w:tblPr/>
      <w:tcPr>
        <w:tcBorders>
          <w:top w:val="single" w:sz="8" w:space="0" w:color="1C556C"/>
          <w:left w:val="single" w:sz="8" w:space="0" w:color="1C556C"/>
          <w:bottom w:val="single" w:sz="8" w:space="0" w:color="1C556C"/>
          <w:right w:val="single" w:sz="8" w:space="0" w:color="1C556C"/>
          <w:insideV w:val="single" w:sz="8" w:space="0" w:color="1C556C"/>
        </w:tcBorders>
      </w:tcPr>
    </w:tblStylePr>
  </w:style>
  <w:style w:type="table" w:customStyle="1" w:styleId="LightShading-Accent11">
    <w:name w:val="Light Shading - Accent 11"/>
    <w:basedOn w:val="TableNormal"/>
    <w:uiPriority w:val="60"/>
    <w:rsid w:val="00EA64B4"/>
    <w:rPr>
      <w:color w:val="153F50"/>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customStyle="1" w:styleId="LightList-Accent11">
    <w:name w:val="Light List - Accent 11"/>
    <w:basedOn w:val="TableNormal"/>
    <w:uiPriority w:val="61"/>
    <w:rsid w:val="00EA64B4"/>
    <w:tblPr>
      <w:tblStyleRowBandSize w:val="1"/>
      <w:tblStyleColBandSize w:val="1"/>
      <w:tblBorders>
        <w:top w:val="single" w:sz="8" w:space="0" w:color="1C556C"/>
        <w:left w:val="single" w:sz="8" w:space="0" w:color="1C556C"/>
        <w:bottom w:val="single" w:sz="8" w:space="0" w:color="1C556C"/>
        <w:right w:val="single" w:sz="8" w:space="0" w:color="1C556C"/>
      </w:tblBorders>
    </w:tblPr>
    <w:tblStylePr w:type="firstRow">
      <w:pPr>
        <w:spacing w:before="0" w:after="0" w:line="240" w:lineRule="auto"/>
      </w:pPr>
      <w:rPr>
        <w:b/>
        <w:bCs/>
        <w:color w:val="FFFFFF"/>
      </w:rPr>
      <w:tblPr/>
      <w:tcPr>
        <w:shd w:val="clear" w:color="auto" w:fill="1C556C"/>
      </w:tcPr>
    </w:tblStylePr>
    <w:tblStylePr w:type="lastRow">
      <w:pPr>
        <w:spacing w:before="0" w:after="0" w:line="240" w:lineRule="auto"/>
      </w:pPr>
      <w:rPr>
        <w:b/>
        <w:bCs/>
      </w:rPr>
      <w:tblPr/>
      <w:tcPr>
        <w:tcBorders>
          <w:top w:val="double" w:sz="6" w:space="0" w:color="1C556C"/>
          <w:left w:val="single" w:sz="8" w:space="0" w:color="1C556C"/>
          <w:bottom w:val="single" w:sz="8" w:space="0" w:color="1C556C"/>
          <w:right w:val="single" w:sz="8" w:space="0" w:color="1C556C"/>
        </w:tcBorders>
      </w:tcPr>
    </w:tblStylePr>
    <w:tblStylePr w:type="firstCol">
      <w:rPr>
        <w:b/>
        <w:bCs/>
      </w:rPr>
    </w:tblStylePr>
    <w:tblStylePr w:type="lastCol">
      <w:rPr>
        <w:b/>
        <w:bCs/>
      </w:rPr>
    </w:tblStylePr>
    <w:tblStylePr w:type="band1Vert">
      <w:tblPr/>
      <w:tcPr>
        <w:tcBorders>
          <w:top w:val="single" w:sz="8" w:space="0" w:color="1C556C"/>
          <w:left w:val="single" w:sz="8" w:space="0" w:color="1C556C"/>
          <w:bottom w:val="single" w:sz="8" w:space="0" w:color="1C556C"/>
          <w:right w:val="single" w:sz="8" w:space="0" w:color="1C556C"/>
        </w:tcBorders>
      </w:tcPr>
    </w:tblStylePr>
    <w:tblStylePr w:type="band1Horz">
      <w:tblPr/>
      <w:tcPr>
        <w:tcBorders>
          <w:top w:val="single" w:sz="8" w:space="0" w:color="1C556C"/>
          <w:left w:val="single" w:sz="8" w:space="0" w:color="1C556C"/>
          <w:bottom w:val="single" w:sz="8" w:space="0" w:color="1C556C"/>
          <w:right w:val="single" w:sz="8" w:space="0" w:color="1C556C"/>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9"/>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b/>
      <w:sz w:val="22"/>
      <w:lang w:val="en-AU" w:eastAsia="en-US"/>
    </w:rPr>
  </w:style>
  <w:style w:type="character" w:customStyle="1" w:styleId="Heading7Char">
    <w:name w:val="Heading 7 Char"/>
    <w:link w:val="Heading7"/>
    <w:semiHidden/>
    <w:rsid w:val="00EA64B4"/>
    <w:rPr>
      <w:rFonts w:ascii="Times New Roman" w:eastAsia="Times New Roman" w:hAnsi="Times New Roman"/>
      <w:sz w:val="22"/>
      <w:lang w:val="en-AU" w:eastAsia="en-US"/>
    </w:rPr>
  </w:style>
  <w:style w:type="character" w:customStyle="1" w:styleId="Heading8Char">
    <w:name w:val="Heading 8 Char"/>
    <w:link w:val="Heading8"/>
    <w:semiHidden/>
    <w:rsid w:val="00EA64B4"/>
    <w:rPr>
      <w:rFonts w:ascii="Times New Roman" w:eastAsia="Times New Roman" w:hAnsi="Times New Roman"/>
      <w:i/>
      <w:sz w:val="22"/>
      <w:lang w:val="en-AU" w:eastAsia="en-US"/>
    </w:rPr>
  </w:style>
  <w:style w:type="character" w:customStyle="1" w:styleId="Heading9Char">
    <w:name w:val="Heading 9 Char"/>
    <w:link w:val="Heading9"/>
    <w:semiHidden/>
    <w:rsid w:val="00EA64B4"/>
    <w:rPr>
      <w:rFonts w:ascii="Arial" w:eastAsia="Times New Roman" w:hAnsi="Arial"/>
      <w:b/>
      <w:color w:val="FFFFFF"/>
      <w:kern w:val="28"/>
      <w:sz w:val="2"/>
      <w:lang w:val="en-AU" w:eastAsia="en-US"/>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982FFB"/>
    <w:rPr>
      <w:rFonts w:eastAsia="Times New Roman"/>
      <w:sz w:val="22"/>
    </w:rPr>
  </w:style>
  <w:style w:type="paragraph" w:customStyle="1" w:styleId="Casestudyheading">
    <w:name w:val="Case study heading"/>
    <w:basedOn w:val="BodyText"/>
    <w:uiPriority w:val="1"/>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styleId="LightList-Accent3">
    <w:name w:val="Light List Accent 3"/>
    <w:basedOn w:val="TableNormal"/>
    <w:uiPriority w:val="61"/>
    <w:rsid w:val="00416330"/>
    <w:rPr>
      <w:rFonts w:eastAsia="Times New Roman"/>
      <w:lang w:val="en-US"/>
    </w:rPr>
    <w:tblPr>
      <w:tblStyleRowBandSize w:val="1"/>
      <w:tblStyleColBandSize w:val="1"/>
      <w:tblBorders>
        <w:top w:val="single" w:sz="8" w:space="0" w:color="D2DDE2"/>
        <w:left w:val="single" w:sz="8" w:space="0" w:color="D2DDE2"/>
        <w:bottom w:val="single" w:sz="8" w:space="0" w:color="D2DDE2"/>
        <w:right w:val="single" w:sz="8" w:space="0" w:color="D2DDE2"/>
      </w:tblBorders>
    </w:tblPr>
    <w:tblStylePr w:type="firstRow">
      <w:pPr>
        <w:spacing w:before="0" w:after="0" w:line="240" w:lineRule="auto"/>
      </w:pPr>
      <w:rPr>
        <w:b/>
        <w:bCs/>
        <w:color w:val="FFFFFF"/>
      </w:rPr>
      <w:tblPr/>
      <w:tcPr>
        <w:shd w:val="clear" w:color="auto" w:fill="D2DDE2"/>
      </w:tcPr>
    </w:tblStylePr>
    <w:tblStylePr w:type="lastRow">
      <w:pPr>
        <w:spacing w:before="0" w:after="0" w:line="240" w:lineRule="auto"/>
      </w:pPr>
      <w:rPr>
        <w:b/>
        <w:bCs/>
      </w:rPr>
      <w:tblPr/>
      <w:tcPr>
        <w:tcBorders>
          <w:top w:val="double" w:sz="6" w:space="0" w:color="D2DDE2"/>
          <w:left w:val="single" w:sz="8" w:space="0" w:color="D2DDE2"/>
          <w:bottom w:val="single" w:sz="8" w:space="0" w:color="D2DDE2"/>
          <w:right w:val="single" w:sz="8" w:space="0" w:color="D2DDE2"/>
        </w:tcBorders>
      </w:tcPr>
    </w:tblStylePr>
    <w:tblStylePr w:type="firstCol">
      <w:rPr>
        <w:b/>
        <w:bCs/>
      </w:rPr>
    </w:tblStylePr>
    <w:tblStylePr w:type="lastCol">
      <w:rPr>
        <w:b/>
        <w:bCs/>
      </w:rPr>
    </w:tblStylePr>
    <w:tblStylePr w:type="band1Vert">
      <w:tblPr/>
      <w:tcPr>
        <w:tcBorders>
          <w:top w:val="single" w:sz="8" w:space="0" w:color="D2DDE2"/>
          <w:left w:val="single" w:sz="8" w:space="0" w:color="D2DDE2"/>
          <w:bottom w:val="single" w:sz="8" w:space="0" w:color="D2DDE2"/>
          <w:right w:val="single" w:sz="8" w:space="0" w:color="D2DDE2"/>
        </w:tcBorders>
      </w:tcPr>
    </w:tblStylePr>
    <w:tblStylePr w:type="band1Horz">
      <w:tblPr/>
      <w:tcPr>
        <w:tcBorders>
          <w:top w:val="single" w:sz="8" w:space="0" w:color="D2DDE2"/>
          <w:left w:val="single" w:sz="8" w:space="0" w:color="D2DDE2"/>
          <w:bottom w:val="single" w:sz="8" w:space="0" w:color="D2DDE2"/>
          <w:right w:val="single" w:sz="8" w:space="0" w:color="D2DDE2"/>
        </w:tcBorders>
      </w:tcPr>
    </w:tblStylePr>
  </w:style>
  <w:style w:type="numbering" w:customStyle="1" w:styleId="Style1">
    <w:name w:val="Style1"/>
    <w:uiPriority w:val="99"/>
    <w:rsid w:val="00B07CE9"/>
    <w:pPr>
      <w:numPr>
        <w:numId w:val="10"/>
      </w:numPr>
    </w:pPr>
  </w:style>
  <w:style w:type="numbering" w:customStyle="1" w:styleId="Bullets">
    <w:name w:val="Bullets"/>
    <w:uiPriority w:val="99"/>
    <w:rsid w:val="00B07CE9"/>
    <w:pPr>
      <w:numPr>
        <w:numId w:val="11"/>
      </w:numPr>
    </w:pPr>
  </w:style>
  <w:style w:type="numbering" w:customStyle="1" w:styleId="Style2">
    <w:name w:val="Style2"/>
    <w:uiPriority w:val="99"/>
    <w:rsid w:val="008E0688"/>
    <w:pPr>
      <w:numPr>
        <w:numId w:val="12"/>
      </w:numPr>
    </w:pPr>
  </w:style>
  <w:style w:type="numbering" w:customStyle="1" w:styleId="Bulletss">
    <w:name w:val="Bulletss"/>
    <w:uiPriority w:val="99"/>
    <w:rsid w:val="00602FF4"/>
    <w:pPr>
      <w:numPr>
        <w:numId w:val="13"/>
      </w:numPr>
    </w:pPr>
  </w:style>
  <w:style w:type="paragraph" w:customStyle="1" w:styleId="Greenbullet-casestudytables">
    <w:name w:val="Green bullet - case study tables"/>
    <w:basedOn w:val="Bullet"/>
    <w:uiPriority w:val="1"/>
    <w:rsid w:val="005C760E"/>
    <w:pPr>
      <w:numPr>
        <w:numId w:val="14"/>
      </w:numPr>
      <w:tabs>
        <w:tab w:val="left" w:pos="397"/>
      </w:tabs>
      <w:ind w:left="681" w:right="284" w:hanging="397"/>
    </w:pPr>
    <w:rPr>
      <w:color w:val="0F7B7D"/>
      <w:sz w:val="20"/>
    </w:rPr>
  </w:style>
  <w:style w:type="paragraph" w:customStyle="1" w:styleId="Greentext-casestudytables">
    <w:name w:val="Green text - case study tables"/>
    <w:basedOn w:val="BodyText"/>
    <w:uiPriority w:val="1"/>
    <w:rsid w:val="001A1CED"/>
    <w:pPr>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rsid w:val="00527473"/>
    <w:pPr>
      <w:keepNext/>
      <w:spacing w:before="240" w:after="0"/>
    </w:pPr>
    <w:rPr>
      <w:b/>
    </w:rPr>
  </w:style>
  <w:style w:type="numbering" w:customStyle="1" w:styleId="Style3">
    <w:name w:val="Style3"/>
    <w:uiPriority w:val="99"/>
    <w:rsid w:val="008B5A2D"/>
    <w:pPr>
      <w:numPr>
        <w:numId w:val="15"/>
      </w:numPr>
    </w:pPr>
  </w:style>
  <w:style w:type="paragraph" w:customStyle="1" w:styleId="Style4">
    <w:name w:val="Style4"/>
    <w:basedOn w:val="Box"/>
    <w:next w:val="BoxBullet0"/>
    <w:rsid w:val="00AB0497"/>
    <w:rPr>
      <w:color w:val="6FC7B7"/>
    </w:rPr>
  </w:style>
  <w:style w:type="table" w:customStyle="1" w:styleId="Greenbox">
    <w:name w:val="Green box"/>
    <w:basedOn w:val="TableNormal"/>
    <w:uiPriority w:val="99"/>
    <w:rsid w:val="007E5E09"/>
    <w:tblPr/>
    <w:tcPr>
      <w:shd w:val="clear" w:color="auto" w:fill="6FC7B7"/>
    </w:tcPr>
  </w:style>
  <w:style w:type="paragraph" w:customStyle="1" w:styleId="Bluetext">
    <w:name w:val="Blue text"/>
    <w:basedOn w:val="BodyText"/>
    <w:qFormat/>
    <w:rsid w:val="004E4E82"/>
    <w:pPr>
      <w:ind w:left="794"/>
    </w:pPr>
    <w:rPr>
      <w:color w:val="32809C" w:themeColor="text2"/>
    </w:rPr>
  </w:style>
  <w:style w:type="paragraph" w:customStyle="1" w:styleId="Greenmandatorytext">
    <w:name w:val="Green mandatory text"/>
    <w:basedOn w:val="BodyText"/>
    <w:qFormat/>
    <w:rsid w:val="00F51AE4"/>
    <w:pPr>
      <w:numPr>
        <w:numId w:val="18"/>
      </w:numPr>
    </w:pPr>
    <w:rPr>
      <w:color w:val="0F7B7D" w:themeColor="accent3"/>
    </w:rPr>
  </w:style>
  <w:style w:type="paragraph" w:styleId="CommentText">
    <w:name w:val="annotation text"/>
    <w:basedOn w:val="Normal"/>
    <w:link w:val="CommentTextChar"/>
    <w:uiPriority w:val="99"/>
    <w:rsid w:val="004349EB"/>
    <w:pPr>
      <w:spacing w:line="240" w:lineRule="auto"/>
    </w:pPr>
    <w:rPr>
      <w:sz w:val="20"/>
      <w:szCs w:val="20"/>
    </w:rPr>
  </w:style>
  <w:style w:type="character" w:customStyle="1" w:styleId="CommentTextChar">
    <w:name w:val="Comment Text Char"/>
    <w:basedOn w:val="DefaultParagraphFont"/>
    <w:link w:val="CommentText"/>
    <w:uiPriority w:val="99"/>
    <w:rsid w:val="004349EB"/>
    <w:rPr>
      <w:rFonts w:eastAsia="Times New Roman"/>
    </w:rPr>
  </w:style>
  <w:style w:type="paragraph" w:customStyle="1" w:styleId="Definitionbullet">
    <w:name w:val="Definition bullet"/>
    <w:basedOn w:val="Normal"/>
    <w:rsid w:val="000900A5"/>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fe.govt.nz/rma/national-direction/national-planning-standard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lanningstandards@mfe.govt.nz" TargetMode="External"/><Relationship Id="rId4" Type="http://schemas.openxmlformats.org/officeDocument/2006/relationships/settings" Target="settings.xml"/><Relationship Id="rId9" Type="http://schemas.openxmlformats.org/officeDocument/2006/relationships/hyperlink" Target="https://www.solgm.org.nz/lgconnec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Mfe colours scheme">
      <a:dk1>
        <a:sysClr val="windowText" lastClr="000000"/>
      </a:dk1>
      <a:lt1>
        <a:sysClr val="window" lastClr="FFFFFF"/>
      </a:lt1>
      <a:dk2>
        <a:srgbClr val="32809C"/>
      </a:dk2>
      <a:lt2>
        <a:srgbClr val="EEECE1"/>
      </a:lt2>
      <a:accent1>
        <a:srgbClr val="1C556C"/>
      </a:accent1>
      <a:accent2>
        <a:srgbClr val="DA5A28"/>
      </a:accent2>
      <a:accent3>
        <a:srgbClr val="0F7B7D"/>
      </a:accent3>
      <a:accent4>
        <a:srgbClr val="2C9986"/>
      </a:accent4>
      <a:accent5>
        <a:srgbClr val="6FC7B7"/>
      </a:accent5>
      <a:accent6>
        <a:srgbClr val="723B24"/>
      </a:accent6>
      <a:hlink>
        <a:srgbClr val="1C556C"/>
      </a:hlink>
      <a:folHlink>
        <a:srgbClr val="1C556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ACD1AF-3AE8-46D8-9987-2B51A2DE7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2787</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Ministry for the Environment</Company>
  <LinksUpToDate>false</LinksUpToDate>
  <CharactersWithSpaces>18642</CharactersWithSpaces>
  <SharedDoc>false</SharedDoc>
  <HLinks>
    <vt:vector size="6" baseType="variant">
      <vt:variant>
        <vt:i4>6684730</vt:i4>
      </vt:variant>
      <vt:variant>
        <vt:i4>0</vt:i4>
      </vt:variant>
      <vt:variant>
        <vt:i4>0</vt:i4>
      </vt:variant>
      <vt:variant>
        <vt:i4>5</vt:i4>
      </vt:variant>
      <vt:variant>
        <vt:lpwstr>http://www.mfe.govt.nz/xxx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Zinal Bhadra</dc:creator>
  <cp:lastModifiedBy>Dee Warring</cp:lastModifiedBy>
  <cp:revision>2</cp:revision>
  <cp:lastPrinted>2020-01-22T22:29:00Z</cp:lastPrinted>
  <dcterms:created xsi:type="dcterms:W3CDTF">2020-02-03T20:35:00Z</dcterms:created>
  <dcterms:modified xsi:type="dcterms:W3CDTF">2020-02-03T20:35:00Z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