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0DCEC" w14:textId="77777777" w:rsidR="007F7C24" w:rsidRDefault="007F7C24" w:rsidP="00B23A37">
      <w:pPr>
        <w:pStyle w:val="Title"/>
      </w:pPr>
    </w:p>
    <w:p w14:paraId="313826B9" w14:textId="77777777" w:rsidR="007F7C24" w:rsidRDefault="007F7C24" w:rsidP="00B23A37">
      <w:pPr>
        <w:pStyle w:val="Title"/>
      </w:pPr>
    </w:p>
    <w:p w14:paraId="52324AA4" w14:textId="77777777" w:rsidR="007F7C24" w:rsidRDefault="007F7C24" w:rsidP="00B23A37">
      <w:pPr>
        <w:pStyle w:val="Title"/>
      </w:pPr>
    </w:p>
    <w:p w14:paraId="6E6661B2" w14:textId="77777777" w:rsidR="007F7C24" w:rsidRDefault="007F7C24" w:rsidP="00B23A37">
      <w:pPr>
        <w:pStyle w:val="Title"/>
      </w:pPr>
      <w:r>
        <w:rPr>
          <w:noProof/>
          <w:lang w:eastAsia="en-NZ"/>
        </w:rPr>
        <mc:AlternateContent>
          <mc:Choice Requires="wps">
            <w:drawing>
              <wp:anchor distT="0" distB="0" distL="114300" distR="114300" simplePos="0" relativeHeight="251658240" behindDoc="0" locked="0" layoutInCell="1" allowOverlap="1" wp14:anchorId="751A73B9" wp14:editId="12D68163">
                <wp:simplePos x="0" y="0"/>
                <wp:positionH relativeFrom="column">
                  <wp:posOffset>438785</wp:posOffset>
                </wp:positionH>
                <wp:positionV relativeFrom="paragraph">
                  <wp:posOffset>93345</wp:posOffset>
                </wp:positionV>
                <wp:extent cx="5585460" cy="266255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266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7451" w14:textId="22588E54" w:rsidR="00D235A5" w:rsidRPr="00D23421" w:rsidRDefault="00D235A5" w:rsidP="00E858D5">
                            <w:pPr>
                              <w:pStyle w:val="Title"/>
                              <w:rPr>
                                <w:sz w:val="72"/>
                                <w:szCs w:val="72"/>
                              </w:rPr>
                            </w:pPr>
                            <w:r w:rsidRPr="00FC77C7">
                              <w:rPr>
                                <w:sz w:val="72"/>
                                <w:szCs w:val="72"/>
                              </w:rPr>
                              <w:t xml:space="preserve">Essential Freshwater Package: </w:t>
                            </w:r>
                            <w:r w:rsidRPr="00FC77C7">
                              <w:rPr>
                                <w:i/>
                                <w:iCs/>
                                <w:sz w:val="72"/>
                                <w:szCs w:val="72"/>
                              </w:rPr>
                              <w:t>Benefits 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1A73B9" id="_x0000_t202" coordsize="21600,21600" o:spt="202" path="m,l,21600r21600,l21600,xe">
                <v:stroke joinstyle="miter"/>
                <v:path gradientshapeok="t" o:connecttype="rect"/>
              </v:shapetype>
              <v:shape id="Text Box 25" o:spid="_x0000_s1026" type="#_x0000_t202" style="position:absolute;margin-left:34.55pt;margin-top:7.35pt;width:439.8pt;height:20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" stroked="f">
                <v:textbox>
                  <w:txbxContent>
                    <w:p w14:paraId="3F097451" w14:textId="22588E54" w:rsidR="00D235A5" w:rsidRPr="00D23421" w:rsidRDefault="00D235A5" w:rsidP="00E858D5">
                      <w:pPr>
                        <w:pStyle w:val="Title"/>
                        <w:rPr>
                          <w:sz w:val="72"/>
                          <w:szCs w:val="72"/>
                        </w:rPr>
                      </w:pPr>
                      <w:r w:rsidRPr="00FC77C7">
                        <w:rPr>
                          <w:sz w:val="72"/>
                          <w:szCs w:val="72"/>
                        </w:rPr>
                        <w:t xml:space="preserve">Essential Freshwater Package: </w:t>
                      </w:r>
                      <w:r w:rsidRPr="00FC77C7">
                        <w:rPr>
                          <w:i/>
                          <w:iCs/>
                          <w:sz w:val="72"/>
                          <w:szCs w:val="72"/>
                        </w:rPr>
                        <w:t>Benefits Analysis</w:t>
                      </w:r>
                    </w:p>
                  </w:txbxContent>
                </v:textbox>
              </v:shape>
            </w:pict>
          </mc:Fallback>
        </mc:AlternateContent>
      </w:r>
    </w:p>
    <w:p w14:paraId="68BEEDFC" w14:textId="77777777" w:rsidR="00064897" w:rsidRPr="00064897" w:rsidRDefault="00064897" w:rsidP="00064897"/>
    <w:p w14:paraId="7FBCD45B" w14:textId="77777777" w:rsidR="00AF0CD8" w:rsidRDefault="00AF0CD8" w:rsidP="00AF0CD8"/>
    <w:p w14:paraId="0A2B91E9" w14:textId="77777777" w:rsidR="007F7C24" w:rsidRDefault="007F7C24" w:rsidP="00AF0CD8"/>
    <w:p w14:paraId="44894C05" w14:textId="77777777" w:rsidR="007F7C24" w:rsidRDefault="007F7C24" w:rsidP="00AF0CD8"/>
    <w:p w14:paraId="62363461" w14:textId="77777777" w:rsidR="007F7C24" w:rsidRDefault="007F7C24" w:rsidP="00AF0CD8"/>
    <w:p w14:paraId="548461E7" w14:textId="77777777" w:rsidR="007F7C24" w:rsidRDefault="007F7C24" w:rsidP="00AF0CD8"/>
    <w:p w14:paraId="75ACADA3" w14:textId="77777777" w:rsidR="007F7C24" w:rsidRDefault="007F7C24" w:rsidP="00AF0CD8"/>
    <w:p w14:paraId="7C8E346E" w14:textId="77777777" w:rsidR="007F7C24" w:rsidRDefault="007F7C24" w:rsidP="00AF0CD8"/>
    <w:p w14:paraId="767E67A7" w14:textId="77777777" w:rsidR="007F7C24" w:rsidRDefault="007F7C24" w:rsidP="00AF0CD8"/>
    <w:p w14:paraId="6A5B7012" w14:textId="77777777" w:rsidR="007F7C24" w:rsidRDefault="007F7C24" w:rsidP="00AF0CD8"/>
    <w:p w14:paraId="50E74CDD" w14:textId="77777777" w:rsidR="007F7C24" w:rsidRDefault="007F7C24" w:rsidP="00AF0CD8"/>
    <w:p w14:paraId="547C8A75" w14:textId="77777777" w:rsidR="007F7C24" w:rsidRDefault="007F7C24" w:rsidP="00AF0CD8"/>
    <w:p w14:paraId="48D891FB" w14:textId="77777777" w:rsidR="007F7C24" w:rsidRDefault="007F7C24" w:rsidP="00AF0CD8"/>
    <w:p w14:paraId="37651E1B" w14:textId="77777777" w:rsidR="007F7C24" w:rsidRDefault="007F7C24" w:rsidP="00AF0CD8"/>
    <w:p w14:paraId="3D40B612" w14:textId="77777777" w:rsidR="007F7C24" w:rsidRDefault="007F7C24" w:rsidP="00AF0CD8"/>
    <w:p w14:paraId="76959638" w14:textId="77777777" w:rsidR="007F7C24" w:rsidRDefault="007F7C24" w:rsidP="00AF0CD8">
      <w:r>
        <w:rPr>
          <w:noProof/>
          <w:lang w:eastAsia="en-NZ"/>
        </w:rPr>
        <mc:AlternateContent>
          <mc:Choice Requires="wps">
            <w:drawing>
              <wp:anchor distT="0" distB="0" distL="114300" distR="114300" simplePos="0" relativeHeight="251666432" behindDoc="0" locked="0" layoutInCell="1" allowOverlap="1" wp14:anchorId="4A2E6C23" wp14:editId="71F744E4">
                <wp:simplePos x="0" y="0"/>
                <wp:positionH relativeFrom="column">
                  <wp:posOffset>339725</wp:posOffset>
                </wp:positionH>
                <wp:positionV relativeFrom="paragraph">
                  <wp:posOffset>70485</wp:posOffset>
                </wp:positionV>
                <wp:extent cx="5585460" cy="757555"/>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210F7" w14:textId="2CAE5B73" w:rsidR="00D235A5" w:rsidRPr="007F7C24" w:rsidRDefault="00EF6123" w:rsidP="007F7C24">
                            <w:pPr>
                              <w:pStyle w:val="Title"/>
                              <w:rPr>
                                <w:sz w:val="32"/>
                                <w:szCs w:val="32"/>
                              </w:rPr>
                            </w:pPr>
                            <w:r>
                              <w:rPr>
                                <w:sz w:val="32"/>
                                <w:szCs w:val="32"/>
                              </w:rPr>
                              <w:t>3</w:t>
                            </w:r>
                            <w:r w:rsidR="00D235A5">
                              <w:rPr>
                                <w:sz w:val="32"/>
                                <w:szCs w:val="32"/>
                              </w:rPr>
                              <w:t>0</w:t>
                            </w:r>
                            <w:r w:rsidR="00D235A5" w:rsidRPr="004B7055">
                              <w:rPr>
                                <w:sz w:val="32"/>
                                <w:szCs w:val="32"/>
                                <w:vertAlign w:val="superscript"/>
                              </w:rPr>
                              <w:t>th</w:t>
                            </w:r>
                            <w:r w:rsidR="00D235A5">
                              <w:rPr>
                                <w:sz w:val="32"/>
                                <w:szCs w:val="32"/>
                              </w:rPr>
                              <w:t xml:space="preserve"> 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E6C23" id="Text Box 1" o:spid="_x0000_s1027" type="#_x0000_t202" style="position:absolute;margin-left:26.75pt;margin-top:5.55pt;width:439.8pt;height:5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" stroked="f">
                <v:textbox>
                  <w:txbxContent>
                    <w:p w14:paraId="2C4210F7" w14:textId="2CAE5B73" w:rsidR="00D235A5" w:rsidRPr="007F7C24" w:rsidRDefault="00EF6123" w:rsidP="007F7C24">
                      <w:pPr>
                        <w:pStyle w:val="Title"/>
                        <w:rPr>
                          <w:sz w:val="32"/>
                          <w:szCs w:val="32"/>
                        </w:rPr>
                      </w:pPr>
                      <w:r>
                        <w:rPr>
                          <w:sz w:val="32"/>
                          <w:szCs w:val="32"/>
                        </w:rPr>
                        <w:t>3</w:t>
                      </w:r>
                      <w:r w:rsidR="00D235A5">
                        <w:rPr>
                          <w:sz w:val="32"/>
                          <w:szCs w:val="32"/>
                        </w:rPr>
                        <w:t>0</w:t>
                      </w:r>
                      <w:r w:rsidR="00D235A5" w:rsidRPr="004B7055">
                        <w:rPr>
                          <w:sz w:val="32"/>
                          <w:szCs w:val="32"/>
                          <w:vertAlign w:val="superscript"/>
                        </w:rPr>
                        <w:t>th</w:t>
                      </w:r>
                      <w:r w:rsidR="00D235A5">
                        <w:rPr>
                          <w:sz w:val="32"/>
                          <w:szCs w:val="32"/>
                        </w:rPr>
                        <w:t xml:space="preserve"> April 2020</w:t>
                      </w:r>
                    </w:p>
                  </w:txbxContent>
                </v:textbox>
              </v:shape>
            </w:pict>
          </mc:Fallback>
        </mc:AlternateContent>
      </w:r>
    </w:p>
    <w:p w14:paraId="63B0DFB2" w14:textId="77777777" w:rsidR="007F7C24" w:rsidRDefault="007F7C24" w:rsidP="00AF0CD8"/>
    <w:p w14:paraId="1382AB86" w14:textId="77777777" w:rsidR="007F7C24" w:rsidRDefault="007F7C24" w:rsidP="00AF0CD8"/>
    <w:p w14:paraId="16FAF0D3" w14:textId="77777777" w:rsidR="007F7C24" w:rsidRDefault="007F7C24" w:rsidP="00AF0CD8"/>
    <w:p w14:paraId="33F58A85" w14:textId="77777777" w:rsidR="007F7C24" w:rsidRDefault="007F7C24" w:rsidP="00AF0CD8"/>
    <w:p w14:paraId="6DCFEF2C" w14:textId="77777777" w:rsidR="007F7C24" w:rsidRDefault="007F7C24" w:rsidP="00AF0CD8"/>
    <w:p w14:paraId="5D176989" w14:textId="77777777" w:rsidR="007F7C24" w:rsidRDefault="007F7C24" w:rsidP="00AF0CD8"/>
    <w:p w14:paraId="6638A507" w14:textId="77777777" w:rsidR="007F7C24" w:rsidRDefault="007F7C24" w:rsidP="00AF0CD8"/>
    <w:p w14:paraId="261FEBD7" w14:textId="77777777" w:rsidR="007F7C24" w:rsidRDefault="007F7C24" w:rsidP="00AF0CD8"/>
    <w:p w14:paraId="31A758F8" w14:textId="77777777" w:rsidR="007F7C24" w:rsidRDefault="007F7C24" w:rsidP="00AF0CD8"/>
    <w:p w14:paraId="7C0CEEF8" w14:textId="77777777" w:rsidR="007F7C24" w:rsidRDefault="007F7C24" w:rsidP="00AF0CD8"/>
    <w:p w14:paraId="173887DF" w14:textId="77777777" w:rsidR="007F7C24" w:rsidRDefault="007F7C24" w:rsidP="00AF0CD8"/>
    <w:p w14:paraId="6EC13F84" w14:textId="77777777" w:rsidR="007F7C24" w:rsidRDefault="007F7C24" w:rsidP="00AF0CD8"/>
    <w:p w14:paraId="068FCF63" w14:textId="77777777" w:rsidR="007F7C24" w:rsidRDefault="007F7C24" w:rsidP="00AF0CD8"/>
    <w:p w14:paraId="5613BFF6" w14:textId="77777777" w:rsidR="007F7C24" w:rsidRDefault="007F7C24" w:rsidP="00AF0CD8"/>
    <w:p w14:paraId="4EB826A5" w14:textId="77777777" w:rsidR="007F7C24" w:rsidRDefault="007F7C24" w:rsidP="00AF0CD8"/>
    <w:p w14:paraId="09AF5F76" w14:textId="77777777" w:rsidR="007F7C24" w:rsidRDefault="007F7C24" w:rsidP="00AF0CD8"/>
    <w:p w14:paraId="27EDEB57" w14:textId="77777777" w:rsidR="007F7C24" w:rsidRDefault="007F7C24" w:rsidP="00AF0CD8"/>
    <w:p w14:paraId="6D6A284B" w14:textId="77777777" w:rsidR="007F7C24" w:rsidRDefault="007F7C24" w:rsidP="00AF0CD8"/>
    <w:p w14:paraId="1C98AE39" w14:textId="77777777" w:rsidR="007F7C24" w:rsidRDefault="007F7C24" w:rsidP="00AF0CD8"/>
    <w:p w14:paraId="2860869E" w14:textId="77777777" w:rsidR="007F7C24" w:rsidRDefault="007F7C24" w:rsidP="007F7C24"/>
    <w:p w14:paraId="1A1920EF" w14:textId="77777777" w:rsidR="007F7C24" w:rsidRDefault="007F7C24" w:rsidP="007F7C24">
      <w:r>
        <w:rPr>
          <w:noProof/>
          <w:lang w:eastAsia="en-NZ"/>
        </w:rPr>
        <mc:AlternateContent>
          <mc:Choice Requires="wps">
            <w:drawing>
              <wp:anchor distT="0" distB="0" distL="114300" distR="114300" simplePos="0" relativeHeight="251660288" behindDoc="0" locked="0" layoutInCell="1" allowOverlap="1" wp14:anchorId="361AD84A" wp14:editId="3EE8534B">
                <wp:simplePos x="0" y="0"/>
                <wp:positionH relativeFrom="column">
                  <wp:posOffset>301625</wp:posOffset>
                </wp:positionH>
                <wp:positionV relativeFrom="paragraph">
                  <wp:posOffset>127635</wp:posOffset>
                </wp:positionV>
                <wp:extent cx="3552825" cy="403225"/>
                <wp:effectExtent l="0" t="0" r="9525"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C665A" w14:textId="77777777" w:rsidR="00D235A5" w:rsidRPr="007F7C24" w:rsidRDefault="00D235A5" w:rsidP="007F7C24">
                            <w:pPr>
                              <w:rPr>
                                <w:rFonts w:ascii="Century Gothic" w:hAnsi="Century Gothic"/>
                                <w:b/>
                                <w:noProof/>
                                <w:color w:val="808080" w:themeColor="background1" w:themeShade="80"/>
                                <w:sz w:val="36"/>
                                <w:szCs w:val="36"/>
                                <w:lang w:val="en-US"/>
                              </w:rPr>
                            </w:pPr>
                            <w:r w:rsidRPr="007F7C24">
                              <w:rPr>
                                <w:rFonts w:ascii="Century Gothic" w:hAnsi="Century Gothic"/>
                                <w:color w:val="808080" w:themeColor="background1" w:themeShade="80"/>
                                <w:sz w:val="36"/>
                                <w:szCs w:val="36"/>
                                <w:lang w:val="en-US"/>
                              </w:rPr>
                              <w:t>Prepared for</w:t>
                            </w:r>
                          </w:p>
                          <w:p w14:paraId="179F6908" w14:textId="77777777" w:rsidR="00D235A5" w:rsidRPr="007F7C24" w:rsidRDefault="00D235A5" w:rsidP="007F7C24">
                            <w:pPr>
                              <w:spacing w:after="100" w:afterAutospacing="1"/>
                              <w:rPr>
                                <w:color w:val="808080" w:themeColor="background1"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AD84A" id="Text Box 23" o:spid="_x0000_s1028" type="#_x0000_t202" style="position:absolute;margin-left:23.75pt;margin-top:10.05pt;width:279.75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" stroked="f">
                <v:textbox>
                  <w:txbxContent>
                    <w:p w14:paraId="566C665A" w14:textId="77777777" w:rsidR="00D235A5" w:rsidRPr="007F7C24" w:rsidRDefault="00D235A5" w:rsidP="007F7C24">
                      <w:pPr>
                        <w:rPr>
                          <w:rFonts w:ascii="Century Gothic" w:hAnsi="Century Gothic"/>
                          <w:b/>
                          <w:noProof/>
                          <w:color w:val="808080" w:themeColor="background1" w:themeShade="80"/>
                          <w:sz w:val="36"/>
                          <w:szCs w:val="36"/>
                          <w:lang w:val="en-US"/>
                        </w:rPr>
                      </w:pPr>
                      <w:r w:rsidRPr="007F7C24">
                        <w:rPr>
                          <w:rFonts w:ascii="Century Gothic" w:hAnsi="Century Gothic"/>
                          <w:color w:val="808080" w:themeColor="background1" w:themeShade="80"/>
                          <w:sz w:val="36"/>
                          <w:szCs w:val="36"/>
                          <w:lang w:val="en-US"/>
                        </w:rPr>
                        <w:t>Prepared for</w:t>
                      </w:r>
                    </w:p>
                    <w:p w14:paraId="179F6908" w14:textId="77777777" w:rsidR="00D235A5" w:rsidRPr="007F7C24" w:rsidRDefault="00D235A5" w:rsidP="007F7C24">
                      <w:pPr>
                        <w:spacing w:after="100" w:afterAutospacing="1"/>
                        <w:rPr>
                          <w:color w:val="808080" w:themeColor="background1" w:themeShade="80"/>
                        </w:rPr>
                      </w:pPr>
                    </w:p>
                  </w:txbxContent>
                </v:textbox>
                <w10:wrap type="square"/>
              </v:shape>
            </w:pict>
          </mc:Fallback>
        </mc:AlternateContent>
      </w:r>
    </w:p>
    <w:p w14:paraId="511139E1" w14:textId="77777777" w:rsidR="007F7C24" w:rsidRPr="00AF0CD8" w:rsidRDefault="007F7C24" w:rsidP="00AF0CD8"/>
    <w:p w14:paraId="1CE64A67" w14:textId="59D3EE37" w:rsidR="007F7C24" w:rsidRDefault="009B36A0" w:rsidP="007F7C24">
      <w:r>
        <w:rPr>
          <w:noProof/>
          <w:lang w:eastAsia="en-NZ"/>
        </w:rPr>
        <mc:AlternateContent>
          <mc:Choice Requires="wps">
            <w:drawing>
              <wp:anchor distT="0" distB="0" distL="114300" distR="114300" simplePos="0" relativeHeight="251661312" behindDoc="1" locked="0" layoutInCell="1" allowOverlap="1" wp14:anchorId="71D037DD" wp14:editId="0B3461C7">
                <wp:simplePos x="0" y="0"/>
                <wp:positionH relativeFrom="column">
                  <wp:posOffset>286385</wp:posOffset>
                </wp:positionH>
                <wp:positionV relativeFrom="paragraph">
                  <wp:posOffset>236855</wp:posOffset>
                </wp:positionV>
                <wp:extent cx="5622290" cy="607695"/>
                <wp:effectExtent l="0" t="0" r="0" b="19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72E2" w14:textId="5F15C5C8" w:rsidR="00D235A5" w:rsidRDefault="00D235A5" w:rsidP="007F7C24">
                            <w:pPr>
                              <w:spacing w:before="240" w:after="100" w:afterAutospacing="1" w:line="240" w:lineRule="auto"/>
                              <w:rPr>
                                <w:rFonts w:ascii="Century Gothic" w:hAnsi="Century Gothic" w:cs="Futura"/>
                                <w:noProof/>
                                <w:color w:val="64635B"/>
                                <w:kern w:val="44"/>
                                <w:sz w:val="45"/>
                                <w:szCs w:val="45"/>
                                <w:lang w:val="en-US"/>
                              </w:rPr>
                            </w:pPr>
                            <w:r>
                              <w:rPr>
                                <w:rFonts w:ascii="Century Gothic" w:hAnsi="Century Gothic" w:cs="Futura"/>
                                <w:noProof/>
                                <w:color w:val="64635B"/>
                                <w:kern w:val="44"/>
                                <w:sz w:val="45"/>
                                <w:szCs w:val="45"/>
                                <w:lang w:val="en-US"/>
                              </w:rPr>
                              <w:t>Ministry for the Environment</w:t>
                            </w:r>
                          </w:p>
                          <w:p w14:paraId="61A30671" w14:textId="77777777" w:rsidR="00D235A5" w:rsidRPr="001B07F3" w:rsidRDefault="00D235A5" w:rsidP="007F7C24">
                            <w:pPr>
                              <w:spacing w:before="240" w:after="100" w:afterAutospacing="1" w:line="240" w:lineRule="auto"/>
                              <w:rPr>
                                <w:rFonts w:ascii="Century Gothic" w:hAnsi="Century Gothic"/>
                                <w:sz w:val="45"/>
                                <w:szCs w:val="4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037DD" id="Text Box 24" o:spid="_x0000_s1029" type="#_x0000_t202" style="position:absolute;margin-left:22.55pt;margin-top:18.65pt;width:442.7pt;height:4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" stroked="f">
                <v:textbox>
                  <w:txbxContent>
                    <w:p w14:paraId="16EB72E2" w14:textId="5F15C5C8" w:rsidR="00D235A5" w:rsidRDefault="00D235A5" w:rsidP="007F7C24">
                      <w:pPr>
                        <w:spacing w:before="240" w:after="100" w:afterAutospacing="1" w:line="240" w:lineRule="auto"/>
                        <w:rPr>
                          <w:rFonts w:ascii="Century Gothic" w:hAnsi="Century Gothic" w:cs="Futura"/>
                          <w:noProof/>
                          <w:color w:val="64635B"/>
                          <w:kern w:val="44"/>
                          <w:sz w:val="45"/>
                          <w:szCs w:val="45"/>
                          <w:lang w:val="en-US"/>
                        </w:rPr>
                      </w:pPr>
                      <w:r>
                        <w:rPr>
                          <w:rFonts w:ascii="Century Gothic" w:hAnsi="Century Gothic" w:cs="Futura"/>
                          <w:noProof/>
                          <w:color w:val="64635B"/>
                          <w:kern w:val="44"/>
                          <w:sz w:val="45"/>
                          <w:szCs w:val="45"/>
                          <w:lang w:val="en-US"/>
                        </w:rPr>
                        <w:t>Ministry for the Environment</w:t>
                      </w:r>
                    </w:p>
                    <w:p w14:paraId="61A30671" w14:textId="77777777" w:rsidR="00D235A5" w:rsidRPr="001B07F3" w:rsidRDefault="00D235A5" w:rsidP="007F7C24">
                      <w:pPr>
                        <w:spacing w:before="240" w:after="100" w:afterAutospacing="1" w:line="240" w:lineRule="auto"/>
                        <w:rPr>
                          <w:rFonts w:ascii="Century Gothic" w:hAnsi="Century Gothic"/>
                          <w:sz w:val="45"/>
                          <w:szCs w:val="45"/>
                        </w:rPr>
                      </w:pPr>
                    </w:p>
                  </w:txbxContent>
                </v:textbox>
                <w10:wrap type="square"/>
              </v:shape>
            </w:pict>
          </mc:Fallback>
        </mc:AlternateContent>
      </w:r>
      <w:r w:rsidR="007F7C24">
        <w:rPr>
          <w:noProof/>
          <w:lang w:eastAsia="en-NZ"/>
        </w:rPr>
        <mc:AlternateContent>
          <mc:Choice Requires="wps">
            <w:drawing>
              <wp:anchor distT="4294967295" distB="4294967295" distL="114300" distR="114300" simplePos="0" relativeHeight="251662336" behindDoc="0" locked="0" layoutInCell="1" allowOverlap="1" wp14:anchorId="6FC1354B" wp14:editId="6D49D09C">
                <wp:simplePos x="0" y="0"/>
                <wp:positionH relativeFrom="margin">
                  <wp:posOffset>304800</wp:posOffset>
                </wp:positionH>
                <wp:positionV relativeFrom="paragraph">
                  <wp:posOffset>197485</wp:posOffset>
                </wp:positionV>
                <wp:extent cx="5471795" cy="0"/>
                <wp:effectExtent l="0" t="0" r="1460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straightConnector1">
                          <a:avLst/>
                        </a:prstGeom>
                        <a:noFill/>
                        <a:ln w="9525">
                          <a:solidFill>
                            <a:srgbClr val="6463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8C2D04" id="_x0000_t32" coordsize="21600,21600" o:spt="32" o:oned="t" path="m,l21600,21600e" filled="f">
                <v:path arrowok="t" fillok="f" o:connecttype="none"/>
                <o:lock v:ext="edit" shapetype="t"/>
              </v:shapetype>
              <v:shape id="Straight Arrow Connector 22" o:spid="_x0000_s1026" type="#_x0000_t32" style="position:absolute;margin-left:24pt;margin-top:15.55pt;width:430.85pt;height:0;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" strokecolor="#64635b">
                <w10:wrap anchorx="margin"/>
              </v:shape>
            </w:pict>
          </mc:Fallback>
        </mc:AlternateContent>
      </w:r>
    </w:p>
    <w:p w14:paraId="4DC40AEA" w14:textId="7D484D8C" w:rsidR="009B36A0" w:rsidRDefault="009B36A0" w:rsidP="007F7C24">
      <w:pPr>
        <w:pStyle w:val="Copyrighttext"/>
        <w:rPr>
          <w:b/>
        </w:rPr>
      </w:pPr>
    </w:p>
    <w:p w14:paraId="57AADD7F" w14:textId="3498E193" w:rsidR="009B36A0" w:rsidRDefault="009B36A0" w:rsidP="007F7C24">
      <w:pPr>
        <w:pStyle w:val="Copyrighttext"/>
        <w:rPr>
          <w:b/>
        </w:rPr>
      </w:pPr>
    </w:p>
    <w:p w14:paraId="0F2FC27A" w14:textId="77777777" w:rsidR="009B36A0" w:rsidRDefault="009B36A0" w:rsidP="007F7C24">
      <w:pPr>
        <w:pStyle w:val="Copyrighttext"/>
        <w:rPr>
          <w:b/>
        </w:rPr>
      </w:pPr>
    </w:p>
    <w:p w14:paraId="7D4ACF0D" w14:textId="77777777" w:rsidR="009B36A0" w:rsidRDefault="009B36A0" w:rsidP="007F7C24">
      <w:pPr>
        <w:pStyle w:val="Copyrighttext"/>
        <w:rPr>
          <w:b/>
        </w:rPr>
      </w:pPr>
    </w:p>
    <w:p w14:paraId="49C106D7" w14:textId="36448263" w:rsidR="007F7C24" w:rsidRPr="00DF131C" w:rsidRDefault="007F7C24" w:rsidP="007F7C24">
      <w:pPr>
        <w:pStyle w:val="Copyrighttext"/>
        <w:rPr>
          <w:b/>
        </w:rPr>
      </w:pPr>
      <w:r>
        <w:rPr>
          <w:b/>
        </w:rPr>
        <w:t>A</w:t>
      </w:r>
      <w:r w:rsidRPr="00DF131C">
        <w:rPr>
          <w:b/>
        </w:rPr>
        <w:t>uthorship</w:t>
      </w:r>
    </w:p>
    <w:p w14:paraId="0D305381" w14:textId="61DFE2A0" w:rsidR="007F7C24" w:rsidRPr="00255688" w:rsidRDefault="00FC77C7" w:rsidP="007F7C24">
      <w:pPr>
        <w:pStyle w:val="Copyrighttext"/>
      </w:pPr>
      <w:r>
        <w:t>Tim Denne</w:t>
      </w:r>
    </w:p>
    <w:p w14:paraId="120036D6" w14:textId="77777777" w:rsidR="007F7C24" w:rsidRDefault="007F7C24" w:rsidP="007F7C24">
      <w:pPr>
        <w:pStyle w:val="Copyrighttext"/>
        <w:rPr>
          <w:bCs/>
        </w:rPr>
      </w:pPr>
    </w:p>
    <w:p w14:paraId="33575040" w14:textId="4C3ADDAE" w:rsidR="007F7C24" w:rsidRPr="00255688" w:rsidRDefault="007F7C24" w:rsidP="007F7C24">
      <w:pPr>
        <w:rPr>
          <w:rFonts w:ascii="Century Gothic" w:hAnsi="Century Gothic"/>
          <w:sz w:val="18"/>
          <w:szCs w:val="18"/>
        </w:rPr>
      </w:pPr>
      <w:r w:rsidRPr="00255688">
        <w:rPr>
          <w:rFonts w:ascii="Century Gothic" w:hAnsi="Century Gothic"/>
          <w:sz w:val="18"/>
          <w:szCs w:val="18"/>
        </w:rPr>
        <w:t xml:space="preserve">© </w:t>
      </w:r>
      <w:r>
        <w:rPr>
          <w:rFonts w:ascii="Century Gothic" w:hAnsi="Century Gothic"/>
          <w:sz w:val="18"/>
          <w:szCs w:val="18"/>
        </w:rPr>
        <w:t>Resource Economics</w:t>
      </w:r>
      <w:r w:rsidRPr="00255688">
        <w:rPr>
          <w:rFonts w:ascii="Century Gothic" w:hAnsi="Century Gothic"/>
          <w:sz w:val="18"/>
          <w:szCs w:val="18"/>
        </w:rPr>
        <w:t xml:space="preserve"> Ltd</w:t>
      </w:r>
      <w:r>
        <w:rPr>
          <w:rFonts w:ascii="Century Gothic" w:hAnsi="Century Gothic"/>
          <w:sz w:val="18"/>
          <w:szCs w:val="18"/>
        </w:rPr>
        <w:t>,</w:t>
      </w:r>
      <w:r w:rsidRPr="00255688">
        <w:rPr>
          <w:rFonts w:ascii="Century Gothic" w:hAnsi="Century Gothic"/>
          <w:sz w:val="18"/>
          <w:szCs w:val="18"/>
        </w:rPr>
        <w:t xml:space="preserve"> </w:t>
      </w:r>
      <w:r w:rsidR="00FC77C7">
        <w:rPr>
          <w:rFonts w:ascii="Century Gothic" w:hAnsi="Century Gothic"/>
          <w:sz w:val="18"/>
          <w:szCs w:val="18"/>
        </w:rPr>
        <w:t xml:space="preserve">2020. </w:t>
      </w:r>
      <w:r w:rsidRPr="00255688">
        <w:rPr>
          <w:rFonts w:ascii="Century Gothic" w:hAnsi="Century Gothic"/>
          <w:sz w:val="18"/>
          <w:szCs w:val="18"/>
        </w:rPr>
        <w:t>All rights reserved.</w:t>
      </w:r>
    </w:p>
    <w:p w14:paraId="37AE7494" w14:textId="77777777" w:rsidR="00AF0CD8" w:rsidRDefault="00AF0CD8">
      <w:pPr>
        <w:spacing w:line="240" w:lineRule="auto"/>
      </w:pPr>
    </w:p>
    <w:p w14:paraId="3ABB16A0" w14:textId="77777777" w:rsidR="007F7C24" w:rsidRDefault="007F7C24" w:rsidP="00C535E7">
      <w:pPr>
        <w:sectPr w:rsidR="007F7C24" w:rsidSect="001540A7">
          <w:footerReference w:type="default" r:id="rId8"/>
          <w:headerReference w:type="first" r:id="rId9"/>
          <w:footerReference w:type="first" r:id="rId10"/>
          <w:pgSz w:w="11907" w:h="16840" w:code="9"/>
          <w:pgMar w:top="1678" w:right="1701" w:bottom="1418" w:left="1985" w:header="720" w:footer="828" w:gutter="0"/>
          <w:cols w:space="720"/>
          <w:titlePg/>
          <w:docGrid w:linePitch="360"/>
        </w:sectPr>
      </w:pPr>
      <w:r>
        <w:rPr>
          <w:rFonts w:ascii="Century Gothic" w:hAnsi="Century Gothic"/>
          <w:noProof/>
          <w:sz w:val="18"/>
          <w:szCs w:val="18"/>
          <w:lang w:eastAsia="en-NZ"/>
        </w:rPr>
        <mc:AlternateContent>
          <mc:Choice Requires="wps">
            <w:drawing>
              <wp:anchor distT="0" distB="0" distL="114300" distR="114300" simplePos="0" relativeHeight="251664384" behindDoc="1" locked="0" layoutInCell="1" allowOverlap="1" wp14:anchorId="7A326F12" wp14:editId="7BDBF614">
                <wp:simplePos x="0" y="0"/>
                <wp:positionH relativeFrom="column">
                  <wp:posOffset>-190500</wp:posOffset>
                </wp:positionH>
                <wp:positionV relativeFrom="margin">
                  <wp:posOffset>8056880</wp:posOffset>
                </wp:positionV>
                <wp:extent cx="5424170" cy="1151255"/>
                <wp:effectExtent l="0" t="0" r="508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65239" w14:textId="77777777" w:rsidR="00D235A5" w:rsidRPr="003D0E4E" w:rsidRDefault="00D235A5" w:rsidP="007F7C24">
                            <w:pPr>
                              <w:pStyle w:val="Copyrighttext"/>
                            </w:pPr>
                            <w:r w:rsidRPr="003D0E4E">
                              <w:rPr>
                                <w:b/>
                              </w:rPr>
                              <w:t>Disclaimer</w:t>
                            </w:r>
                          </w:p>
                          <w:p w14:paraId="3C1D32E4" w14:textId="77777777" w:rsidR="00D235A5" w:rsidRPr="003D0E4E" w:rsidRDefault="00D235A5" w:rsidP="007F7C24">
                            <w:pPr>
                              <w:rPr>
                                <w:rFonts w:ascii="Century Gothic" w:hAnsi="Century Gothic"/>
                                <w:sz w:val="18"/>
                                <w:szCs w:val="18"/>
                                <w:lang w:val="en-US"/>
                              </w:rPr>
                            </w:pPr>
                            <w:r w:rsidRPr="003D0E4E">
                              <w:rPr>
                                <w:rFonts w:ascii="Century Gothic" w:hAnsi="Century Gothic"/>
                                <w:sz w:val="18"/>
                                <w:szCs w:val="18"/>
                                <w:lang w:val="en-US"/>
                              </w:rPr>
                              <w:t xml:space="preserve">Although every effort has been made to ensure the accuracy of the material and the integrity of the analysis presented herein, </w:t>
                            </w:r>
                            <w:r>
                              <w:rPr>
                                <w:rFonts w:ascii="Century Gothic" w:hAnsi="Century Gothic"/>
                                <w:sz w:val="18"/>
                                <w:szCs w:val="18"/>
                                <w:lang w:val="en-US"/>
                              </w:rPr>
                              <w:t>Resource Economics</w:t>
                            </w:r>
                            <w:r w:rsidRPr="003D0E4E">
                              <w:rPr>
                                <w:rFonts w:ascii="Century Gothic" w:hAnsi="Century Gothic"/>
                                <w:sz w:val="18"/>
                                <w:szCs w:val="18"/>
                                <w:lang w:val="en-US"/>
                              </w:rPr>
                              <w:t xml:space="preserve"> Ltd accepts no liability for any actions taken on the basis of its contents</w:t>
                            </w:r>
                            <w:r>
                              <w:rPr>
                                <w:rFonts w:ascii="Century Gothic" w:hAnsi="Century Gothic"/>
                                <w:sz w:val="18"/>
                                <w:szCs w:val="18"/>
                                <w:lang w:val="en-US"/>
                              </w:rPr>
                              <w:t>.</w:t>
                            </w:r>
                          </w:p>
                          <w:p w14:paraId="47363B08" w14:textId="77777777" w:rsidR="00D235A5" w:rsidRDefault="00D235A5" w:rsidP="007F7C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26F12" id="Text Box 18" o:spid="_x0000_s1030" type="#_x0000_t202" style="position:absolute;margin-left:-15pt;margin-top:634.4pt;width:427.1pt;height:9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" stroked="f">
                <v:textbox>
                  <w:txbxContent>
                    <w:p w14:paraId="5FD65239" w14:textId="77777777" w:rsidR="00D235A5" w:rsidRPr="003D0E4E" w:rsidRDefault="00D235A5" w:rsidP="007F7C24">
                      <w:pPr>
                        <w:pStyle w:val="Copyrighttext"/>
                      </w:pPr>
                      <w:r w:rsidRPr="003D0E4E">
                        <w:rPr>
                          <w:b/>
                        </w:rPr>
                        <w:t>Disclaimer</w:t>
                      </w:r>
                    </w:p>
                    <w:p w14:paraId="3C1D32E4" w14:textId="77777777" w:rsidR="00D235A5" w:rsidRPr="003D0E4E" w:rsidRDefault="00D235A5" w:rsidP="007F7C24">
                      <w:pPr>
                        <w:rPr>
                          <w:rFonts w:ascii="Century Gothic" w:hAnsi="Century Gothic"/>
                          <w:sz w:val="18"/>
                          <w:szCs w:val="18"/>
                          <w:lang w:val="en-US"/>
                        </w:rPr>
                      </w:pPr>
                      <w:r w:rsidRPr="003D0E4E">
                        <w:rPr>
                          <w:rFonts w:ascii="Century Gothic" w:hAnsi="Century Gothic"/>
                          <w:sz w:val="18"/>
                          <w:szCs w:val="18"/>
                          <w:lang w:val="en-US"/>
                        </w:rPr>
                        <w:t xml:space="preserve">Although every effort has been made to ensure the accuracy of the material and the integrity of the analysis presented herein, </w:t>
                      </w:r>
                      <w:r>
                        <w:rPr>
                          <w:rFonts w:ascii="Century Gothic" w:hAnsi="Century Gothic"/>
                          <w:sz w:val="18"/>
                          <w:szCs w:val="18"/>
                          <w:lang w:val="en-US"/>
                        </w:rPr>
                        <w:t>Resource Economics</w:t>
                      </w:r>
                      <w:r w:rsidRPr="003D0E4E">
                        <w:rPr>
                          <w:rFonts w:ascii="Century Gothic" w:hAnsi="Century Gothic"/>
                          <w:sz w:val="18"/>
                          <w:szCs w:val="18"/>
                          <w:lang w:val="en-US"/>
                        </w:rPr>
                        <w:t xml:space="preserve"> Ltd accepts no liability for any actions taken on the basis of its contents</w:t>
                      </w:r>
                      <w:r>
                        <w:rPr>
                          <w:rFonts w:ascii="Century Gothic" w:hAnsi="Century Gothic"/>
                          <w:sz w:val="18"/>
                          <w:szCs w:val="18"/>
                          <w:lang w:val="en-US"/>
                        </w:rPr>
                        <w:t>.</w:t>
                      </w:r>
                    </w:p>
                    <w:p w14:paraId="47363B08" w14:textId="77777777" w:rsidR="00D235A5" w:rsidRDefault="00D235A5" w:rsidP="007F7C24"/>
                  </w:txbxContent>
                </v:textbox>
                <w10:wrap anchory="margin"/>
              </v:shape>
            </w:pict>
          </mc:Fallback>
        </mc:AlternateContent>
      </w:r>
    </w:p>
    <w:p w14:paraId="365FCF31" w14:textId="77777777" w:rsidR="007F7C24" w:rsidRPr="007F7C24" w:rsidRDefault="007F7C24" w:rsidP="007F7C24">
      <w:pPr>
        <w:pStyle w:val="TOC1"/>
        <w:pBdr>
          <w:bottom w:val="single" w:sz="4" w:space="1" w:color="auto"/>
        </w:pBdr>
        <w:tabs>
          <w:tab w:val="left" w:pos="442"/>
          <w:tab w:val="right" w:pos="8211"/>
        </w:tabs>
        <w:rPr>
          <w:sz w:val="28"/>
          <w:szCs w:val="28"/>
        </w:rPr>
      </w:pPr>
      <w:r>
        <w:rPr>
          <w:sz w:val="28"/>
          <w:szCs w:val="28"/>
        </w:rPr>
        <w:lastRenderedPageBreak/>
        <w:t>Co</w:t>
      </w:r>
      <w:bookmarkStart w:id="0" w:name="_GoBack"/>
      <w:bookmarkEnd w:id="0"/>
      <w:r>
        <w:rPr>
          <w:sz w:val="28"/>
          <w:szCs w:val="28"/>
        </w:rPr>
        <w:t>ntents</w:t>
      </w:r>
    </w:p>
    <w:p w14:paraId="7A069B70" w14:textId="08179095" w:rsidR="00FC77C7" w:rsidRDefault="007F7C24">
      <w:pPr>
        <w:pStyle w:val="TOC1"/>
        <w:tabs>
          <w:tab w:val="left" w:pos="442"/>
          <w:tab w:val="right" w:pos="8211"/>
        </w:tabs>
        <w:rPr>
          <w:rFonts w:asciiTheme="minorHAnsi" w:eastAsiaTheme="minorEastAsia" w:hAnsiTheme="minorHAnsi" w:cstheme="minorBidi"/>
          <w:b w:val="0"/>
          <w:noProof/>
          <w:sz w:val="22"/>
          <w:szCs w:val="22"/>
          <w:lang w:eastAsia="en-NZ"/>
        </w:rPr>
      </w:pPr>
      <w:r>
        <w:fldChar w:fldCharType="begin"/>
      </w:r>
      <w:r>
        <w:instrText xml:space="preserve"> TOC \o "1-2" \h \z \u </w:instrText>
      </w:r>
      <w:r>
        <w:fldChar w:fldCharType="separate"/>
      </w:r>
      <w:hyperlink w:anchor="_Toc35599740" w:history="1">
        <w:r w:rsidR="00FC77C7" w:rsidRPr="00107C38">
          <w:rPr>
            <w:rStyle w:val="Hyperlink"/>
            <w:noProof/>
          </w:rPr>
          <w:t>1</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Introduction</w:t>
        </w:r>
        <w:r w:rsidR="00FC77C7">
          <w:rPr>
            <w:noProof/>
            <w:webHidden/>
          </w:rPr>
          <w:tab/>
        </w:r>
        <w:r w:rsidR="00FC77C7">
          <w:rPr>
            <w:noProof/>
            <w:webHidden/>
          </w:rPr>
          <w:fldChar w:fldCharType="begin"/>
        </w:r>
        <w:r w:rsidR="00FC77C7">
          <w:rPr>
            <w:noProof/>
            <w:webHidden/>
          </w:rPr>
          <w:instrText xml:space="preserve"> PAGEREF _Toc35599740 \h </w:instrText>
        </w:r>
        <w:r w:rsidR="00FC77C7">
          <w:rPr>
            <w:noProof/>
            <w:webHidden/>
          </w:rPr>
        </w:r>
        <w:r w:rsidR="00FC77C7">
          <w:rPr>
            <w:noProof/>
            <w:webHidden/>
          </w:rPr>
          <w:fldChar w:fldCharType="separate"/>
        </w:r>
        <w:r w:rsidR="00024EB5">
          <w:rPr>
            <w:noProof/>
            <w:webHidden/>
          </w:rPr>
          <w:t>1</w:t>
        </w:r>
        <w:r w:rsidR="00FC77C7">
          <w:rPr>
            <w:noProof/>
            <w:webHidden/>
          </w:rPr>
          <w:fldChar w:fldCharType="end"/>
        </w:r>
      </w:hyperlink>
    </w:p>
    <w:p w14:paraId="6A860E4C" w14:textId="4745AD84"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1" w:history="1">
        <w:r w:rsidR="00FC77C7" w:rsidRPr="00107C38">
          <w:rPr>
            <w:rStyle w:val="Hyperlink"/>
            <w:noProof/>
          </w:rPr>
          <w:t>1.1</w:t>
        </w:r>
        <w:r w:rsidR="00FC77C7">
          <w:rPr>
            <w:rFonts w:asciiTheme="minorHAnsi" w:eastAsiaTheme="minorEastAsia" w:hAnsiTheme="minorHAnsi" w:cstheme="minorBidi"/>
            <w:noProof/>
            <w:sz w:val="22"/>
            <w:szCs w:val="22"/>
            <w:lang w:eastAsia="en-NZ"/>
          </w:rPr>
          <w:tab/>
        </w:r>
        <w:r w:rsidR="00FC77C7" w:rsidRPr="00107C38">
          <w:rPr>
            <w:rStyle w:val="Hyperlink"/>
            <w:noProof/>
          </w:rPr>
          <w:t>Purpose of this Report</w:t>
        </w:r>
        <w:r w:rsidR="00FC77C7">
          <w:rPr>
            <w:noProof/>
            <w:webHidden/>
          </w:rPr>
          <w:tab/>
        </w:r>
        <w:r w:rsidR="00FC77C7">
          <w:rPr>
            <w:noProof/>
            <w:webHidden/>
          </w:rPr>
          <w:fldChar w:fldCharType="begin"/>
        </w:r>
        <w:r w:rsidR="00FC77C7">
          <w:rPr>
            <w:noProof/>
            <w:webHidden/>
          </w:rPr>
          <w:instrText xml:space="preserve"> PAGEREF _Toc35599741 \h </w:instrText>
        </w:r>
        <w:r w:rsidR="00FC77C7">
          <w:rPr>
            <w:noProof/>
            <w:webHidden/>
          </w:rPr>
        </w:r>
        <w:r w:rsidR="00FC77C7">
          <w:rPr>
            <w:noProof/>
            <w:webHidden/>
          </w:rPr>
          <w:fldChar w:fldCharType="separate"/>
        </w:r>
        <w:r>
          <w:rPr>
            <w:noProof/>
            <w:webHidden/>
          </w:rPr>
          <w:t>1</w:t>
        </w:r>
        <w:r w:rsidR="00FC77C7">
          <w:rPr>
            <w:noProof/>
            <w:webHidden/>
          </w:rPr>
          <w:fldChar w:fldCharType="end"/>
        </w:r>
      </w:hyperlink>
    </w:p>
    <w:p w14:paraId="33DF6821" w14:textId="45F51F74"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2" w:history="1">
        <w:r w:rsidR="00FC77C7" w:rsidRPr="00107C38">
          <w:rPr>
            <w:rStyle w:val="Hyperlink"/>
            <w:noProof/>
          </w:rPr>
          <w:t>1.2</w:t>
        </w:r>
        <w:r w:rsidR="00FC77C7">
          <w:rPr>
            <w:rFonts w:asciiTheme="minorHAnsi" w:eastAsiaTheme="minorEastAsia" w:hAnsiTheme="minorHAnsi" w:cstheme="minorBidi"/>
            <w:noProof/>
            <w:sz w:val="22"/>
            <w:szCs w:val="22"/>
            <w:lang w:eastAsia="en-NZ"/>
          </w:rPr>
          <w:tab/>
        </w:r>
        <w:r w:rsidR="00FC77C7" w:rsidRPr="00107C38">
          <w:rPr>
            <w:rStyle w:val="Hyperlink"/>
            <w:noProof/>
          </w:rPr>
          <w:t>The Water Quality Problem</w:t>
        </w:r>
        <w:r w:rsidR="00FC77C7">
          <w:rPr>
            <w:noProof/>
            <w:webHidden/>
          </w:rPr>
          <w:tab/>
        </w:r>
        <w:r w:rsidR="00FC77C7">
          <w:rPr>
            <w:noProof/>
            <w:webHidden/>
          </w:rPr>
          <w:fldChar w:fldCharType="begin"/>
        </w:r>
        <w:r w:rsidR="00FC77C7">
          <w:rPr>
            <w:noProof/>
            <w:webHidden/>
          </w:rPr>
          <w:instrText xml:space="preserve"> PAGEREF _Toc35599742 \h </w:instrText>
        </w:r>
        <w:r w:rsidR="00FC77C7">
          <w:rPr>
            <w:noProof/>
            <w:webHidden/>
          </w:rPr>
        </w:r>
        <w:r w:rsidR="00FC77C7">
          <w:rPr>
            <w:noProof/>
            <w:webHidden/>
          </w:rPr>
          <w:fldChar w:fldCharType="separate"/>
        </w:r>
        <w:r>
          <w:rPr>
            <w:noProof/>
            <w:webHidden/>
          </w:rPr>
          <w:t>1</w:t>
        </w:r>
        <w:r w:rsidR="00FC77C7">
          <w:rPr>
            <w:noProof/>
            <w:webHidden/>
          </w:rPr>
          <w:fldChar w:fldCharType="end"/>
        </w:r>
      </w:hyperlink>
    </w:p>
    <w:p w14:paraId="1CAA90C2" w14:textId="7A0E606B"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3" w:history="1">
        <w:r w:rsidR="00FC77C7" w:rsidRPr="00107C38">
          <w:rPr>
            <w:rStyle w:val="Hyperlink"/>
            <w:noProof/>
          </w:rPr>
          <w:t>1.3</w:t>
        </w:r>
        <w:r w:rsidR="00FC77C7">
          <w:rPr>
            <w:rFonts w:asciiTheme="minorHAnsi" w:eastAsiaTheme="minorEastAsia" w:hAnsiTheme="minorHAnsi" w:cstheme="minorBidi"/>
            <w:noProof/>
            <w:sz w:val="22"/>
            <w:szCs w:val="22"/>
            <w:lang w:eastAsia="en-NZ"/>
          </w:rPr>
          <w:tab/>
        </w:r>
        <w:r w:rsidR="00FC77C7" w:rsidRPr="00107C38">
          <w:rPr>
            <w:rStyle w:val="Hyperlink"/>
            <w:noProof/>
          </w:rPr>
          <w:t>Existing Policy – the NPS</w:t>
        </w:r>
        <w:r w:rsidR="00A53FAC">
          <w:rPr>
            <w:rStyle w:val="Hyperlink"/>
            <w:noProof/>
          </w:rPr>
          <w:t>-FM</w:t>
        </w:r>
        <w:r w:rsidR="00FC77C7">
          <w:rPr>
            <w:noProof/>
            <w:webHidden/>
          </w:rPr>
          <w:tab/>
        </w:r>
        <w:r w:rsidR="00FC77C7">
          <w:rPr>
            <w:noProof/>
            <w:webHidden/>
          </w:rPr>
          <w:fldChar w:fldCharType="begin"/>
        </w:r>
        <w:r w:rsidR="00FC77C7">
          <w:rPr>
            <w:noProof/>
            <w:webHidden/>
          </w:rPr>
          <w:instrText xml:space="preserve"> PAGEREF _Toc35599743 \h </w:instrText>
        </w:r>
        <w:r w:rsidR="00FC77C7">
          <w:rPr>
            <w:noProof/>
            <w:webHidden/>
          </w:rPr>
        </w:r>
        <w:r w:rsidR="00FC77C7">
          <w:rPr>
            <w:noProof/>
            <w:webHidden/>
          </w:rPr>
          <w:fldChar w:fldCharType="separate"/>
        </w:r>
        <w:r>
          <w:rPr>
            <w:noProof/>
            <w:webHidden/>
          </w:rPr>
          <w:t>3</w:t>
        </w:r>
        <w:r w:rsidR="00FC77C7">
          <w:rPr>
            <w:noProof/>
            <w:webHidden/>
          </w:rPr>
          <w:fldChar w:fldCharType="end"/>
        </w:r>
      </w:hyperlink>
    </w:p>
    <w:p w14:paraId="568022FD" w14:textId="56324E9D"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4" w:history="1">
        <w:r w:rsidR="00FC77C7" w:rsidRPr="00107C38">
          <w:rPr>
            <w:rStyle w:val="Hyperlink"/>
            <w:noProof/>
          </w:rPr>
          <w:t>1.4</w:t>
        </w:r>
        <w:r w:rsidR="00FC77C7">
          <w:rPr>
            <w:rFonts w:asciiTheme="minorHAnsi" w:eastAsiaTheme="minorEastAsia" w:hAnsiTheme="minorHAnsi" w:cstheme="minorBidi"/>
            <w:noProof/>
            <w:sz w:val="22"/>
            <w:szCs w:val="22"/>
            <w:lang w:eastAsia="en-NZ"/>
          </w:rPr>
          <w:tab/>
        </w:r>
        <w:r w:rsidR="00FC77C7" w:rsidRPr="00107C38">
          <w:rPr>
            <w:rStyle w:val="Hyperlink"/>
            <w:noProof/>
          </w:rPr>
          <w:t>The Essential Freshwater Package</w:t>
        </w:r>
        <w:r w:rsidR="00FC77C7">
          <w:rPr>
            <w:noProof/>
            <w:webHidden/>
          </w:rPr>
          <w:tab/>
        </w:r>
        <w:r w:rsidR="00FC77C7">
          <w:rPr>
            <w:noProof/>
            <w:webHidden/>
          </w:rPr>
          <w:fldChar w:fldCharType="begin"/>
        </w:r>
        <w:r w:rsidR="00FC77C7">
          <w:rPr>
            <w:noProof/>
            <w:webHidden/>
          </w:rPr>
          <w:instrText xml:space="preserve"> PAGEREF _Toc35599744 \h </w:instrText>
        </w:r>
        <w:r w:rsidR="00FC77C7">
          <w:rPr>
            <w:noProof/>
            <w:webHidden/>
          </w:rPr>
        </w:r>
        <w:r w:rsidR="00FC77C7">
          <w:rPr>
            <w:noProof/>
            <w:webHidden/>
          </w:rPr>
          <w:fldChar w:fldCharType="separate"/>
        </w:r>
        <w:r>
          <w:rPr>
            <w:noProof/>
            <w:webHidden/>
          </w:rPr>
          <w:t>3</w:t>
        </w:r>
        <w:r w:rsidR="00FC77C7">
          <w:rPr>
            <w:noProof/>
            <w:webHidden/>
          </w:rPr>
          <w:fldChar w:fldCharType="end"/>
        </w:r>
      </w:hyperlink>
    </w:p>
    <w:p w14:paraId="0CCB2CD0" w14:textId="62838C7B"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5" w:history="1">
        <w:r w:rsidR="00FC77C7" w:rsidRPr="00107C38">
          <w:rPr>
            <w:rStyle w:val="Hyperlink"/>
            <w:noProof/>
          </w:rPr>
          <w:t>1.5</w:t>
        </w:r>
        <w:r w:rsidR="00FC77C7">
          <w:rPr>
            <w:rFonts w:asciiTheme="minorHAnsi" w:eastAsiaTheme="minorEastAsia" w:hAnsiTheme="minorHAnsi" w:cstheme="minorBidi"/>
            <w:noProof/>
            <w:sz w:val="22"/>
            <w:szCs w:val="22"/>
            <w:lang w:eastAsia="en-NZ"/>
          </w:rPr>
          <w:tab/>
        </w:r>
        <w:r w:rsidR="00FC77C7" w:rsidRPr="00107C38">
          <w:rPr>
            <w:rStyle w:val="Hyperlink"/>
            <w:noProof/>
          </w:rPr>
          <w:t>Benefits to be Evaluated</w:t>
        </w:r>
        <w:r w:rsidR="00FC77C7">
          <w:rPr>
            <w:noProof/>
            <w:webHidden/>
          </w:rPr>
          <w:tab/>
        </w:r>
        <w:r w:rsidR="00FC77C7">
          <w:rPr>
            <w:noProof/>
            <w:webHidden/>
          </w:rPr>
          <w:fldChar w:fldCharType="begin"/>
        </w:r>
        <w:r w:rsidR="00FC77C7">
          <w:rPr>
            <w:noProof/>
            <w:webHidden/>
          </w:rPr>
          <w:instrText xml:space="preserve"> PAGEREF _Toc35599745 \h </w:instrText>
        </w:r>
        <w:r w:rsidR="00FC77C7">
          <w:rPr>
            <w:noProof/>
            <w:webHidden/>
          </w:rPr>
        </w:r>
        <w:r w:rsidR="00FC77C7">
          <w:rPr>
            <w:noProof/>
            <w:webHidden/>
          </w:rPr>
          <w:fldChar w:fldCharType="separate"/>
        </w:r>
        <w:r>
          <w:rPr>
            <w:noProof/>
            <w:webHidden/>
          </w:rPr>
          <w:t>4</w:t>
        </w:r>
        <w:r w:rsidR="00FC77C7">
          <w:rPr>
            <w:noProof/>
            <w:webHidden/>
          </w:rPr>
          <w:fldChar w:fldCharType="end"/>
        </w:r>
      </w:hyperlink>
    </w:p>
    <w:p w14:paraId="6982E66D" w14:textId="0B0B9E38"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6" w:history="1">
        <w:r w:rsidR="00FC77C7" w:rsidRPr="00107C38">
          <w:rPr>
            <w:rStyle w:val="Hyperlink"/>
            <w:noProof/>
          </w:rPr>
          <w:t>1.6</w:t>
        </w:r>
        <w:r w:rsidR="00FC77C7">
          <w:rPr>
            <w:rFonts w:asciiTheme="minorHAnsi" w:eastAsiaTheme="minorEastAsia" w:hAnsiTheme="minorHAnsi" w:cstheme="minorBidi"/>
            <w:noProof/>
            <w:sz w:val="22"/>
            <w:szCs w:val="22"/>
            <w:lang w:eastAsia="en-NZ"/>
          </w:rPr>
          <w:tab/>
        </w:r>
        <w:r w:rsidR="00FC77C7" w:rsidRPr="00107C38">
          <w:rPr>
            <w:rStyle w:val="Hyperlink"/>
            <w:noProof/>
          </w:rPr>
          <w:t>Speed of Implementation</w:t>
        </w:r>
        <w:r w:rsidR="00FC77C7">
          <w:rPr>
            <w:noProof/>
            <w:webHidden/>
          </w:rPr>
          <w:tab/>
        </w:r>
        <w:r w:rsidR="00FC77C7">
          <w:rPr>
            <w:noProof/>
            <w:webHidden/>
          </w:rPr>
          <w:fldChar w:fldCharType="begin"/>
        </w:r>
        <w:r w:rsidR="00FC77C7">
          <w:rPr>
            <w:noProof/>
            <w:webHidden/>
          </w:rPr>
          <w:instrText xml:space="preserve"> PAGEREF _Toc35599746 \h </w:instrText>
        </w:r>
        <w:r w:rsidR="00FC77C7">
          <w:rPr>
            <w:noProof/>
            <w:webHidden/>
          </w:rPr>
        </w:r>
        <w:r w:rsidR="00FC77C7">
          <w:rPr>
            <w:noProof/>
            <w:webHidden/>
          </w:rPr>
          <w:fldChar w:fldCharType="separate"/>
        </w:r>
        <w:r>
          <w:rPr>
            <w:noProof/>
            <w:webHidden/>
          </w:rPr>
          <w:t>6</w:t>
        </w:r>
        <w:r w:rsidR="00FC77C7">
          <w:rPr>
            <w:noProof/>
            <w:webHidden/>
          </w:rPr>
          <w:fldChar w:fldCharType="end"/>
        </w:r>
      </w:hyperlink>
    </w:p>
    <w:p w14:paraId="5DCECCA5" w14:textId="353E3060"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7" w:history="1">
        <w:r w:rsidR="00FC77C7" w:rsidRPr="00107C38">
          <w:rPr>
            <w:rStyle w:val="Hyperlink"/>
            <w:noProof/>
          </w:rPr>
          <w:t>1.7</w:t>
        </w:r>
        <w:r w:rsidR="00FC77C7">
          <w:rPr>
            <w:rFonts w:asciiTheme="minorHAnsi" w:eastAsiaTheme="minorEastAsia" w:hAnsiTheme="minorHAnsi" w:cstheme="minorBidi"/>
            <w:noProof/>
            <w:sz w:val="22"/>
            <w:szCs w:val="22"/>
            <w:lang w:eastAsia="en-NZ"/>
          </w:rPr>
          <w:tab/>
        </w:r>
        <w:r w:rsidR="00FC77C7" w:rsidRPr="00107C38">
          <w:rPr>
            <w:rStyle w:val="Hyperlink"/>
            <w:noProof/>
          </w:rPr>
          <w:t>Discount Rates</w:t>
        </w:r>
        <w:r w:rsidR="00FC77C7">
          <w:rPr>
            <w:noProof/>
            <w:webHidden/>
          </w:rPr>
          <w:tab/>
        </w:r>
        <w:r w:rsidR="00FC77C7">
          <w:rPr>
            <w:noProof/>
            <w:webHidden/>
          </w:rPr>
          <w:fldChar w:fldCharType="begin"/>
        </w:r>
        <w:r w:rsidR="00FC77C7">
          <w:rPr>
            <w:noProof/>
            <w:webHidden/>
          </w:rPr>
          <w:instrText xml:space="preserve"> PAGEREF _Toc35599747 \h </w:instrText>
        </w:r>
        <w:r w:rsidR="00FC77C7">
          <w:rPr>
            <w:noProof/>
            <w:webHidden/>
          </w:rPr>
        </w:r>
        <w:r w:rsidR="00FC77C7">
          <w:rPr>
            <w:noProof/>
            <w:webHidden/>
          </w:rPr>
          <w:fldChar w:fldCharType="separate"/>
        </w:r>
        <w:r>
          <w:rPr>
            <w:noProof/>
            <w:webHidden/>
          </w:rPr>
          <w:t>7</w:t>
        </w:r>
        <w:r w:rsidR="00FC77C7">
          <w:rPr>
            <w:noProof/>
            <w:webHidden/>
          </w:rPr>
          <w:fldChar w:fldCharType="end"/>
        </w:r>
      </w:hyperlink>
    </w:p>
    <w:p w14:paraId="618DC91B" w14:textId="054D04C3"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48" w:history="1">
        <w:r w:rsidR="00FC77C7" w:rsidRPr="00107C38">
          <w:rPr>
            <w:rStyle w:val="Hyperlink"/>
            <w:noProof/>
          </w:rPr>
          <w:t>2</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Existing Studies</w:t>
        </w:r>
        <w:r w:rsidR="00FC77C7">
          <w:rPr>
            <w:noProof/>
            <w:webHidden/>
          </w:rPr>
          <w:tab/>
        </w:r>
        <w:r w:rsidR="00FC77C7">
          <w:rPr>
            <w:noProof/>
            <w:webHidden/>
          </w:rPr>
          <w:fldChar w:fldCharType="begin"/>
        </w:r>
        <w:r w:rsidR="00FC77C7">
          <w:rPr>
            <w:noProof/>
            <w:webHidden/>
          </w:rPr>
          <w:instrText xml:space="preserve"> PAGEREF _Toc35599748 \h </w:instrText>
        </w:r>
        <w:r w:rsidR="00FC77C7">
          <w:rPr>
            <w:noProof/>
            <w:webHidden/>
          </w:rPr>
        </w:r>
        <w:r w:rsidR="00FC77C7">
          <w:rPr>
            <w:noProof/>
            <w:webHidden/>
          </w:rPr>
          <w:fldChar w:fldCharType="separate"/>
        </w:r>
        <w:r>
          <w:rPr>
            <w:noProof/>
            <w:webHidden/>
          </w:rPr>
          <w:t>9</w:t>
        </w:r>
        <w:r w:rsidR="00FC77C7">
          <w:rPr>
            <w:noProof/>
            <w:webHidden/>
          </w:rPr>
          <w:fldChar w:fldCharType="end"/>
        </w:r>
      </w:hyperlink>
    </w:p>
    <w:p w14:paraId="1768F19E" w14:textId="329CE28C"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49" w:history="1">
        <w:r w:rsidR="00FC77C7" w:rsidRPr="00107C38">
          <w:rPr>
            <w:rStyle w:val="Hyperlink"/>
            <w:noProof/>
          </w:rPr>
          <w:t>2.1</w:t>
        </w:r>
        <w:r w:rsidR="00FC77C7">
          <w:rPr>
            <w:rFonts w:asciiTheme="minorHAnsi" w:eastAsiaTheme="minorEastAsia" w:hAnsiTheme="minorHAnsi" w:cstheme="minorBidi"/>
            <w:noProof/>
            <w:sz w:val="22"/>
            <w:szCs w:val="22"/>
            <w:lang w:eastAsia="en-NZ"/>
          </w:rPr>
          <w:tab/>
        </w:r>
        <w:r w:rsidR="00FC77C7" w:rsidRPr="00107C38">
          <w:rPr>
            <w:rStyle w:val="Hyperlink"/>
            <w:noProof/>
          </w:rPr>
          <w:t>Assumptions</w:t>
        </w:r>
        <w:r w:rsidR="00FC77C7">
          <w:rPr>
            <w:noProof/>
            <w:webHidden/>
          </w:rPr>
          <w:tab/>
        </w:r>
        <w:r w:rsidR="00FC77C7">
          <w:rPr>
            <w:noProof/>
            <w:webHidden/>
          </w:rPr>
          <w:fldChar w:fldCharType="begin"/>
        </w:r>
        <w:r w:rsidR="00FC77C7">
          <w:rPr>
            <w:noProof/>
            <w:webHidden/>
          </w:rPr>
          <w:instrText xml:space="preserve"> PAGEREF _Toc35599749 \h </w:instrText>
        </w:r>
        <w:r w:rsidR="00FC77C7">
          <w:rPr>
            <w:noProof/>
            <w:webHidden/>
          </w:rPr>
        </w:r>
        <w:r w:rsidR="00FC77C7">
          <w:rPr>
            <w:noProof/>
            <w:webHidden/>
          </w:rPr>
          <w:fldChar w:fldCharType="separate"/>
        </w:r>
        <w:r>
          <w:rPr>
            <w:noProof/>
            <w:webHidden/>
          </w:rPr>
          <w:t>9</w:t>
        </w:r>
        <w:r w:rsidR="00FC77C7">
          <w:rPr>
            <w:noProof/>
            <w:webHidden/>
          </w:rPr>
          <w:fldChar w:fldCharType="end"/>
        </w:r>
      </w:hyperlink>
    </w:p>
    <w:p w14:paraId="300A07F3" w14:textId="2AE28FD6"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0" w:history="1">
        <w:r w:rsidR="00FC77C7" w:rsidRPr="00107C38">
          <w:rPr>
            <w:rStyle w:val="Hyperlink"/>
            <w:noProof/>
          </w:rPr>
          <w:t>2.2</w:t>
        </w:r>
        <w:r w:rsidR="00FC77C7">
          <w:rPr>
            <w:rFonts w:asciiTheme="minorHAnsi" w:eastAsiaTheme="minorEastAsia" w:hAnsiTheme="minorHAnsi" w:cstheme="minorBidi"/>
            <w:noProof/>
            <w:sz w:val="22"/>
            <w:szCs w:val="22"/>
            <w:lang w:eastAsia="en-NZ"/>
          </w:rPr>
          <w:tab/>
        </w:r>
        <w:r w:rsidR="00FC77C7" w:rsidRPr="00107C38">
          <w:rPr>
            <w:rStyle w:val="Hyperlink"/>
            <w:noProof/>
          </w:rPr>
          <w:t>Stock Exclusion</w:t>
        </w:r>
        <w:r w:rsidR="00FC77C7">
          <w:rPr>
            <w:noProof/>
            <w:webHidden/>
          </w:rPr>
          <w:tab/>
        </w:r>
        <w:r w:rsidR="00FC77C7">
          <w:rPr>
            <w:noProof/>
            <w:webHidden/>
          </w:rPr>
          <w:fldChar w:fldCharType="begin"/>
        </w:r>
        <w:r w:rsidR="00FC77C7">
          <w:rPr>
            <w:noProof/>
            <w:webHidden/>
          </w:rPr>
          <w:instrText xml:space="preserve"> PAGEREF _Toc35599750 \h </w:instrText>
        </w:r>
        <w:r w:rsidR="00FC77C7">
          <w:rPr>
            <w:noProof/>
            <w:webHidden/>
          </w:rPr>
        </w:r>
        <w:r w:rsidR="00FC77C7">
          <w:rPr>
            <w:noProof/>
            <w:webHidden/>
          </w:rPr>
          <w:fldChar w:fldCharType="separate"/>
        </w:r>
        <w:r>
          <w:rPr>
            <w:noProof/>
            <w:webHidden/>
          </w:rPr>
          <w:t>10</w:t>
        </w:r>
        <w:r w:rsidR="00FC77C7">
          <w:rPr>
            <w:noProof/>
            <w:webHidden/>
          </w:rPr>
          <w:fldChar w:fldCharType="end"/>
        </w:r>
      </w:hyperlink>
    </w:p>
    <w:p w14:paraId="0BDFCF0C" w14:textId="45980E21"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1" w:history="1">
        <w:r w:rsidR="00FC77C7" w:rsidRPr="00107C38">
          <w:rPr>
            <w:rStyle w:val="Hyperlink"/>
            <w:noProof/>
          </w:rPr>
          <w:t>2.3</w:t>
        </w:r>
        <w:r w:rsidR="00FC77C7">
          <w:rPr>
            <w:rFonts w:asciiTheme="minorHAnsi" w:eastAsiaTheme="minorEastAsia" w:hAnsiTheme="minorHAnsi" w:cstheme="minorBidi"/>
            <w:noProof/>
            <w:sz w:val="22"/>
            <w:szCs w:val="22"/>
            <w:lang w:eastAsia="en-NZ"/>
          </w:rPr>
          <w:tab/>
        </w:r>
        <w:r w:rsidR="00FC77C7" w:rsidRPr="00107C38">
          <w:rPr>
            <w:rStyle w:val="Hyperlink"/>
            <w:noProof/>
          </w:rPr>
          <w:t>E Coli Bottom Lines</w:t>
        </w:r>
        <w:r w:rsidR="00FC77C7">
          <w:rPr>
            <w:noProof/>
            <w:webHidden/>
          </w:rPr>
          <w:tab/>
        </w:r>
        <w:r w:rsidR="00FC77C7">
          <w:rPr>
            <w:noProof/>
            <w:webHidden/>
          </w:rPr>
          <w:fldChar w:fldCharType="begin"/>
        </w:r>
        <w:r w:rsidR="00FC77C7">
          <w:rPr>
            <w:noProof/>
            <w:webHidden/>
          </w:rPr>
          <w:instrText xml:space="preserve"> PAGEREF _Toc35599751 \h </w:instrText>
        </w:r>
        <w:r w:rsidR="00FC77C7">
          <w:rPr>
            <w:noProof/>
            <w:webHidden/>
          </w:rPr>
        </w:r>
        <w:r w:rsidR="00FC77C7">
          <w:rPr>
            <w:noProof/>
            <w:webHidden/>
          </w:rPr>
          <w:fldChar w:fldCharType="separate"/>
        </w:r>
        <w:r>
          <w:rPr>
            <w:noProof/>
            <w:webHidden/>
          </w:rPr>
          <w:t>12</w:t>
        </w:r>
        <w:r w:rsidR="00FC77C7">
          <w:rPr>
            <w:noProof/>
            <w:webHidden/>
          </w:rPr>
          <w:fldChar w:fldCharType="end"/>
        </w:r>
      </w:hyperlink>
    </w:p>
    <w:p w14:paraId="2416A3B4" w14:textId="6D0B58DC"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2" w:history="1">
        <w:r w:rsidR="00FC77C7" w:rsidRPr="00107C38">
          <w:rPr>
            <w:rStyle w:val="Hyperlink"/>
            <w:noProof/>
          </w:rPr>
          <w:t>2.4</w:t>
        </w:r>
        <w:r w:rsidR="00FC77C7">
          <w:rPr>
            <w:rFonts w:asciiTheme="minorHAnsi" w:eastAsiaTheme="minorEastAsia" w:hAnsiTheme="minorHAnsi" w:cstheme="minorBidi"/>
            <w:noProof/>
            <w:sz w:val="22"/>
            <w:szCs w:val="22"/>
            <w:lang w:eastAsia="en-NZ"/>
          </w:rPr>
          <w:tab/>
        </w:r>
        <w:r w:rsidR="00FC77C7" w:rsidRPr="00107C38">
          <w:rPr>
            <w:rStyle w:val="Hyperlink"/>
            <w:noProof/>
          </w:rPr>
          <w:t>Sediment Discharge</w:t>
        </w:r>
        <w:r w:rsidR="00FC77C7">
          <w:rPr>
            <w:noProof/>
            <w:webHidden/>
          </w:rPr>
          <w:tab/>
        </w:r>
        <w:r w:rsidR="00FC77C7">
          <w:rPr>
            <w:noProof/>
            <w:webHidden/>
          </w:rPr>
          <w:fldChar w:fldCharType="begin"/>
        </w:r>
        <w:r w:rsidR="00FC77C7">
          <w:rPr>
            <w:noProof/>
            <w:webHidden/>
          </w:rPr>
          <w:instrText xml:space="preserve"> PAGEREF _Toc35599752 \h </w:instrText>
        </w:r>
        <w:r w:rsidR="00FC77C7">
          <w:rPr>
            <w:noProof/>
            <w:webHidden/>
          </w:rPr>
        </w:r>
        <w:r w:rsidR="00FC77C7">
          <w:rPr>
            <w:noProof/>
            <w:webHidden/>
          </w:rPr>
          <w:fldChar w:fldCharType="separate"/>
        </w:r>
        <w:r>
          <w:rPr>
            <w:noProof/>
            <w:webHidden/>
          </w:rPr>
          <w:t>14</w:t>
        </w:r>
        <w:r w:rsidR="00FC77C7">
          <w:rPr>
            <w:noProof/>
            <w:webHidden/>
          </w:rPr>
          <w:fldChar w:fldCharType="end"/>
        </w:r>
      </w:hyperlink>
    </w:p>
    <w:p w14:paraId="1392E78A" w14:textId="6F5E7C72"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53" w:history="1">
        <w:r w:rsidR="00FC77C7" w:rsidRPr="00107C38">
          <w:rPr>
            <w:rStyle w:val="Hyperlink"/>
            <w:noProof/>
          </w:rPr>
          <w:t>3</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Non-Market Values</w:t>
        </w:r>
        <w:r w:rsidR="00FC77C7">
          <w:rPr>
            <w:noProof/>
            <w:webHidden/>
          </w:rPr>
          <w:tab/>
        </w:r>
        <w:r w:rsidR="00FC77C7">
          <w:rPr>
            <w:noProof/>
            <w:webHidden/>
          </w:rPr>
          <w:fldChar w:fldCharType="begin"/>
        </w:r>
        <w:r w:rsidR="00FC77C7">
          <w:rPr>
            <w:noProof/>
            <w:webHidden/>
          </w:rPr>
          <w:instrText xml:space="preserve"> PAGEREF _Toc35599753 \h </w:instrText>
        </w:r>
        <w:r w:rsidR="00FC77C7">
          <w:rPr>
            <w:noProof/>
            <w:webHidden/>
          </w:rPr>
        </w:r>
        <w:r w:rsidR="00FC77C7">
          <w:rPr>
            <w:noProof/>
            <w:webHidden/>
          </w:rPr>
          <w:fldChar w:fldCharType="separate"/>
        </w:r>
        <w:r>
          <w:rPr>
            <w:noProof/>
            <w:webHidden/>
          </w:rPr>
          <w:t>18</w:t>
        </w:r>
        <w:r w:rsidR="00FC77C7">
          <w:rPr>
            <w:noProof/>
            <w:webHidden/>
          </w:rPr>
          <w:fldChar w:fldCharType="end"/>
        </w:r>
      </w:hyperlink>
    </w:p>
    <w:p w14:paraId="05C966FD" w14:textId="1EBB4C76"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4" w:history="1">
        <w:r w:rsidR="00FC77C7" w:rsidRPr="00107C38">
          <w:rPr>
            <w:rStyle w:val="Hyperlink"/>
            <w:noProof/>
          </w:rPr>
          <w:t>3.1</w:t>
        </w:r>
        <w:r w:rsidR="00FC77C7">
          <w:rPr>
            <w:rFonts w:asciiTheme="minorHAnsi" w:eastAsiaTheme="minorEastAsia" w:hAnsiTheme="minorHAnsi" w:cstheme="minorBidi"/>
            <w:noProof/>
            <w:sz w:val="22"/>
            <w:szCs w:val="22"/>
            <w:lang w:eastAsia="en-NZ"/>
          </w:rPr>
          <w:tab/>
        </w:r>
        <w:r w:rsidR="00FC77C7" w:rsidRPr="00107C38">
          <w:rPr>
            <w:rStyle w:val="Hyperlink"/>
            <w:noProof/>
          </w:rPr>
          <w:t>Methodology Issues – Benefit Transfer</w:t>
        </w:r>
        <w:r w:rsidR="00FC77C7">
          <w:rPr>
            <w:noProof/>
            <w:webHidden/>
          </w:rPr>
          <w:tab/>
        </w:r>
        <w:r w:rsidR="00FC77C7">
          <w:rPr>
            <w:noProof/>
            <w:webHidden/>
          </w:rPr>
          <w:fldChar w:fldCharType="begin"/>
        </w:r>
        <w:r w:rsidR="00FC77C7">
          <w:rPr>
            <w:noProof/>
            <w:webHidden/>
          </w:rPr>
          <w:instrText xml:space="preserve"> PAGEREF _Toc35599754 \h </w:instrText>
        </w:r>
        <w:r w:rsidR="00FC77C7">
          <w:rPr>
            <w:noProof/>
            <w:webHidden/>
          </w:rPr>
        </w:r>
        <w:r w:rsidR="00FC77C7">
          <w:rPr>
            <w:noProof/>
            <w:webHidden/>
          </w:rPr>
          <w:fldChar w:fldCharType="separate"/>
        </w:r>
        <w:r>
          <w:rPr>
            <w:noProof/>
            <w:webHidden/>
          </w:rPr>
          <w:t>18</w:t>
        </w:r>
        <w:r w:rsidR="00FC77C7">
          <w:rPr>
            <w:noProof/>
            <w:webHidden/>
          </w:rPr>
          <w:fldChar w:fldCharType="end"/>
        </w:r>
      </w:hyperlink>
    </w:p>
    <w:p w14:paraId="1A80A0D3" w14:textId="16444BD7"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5" w:history="1">
        <w:r w:rsidR="00FC77C7" w:rsidRPr="00107C38">
          <w:rPr>
            <w:rStyle w:val="Hyperlink"/>
            <w:noProof/>
          </w:rPr>
          <w:t>3.2</w:t>
        </w:r>
        <w:r w:rsidR="00FC77C7">
          <w:rPr>
            <w:rFonts w:asciiTheme="minorHAnsi" w:eastAsiaTheme="minorEastAsia" w:hAnsiTheme="minorHAnsi" w:cstheme="minorBidi"/>
            <w:noProof/>
            <w:sz w:val="22"/>
            <w:szCs w:val="22"/>
            <w:lang w:eastAsia="en-NZ"/>
          </w:rPr>
          <w:tab/>
        </w:r>
        <w:r w:rsidR="00FC77C7" w:rsidRPr="00107C38">
          <w:rPr>
            <w:rStyle w:val="Hyperlink"/>
            <w:noProof/>
          </w:rPr>
          <w:t>Valuation Data</w:t>
        </w:r>
        <w:r w:rsidR="00FC77C7">
          <w:rPr>
            <w:noProof/>
            <w:webHidden/>
          </w:rPr>
          <w:tab/>
        </w:r>
        <w:r w:rsidR="00FC77C7">
          <w:rPr>
            <w:noProof/>
            <w:webHidden/>
          </w:rPr>
          <w:fldChar w:fldCharType="begin"/>
        </w:r>
        <w:r w:rsidR="00FC77C7">
          <w:rPr>
            <w:noProof/>
            <w:webHidden/>
          </w:rPr>
          <w:instrText xml:space="preserve"> PAGEREF _Toc35599755 \h </w:instrText>
        </w:r>
        <w:r w:rsidR="00FC77C7">
          <w:rPr>
            <w:noProof/>
            <w:webHidden/>
          </w:rPr>
        </w:r>
        <w:r w:rsidR="00FC77C7">
          <w:rPr>
            <w:noProof/>
            <w:webHidden/>
          </w:rPr>
          <w:fldChar w:fldCharType="separate"/>
        </w:r>
        <w:r>
          <w:rPr>
            <w:noProof/>
            <w:webHidden/>
          </w:rPr>
          <w:t>18</w:t>
        </w:r>
        <w:r w:rsidR="00FC77C7">
          <w:rPr>
            <w:noProof/>
            <w:webHidden/>
          </w:rPr>
          <w:fldChar w:fldCharType="end"/>
        </w:r>
      </w:hyperlink>
    </w:p>
    <w:p w14:paraId="53A678DF" w14:textId="00B64EEB"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6" w:history="1">
        <w:r w:rsidR="00FC77C7" w:rsidRPr="00107C38">
          <w:rPr>
            <w:rStyle w:val="Hyperlink"/>
            <w:noProof/>
          </w:rPr>
          <w:t>3.3</w:t>
        </w:r>
        <w:r w:rsidR="00FC77C7">
          <w:rPr>
            <w:rFonts w:asciiTheme="minorHAnsi" w:eastAsiaTheme="minorEastAsia" w:hAnsiTheme="minorHAnsi" w:cstheme="minorBidi"/>
            <w:noProof/>
            <w:sz w:val="22"/>
            <w:szCs w:val="22"/>
            <w:lang w:eastAsia="en-NZ"/>
          </w:rPr>
          <w:tab/>
        </w:r>
        <w:r w:rsidR="00FC77C7" w:rsidRPr="00107C38">
          <w:rPr>
            <w:rStyle w:val="Hyperlink"/>
            <w:noProof/>
          </w:rPr>
          <w:t>Review of Recent Studies</w:t>
        </w:r>
        <w:r w:rsidR="00FC77C7">
          <w:rPr>
            <w:noProof/>
            <w:webHidden/>
          </w:rPr>
          <w:tab/>
        </w:r>
        <w:r w:rsidR="00FC77C7">
          <w:rPr>
            <w:noProof/>
            <w:webHidden/>
          </w:rPr>
          <w:fldChar w:fldCharType="begin"/>
        </w:r>
        <w:r w:rsidR="00FC77C7">
          <w:rPr>
            <w:noProof/>
            <w:webHidden/>
          </w:rPr>
          <w:instrText xml:space="preserve"> PAGEREF _Toc35599756 \h </w:instrText>
        </w:r>
        <w:r w:rsidR="00FC77C7">
          <w:rPr>
            <w:noProof/>
            <w:webHidden/>
          </w:rPr>
        </w:r>
        <w:r w:rsidR="00FC77C7">
          <w:rPr>
            <w:noProof/>
            <w:webHidden/>
          </w:rPr>
          <w:fldChar w:fldCharType="separate"/>
        </w:r>
        <w:r>
          <w:rPr>
            <w:noProof/>
            <w:webHidden/>
          </w:rPr>
          <w:t>19</w:t>
        </w:r>
        <w:r w:rsidR="00FC77C7">
          <w:rPr>
            <w:noProof/>
            <w:webHidden/>
          </w:rPr>
          <w:fldChar w:fldCharType="end"/>
        </w:r>
      </w:hyperlink>
    </w:p>
    <w:p w14:paraId="3477E206" w14:textId="70723D5B"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7" w:history="1">
        <w:r w:rsidR="00FC77C7" w:rsidRPr="00107C38">
          <w:rPr>
            <w:rStyle w:val="Hyperlink"/>
            <w:noProof/>
          </w:rPr>
          <w:t>3.4</w:t>
        </w:r>
        <w:r w:rsidR="00FC77C7">
          <w:rPr>
            <w:rFonts w:asciiTheme="minorHAnsi" w:eastAsiaTheme="minorEastAsia" w:hAnsiTheme="minorHAnsi" w:cstheme="minorBidi"/>
            <w:noProof/>
            <w:sz w:val="22"/>
            <w:szCs w:val="22"/>
            <w:lang w:eastAsia="en-NZ"/>
          </w:rPr>
          <w:tab/>
        </w:r>
        <w:r w:rsidR="00FC77C7" w:rsidRPr="00107C38">
          <w:rPr>
            <w:rStyle w:val="Hyperlink"/>
            <w:noProof/>
          </w:rPr>
          <w:t>Quantification of Quality Improvements</w:t>
        </w:r>
        <w:r w:rsidR="00FC77C7">
          <w:rPr>
            <w:noProof/>
            <w:webHidden/>
          </w:rPr>
          <w:tab/>
        </w:r>
        <w:r w:rsidR="00FC77C7">
          <w:rPr>
            <w:noProof/>
            <w:webHidden/>
          </w:rPr>
          <w:fldChar w:fldCharType="begin"/>
        </w:r>
        <w:r w:rsidR="00FC77C7">
          <w:rPr>
            <w:noProof/>
            <w:webHidden/>
          </w:rPr>
          <w:instrText xml:space="preserve"> PAGEREF _Toc35599757 \h </w:instrText>
        </w:r>
        <w:r w:rsidR="00FC77C7">
          <w:rPr>
            <w:noProof/>
            <w:webHidden/>
          </w:rPr>
        </w:r>
        <w:r w:rsidR="00FC77C7">
          <w:rPr>
            <w:noProof/>
            <w:webHidden/>
          </w:rPr>
          <w:fldChar w:fldCharType="separate"/>
        </w:r>
        <w:r>
          <w:rPr>
            <w:noProof/>
            <w:webHidden/>
          </w:rPr>
          <w:t>23</w:t>
        </w:r>
        <w:r w:rsidR="00FC77C7">
          <w:rPr>
            <w:noProof/>
            <w:webHidden/>
          </w:rPr>
          <w:fldChar w:fldCharType="end"/>
        </w:r>
      </w:hyperlink>
    </w:p>
    <w:p w14:paraId="7626BFF1" w14:textId="0B99F920"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58" w:history="1">
        <w:r w:rsidR="00FC77C7" w:rsidRPr="00107C38">
          <w:rPr>
            <w:rStyle w:val="Hyperlink"/>
            <w:noProof/>
          </w:rPr>
          <w:t>3.5</w:t>
        </w:r>
        <w:r w:rsidR="00FC77C7">
          <w:rPr>
            <w:rFonts w:asciiTheme="minorHAnsi" w:eastAsiaTheme="minorEastAsia" w:hAnsiTheme="minorHAnsi" w:cstheme="minorBidi"/>
            <w:noProof/>
            <w:sz w:val="22"/>
            <w:szCs w:val="22"/>
            <w:lang w:eastAsia="en-NZ"/>
          </w:rPr>
          <w:tab/>
        </w:r>
        <w:r w:rsidR="00FC77C7" w:rsidRPr="00107C38">
          <w:rPr>
            <w:rStyle w:val="Hyperlink"/>
            <w:noProof/>
          </w:rPr>
          <w:t>Ecosystem Services</w:t>
        </w:r>
        <w:r w:rsidR="00FC77C7">
          <w:rPr>
            <w:noProof/>
            <w:webHidden/>
          </w:rPr>
          <w:tab/>
        </w:r>
        <w:r w:rsidR="00FC77C7">
          <w:rPr>
            <w:noProof/>
            <w:webHidden/>
          </w:rPr>
          <w:fldChar w:fldCharType="begin"/>
        </w:r>
        <w:r w:rsidR="00FC77C7">
          <w:rPr>
            <w:noProof/>
            <w:webHidden/>
          </w:rPr>
          <w:instrText xml:space="preserve"> PAGEREF _Toc35599758 \h </w:instrText>
        </w:r>
        <w:r w:rsidR="00FC77C7">
          <w:rPr>
            <w:noProof/>
            <w:webHidden/>
          </w:rPr>
        </w:r>
        <w:r w:rsidR="00FC77C7">
          <w:rPr>
            <w:noProof/>
            <w:webHidden/>
          </w:rPr>
          <w:fldChar w:fldCharType="separate"/>
        </w:r>
        <w:r>
          <w:rPr>
            <w:noProof/>
            <w:webHidden/>
          </w:rPr>
          <w:t>30</w:t>
        </w:r>
        <w:r w:rsidR="00FC77C7">
          <w:rPr>
            <w:noProof/>
            <w:webHidden/>
          </w:rPr>
          <w:fldChar w:fldCharType="end"/>
        </w:r>
      </w:hyperlink>
    </w:p>
    <w:p w14:paraId="479E707E" w14:textId="192A792E"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59" w:history="1">
        <w:r w:rsidR="00FC77C7" w:rsidRPr="00107C38">
          <w:rPr>
            <w:rStyle w:val="Hyperlink"/>
            <w:noProof/>
          </w:rPr>
          <w:t>4</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Commercial and Reputational Values</w:t>
        </w:r>
        <w:r w:rsidR="00FC77C7">
          <w:rPr>
            <w:noProof/>
            <w:webHidden/>
          </w:rPr>
          <w:tab/>
        </w:r>
        <w:r w:rsidR="00FC77C7">
          <w:rPr>
            <w:noProof/>
            <w:webHidden/>
          </w:rPr>
          <w:fldChar w:fldCharType="begin"/>
        </w:r>
        <w:r w:rsidR="00FC77C7">
          <w:rPr>
            <w:noProof/>
            <w:webHidden/>
          </w:rPr>
          <w:instrText xml:space="preserve"> PAGEREF _Toc35599759 \h </w:instrText>
        </w:r>
        <w:r w:rsidR="00FC77C7">
          <w:rPr>
            <w:noProof/>
            <w:webHidden/>
          </w:rPr>
        </w:r>
        <w:r w:rsidR="00FC77C7">
          <w:rPr>
            <w:noProof/>
            <w:webHidden/>
          </w:rPr>
          <w:fldChar w:fldCharType="separate"/>
        </w:r>
        <w:r>
          <w:rPr>
            <w:noProof/>
            <w:webHidden/>
          </w:rPr>
          <w:t>32</w:t>
        </w:r>
        <w:r w:rsidR="00FC77C7">
          <w:rPr>
            <w:noProof/>
            <w:webHidden/>
          </w:rPr>
          <w:fldChar w:fldCharType="end"/>
        </w:r>
      </w:hyperlink>
    </w:p>
    <w:p w14:paraId="244E7A00" w14:textId="409B0326"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0" w:history="1">
        <w:r w:rsidR="00FC77C7" w:rsidRPr="00107C38">
          <w:rPr>
            <w:rStyle w:val="Hyperlink"/>
            <w:noProof/>
          </w:rPr>
          <w:t>4.1</w:t>
        </w:r>
        <w:r w:rsidR="00FC77C7">
          <w:rPr>
            <w:rFonts w:asciiTheme="minorHAnsi" w:eastAsiaTheme="minorEastAsia" w:hAnsiTheme="minorHAnsi" w:cstheme="minorBidi"/>
            <w:noProof/>
            <w:sz w:val="22"/>
            <w:szCs w:val="22"/>
            <w:lang w:eastAsia="en-NZ"/>
          </w:rPr>
          <w:tab/>
        </w:r>
        <w:r w:rsidR="00FC77C7" w:rsidRPr="00107C38">
          <w:rPr>
            <w:rStyle w:val="Hyperlink"/>
            <w:noProof/>
          </w:rPr>
          <w:t>Drinking Water Contamination</w:t>
        </w:r>
        <w:r w:rsidR="00FC77C7">
          <w:rPr>
            <w:noProof/>
            <w:webHidden/>
          </w:rPr>
          <w:tab/>
        </w:r>
        <w:r w:rsidR="00FC77C7">
          <w:rPr>
            <w:noProof/>
            <w:webHidden/>
          </w:rPr>
          <w:fldChar w:fldCharType="begin"/>
        </w:r>
        <w:r w:rsidR="00FC77C7">
          <w:rPr>
            <w:noProof/>
            <w:webHidden/>
          </w:rPr>
          <w:instrText xml:space="preserve"> PAGEREF _Toc35599760 \h </w:instrText>
        </w:r>
        <w:r w:rsidR="00FC77C7">
          <w:rPr>
            <w:noProof/>
            <w:webHidden/>
          </w:rPr>
        </w:r>
        <w:r w:rsidR="00FC77C7">
          <w:rPr>
            <w:noProof/>
            <w:webHidden/>
          </w:rPr>
          <w:fldChar w:fldCharType="separate"/>
        </w:r>
        <w:r>
          <w:rPr>
            <w:noProof/>
            <w:webHidden/>
          </w:rPr>
          <w:t>32</w:t>
        </w:r>
        <w:r w:rsidR="00FC77C7">
          <w:rPr>
            <w:noProof/>
            <w:webHidden/>
          </w:rPr>
          <w:fldChar w:fldCharType="end"/>
        </w:r>
      </w:hyperlink>
    </w:p>
    <w:p w14:paraId="71AB1EE0" w14:textId="1AE8F4AD"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1" w:history="1">
        <w:r w:rsidR="00FC77C7" w:rsidRPr="00107C38">
          <w:rPr>
            <w:rStyle w:val="Hyperlink"/>
            <w:noProof/>
          </w:rPr>
          <w:t>4.2</w:t>
        </w:r>
        <w:r w:rsidR="00FC77C7">
          <w:rPr>
            <w:rFonts w:asciiTheme="minorHAnsi" w:eastAsiaTheme="minorEastAsia" w:hAnsiTheme="minorHAnsi" w:cstheme="minorBidi"/>
            <w:noProof/>
            <w:sz w:val="22"/>
            <w:szCs w:val="22"/>
            <w:lang w:eastAsia="en-NZ"/>
          </w:rPr>
          <w:tab/>
        </w:r>
        <w:r w:rsidR="00FC77C7" w:rsidRPr="00107C38">
          <w:rPr>
            <w:rStyle w:val="Hyperlink"/>
            <w:noProof/>
          </w:rPr>
          <w:t>Value of NZ Fisheries</w:t>
        </w:r>
        <w:r w:rsidR="00FC77C7">
          <w:rPr>
            <w:noProof/>
            <w:webHidden/>
          </w:rPr>
          <w:tab/>
        </w:r>
        <w:r w:rsidR="00FC77C7">
          <w:rPr>
            <w:noProof/>
            <w:webHidden/>
          </w:rPr>
          <w:fldChar w:fldCharType="begin"/>
        </w:r>
        <w:r w:rsidR="00FC77C7">
          <w:rPr>
            <w:noProof/>
            <w:webHidden/>
          </w:rPr>
          <w:instrText xml:space="preserve"> PAGEREF _Toc35599761 \h </w:instrText>
        </w:r>
        <w:r w:rsidR="00FC77C7">
          <w:rPr>
            <w:noProof/>
            <w:webHidden/>
          </w:rPr>
        </w:r>
        <w:r w:rsidR="00FC77C7">
          <w:rPr>
            <w:noProof/>
            <w:webHidden/>
          </w:rPr>
          <w:fldChar w:fldCharType="separate"/>
        </w:r>
        <w:r>
          <w:rPr>
            <w:noProof/>
            <w:webHidden/>
          </w:rPr>
          <w:t>33</w:t>
        </w:r>
        <w:r w:rsidR="00FC77C7">
          <w:rPr>
            <w:noProof/>
            <w:webHidden/>
          </w:rPr>
          <w:fldChar w:fldCharType="end"/>
        </w:r>
      </w:hyperlink>
    </w:p>
    <w:p w14:paraId="4CCC5F26" w14:textId="5C715B62"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2" w:history="1">
        <w:r w:rsidR="00FC77C7" w:rsidRPr="00107C38">
          <w:rPr>
            <w:rStyle w:val="Hyperlink"/>
            <w:noProof/>
          </w:rPr>
          <w:t>4.3</w:t>
        </w:r>
        <w:r w:rsidR="00FC77C7">
          <w:rPr>
            <w:rFonts w:asciiTheme="minorHAnsi" w:eastAsiaTheme="minorEastAsia" w:hAnsiTheme="minorHAnsi" w:cstheme="minorBidi"/>
            <w:noProof/>
            <w:sz w:val="22"/>
            <w:szCs w:val="22"/>
            <w:lang w:eastAsia="en-NZ"/>
          </w:rPr>
          <w:tab/>
        </w:r>
        <w:r w:rsidR="00FC77C7" w:rsidRPr="00107C38">
          <w:rPr>
            <w:rStyle w:val="Hyperlink"/>
            <w:noProof/>
          </w:rPr>
          <w:t>Reputational Value</w:t>
        </w:r>
        <w:r w:rsidR="00FC77C7">
          <w:rPr>
            <w:noProof/>
            <w:webHidden/>
          </w:rPr>
          <w:tab/>
        </w:r>
        <w:r w:rsidR="00FC77C7">
          <w:rPr>
            <w:noProof/>
            <w:webHidden/>
          </w:rPr>
          <w:fldChar w:fldCharType="begin"/>
        </w:r>
        <w:r w:rsidR="00FC77C7">
          <w:rPr>
            <w:noProof/>
            <w:webHidden/>
          </w:rPr>
          <w:instrText xml:space="preserve"> PAGEREF _Toc35599762 \h </w:instrText>
        </w:r>
        <w:r w:rsidR="00FC77C7">
          <w:rPr>
            <w:noProof/>
            <w:webHidden/>
          </w:rPr>
        </w:r>
        <w:r w:rsidR="00FC77C7">
          <w:rPr>
            <w:noProof/>
            <w:webHidden/>
          </w:rPr>
          <w:fldChar w:fldCharType="separate"/>
        </w:r>
        <w:r>
          <w:rPr>
            <w:noProof/>
            <w:webHidden/>
          </w:rPr>
          <w:t>35</w:t>
        </w:r>
        <w:r w:rsidR="00FC77C7">
          <w:rPr>
            <w:noProof/>
            <w:webHidden/>
          </w:rPr>
          <w:fldChar w:fldCharType="end"/>
        </w:r>
      </w:hyperlink>
    </w:p>
    <w:p w14:paraId="576B24AC" w14:textId="3824D060"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63" w:history="1">
        <w:r w:rsidR="00FC77C7" w:rsidRPr="00107C38">
          <w:rPr>
            <w:rStyle w:val="Hyperlink"/>
            <w:noProof/>
          </w:rPr>
          <w:t>5</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Avoided Costs of Delay</w:t>
        </w:r>
        <w:r w:rsidR="00FC77C7">
          <w:rPr>
            <w:noProof/>
            <w:webHidden/>
          </w:rPr>
          <w:tab/>
        </w:r>
        <w:r w:rsidR="00FC77C7">
          <w:rPr>
            <w:noProof/>
            <w:webHidden/>
          </w:rPr>
          <w:fldChar w:fldCharType="begin"/>
        </w:r>
        <w:r w:rsidR="00FC77C7">
          <w:rPr>
            <w:noProof/>
            <w:webHidden/>
          </w:rPr>
          <w:instrText xml:space="preserve"> PAGEREF _Toc35599763 \h </w:instrText>
        </w:r>
        <w:r w:rsidR="00FC77C7">
          <w:rPr>
            <w:noProof/>
            <w:webHidden/>
          </w:rPr>
        </w:r>
        <w:r w:rsidR="00FC77C7">
          <w:rPr>
            <w:noProof/>
            <w:webHidden/>
          </w:rPr>
          <w:fldChar w:fldCharType="separate"/>
        </w:r>
        <w:r>
          <w:rPr>
            <w:noProof/>
            <w:webHidden/>
          </w:rPr>
          <w:t>37</w:t>
        </w:r>
        <w:r w:rsidR="00FC77C7">
          <w:rPr>
            <w:noProof/>
            <w:webHidden/>
          </w:rPr>
          <w:fldChar w:fldCharType="end"/>
        </w:r>
      </w:hyperlink>
    </w:p>
    <w:p w14:paraId="446ABB97" w14:textId="6E643D11"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4" w:history="1">
        <w:r w:rsidR="00FC77C7" w:rsidRPr="00107C38">
          <w:rPr>
            <w:rStyle w:val="Hyperlink"/>
            <w:noProof/>
          </w:rPr>
          <w:t>5.1</w:t>
        </w:r>
        <w:r w:rsidR="00FC77C7">
          <w:rPr>
            <w:rFonts w:asciiTheme="minorHAnsi" w:eastAsiaTheme="minorEastAsia" w:hAnsiTheme="minorHAnsi" w:cstheme="minorBidi"/>
            <w:noProof/>
            <w:sz w:val="22"/>
            <w:szCs w:val="22"/>
            <w:lang w:eastAsia="en-NZ"/>
          </w:rPr>
          <w:tab/>
        </w:r>
        <w:r w:rsidR="00FC77C7" w:rsidRPr="00107C38">
          <w:rPr>
            <w:rStyle w:val="Hyperlink"/>
            <w:noProof/>
          </w:rPr>
          <w:t>Cumulative Effects and Irreversibilities</w:t>
        </w:r>
        <w:r w:rsidR="00FC77C7">
          <w:rPr>
            <w:noProof/>
            <w:webHidden/>
          </w:rPr>
          <w:tab/>
        </w:r>
        <w:r w:rsidR="00FC77C7">
          <w:rPr>
            <w:noProof/>
            <w:webHidden/>
          </w:rPr>
          <w:fldChar w:fldCharType="begin"/>
        </w:r>
        <w:r w:rsidR="00FC77C7">
          <w:rPr>
            <w:noProof/>
            <w:webHidden/>
          </w:rPr>
          <w:instrText xml:space="preserve"> PAGEREF _Toc35599764 \h </w:instrText>
        </w:r>
        <w:r w:rsidR="00FC77C7">
          <w:rPr>
            <w:noProof/>
            <w:webHidden/>
          </w:rPr>
        </w:r>
        <w:r w:rsidR="00FC77C7">
          <w:rPr>
            <w:noProof/>
            <w:webHidden/>
          </w:rPr>
          <w:fldChar w:fldCharType="separate"/>
        </w:r>
        <w:r>
          <w:rPr>
            <w:noProof/>
            <w:webHidden/>
          </w:rPr>
          <w:t>37</w:t>
        </w:r>
        <w:r w:rsidR="00FC77C7">
          <w:rPr>
            <w:noProof/>
            <w:webHidden/>
          </w:rPr>
          <w:fldChar w:fldCharType="end"/>
        </w:r>
      </w:hyperlink>
    </w:p>
    <w:p w14:paraId="4DAB7947" w14:textId="6F3A9C80"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5" w:history="1">
        <w:r w:rsidR="00FC77C7" w:rsidRPr="00107C38">
          <w:rPr>
            <w:rStyle w:val="Hyperlink"/>
            <w:noProof/>
          </w:rPr>
          <w:t>5.2</w:t>
        </w:r>
        <w:r w:rsidR="00FC77C7">
          <w:rPr>
            <w:rFonts w:asciiTheme="minorHAnsi" w:eastAsiaTheme="minorEastAsia" w:hAnsiTheme="minorHAnsi" w:cstheme="minorBidi"/>
            <w:noProof/>
            <w:sz w:val="22"/>
            <w:szCs w:val="22"/>
            <w:lang w:eastAsia="en-NZ"/>
          </w:rPr>
          <w:tab/>
        </w:r>
        <w:r w:rsidR="00FC77C7" w:rsidRPr="00107C38">
          <w:rPr>
            <w:rStyle w:val="Hyperlink"/>
            <w:noProof/>
          </w:rPr>
          <w:t>Lag Effects</w:t>
        </w:r>
        <w:r w:rsidR="00FC77C7">
          <w:rPr>
            <w:noProof/>
            <w:webHidden/>
          </w:rPr>
          <w:tab/>
        </w:r>
        <w:r w:rsidR="00FC77C7">
          <w:rPr>
            <w:noProof/>
            <w:webHidden/>
          </w:rPr>
          <w:fldChar w:fldCharType="begin"/>
        </w:r>
        <w:r w:rsidR="00FC77C7">
          <w:rPr>
            <w:noProof/>
            <w:webHidden/>
          </w:rPr>
          <w:instrText xml:space="preserve"> PAGEREF _Toc35599765 \h </w:instrText>
        </w:r>
        <w:r w:rsidR="00FC77C7">
          <w:rPr>
            <w:noProof/>
            <w:webHidden/>
          </w:rPr>
        </w:r>
        <w:r w:rsidR="00FC77C7">
          <w:rPr>
            <w:noProof/>
            <w:webHidden/>
          </w:rPr>
          <w:fldChar w:fldCharType="separate"/>
        </w:r>
        <w:r>
          <w:rPr>
            <w:noProof/>
            <w:webHidden/>
          </w:rPr>
          <w:t>38</w:t>
        </w:r>
        <w:r w:rsidR="00FC77C7">
          <w:rPr>
            <w:noProof/>
            <w:webHidden/>
          </w:rPr>
          <w:fldChar w:fldCharType="end"/>
        </w:r>
      </w:hyperlink>
    </w:p>
    <w:p w14:paraId="46588870" w14:textId="388FB7BA"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66" w:history="1">
        <w:r w:rsidR="00FC77C7" w:rsidRPr="00107C38">
          <w:rPr>
            <w:rStyle w:val="Hyperlink"/>
            <w:noProof/>
          </w:rPr>
          <w:t>6</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Conclusions</w:t>
        </w:r>
        <w:r w:rsidR="00FC77C7">
          <w:rPr>
            <w:noProof/>
            <w:webHidden/>
          </w:rPr>
          <w:tab/>
        </w:r>
        <w:r w:rsidR="00FC77C7">
          <w:rPr>
            <w:noProof/>
            <w:webHidden/>
          </w:rPr>
          <w:fldChar w:fldCharType="begin"/>
        </w:r>
        <w:r w:rsidR="00FC77C7">
          <w:rPr>
            <w:noProof/>
            <w:webHidden/>
          </w:rPr>
          <w:instrText xml:space="preserve"> PAGEREF _Toc35599766 \h </w:instrText>
        </w:r>
        <w:r w:rsidR="00FC77C7">
          <w:rPr>
            <w:noProof/>
            <w:webHidden/>
          </w:rPr>
        </w:r>
        <w:r w:rsidR="00FC77C7">
          <w:rPr>
            <w:noProof/>
            <w:webHidden/>
          </w:rPr>
          <w:fldChar w:fldCharType="separate"/>
        </w:r>
        <w:r>
          <w:rPr>
            <w:noProof/>
            <w:webHidden/>
          </w:rPr>
          <w:t>39</w:t>
        </w:r>
        <w:r w:rsidR="00FC77C7">
          <w:rPr>
            <w:noProof/>
            <w:webHidden/>
          </w:rPr>
          <w:fldChar w:fldCharType="end"/>
        </w:r>
      </w:hyperlink>
    </w:p>
    <w:p w14:paraId="4D76FCE4" w14:textId="0CB4BB55" w:rsidR="00FC77C7" w:rsidRDefault="00024EB5">
      <w:pPr>
        <w:pStyle w:val="TOC2"/>
        <w:tabs>
          <w:tab w:val="left" w:pos="880"/>
          <w:tab w:val="right" w:pos="8211"/>
        </w:tabs>
        <w:rPr>
          <w:rFonts w:asciiTheme="minorHAnsi" w:eastAsiaTheme="minorEastAsia" w:hAnsiTheme="minorHAnsi" w:cstheme="minorBidi"/>
          <w:noProof/>
          <w:sz w:val="22"/>
          <w:szCs w:val="22"/>
          <w:lang w:eastAsia="en-NZ"/>
        </w:rPr>
      </w:pPr>
      <w:hyperlink w:anchor="_Toc35599767" w:history="1">
        <w:r w:rsidR="00FC77C7" w:rsidRPr="00107C38">
          <w:rPr>
            <w:rStyle w:val="Hyperlink"/>
            <w:noProof/>
          </w:rPr>
          <w:t>6.1</w:t>
        </w:r>
        <w:r w:rsidR="00FC77C7">
          <w:rPr>
            <w:rFonts w:asciiTheme="minorHAnsi" w:eastAsiaTheme="minorEastAsia" w:hAnsiTheme="minorHAnsi" w:cstheme="minorBidi"/>
            <w:noProof/>
            <w:sz w:val="22"/>
            <w:szCs w:val="22"/>
            <w:lang w:eastAsia="en-NZ"/>
          </w:rPr>
          <w:tab/>
        </w:r>
        <w:r w:rsidR="00FC77C7" w:rsidRPr="00107C38">
          <w:rPr>
            <w:rStyle w:val="Hyperlink"/>
            <w:noProof/>
          </w:rPr>
          <w:t>The Benefits of the EF Package</w:t>
        </w:r>
        <w:r w:rsidR="00FC77C7">
          <w:rPr>
            <w:noProof/>
            <w:webHidden/>
          </w:rPr>
          <w:tab/>
        </w:r>
        <w:r w:rsidR="00FC77C7">
          <w:rPr>
            <w:noProof/>
            <w:webHidden/>
          </w:rPr>
          <w:fldChar w:fldCharType="begin"/>
        </w:r>
        <w:r w:rsidR="00FC77C7">
          <w:rPr>
            <w:noProof/>
            <w:webHidden/>
          </w:rPr>
          <w:instrText xml:space="preserve"> PAGEREF _Toc35599767 \h </w:instrText>
        </w:r>
        <w:r w:rsidR="00FC77C7">
          <w:rPr>
            <w:noProof/>
            <w:webHidden/>
          </w:rPr>
        </w:r>
        <w:r w:rsidR="00FC77C7">
          <w:rPr>
            <w:noProof/>
            <w:webHidden/>
          </w:rPr>
          <w:fldChar w:fldCharType="separate"/>
        </w:r>
        <w:r>
          <w:rPr>
            <w:noProof/>
            <w:webHidden/>
          </w:rPr>
          <w:t>39</w:t>
        </w:r>
        <w:r w:rsidR="00FC77C7">
          <w:rPr>
            <w:noProof/>
            <w:webHidden/>
          </w:rPr>
          <w:fldChar w:fldCharType="end"/>
        </w:r>
      </w:hyperlink>
    </w:p>
    <w:p w14:paraId="68D08640" w14:textId="29A5986F"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68" w:history="1">
        <w:r w:rsidR="00FC77C7" w:rsidRPr="00107C38">
          <w:rPr>
            <w:rStyle w:val="Hyperlink"/>
            <w:noProof/>
          </w:rPr>
          <w:t>8</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References</w:t>
        </w:r>
        <w:r w:rsidR="00FC77C7">
          <w:rPr>
            <w:noProof/>
            <w:webHidden/>
          </w:rPr>
          <w:tab/>
        </w:r>
        <w:r w:rsidR="00FC77C7">
          <w:rPr>
            <w:noProof/>
            <w:webHidden/>
          </w:rPr>
          <w:fldChar w:fldCharType="begin"/>
        </w:r>
        <w:r w:rsidR="00FC77C7">
          <w:rPr>
            <w:noProof/>
            <w:webHidden/>
          </w:rPr>
          <w:instrText xml:space="preserve"> PAGEREF _Toc35599768 \h </w:instrText>
        </w:r>
        <w:r w:rsidR="00FC77C7">
          <w:rPr>
            <w:noProof/>
            <w:webHidden/>
          </w:rPr>
        </w:r>
        <w:r w:rsidR="00FC77C7">
          <w:rPr>
            <w:noProof/>
            <w:webHidden/>
          </w:rPr>
          <w:fldChar w:fldCharType="separate"/>
        </w:r>
        <w:r>
          <w:rPr>
            <w:noProof/>
            <w:webHidden/>
          </w:rPr>
          <w:t>41</w:t>
        </w:r>
        <w:r w:rsidR="00FC77C7">
          <w:rPr>
            <w:noProof/>
            <w:webHidden/>
          </w:rPr>
          <w:fldChar w:fldCharType="end"/>
        </w:r>
      </w:hyperlink>
    </w:p>
    <w:p w14:paraId="22BB33C5" w14:textId="31620173" w:rsidR="00FC77C7" w:rsidRDefault="00024EB5">
      <w:pPr>
        <w:pStyle w:val="TOC1"/>
        <w:tabs>
          <w:tab w:val="left" w:pos="442"/>
          <w:tab w:val="right" w:pos="8211"/>
        </w:tabs>
        <w:rPr>
          <w:rFonts w:asciiTheme="minorHAnsi" w:eastAsiaTheme="minorEastAsia" w:hAnsiTheme="minorHAnsi" w:cstheme="minorBidi"/>
          <w:b w:val="0"/>
          <w:noProof/>
          <w:sz w:val="22"/>
          <w:szCs w:val="22"/>
          <w:lang w:eastAsia="en-NZ"/>
        </w:rPr>
      </w:pPr>
      <w:hyperlink w:anchor="_Toc35599769" w:history="1">
        <w:r w:rsidR="00FC77C7" w:rsidRPr="00107C38">
          <w:rPr>
            <w:rStyle w:val="Hyperlink"/>
            <w:noProof/>
          </w:rPr>
          <w:t>9</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Annex A Recreational Use of Freshwater</w:t>
        </w:r>
        <w:r w:rsidR="00FC77C7">
          <w:rPr>
            <w:noProof/>
            <w:webHidden/>
          </w:rPr>
          <w:tab/>
        </w:r>
        <w:r w:rsidR="00FC77C7">
          <w:rPr>
            <w:noProof/>
            <w:webHidden/>
          </w:rPr>
          <w:fldChar w:fldCharType="begin"/>
        </w:r>
        <w:r w:rsidR="00FC77C7">
          <w:rPr>
            <w:noProof/>
            <w:webHidden/>
          </w:rPr>
          <w:instrText xml:space="preserve"> PAGEREF _Toc35599769 \h </w:instrText>
        </w:r>
        <w:r w:rsidR="00FC77C7">
          <w:rPr>
            <w:noProof/>
            <w:webHidden/>
          </w:rPr>
        </w:r>
        <w:r w:rsidR="00FC77C7">
          <w:rPr>
            <w:noProof/>
            <w:webHidden/>
          </w:rPr>
          <w:fldChar w:fldCharType="separate"/>
        </w:r>
        <w:r>
          <w:rPr>
            <w:noProof/>
            <w:webHidden/>
          </w:rPr>
          <w:t>48</w:t>
        </w:r>
        <w:r w:rsidR="00FC77C7">
          <w:rPr>
            <w:noProof/>
            <w:webHidden/>
          </w:rPr>
          <w:fldChar w:fldCharType="end"/>
        </w:r>
      </w:hyperlink>
    </w:p>
    <w:p w14:paraId="00633A53" w14:textId="48874F9C" w:rsidR="00FC77C7" w:rsidRDefault="00024EB5">
      <w:pPr>
        <w:pStyle w:val="TOC1"/>
        <w:tabs>
          <w:tab w:val="left" w:pos="658"/>
          <w:tab w:val="right" w:pos="8211"/>
        </w:tabs>
        <w:rPr>
          <w:rFonts w:asciiTheme="minorHAnsi" w:eastAsiaTheme="minorEastAsia" w:hAnsiTheme="minorHAnsi" w:cstheme="minorBidi"/>
          <w:b w:val="0"/>
          <w:noProof/>
          <w:sz w:val="22"/>
          <w:szCs w:val="22"/>
          <w:lang w:eastAsia="en-NZ"/>
        </w:rPr>
      </w:pPr>
      <w:hyperlink w:anchor="_Toc35599773" w:history="1">
        <w:r w:rsidR="00FC77C7" w:rsidRPr="00107C38">
          <w:rPr>
            <w:rStyle w:val="Hyperlink"/>
            <w:noProof/>
          </w:rPr>
          <w:t>10</w:t>
        </w:r>
        <w:r w:rsidR="00FC77C7">
          <w:rPr>
            <w:rFonts w:asciiTheme="minorHAnsi" w:eastAsiaTheme="minorEastAsia" w:hAnsiTheme="minorHAnsi" w:cstheme="minorBidi"/>
            <w:b w:val="0"/>
            <w:noProof/>
            <w:sz w:val="22"/>
            <w:szCs w:val="22"/>
            <w:lang w:eastAsia="en-NZ"/>
          </w:rPr>
          <w:tab/>
        </w:r>
        <w:r w:rsidR="00FC77C7" w:rsidRPr="00107C38">
          <w:rPr>
            <w:rStyle w:val="Hyperlink"/>
            <w:noProof/>
          </w:rPr>
          <w:t>Annex B:  Statistical Analysis of N &amp; P</w:t>
        </w:r>
        <w:r w:rsidR="00FC77C7">
          <w:rPr>
            <w:noProof/>
            <w:webHidden/>
          </w:rPr>
          <w:tab/>
        </w:r>
        <w:r w:rsidR="00FC77C7">
          <w:rPr>
            <w:noProof/>
            <w:webHidden/>
          </w:rPr>
          <w:fldChar w:fldCharType="begin"/>
        </w:r>
        <w:r w:rsidR="00FC77C7">
          <w:rPr>
            <w:noProof/>
            <w:webHidden/>
          </w:rPr>
          <w:instrText xml:space="preserve"> PAGEREF _Toc35599773 \h </w:instrText>
        </w:r>
        <w:r w:rsidR="00FC77C7">
          <w:rPr>
            <w:noProof/>
            <w:webHidden/>
          </w:rPr>
        </w:r>
        <w:r w:rsidR="00FC77C7">
          <w:rPr>
            <w:noProof/>
            <w:webHidden/>
          </w:rPr>
          <w:fldChar w:fldCharType="separate"/>
        </w:r>
        <w:r>
          <w:rPr>
            <w:noProof/>
            <w:webHidden/>
          </w:rPr>
          <w:t>50</w:t>
        </w:r>
        <w:r w:rsidR="00FC77C7">
          <w:rPr>
            <w:noProof/>
            <w:webHidden/>
          </w:rPr>
          <w:fldChar w:fldCharType="end"/>
        </w:r>
      </w:hyperlink>
    </w:p>
    <w:p w14:paraId="4F2F74DA" w14:textId="6A59527C" w:rsidR="00C535E7" w:rsidRDefault="007F7C24" w:rsidP="00C535E7">
      <w:r>
        <w:fldChar w:fldCharType="end"/>
      </w:r>
    </w:p>
    <w:p w14:paraId="6AA2B5EB" w14:textId="77777777" w:rsidR="007F7C24" w:rsidRDefault="007F7C24" w:rsidP="00C535E7">
      <w:pPr>
        <w:sectPr w:rsidR="007F7C24" w:rsidSect="001540A7">
          <w:footerReference w:type="default" r:id="rId11"/>
          <w:headerReference w:type="first" r:id="rId12"/>
          <w:footerReference w:type="first" r:id="rId13"/>
          <w:pgSz w:w="11907" w:h="16840" w:code="9"/>
          <w:pgMar w:top="1678" w:right="1701" w:bottom="1418" w:left="1985" w:header="720" w:footer="828" w:gutter="0"/>
          <w:cols w:space="720"/>
          <w:titlePg/>
          <w:docGrid w:linePitch="360"/>
        </w:sectPr>
      </w:pPr>
    </w:p>
    <w:p w14:paraId="7F29F9B2" w14:textId="77777777" w:rsidR="007F7C24" w:rsidRPr="007F7C24" w:rsidRDefault="007F7C24" w:rsidP="007F7C24">
      <w:pPr>
        <w:pStyle w:val="Heading1"/>
      </w:pPr>
      <w:bookmarkStart w:id="1" w:name="_Toc35599740"/>
      <w:r w:rsidRPr="007F7C24">
        <w:lastRenderedPageBreak/>
        <w:t>Introduction</w:t>
      </w:r>
      <w:bookmarkEnd w:id="1"/>
    </w:p>
    <w:p w14:paraId="607C821B" w14:textId="77777777" w:rsidR="00FC77C7" w:rsidRDefault="00FC77C7" w:rsidP="00FC77C7">
      <w:pPr>
        <w:pStyle w:val="Heading2"/>
      </w:pPr>
      <w:bookmarkStart w:id="2" w:name="_Toc35593980"/>
      <w:bookmarkStart w:id="3" w:name="_Toc35599741"/>
      <w:r>
        <w:t>Purpose of this Report</w:t>
      </w:r>
      <w:bookmarkEnd w:id="2"/>
      <w:bookmarkEnd w:id="3"/>
    </w:p>
    <w:p w14:paraId="23981E14" w14:textId="77777777" w:rsidR="00FC77C7" w:rsidRDefault="00FC77C7" w:rsidP="00FC77C7">
      <w:r>
        <w:t xml:space="preserve">This report examines the benefits of improving water quality under the </w:t>
      </w:r>
      <w:r w:rsidRPr="008F3442">
        <w:t>Essential Freshwater</w:t>
      </w:r>
      <w:r>
        <w:t xml:space="preserve"> (EFW)</w:t>
      </w:r>
      <w:r w:rsidRPr="008F3442">
        <w:t xml:space="preserve"> Package</w:t>
      </w:r>
      <w:r>
        <w:t>.</w:t>
      </w:r>
      <w:r>
        <w:rPr>
          <w:rStyle w:val="FootnoteReference"/>
        </w:rPr>
        <w:footnoteReference w:id="1"/>
      </w:r>
      <w:r>
        <w:t xml:space="preserve"> </w:t>
      </w:r>
      <w:r w:rsidRPr="006D1F65">
        <w:t>It is expected to result in costs because of the required changes to farm practices and land uses to reduce discharges. To compare with these costs, this report identifies the expected benefits and examines whether they can be measured in monetary terms. We review relevant literature and compile available data.</w:t>
      </w:r>
      <w:r>
        <w:t xml:space="preserve"> </w:t>
      </w:r>
    </w:p>
    <w:p w14:paraId="1DC697B2" w14:textId="77777777" w:rsidR="00FC77C7" w:rsidRDefault="00FC77C7" w:rsidP="00FC77C7">
      <w:pPr>
        <w:pStyle w:val="Heading2"/>
      </w:pPr>
      <w:bookmarkStart w:id="4" w:name="_Toc35593981"/>
      <w:bookmarkStart w:id="5" w:name="_Toc35599742"/>
      <w:r>
        <w:t>The Water Quality Problem</w:t>
      </w:r>
      <w:bookmarkEnd w:id="4"/>
      <w:bookmarkEnd w:id="5"/>
    </w:p>
    <w:p w14:paraId="66B64481" w14:textId="77777777" w:rsidR="00FC77C7" w:rsidRDefault="00FC77C7" w:rsidP="00FC77C7">
      <w:r>
        <w:t xml:space="preserve">Freshwater quality has deteriorated in New Zealand from factors that include run-off or leaching of nitrogen, phosphorus, sediment and pathogens (particularly </w:t>
      </w:r>
      <w:r w:rsidRPr="006D240C">
        <w:rPr>
          <w:i/>
          <w:iCs/>
        </w:rPr>
        <w:t>E coli</w:t>
      </w:r>
      <w:r>
        <w:t>).</w:t>
      </w:r>
    </w:p>
    <w:p w14:paraId="796EF595" w14:textId="77777777" w:rsidR="00FC77C7" w:rsidRDefault="00FC77C7" w:rsidP="00FC77C7"/>
    <w:p w14:paraId="30D04479" w14:textId="50742E8E" w:rsidR="00FC77C7" w:rsidRPr="0093011F" w:rsidRDefault="00FC77C7" w:rsidP="0093011F">
      <w:pPr>
        <w:pStyle w:val="ListParagraph"/>
      </w:pPr>
      <w:r w:rsidRPr="0093011F">
        <w:t xml:space="preserve">Nitrogen and phosphorus can cause excessive growth of </w:t>
      </w:r>
      <w:proofErr w:type="spellStart"/>
      <w:r w:rsidRPr="0093011F">
        <w:t>periphyton</w:t>
      </w:r>
      <w:proofErr w:type="spellEnd"/>
      <w:r w:rsidRPr="0093011F">
        <w:t xml:space="preserve"> (slime and algae) in rivers and toxic algae in lakes. This can reduce the aesthetic value of waterways, the diversity of aquatic life and the potential for recreational and commercial use (</w:t>
      </w:r>
      <w:r w:rsidRPr="0093011F">
        <w:fldChar w:fldCharType="begin"/>
      </w:r>
      <w:r w:rsidRPr="0093011F">
        <w:instrText xml:space="preserve"> REF _Ref30499464 \h </w:instrText>
      </w:r>
      <w:r w:rsidR="0093011F" w:rsidRPr="0093011F">
        <w:instrText xml:space="preserve"> \* MERGEFORMAT </w:instrText>
      </w:r>
      <w:r w:rsidRPr="0093011F">
        <w:fldChar w:fldCharType="separate"/>
      </w:r>
      <w:r w:rsidR="00024EB5">
        <w:t>Table 1</w:t>
      </w:r>
      <w:r w:rsidRPr="0093011F">
        <w:fldChar w:fldCharType="end"/>
      </w:r>
      <w:r w:rsidRPr="0093011F">
        <w:t xml:space="preserve">). </w:t>
      </w:r>
      <w:r w:rsidRPr="0093011F">
        <w:br/>
      </w:r>
    </w:p>
    <w:p w14:paraId="40DFACCD" w14:textId="77777777" w:rsidR="00FC77C7" w:rsidRPr="0093011F" w:rsidRDefault="00FC77C7" w:rsidP="0093011F">
      <w:pPr>
        <w:pStyle w:val="ListParagraph"/>
      </w:pPr>
      <w:r w:rsidRPr="0093011F">
        <w:t xml:space="preserve">Sediment reduces water clarity and smothers the beds of waterways to the detriment of freshwater species. </w:t>
      </w:r>
      <w:r w:rsidRPr="0093011F">
        <w:br/>
      </w:r>
    </w:p>
    <w:p w14:paraId="5FF4FBF4" w14:textId="77777777" w:rsidR="00FC77C7" w:rsidRPr="0093011F" w:rsidRDefault="00FC77C7" w:rsidP="0093011F">
      <w:pPr>
        <w:pStyle w:val="ListParagraph"/>
      </w:pPr>
      <w:r w:rsidRPr="0093011F">
        <w:t>Pathogens have impacts on human health via waterborne infections and illnesses for people in direct contact with water, such as when swimming.</w:t>
      </w:r>
    </w:p>
    <w:p w14:paraId="5472A46B" w14:textId="327DDBF6" w:rsidR="00FC77C7" w:rsidRDefault="00FC77C7" w:rsidP="0093011F">
      <w:pPr>
        <w:pStyle w:val="Caption"/>
      </w:pPr>
      <w:bookmarkStart w:id="6" w:name="_Ref30499464"/>
      <w:bookmarkStart w:id="7" w:name="_Ref35579032"/>
      <w:r>
        <w:t xml:space="preserve">Table </w:t>
      </w:r>
      <w:r w:rsidR="00313617">
        <w:fldChar w:fldCharType="begin"/>
      </w:r>
      <w:r w:rsidR="00313617">
        <w:instrText xml:space="preserve"> SEQ Table \* ARABIC </w:instrText>
      </w:r>
      <w:r w:rsidR="00313617">
        <w:fldChar w:fldCharType="separate"/>
      </w:r>
      <w:r w:rsidR="00024EB5">
        <w:rPr>
          <w:noProof/>
        </w:rPr>
        <w:t>1</w:t>
      </w:r>
      <w:r w:rsidR="00313617">
        <w:rPr>
          <w:noProof/>
        </w:rPr>
        <w:fldChar w:fldCharType="end"/>
      </w:r>
      <w:bookmarkEnd w:id="6"/>
      <w:r>
        <w:t xml:space="preserve"> Problems associated with excess </w:t>
      </w:r>
      <w:proofErr w:type="spellStart"/>
      <w:r>
        <w:t>periphyton</w:t>
      </w:r>
      <w:bookmarkEnd w:id="7"/>
      <w:proofErr w:type="spellEnd"/>
    </w:p>
    <w:tbl>
      <w:tblPr>
        <w:tblStyle w:val="CovecTables"/>
        <w:tblW w:w="5000" w:type="pct"/>
        <w:tblInd w:w="0" w:type="dxa"/>
        <w:tblLook w:val="04E0" w:firstRow="1" w:lastRow="1" w:firstColumn="1" w:lastColumn="0" w:noHBand="0" w:noVBand="1"/>
      </w:tblPr>
      <w:tblGrid>
        <w:gridCol w:w="1951"/>
        <w:gridCol w:w="6270"/>
      </w:tblGrid>
      <w:tr w:rsidR="00FC77C7" w:rsidRPr="00F4536E" w14:paraId="2A39109C"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pct"/>
            <w:noWrap/>
          </w:tcPr>
          <w:p w14:paraId="4D1A8279" w14:textId="77777777" w:rsidR="00FC77C7" w:rsidRPr="00F4536E" w:rsidRDefault="00FC77C7" w:rsidP="00FC77C7">
            <w:pPr>
              <w:pStyle w:val="TableText"/>
              <w:jc w:val="left"/>
              <w:rPr>
                <w:lang w:eastAsia="en-NZ"/>
              </w:rPr>
            </w:pPr>
            <w:r>
              <w:rPr>
                <w:lang w:eastAsia="en-NZ"/>
              </w:rPr>
              <w:t>Instream value</w:t>
            </w:r>
          </w:p>
        </w:tc>
        <w:tc>
          <w:tcPr>
            <w:tcW w:w="4010" w:type="pct"/>
            <w:noWrap/>
          </w:tcPr>
          <w:p w14:paraId="0D0C417D" w14:textId="77777777" w:rsidR="00FC77C7" w:rsidRPr="00F4536E" w:rsidRDefault="00FC77C7" w:rsidP="00FC77C7">
            <w:pPr>
              <w:pStyle w:val="TableText"/>
              <w:jc w:val="left"/>
              <w:cnfStyle w:val="100000000000" w:firstRow="1" w:lastRow="0" w:firstColumn="0" w:lastColumn="0" w:oddVBand="0" w:evenVBand="0" w:oddHBand="0" w:evenHBand="0" w:firstRowFirstColumn="0" w:firstRowLastColumn="0" w:lastRowFirstColumn="0" w:lastRowLastColumn="0"/>
              <w:rPr>
                <w:lang w:eastAsia="en-NZ"/>
              </w:rPr>
            </w:pPr>
            <w:r>
              <w:rPr>
                <w:lang w:eastAsia="en-NZ"/>
              </w:rPr>
              <w:t>Problem</w:t>
            </w:r>
          </w:p>
        </w:tc>
      </w:tr>
      <w:tr w:rsidR="00FC77C7" w:rsidRPr="00F4536E" w14:paraId="7A748BCE"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6A3EECFD" w14:textId="77777777" w:rsidR="00FC77C7" w:rsidRPr="00F4536E" w:rsidRDefault="00FC77C7" w:rsidP="0093011F">
            <w:pPr>
              <w:pStyle w:val="TableText"/>
              <w:rPr>
                <w:lang w:eastAsia="en-NZ"/>
              </w:rPr>
            </w:pPr>
            <w:r w:rsidRPr="00F4536E">
              <w:rPr>
                <w:lang w:eastAsia="en-NZ"/>
              </w:rPr>
              <w:t>Aesthetics</w:t>
            </w:r>
          </w:p>
        </w:tc>
        <w:tc>
          <w:tcPr>
            <w:tcW w:w="4010" w:type="pct"/>
            <w:tcBorders>
              <w:top w:val="single" w:sz="8" w:space="0" w:color="A6A6A6" w:themeColor="background1" w:themeShade="A6"/>
              <w:bottom w:val="single" w:sz="8" w:space="0" w:color="A6A6A6" w:themeColor="background1" w:themeShade="A6"/>
            </w:tcBorders>
            <w:noWrap/>
            <w:vAlign w:val="top"/>
            <w:hideMark/>
          </w:tcPr>
          <w:p w14:paraId="0B168838"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 xml:space="preserve">Degradation of scenery, odour problems  </w:t>
            </w:r>
          </w:p>
        </w:tc>
      </w:tr>
      <w:tr w:rsidR="00FC77C7" w:rsidRPr="00F4536E" w14:paraId="001DAAE4"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64245844" w14:textId="77777777" w:rsidR="00FC77C7" w:rsidRPr="00F4536E" w:rsidRDefault="00FC77C7" w:rsidP="0093011F">
            <w:pPr>
              <w:pStyle w:val="TableText"/>
              <w:rPr>
                <w:lang w:eastAsia="en-NZ"/>
              </w:rPr>
            </w:pPr>
            <w:r w:rsidRPr="00F4536E">
              <w:rPr>
                <w:lang w:eastAsia="en-NZ"/>
              </w:rPr>
              <w:t>Biodiversity</w:t>
            </w:r>
          </w:p>
        </w:tc>
        <w:tc>
          <w:tcPr>
            <w:tcW w:w="4010" w:type="pct"/>
            <w:tcBorders>
              <w:top w:val="single" w:sz="8" w:space="0" w:color="A6A6A6" w:themeColor="background1" w:themeShade="A6"/>
              <w:bottom w:val="single" w:sz="8" w:space="0" w:color="A6A6A6" w:themeColor="background1" w:themeShade="A6"/>
            </w:tcBorders>
            <w:noWrap/>
            <w:vAlign w:val="top"/>
            <w:hideMark/>
          </w:tcPr>
          <w:p w14:paraId="615B2169"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Loss of sensitive invertebrate taxa through habitat alteration, possible reduction in benthic biodiversity</w:t>
            </w:r>
          </w:p>
        </w:tc>
      </w:tr>
      <w:tr w:rsidR="00FC77C7" w:rsidRPr="00F4536E" w14:paraId="0361F996"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0D3195F8" w14:textId="77777777" w:rsidR="00FC77C7" w:rsidRPr="00F4536E" w:rsidRDefault="00FC77C7" w:rsidP="0093011F">
            <w:pPr>
              <w:pStyle w:val="TableText"/>
              <w:rPr>
                <w:lang w:eastAsia="en-NZ"/>
              </w:rPr>
            </w:pPr>
            <w:r w:rsidRPr="00F4536E">
              <w:rPr>
                <w:lang w:eastAsia="en-NZ"/>
              </w:rPr>
              <w:t>Contact recreation</w:t>
            </w:r>
          </w:p>
        </w:tc>
        <w:tc>
          <w:tcPr>
            <w:tcW w:w="4010" w:type="pct"/>
            <w:tcBorders>
              <w:top w:val="single" w:sz="8" w:space="0" w:color="A6A6A6" w:themeColor="background1" w:themeShade="A6"/>
              <w:bottom w:val="single" w:sz="8" w:space="0" w:color="A6A6A6" w:themeColor="background1" w:themeShade="A6"/>
            </w:tcBorders>
            <w:noWrap/>
            <w:vAlign w:val="top"/>
            <w:hideMark/>
          </w:tcPr>
          <w:p w14:paraId="4252F3DB"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Impairment of swimming, odour problems, dangerous for wading</w:t>
            </w:r>
          </w:p>
        </w:tc>
      </w:tr>
      <w:tr w:rsidR="00FC77C7" w:rsidRPr="00F4536E" w14:paraId="4162C953"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60B09C4C" w14:textId="77777777" w:rsidR="00FC77C7" w:rsidRPr="00F4536E" w:rsidRDefault="00FC77C7" w:rsidP="0093011F">
            <w:pPr>
              <w:pStyle w:val="TableText"/>
              <w:rPr>
                <w:lang w:eastAsia="en-NZ"/>
              </w:rPr>
            </w:pPr>
            <w:r w:rsidRPr="00F4536E">
              <w:rPr>
                <w:lang w:eastAsia="en-NZ"/>
              </w:rPr>
              <w:t>Industrial use</w:t>
            </w:r>
          </w:p>
        </w:tc>
        <w:tc>
          <w:tcPr>
            <w:tcW w:w="4010" w:type="pct"/>
            <w:tcBorders>
              <w:top w:val="single" w:sz="8" w:space="0" w:color="A6A6A6" w:themeColor="background1" w:themeShade="A6"/>
              <w:bottom w:val="single" w:sz="8" w:space="0" w:color="A6A6A6" w:themeColor="background1" w:themeShade="A6"/>
            </w:tcBorders>
            <w:noWrap/>
            <w:vAlign w:val="top"/>
            <w:hideMark/>
          </w:tcPr>
          <w:p w14:paraId="72690146"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Taste and odour problems, clogging intakes</w:t>
            </w:r>
          </w:p>
        </w:tc>
      </w:tr>
      <w:tr w:rsidR="00FC77C7" w:rsidRPr="00F4536E" w14:paraId="2993B1ED"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05D24867" w14:textId="77777777" w:rsidR="00FC77C7" w:rsidRPr="00F4536E" w:rsidRDefault="00FC77C7" w:rsidP="0093011F">
            <w:pPr>
              <w:pStyle w:val="TableText"/>
              <w:rPr>
                <w:lang w:eastAsia="en-NZ"/>
              </w:rPr>
            </w:pPr>
            <w:r w:rsidRPr="00F4536E">
              <w:rPr>
                <w:lang w:eastAsia="en-NZ"/>
              </w:rPr>
              <w:t>Irrigation</w:t>
            </w:r>
          </w:p>
        </w:tc>
        <w:tc>
          <w:tcPr>
            <w:tcW w:w="4010" w:type="pct"/>
            <w:tcBorders>
              <w:top w:val="single" w:sz="8" w:space="0" w:color="A6A6A6" w:themeColor="background1" w:themeShade="A6"/>
              <w:bottom w:val="single" w:sz="8" w:space="0" w:color="A6A6A6" w:themeColor="background1" w:themeShade="A6"/>
            </w:tcBorders>
            <w:noWrap/>
            <w:vAlign w:val="top"/>
            <w:hideMark/>
          </w:tcPr>
          <w:p w14:paraId="6F304353"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 xml:space="preserve">Clogging intakes     </w:t>
            </w:r>
          </w:p>
        </w:tc>
      </w:tr>
      <w:tr w:rsidR="00FC77C7" w:rsidRPr="00F4536E" w14:paraId="6CD50846"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221DA4CB" w14:textId="77777777" w:rsidR="00FC77C7" w:rsidRPr="00F4536E" w:rsidRDefault="00FC77C7" w:rsidP="0093011F">
            <w:pPr>
              <w:pStyle w:val="TableText"/>
              <w:rPr>
                <w:lang w:eastAsia="en-NZ"/>
              </w:rPr>
            </w:pPr>
            <w:r w:rsidRPr="00F4536E">
              <w:rPr>
                <w:lang w:eastAsia="en-NZ"/>
              </w:rPr>
              <w:t>Monitoring structures</w:t>
            </w:r>
          </w:p>
        </w:tc>
        <w:tc>
          <w:tcPr>
            <w:tcW w:w="4010" w:type="pct"/>
            <w:tcBorders>
              <w:top w:val="single" w:sz="8" w:space="0" w:color="A6A6A6" w:themeColor="background1" w:themeShade="A6"/>
              <w:bottom w:val="single" w:sz="8" w:space="0" w:color="A6A6A6" w:themeColor="background1" w:themeShade="A6"/>
            </w:tcBorders>
            <w:noWrap/>
            <w:vAlign w:val="top"/>
            <w:hideMark/>
          </w:tcPr>
          <w:p w14:paraId="6647D576"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Fouling of sensor surfaces, interferes with supply</w:t>
            </w:r>
          </w:p>
        </w:tc>
      </w:tr>
      <w:tr w:rsidR="00FC77C7" w:rsidRPr="00F4536E" w14:paraId="2ABFC69B"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43AB61A9" w14:textId="77777777" w:rsidR="00FC77C7" w:rsidRPr="00F4536E" w:rsidRDefault="00FC77C7" w:rsidP="0093011F">
            <w:pPr>
              <w:pStyle w:val="TableText"/>
              <w:rPr>
                <w:lang w:eastAsia="en-NZ"/>
              </w:rPr>
            </w:pPr>
            <w:r w:rsidRPr="00F4536E">
              <w:rPr>
                <w:lang w:eastAsia="en-NZ"/>
              </w:rPr>
              <w:t>Potable supply</w:t>
            </w:r>
          </w:p>
        </w:tc>
        <w:tc>
          <w:tcPr>
            <w:tcW w:w="4010" w:type="pct"/>
            <w:tcBorders>
              <w:top w:val="single" w:sz="8" w:space="0" w:color="A6A6A6" w:themeColor="background1" w:themeShade="A6"/>
              <w:bottom w:val="single" w:sz="8" w:space="0" w:color="A6A6A6" w:themeColor="background1" w:themeShade="A6"/>
            </w:tcBorders>
            <w:noWrap/>
            <w:vAlign w:val="top"/>
            <w:hideMark/>
          </w:tcPr>
          <w:p w14:paraId="20CE7088"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Taste and odour problems, clogging intakes</w:t>
            </w:r>
          </w:p>
        </w:tc>
      </w:tr>
      <w:tr w:rsidR="00FC77C7" w:rsidRPr="00F4536E" w14:paraId="27DDD8AE"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1A3300CD" w14:textId="77777777" w:rsidR="00FC77C7" w:rsidRPr="00F4536E" w:rsidRDefault="00FC77C7" w:rsidP="0093011F">
            <w:pPr>
              <w:pStyle w:val="TableText"/>
              <w:rPr>
                <w:lang w:eastAsia="en-NZ"/>
              </w:rPr>
            </w:pPr>
            <w:r w:rsidRPr="00F4536E">
              <w:rPr>
                <w:lang w:eastAsia="en-NZ"/>
              </w:rPr>
              <w:t>Native fish conservation</w:t>
            </w:r>
          </w:p>
        </w:tc>
        <w:tc>
          <w:tcPr>
            <w:tcW w:w="4010" w:type="pct"/>
            <w:tcBorders>
              <w:top w:val="single" w:sz="8" w:space="0" w:color="A6A6A6" w:themeColor="background1" w:themeShade="A6"/>
              <w:bottom w:val="single" w:sz="8" w:space="0" w:color="A6A6A6" w:themeColor="background1" w:themeShade="A6"/>
            </w:tcBorders>
            <w:noWrap/>
            <w:vAlign w:val="top"/>
            <w:hideMark/>
          </w:tcPr>
          <w:p w14:paraId="31B27FCE"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Impairment of spawning and living habitat</w:t>
            </w:r>
          </w:p>
        </w:tc>
      </w:tr>
      <w:tr w:rsidR="00FC77C7" w:rsidRPr="00F4536E" w14:paraId="18CC25DF"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04CE52B2" w14:textId="77777777" w:rsidR="00FC77C7" w:rsidRPr="00F4536E" w:rsidRDefault="00FC77C7" w:rsidP="0093011F">
            <w:pPr>
              <w:pStyle w:val="TableText"/>
              <w:rPr>
                <w:lang w:eastAsia="en-NZ"/>
              </w:rPr>
            </w:pPr>
            <w:r w:rsidRPr="00F4536E">
              <w:rPr>
                <w:lang w:eastAsia="en-NZ"/>
              </w:rPr>
              <w:t>Stock and domestic animal health</w:t>
            </w:r>
          </w:p>
        </w:tc>
        <w:tc>
          <w:tcPr>
            <w:tcW w:w="4010" w:type="pct"/>
            <w:tcBorders>
              <w:top w:val="single" w:sz="8" w:space="0" w:color="A6A6A6" w:themeColor="background1" w:themeShade="A6"/>
              <w:bottom w:val="single" w:sz="8" w:space="0" w:color="A6A6A6" w:themeColor="background1" w:themeShade="A6"/>
            </w:tcBorders>
            <w:noWrap/>
            <w:vAlign w:val="top"/>
            <w:hideMark/>
          </w:tcPr>
          <w:p w14:paraId="7A473513"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 xml:space="preserve">Toxic blooms of cyanobacteria  </w:t>
            </w:r>
          </w:p>
        </w:tc>
      </w:tr>
      <w:tr w:rsidR="00FC77C7" w:rsidRPr="00F4536E" w14:paraId="149D061D"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6AD59B2D" w14:textId="77777777" w:rsidR="00FC77C7" w:rsidRPr="00F4536E" w:rsidRDefault="00FC77C7" w:rsidP="0093011F">
            <w:pPr>
              <w:pStyle w:val="TableText"/>
              <w:rPr>
                <w:lang w:eastAsia="en-NZ"/>
              </w:rPr>
            </w:pPr>
            <w:r w:rsidRPr="00F4536E">
              <w:rPr>
                <w:lang w:eastAsia="en-NZ"/>
              </w:rPr>
              <w:t xml:space="preserve">Trout habitats/angling </w:t>
            </w:r>
          </w:p>
        </w:tc>
        <w:tc>
          <w:tcPr>
            <w:tcW w:w="4010" w:type="pct"/>
            <w:tcBorders>
              <w:top w:val="single" w:sz="8" w:space="0" w:color="A6A6A6" w:themeColor="background1" w:themeShade="A6"/>
              <w:bottom w:val="single" w:sz="8" w:space="0" w:color="A6A6A6" w:themeColor="background1" w:themeShade="A6"/>
            </w:tcBorders>
            <w:noWrap/>
            <w:vAlign w:val="top"/>
            <w:hideMark/>
          </w:tcPr>
          <w:p w14:paraId="1FAEEBE9"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Reduction in fish activity/populations, fouling lures, dangerous for wading</w:t>
            </w:r>
          </w:p>
        </w:tc>
      </w:tr>
      <w:tr w:rsidR="00FC77C7" w:rsidRPr="00F4536E" w14:paraId="0350FD8B"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6700506A" w14:textId="77777777" w:rsidR="00FC77C7" w:rsidRPr="00F4536E" w:rsidRDefault="00FC77C7" w:rsidP="0093011F">
            <w:pPr>
              <w:pStyle w:val="TableText"/>
              <w:rPr>
                <w:lang w:eastAsia="en-NZ"/>
              </w:rPr>
            </w:pPr>
            <w:r w:rsidRPr="00F4536E">
              <w:rPr>
                <w:lang w:eastAsia="en-NZ"/>
              </w:rPr>
              <w:t xml:space="preserve">Waste assimilation </w:t>
            </w:r>
          </w:p>
        </w:tc>
        <w:tc>
          <w:tcPr>
            <w:tcW w:w="4010" w:type="pct"/>
            <w:tcBorders>
              <w:top w:val="single" w:sz="8" w:space="0" w:color="A6A6A6" w:themeColor="background1" w:themeShade="A6"/>
              <w:bottom w:val="single" w:sz="8" w:space="0" w:color="A6A6A6" w:themeColor="background1" w:themeShade="A6"/>
            </w:tcBorders>
            <w:noWrap/>
            <w:vAlign w:val="top"/>
            <w:hideMark/>
          </w:tcPr>
          <w:p w14:paraId="1219D019"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Reduces stream flow, reduces ability to absorb ammonia, reduces ability to process organics without excessive</w:t>
            </w:r>
            <w:r w:rsidRPr="00F4536E">
              <w:rPr>
                <w:lang w:eastAsia="en-NZ"/>
              </w:rPr>
              <w:br/>
              <w:t>DO depletion</w:t>
            </w:r>
          </w:p>
        </w:tc>
      </w:tr>
      <w:tr w:rsidR="00FC77C7" w:rsidRPr="00F4536E" w14:paraId="23A619D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990" w:type="pct"/>
            <w:tcBorders>
              <w:top w:val="single" w:sz="8" w:space="0" w:color="A6A6A6" w:themeColor="background1" w:themeShade="A6"/>
              <w:bottom w:val="single" w:sz="8" w:space="0" w:color="A6A6A6" w:themeColor="background1" w:themeShade="A6"/>
            </w:tcBorders>
            <w:noWrap/>
            <w:vAlign w:val="top"/>
            <w:hideMark/>
          </w:tcPr>
          <w:p w14:paraId="551B6249" w14:textId="77777777" w:rsidR="00FC77C7" w:rsidRPr="00F4536E" w:rsidRDefault="00FC77C7" w:rsidP="0093011F">
            <w:pPr>
              <w:pStyle w:val="TableText"/>
              <w:rPr>
                <w:lang w:eastAsia="en-NZ"/>
              </w:rPr>
            </w:pPr>
            <w:r w:rsidRPr="00F4536E">
              <w:rPr>
                <w:lang w:eastAsia="en-NZ"/>
              </w:rPr>
              <w:t>Water quality</w:t>
            </w:r>
          </w:p>
        </w:tc>
        <w:tc>
          <w:tcPr>
            <w:tcW w:w="4010" w:type="pct"/>
            <w:tcBorders>
              <w:top w:val="single" w:sz="8" w:space="0" w:color="A6A6A6" w:themeColor="background1" w:themeShade="A6"/>
              <w:bottom w:val="single" w:sz="8" w:space="0" w:color="A6A6A6" w:themeColor="background1" w:themeShade="A6"/>
            </w:tcBorders>
            <w:noWrap/>
            <w:vAlign w:val="top"/>
            <w:hideMark/>
          </w:tcPr>
          <w:p w14:paraId="16966B7B" w14:textId="77777777" w:rsidR="00FC77C7" w:rsidRPr="00F4536E" w:rsidRDefault="00FC77C7" w:rsidP="00FC77C7">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F4536E">
              <w:rPr>
                <w:lang w:eastAsia="en-NZ"/>
              </w:rPr>
              <w:t>Increased suspended detritus, interstitial anoxia in stream bed, increased DO and pH fluctuations, increased</w:t>
            </w:r>
            <w:r w:rsidRPr="00F4536E">
              <w:rPr>
                <w:lang w:eastAsia="en-NZ"/>
              </w:rPr>
              <w:br/>
              <w:t>ammonia toxicity, very high pH</w:t>
            </w:r>
          </w:p>
        </w:tc>
      </w:tr>
      <w:tr w:rsidR="00FC77C7" w:rsidRPr="00F4536E" w14:paraId="57315C1C"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990" w:type="pct"/>
            <w:tcBorders>
              <w:top w:val="single" w:sz="8" w:space="0" w:color="A6A6A6" w:themeColor="background1" w:themeShade="A6"/>
            </w:tcBorders>
            <w:noWrap/>
            <w:vAlign w:val="top"/>
            <w:hideMark/>
          </w:tcPr>
          <w:p w14:paraId="36390905" w14:textId="77777777" w:rsidR="00FC77C7" w:rsidRPr="00F4536E" w:rsidRDefault="00FC77C7" w:rsidP="0093011F">
            <w:pPr>
              <w:pStyle w:val="TableText"/>
              <w:rPr>
                <w:lang w:eastAsia="en-NZ"/>
              </w:rPr>
            </w:pPr>
            <w:r w:rsidRPr="00F4536E">
              <w:rPr>
                <w:lang w:eastAsia="en-NZ"/>
              </w:rPr>
              <w:t>Whitebait fishing</w:t>
            </w:r>
          </w:p>
        </w:tc>
        <w:tc>
          <w:tcPr>
            <w:tcW w:w="4010" w:type="pct"/>
            <w:tcBorders>
              <w:top w:val="single" w:sz="8" w:space="0" w:color="A6A6A6" w:themeColor="background1" w:themeShade="A6"/>
            </w:tcBorders>
            <w:noWrap/>
            <w:vAlign w:val="top"/>
            <w:hideMark/>
          </w:tcPr>
          <w:p w14:paraId="451BD118" w14:textId="77777777" w:rsidR="00FC77C7" w:rsidRPr="00F4536E" w:rsidRDefault="00FC77C7" w:rsidP="00FC77C7">
            <w:pPr>
              <w:pStyle w:val="TableText"/>
              <w:jc w:val="left"/>
              <w:cnfStyle w:val="010000000000" w:firstRow="0" w:lastRow="1" w:firstColumn="0" w:lastColumn="0" w:oddVBand="0" w:evenVBand="0" w:oddHBand="0" w:evenHBand="0" w:firstRowFirstColumn="0" w:firstRowLastColumn="0" w:lastRowFirstColumn="0" w:lastRowLastColumn="0"/>
              <w:rPr>
                <w:lang w:eastAsia="en-NZ"/>
              </w:rPr>
            </w:pPr>
            <w:r w:rsidRPr="00F4536E">
              <w:rPr>
                <w:lang w:eastAsia="en-NZ"/>
              </w:rPr>
              <w:t xml:space="preserve">Clogging nets    </w:t>
            </w:r>
          </w:p>
        </w:tc>
      </w:tr>
    </w:tbl>
    <w:p w14:paraId="1BA78893" w14:textId="77777777" w:rsidR="00FC77C7" w:rsidRPr="006D1F65" w:rsidRDefault="00FC77C7" w:rsidP="00FC77C7">
      <w:pPr>
        <w:rPr>
          <w:sz w:val="18"/>
          <w:szCs w:val="18"/>
        </w:rPr>
      </w:pPr>
      <w:r w:rsidRPr="006D1F65">
        <w:rPr>
          <w:sz w:val="18"/>
          <w:szCs w:val="18"/>
        </w:rPr>
        <w:t>Source: Biggs (2000)</w:t>
      </w:r>
    </w:p>
    <w:p w14:paraId="052F202F" w14:textId="77777777" w:rsidR="00FC77C7" w:rsidRDefault="00FC77C7" w:rsidP="00FC77C7"/>
    <w:p w14:paraId="7BF26810" w14:textId="65070ACB" w:rsidR="00FC77C7" w:rsidRDefault="00FC77C7" w:rsidP="00FC77C7">
      <w:r>
        <w:t>Overall the effects of contaminants in waterways are to change ecosystem structure and dynamics, with consequent impacts on recreational, customary and commercial use, and on the benefits people gain from being near freshwater or even from just knowing about the reduced quality (</w:t>
      </w:r>
      <w:r>
        <w:fldChar w:fldCharType="begin"/>
      </w:r>
      <w:r>
        <w:instrText xml:space="preserve"> REF _Ref29561469 \h </w:instrText>
      </w:r>
      <w:r>
        <w:fldChar w:fldCharType="separate"/>
      </w:r>
      <w:r w:rsidR="00024EB5">
        <w:t xml:space="preserve">Figure </w:t>
      </w:r>
      <w:r w:rsidR="00024EB5">
        <w:rPr>
          <w:noProof/>
        </w:rPr>
        <w:t>1</w:t>
      </w:r>
      <w:r>
        <w:fldChar w:fldCharType="end"/>
      </w:r>
      <w:r>
        <w:t xml:space="preserve">). The EF Package aims to improve the quality of freshwaters in New Zealand relative to what it would be otherwise. </w:t>
      </w:r>
    </w:p>
    <w:p w14:paraId="1D8F2879" w14:textId="561C0815" w:rsidR="00FC77C7" w:rsidRDefault="00FC77C7" w:rsidP="0093011F">
      <w:pPr>
        <w:pStyle w:val="Caption"/>
      </w:pPr>
      <w:bookmarkStart w:id="8" w:name="_Ref29561469"/>
      <w:r>
        <w:t xml:space="preserve">Figure </w:t>
      </w:r>
      <w:r w:rsidR="00313617">
        <w:fldChar w:fldCharType="begin"/>
      </w:r>
      <w:r w:rsidR="00313617">
        <w:instrText xml:space="preserve"> SEQ Figure \* ARABIC </w:instrText>
      </w:r>
      <w:r w:rsidR="00313617">
        <w:fldChar w:fldCharType="separate"/>
      </w:r>
      <w:r w:rsidR="00024EB5">
        <w:rPr>
          <w:noProof/>
        </w:rPr>
        <w:t>1</w:t>
      </w:r>
      <w:r w:rsidR="00313617">
        <w:rPr>
          <w:noProof/>
        </w:rPr>
        <w:fldChar w:fldCharType="end"/>
      </w:r>
      <w:bookmarkEnd w:id="8"/>
      <w:r>
        <w:t xml:space="preserve"> Impacts of Activities Affecting Freshwater Environments</w:t>
      </w:r>
    </w:p>
    <w:p w14:paraId="18106AC6" w14:textId="77777777" w:rsidR="00FC77C7" w:rsidRDefault="00FC77C7" w:rsidP="00FC77C7">
      <w:r>
        <w:rPr>
          <w:noProof/>
          <w:lang w:eastAsia="en-NZ"/>
        </w:rPr>
        <w:drawing>
          <wp:inline distT="0" distB="0" distL="0" distR="0" wp14:anchorId="0E4A9AC4" wp14:editId="5F200175">
            <wp:extent cx="4792980" cy="2742166"/>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371" cy="2761842"/>
                    </a:xfrm>
                    <a:prstGeom prst="rect">
                      <a:avLst/>
                    </a:prstGeom>
                    <a:noFill/>
                  </pic:spPr>
                </pic:pic>
              </a:graphicData>
            </a:graphic>
          </wp:inline>
        </w:drawing>
      </w:r>
    </w:p>
    <w:p w14:paraId="48DCE5FA" w14:textId="77777777" w:rsidR="00FC77C7" w:rsidRPr="00FC77C7" w:rsidRDefault="00FC77C7" w:rsidP="00FC77C7">
      <w:pPr>
        <w:rPr>
          <w:sz w:val="18"/>
          <w:szCs w:val="18"/>
        </w:rPr>
      </w:pPr>
      <w:r w:rsidRPr="00FC77C7">
        <w:rPr>
          <w:sz w:val="18"/>
          <w:szCs w:val="18"/>
        </w:rPr>
        <w:t xml:space="preserve">Source: </w:t>
      </w:r>
      <w:proofErr w:type="spellStart"/>
      <w:r w:rsidRPr="00FC77C7">
        <w:rPr>
          <w:sz w:val="18"/>
          <w:szCs w:val="18"/>
        </w:rPr>
        <w:t>Larned</w:t>
      </w:r>
      <w:proofErr w:type="spellEnd"/>
      <w:r w:rsidRPr="00FC77C7">
        <w:rPr>
          <w:sz w:val="18"/>
          <w:szCs w:val="18"/>
        </w:rPr>
        <w:t xml:space="preserve"> </w:t>
      </w:r>
      <w:r w:rsidRPr="00FC77C7">
        <w:rPr>
          <w:i/>
          <w:iCs/>
          <w:sz w:val="18"/>
          <w:szCs w:val="18"/>
        </w:rPr>
        <w:t>et al</w:t>
      </w:r>
      <w:r w:rsidRPr="00FC77C7">
        <w:rPr>
          <w:sz w:val="18"/>
          <w:szCs w:val="18"/>
        </w:rPr>
        <w:t xml:space="preserve"> (2018)</w:t>
      </w:r>
    </w:p>
    <w:p w14:paraId="5D6F7C90" w14:textId="77777777" w:rsidR="00FC77C7" w:rsidRDefault="00FC77C7" w:rsidP="00FC77C7"/>
    <w:p w14:paraId="190A8ADD" w14:textId="6CD2FFF3" w:rsidR="00FC77C7" w:rsidRDefault="00FC77C7" w:rsidP="00FC77C7">
      <w:r w:rsidRPr="00BF54BE">
        <w:t xml:space="preserve">Environment </w:t>
      </w:r>
      <w:proofErr w:type="spellStart"/>
      <w:r w:rsidRPr="00BF54BE">
        <w:t>Aotearoa</w:t>
      </w:r>
      <w:proofErr w:type="spellEnd"/>
      <w:r w:rsidRPr="00BF54BE">
        <w:t xml:space="preserve"> 2019</w:t>
      </w:r>
      <w:r>
        <w:t>,</w:t>
      </w:r>
      <w:r>
        <w:rPr>
          <w:rStyle w:val="FootnoteReference"/>
        </w:rPr>
        <w:footnoteReference w:id="2"/>
      </w:r>
      <w:r>
        <w:t xml:space="preserve"> which is a synthesis report on the state of the environment,</w:t>
      </w:r>
      <w:r w:rsidRPr="00BF54BE">
        <w:t xml:space="preserve"> assessed the state of freshwater </w:t>
      </w:r>
      <w:r>
        <w:t xml:space="preserve">in 2013-17 </w:t>
      </w:r>
      <w:r w:rsidRPr="00BF54BE">
        <w:t>against the Australian and New Zealand Guidelines for Fresh and Marine Water Quality</w:t>
      </w:r>
      <w:r>
        <w:t>. It identified that 50-90% of the total river length in agricultural areas</w:t>
      </w:r>
      <w:r>
        <w:rPr>
          <w:rStyle w:val="FootnoteReference"/>
        </w:rPr>
        <w:footnoteReference w:id="3"/>
      </w:r>
      <w:r>
        <w:t xml:space="preserve"> exceeds the relevant guideline values for water quality in a natural state; this compares to 30% of rivers in native forest areas (</w:t>
      </w:r>
      <w:r>
        <w:fldChar w:fldCharType="begin"/>
      </w:r>
      <w:r>
        <w:instrText xml:space="preserve"> REF _Ref32566765 \h </w:instrText>
      </w:r>
      <w:r>
        <w:fldChar w:fldCharType="separate"/>
      </w:r>
      <w:r w:rsidR="00024EB5">
        <w:t xml:space="preserve">Table </w:t>
      </w:r>
      <w:r w:rsidR="00024EB5">
        <w:rPr>
          <w:noProof/>
        </w:rPr>
        <w:t>2</w:t>
      </w:r>
      <w:r>
        <w:fldChar w:fldCharType="end"/>
      </w:r>
      <w:r>
        <w:t>).</w:t>
      </w:r>
    </w:p>
    <w:p w14:paraId="447DFF00" w14:textId="07D8A0EB" w:rsidR="00FC77C7" w:rsidRDefault="00FC77C7" w:rsidP="0093011F">
      <w:pPr>
        <w:pStyle w:val="Caption"/>
      </w:pPr>
      <w:bookmarkStart w:id="9" w:name="_Ref32566765"/>
      <w:r>
        <w:t xml:space="preserve">Table </w:t>
      </w:r>
      <w:r w:rsidR="00313617">
        <w:fldChar w:fldCharType="begin"/>
      </w:r>
      <w:r w:rsidR="00313617">
        <w:instrText xml:space="preserve"> SEQ Table \* ARABIC </w:instrText>
      </w:r>
      <w:r w:rsidR="00313617">
        <w:fldChar w:fldCharType="separate"/>
      </w:r>
      <w:r w:rsidR="00024EB5">
        <w:rPr>
          <w:noProof/>
        </w:rPr>
        <w:t>2</w:t>
      </w:r>
      <w:r w:rsidR="00313617">
        <w:rPr>
          <w:noProof/>
        </w:rPr>
        <w:fldChar w:fldCharType="end"/>
      </w:r>
      <w:bookmarkEnd w:id="9"/>
      <w:r>
        <w:t xml:space="preserve"> Modelled r</w:t>
      </w:r>
      <w:r w:rsidRPr="00040B5B">
        <w:t xml:space="preserve">iver water quality in pastoral </w:t>
      </w:r>
      <w:r>
        <w:t xml:space="preserve">and </w:t>
      </w:r>
      <w:r w:rsidRPr="00040B5B">
        <w:t xml:space="preserve">native </w:t>
      </w:r>
      <w:r>
        <w:t xml:space="preserve">land </w:t>
      </w:r>
      <w:r w:rsidRPr="00040B5B">
        <w:t>catchments</w:t>
      </w:r>
      <w:r>
        <w:t xml:space="preserve"> (2013-17)</w:t>
      </w:r>
    </w:p>
    <w:tbl>
      <w:tblPr>
        <w:tblStyle w:val="CovecTables"/>
        <w:tblW w:w="5000" w:type="pct"/>
        <w:tblInd w:w="0" w:type="dxa"/>
        <w:tblLayout w:type="fixed"/>
        <w:tblLook w:val="04E0" w:firstRow="1" w:lastRow="1" w:firstColumn="1" w:lastColumn="0" w:noHBand="0" w:noVBand="1"/>
      </w:tblPr>
      <w:tblGrid>
        <w:gridCol w:w="2128"/>
        <w:gridCol w:w="991"/>
        <w:gridCol w:w="1134"/>
        <w:gridCol w:w="990"/>
        <w:gridCol w:w="852"/>
        <w:gridCol w:w="707"/>
        <w:gridCol w:w="709"/>
        <w:gridCol w:w="710"/>
      </w:tblGrid>
      <w:tr w:rsidR="00FC77C7" w:rsidRPr="00516F59" w14:paraId="626F087F"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none" w:sz="0" w:space="0" w:color="auto"/>
            </w:tcBorders>
            <w:noWrap/>
          </w:tcPr>
          <w:p w14:paraId="30AC7E1D" w14:textId="77777777" w:rsidR="00FC77C7" w:rsidRPr="00516F59" w:rsidRDefault="00FC77C7" w:rsidP="0093011F">
            <w:pPr>
              <w:pStyle w:val="TableText"/>
              <w:rPr>
                <w:lang w:eastAsia="en-NZ"/>
              </w:rPr>
            </w:pPr>
          </w:p>
        </w:tc>
        <w:tc>
          <w:tcPr>
            <w:tcW w:w="603" w:type="pct"/>
            <w:tcBorders>
              <w:bottom w:val="none" w:sz="0" w:space="0" w:color="auto"/>
            </w:tcBorders>
            <w:noWrap/>
          </w:tcPr>
          <w:p w14:paraId="646EF394" w14:textId="77777777" w:rsidR="00FC77C7" w:rsidRPr="00516F59"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p>
        </w:tc>
        <w:tc>
          <w:tcPr>
            <w:tcW w:w="1292" w:type="pct"/>
            <w:gridSpan w:val="2"/>
            <w:tcBorders>
              <w:bottom w:val="none" w:sz="0" w:space="0" w:color="auto"/>
            </w:tcBorders>
            <w:noWrap/>
          </w:tcPr>
          <w:p w14:paraId="0F8354D4" w14:textId="77777777" w:rsidR="00FC77C7" w:rsidRPr="00516F59"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Median value</w:t>
            </w:r>
          </w:p>
        </w:tc>
        <w:tc>
          <w:tcPr>
            <w:tcW w:w="1811" w:type="pct"/>
            <w:gridSpan w:val="4"/>
            <w:tcBorders>
              <w:bottom w:val="none" w:sz="0" w:space="0" w:color="auto"/>
            </w:tcBorders>
            <w:noWrap/>
          </w:tcPr>
          <w:p w14:paraId="3C59F73F" w14:textId="77777777" w:rsidR="00FC77C7" w:rsidRPr="00516F59"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River length (km) and % that does not meet ANZG DGV</w:t>
            </w:r>
          </w:p>
        </w:tc>
      </w:tr>
      <w:tr w:rsidR="00FC77C7" w:rsidRPr="00516F59" w14:paraId="33605A06"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single" w:sz="8" w:space="0" w:color="A6A6A6" w:themeColor="background1" w:themeShade="A6"/>
            </w:tcBorders>
            <w:noWrap/>
            <w:hideMark/>
          </w:tcPr>
          <w:p w14:paraId="58A5DD75" w14:textId="77777777" w:rsidR="00FC77C7" w:rsidRPr="00516F59" w:rsidRDefault="00FC77C7" w:rsidP="0093011F">
            <w:pPr>
              <w:pStyle w:val="TableText"/>
              <w:rPr>
                <w:lang w:eastAsia="en-NZ"/>
              </w:rPr>
            </w:pPr>
            <w:r w:rsidRPr="00516F59">
              <w:rPr>
                <w:lang w:eastAsia="en-NZ"/>
              </w:rPr>
              <w:t>Water quality variable</w:t>
            </w:r>
          </w:p>
        </w:tc>
        <w:tc>
          <w:tcPr>
            <w:tcW w:w="603" w:type="pct"/>
            <w:tcBorders>
              <w:bottom w:val="single" w:sz="8" w:space="0" w:color="A6A6A6" w:themeColor="background1" w:themeShade="A6"/>
            </w:tcBorders>
            <w:noWrap/>
            <w:hideMark/>
          </w:tcPr>
          <w:p w14:paraId="6E2DABDD"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Units</w:t>
            </w:r>
          </w:p>
        </w:tc>
        <w:tc>
          <w:tcPr>
            <w:tcW w:w="690" w:type="pct"/>
            <w:tcBorders>
              <w:bottom w:val="single" w:sz="8" w:space="0" w:color="A6A6A6" w:themeColor="background1" w:themeShade="A6"/>
            </w:tcBorders>
            <w:noWrap/>
            <w:hideMark/>
          </w:tcPr>
          <w:p w14:paraId="69273FBC" w14:textId="2E8BAE1C"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Pastoral</w:t>
            </w:r>
          </w:p>
        </w:tc>
        <w:tc>
          <w:tcPr>
            <w:tcW w:w="602" w:type="pct"/>
            <w:tcBorders>
              <w:bottom w:val="single" w:sz="8" w:space="0" w:color="A6A6A6" w:themeColor="background1" w:themeShade="A6"/>
            </w:tcBorders>
            <w:noWrap/>
            <w:hideMark/>
          </w:tcPr>
          <w:p w14:paraId="21C4F248" w14:textId="3FA330B4"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Native</w:t>
            </w:r>
          </w:p>
        </w:tc>
        <w:tc>
          <w:tcPr>
            <w:tcW w:w="948" w:type="pct"/>
            <w:gridSpan w:val="2"/>
            <w:tcBorders>
              <w:bottom w:val="single" w:sz="8" w:space="0" w:color="A6A6A6" w:themeColor="background1" w:themeShade="A6"/>
            </w:tcBorders>
            <w:noWrap/>
            <w:hideMark/>
          </w:tcPr>
          <w:p w14:paraId="1B8F659D" w14:textId="72903CA2"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Pastoral</w:t>
            </w:r>
          </w:p>
        </w:tc>
        <w:tc>
          <w:tcPr>
            <w:tcW w:w="863" w:type="pct"/>
            <w:gridSpan w:val="2"/>
            <w:tcBorders>
              <w:bottom w:val="single" w:sz="8" w:space="0" w:color="A6A6A6" w:themeColor="background1" w:themeShade="A6"/>
            </w:tcBorders>
            <w:noWrap/>
            <w:hideMark/>
          </w:tcPr>
          <w:p w14:paraId="6739E703" w14:textId="22730B7D"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Native</w:t>
            </w:r>
          </w:p>
        </w:tc>
      </w:tr>
      <w:tr w:rsidR="00FC77C7" w:rsidRPr="00516F59" w14:paraId="78B1603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126A5C4B" w14:textId="77777777" w:rsidR="00FC77C7" w:rsidRPr="00516F59" w:rsidRDefault="00FC77C7" w:rsidP="0093011F">
            <w:pPr>
              <w:pStyle w:val="TableText"/>
              <w:rPr>
                <w:lang w:eastAsia="en-NZ"/>
              </w:rPr>
            </w:pPr>
            <w:r w:rsidRPr="00516F59">
              <w:rPr>
                <w:lang w:eastAsia="en-NZ"/>
              </w:rPr>
              <w:t>Total nitrogen</w:t>
            </w:r>
          </w:p>
        </w:tc>
        <w:tc>
          <w:tcPr>
            <w:tcW w:w="603" w:type="pct"/>
            <w:tcBorders>
              <w:top w:val="single" w:sz="8" w:space="0" w:color="A6A6A6" w:themeColor="background1" w:themeShade="A6"/>
              <w:bottom w:val="single" w:sz="8" w:space="0" w:color="A6A6A6" w:themeColor="background1" w:themeShade="A6"/>
            </w:tcBorders>
            <w:noWrap/>
            <w:hideMark/>
          </w:tcPr>
          <w:p w14:paraId="156360FF"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mg/m3</w:t>
            </w:r>
          </w:p>
        </w:tc>
        <w:tc>
          <w:tcPr>
            <w:tcW w:w="690" w:type="pct"/>
            <w:tcBorders>
              <w:top w:val="single" w:sz="8" w:space="0" w:color="A6A6A6" w:themeColor="background1" w:themeShade="A6"/>
              <w:bottom w:val="single" w:sz="8" w:space="0" w:color="A6A6A6" w:themeColor="background1" w:themeShade="A6"/>
            </w:tcBorders>
            <w:noWrap/>
            <w:hideMark/>
          </w:tcPr>
          <w:p w14:paraId="208CCF82"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738.6</w:t>
            </w:r>
          </w:p>
        </w:tc>
        <w:tc>
          <w:tcPr>
            <w:tcW w:w="602" w:type="pct"/>
            <w:tcBorders>
              <w:top w:val="single" w:sz="8" w:space="0" w:color="A6A6A6" w:themeColor="background1" w:themeShade="A6"/>
              <w:bottom w:val="single" w:sz="8" w:space="0" w:color="A6A6A6" w:themeColor="background1" w:themeShade="A6"/>
            </w:tcBorders>
            <w:noWrap/>
            <w:hideMark/>
          </w:tcPr>
          <w:p w14:paraId="550182E5"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115.9</w:t>
            </w:r>
          </w:p>
        </w:tc>
        <w:tc>
          <w:tcPr>
            <w:tcW w:w="518" w:type="pct"/>
            <w:tcBorders>
              <w:top w:val="single" w:sz="8" w:space="0" w:color="A6A6A6" w:themeColor="background1" w:themeShade="A6"/>
              <w:bottom w:val="single" w:sz="8" w:space="0" w:color="A6A6A6" w:themeColor="background1" w:themeShade="A6"/>
            </w:tcBorders>
            <w:noWrap/>
            <w:hideMark/>
          </w:tcPr>
          <w:p w14:paraId="36076EC6"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162,475</w:t>
            </w:r>
          </w:p>
        </w:tc>
        <w:tc>
          <w:tcPr>
            <w:tcW w:w="430" w:type="pct"/>
            <w:tcBorders>
              <w:top w:val="single" w:sz="8" w:space="0" w:color="A6A6A6" w:themeColor="background1" w:themeShade="A6"/>
              <w:bottom w:val="single" w:sz="8" w:space="0" w:color="A6A6A6" w:themeColor="background1" w:themeShade="A6"/>
            </w:tcBorders>
            <w:noWrap/>
            <w:hideMark/>
          </w:tcPr>
          <w:p w14:paraId="563164C4"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-86%</w:t>
            </w:r>
            <w:r>
              <w:rPr>
                <w:lang w:eastAsia="en-NZ"/>
              </w:rPr>
              <w:t>)</w:t>
            </w:r>
          </w:p>
        </w:tc>
        <w:tc>
          <w:tcPr>
            <w:tcW w:w="431" w:type="pct"/>
            <w:tcBorders>
              <w:top w:val="single" w:sz="8" w:space="0" w:color="A6A6A6" w:themeColor="background1" w:themeShade="A6"/>
              <w:bottom w:val="single" w:sz="8" w:space="0" w:color="A6A6A6" w:themeColor="background1" w:themeShade="A6"/>
            </w:tcBorders>
            <w:noWrap/>
            <w:hideMark/>
          </w:tcPr>
          <w:p w14:paraId="3FF38DF1"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57,027</w:t>
            </w:r>
          </w:p>
        </w:tc>
        <w:tc>
          <w:tcPr>
            <w:tcW w:w="432" w:type="pct"/>
            <w:tcBorders>
              <w:top w:val="single" w:sz="8" w:space="0" w:color="A6A6A6" w:themeColor="background1" w:themeShade="A6"/>
              <w:bottom w:val="single" w:sz="8" w:space="0" w:color="A6A6A6" w:themeColor="background1" w:themeShade="A6"/>
            </w:tcBorders>
            <w:noWrap/>
            <w:hideMark/>
          </w:tcPr>
          <w:p w14:paraId="7D992F1D"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-29%</w:t>
            </w:r>
            <w:r>
              <w:rPr>
                <w:lang w:eastAsia="en-NZ"/>
              </w:rPr>
              <w:t>)</w:t>
            </w:r>
          </w:p>
        </w:tc>
      </w:tr>
      <w:tr w:rsidR="00FC77C7" w:rsidRPr="00516F59" w14:paraId="49CAB97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47C45753" w14:textId="77777777" w:rsidR="00FC77C7" w:rsidRPr="00516F59" w:rsidRDefault="00FC77C7" w:rsidP="0093011F">
            <w:pPr>
              <w:pStyle w:val="TableText"/>
              <w:rPr>
                <w:lang w:eastAsia="en-NZ"/>
              </w:rPr>
            </w:pPr>
            <w:r w:rsidRPr="00516F59">
              <w:rPr>
                <w:lang w:eastAsia="en-NZ"/>
              </w:rPr>
              <w:t>Nitrate nitrogen</w:t>
            </w:r>
          </w:p>
        </w:tc>
        <w:tc>
          <w:tcPr>
            <w:tcW w:w="603" w:type="pct"/>
            <w:tcBorders>
              <w:top w:val="single" w:sz="8" w:space="0" w:color="A6A6A6" w:themeColor="background1" w:themeShade="A6"/>
              <w:bottom w:val="single" w:sz="8" w:space="0" w:color="A6A6A6" w:themeColor="background1" w:themeShade="A6"/>
            </w:tcBorders>
            <w:noWrap/>
            <w:hideMark/>
          </w:tcPr>
          <w:p w14:paraId="5256DA0D"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mg/m3</w:t>
            </w:r>
          </w:p>
        </w:tc>
        <w:tc>
          <w:tcPr>
            <w:tcW w:w="690" w:type="pct"/>
            <w:tcBorders>
              <w:top w:val="single" w:sz="8" w:space="0" w:color="A6A6A6" w:themeColor="background1" w:themeShade="A6"/>
              <w:bottom w:val="single" w:sz="8" w:space="0" w:color="A6A6A6" w:themeColor="background1" w:themeShade="A6"/>
            </w:tcBorders>
            <w:noWrap/>
            <w:hideMark/>
          </w:tcPr>
          <w:p w14:paraId="68F808D3"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246.6</w:t>
            </w:r>
          </w:p>
        </w:tc>
        <w:tc>
          <w:tcPr>
            <w:tcW w:w="602" w:type="pct"/>
            <w:tcBorders>
              <w:top w:val="single" w:sz="8" w:space="0" w:color="A6A6A6" w:themeColor="background1" w:themeShade="A6"/>
              <w:bottom w:val="single" w:sz="8" w:space="0" w:color="A6A6A6" w:themeColor="background1" w:themeShade="A6"/>
            </w:tcBorders>
            <w:noWrap/>
            <w:hideMark/>
          </w:tcPr>
          <w:p w14:paraId="0E777A45"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25.6</w:t>
            </w:r>
          </w:p>
        </w:tc>
        <w:tc>
          <w:tcPr>
            <w:tcW w:w="518" w:type="pct"/>
            <w:tcBorders>
              <w:top w:val="single" w:sz="8" w:space="0" w:color="A6A6A6" w:themeColor="background1" w:themeShade="A6"/>
              <w:bottom w:val="single" w:sz="8" w:space="0" w:color="A6A6A6" w:themeColor="background1" w:themeShade="A6"/>
            </w:tcBorders>
            <w:noWrap/>
            <w:hideMark/>
          </w:tcPr>
          <w:p w14:paraId="189A66F6"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155,000</w:t>
            </w:r>
          </w:p>
        </w:tc>
        <w:tc>
          <w:tcPr>
            <w:tcW w:w="430" w:type="pct"/>
            <w:tcBorders>
              <w:top w:val="single" w:sz="8" w:space="0" w:color="A6A6A6" w:themeColor="background1" w:themeShade="A6"/>
              <w:bottom w:val="single" w:sz="8" w:space="0" w:color="A6A6A6" w:themeColor="background1" w:themeShade="A6"/>
            </w:tcBorders>
            <w:noWrap/>
            <w:hideMark/>
          </w:tcPr>
          <w:p w14:paraId="766CA030"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-82%</w:t>
            </w:r>
            <w:r>
              <w:rPr>
                <w:lang w:eastAsia="en-NZ"/>
              </w:rPr>
              <w:t>)</w:t>
            </w:r>
          </w:p>
        </w:tc>
        <w:tc>
          <w:tcPr>
            <w:tcW w:w="431" w:type="pct"/>
            <w:tcBorders>
              <w:top w:val="single" w:sz="8" w:space="0" w:color="A6A6A6" w:themeColor="background1" w:themeShade="A6"/>
              <w:bottom w:val="single" w:sz="8" w:space="0" w:color="A6A6A6" w:themeColor="background1" w:themeShade="A6"/>
            </w:tcBorders>
            <w:noWrap/>
            <w:hideMark/>
          </w:tcPr>
          <w:p w14:paraId="404A53D0"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26,610</w:t>
            </w:r>
          </w:p>
        </w:tc>
        <w:tc>
          <w:tcPr>
            <w:tcW w:w="432" w:type="pct"/>
            <w:tcBorders>
              <w:top w:val="single" w:sz="8" w:space="0" w:color="A6A6A6" w:themeColor="background1" w:themeShade="A6"/>
              <w:bottom w:val="single" w:sz="8" w:space="0" w:color="A6A6A6" w:themeColor="background1" w:themeShade="A6"/>
            </w:tcBorders>
            <w:noWrap/>
            <w:hideMark/>
          </w:tcPr>
          <w:p w14:paraId="7E7E2E7F"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-13%</w:t>
            </w:r>
            <w:r>
              <w:rPr>
                <w:lang w:eastAsia="en-NZ"/>
              </w:rPr>
              <w:t>)</w:t>
            </w:r>
          </w:p>
        </w:tc>
      </w:tr>
      <w:tr w:rsidR="00FC77C7" w:rsidRPr="00516F59" w14:paraId="2600141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013A09D6" w14:textId="77777777" w:rsidR="00FC77C7" w:rsidRPr="00516F59" w:rsidRDefault="00FC77C7" w:rsidP="0093011F">
            <w:pPr>
              <w:pStyle w:val="TableText"/>
              <w:rPr>
                <w:lang w:eastAsia="en-NZ"/>
              </w:rPr>
            </w:pPr>
            <w:proofErr w:type="spellStart"/>
            <w:r w:rsidRPr="00516F59">
              <w:rPr>
                <w:lang w:eastAsia="en-NZ"/>
              </w:rPr>
              <w:t>Ammoniacal</w:t>
            </w:r>
            <w:proofErr w:type="spellEnd"/>
            <w:r w:rsidRPr="00516F59">
              <w:rPr>
                <w:lang w:eastAsia="en-NZ"/>
              </w:rPr>
              <w:t xml:space="preserve"> nitrogen</w:t>
            </w:r>
          </w:p>
        </w:tc>
        <w:tc>
          <w:tcPr>
            <w:tcW w:w="603" w:type="pct"/>
            <w:tcBorders>
              <w:top w:val="single" w:sz="8" w:space="0" w:color="A6A6A6" w:themeColor="background1" w:themeShade="A6"/>
              <w:bottom w:val="single" w:sz="8" w:space="0" w:color="A6A6A6" w:themeColor="background1" w:themeShade="A6"/>
            </w:tcBorders>
            <w:noWrap/>
            <w:hideMark/>
          </w:tcPr>
          <w:p w14:paraId="2A981708"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mg/m3</w:t>
            </w:r>
          </w:p>
        </w:tc>
        <w:tc>
          <w:tcPr>
            <w:tcW w:w="690" w:type="pct"/>
            <w:tcBorders>
              <w:top w:val="single" w:sz="8" w:space="0" w:color="A6A6A6" w:themeColor="background1" w:themeShade="A6"/>
              <w:bottom w:val="single" w:sz="8" w:space="0" w:color="A6A6A6" w:themeColor="background1" w:themeShade="A6"/>
            </w:tcBorders>
            <w:noWrap/>
            <w:hideMark/>
          </w:tcPr>
          <w:p w14:paraId="27B861E7"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8.3</w:t>
            </w:r>
          </w:p>
        </w:tc>
        <w:tc>
          <w:tcPr>
            <w:tcW w:w="602" w:type="pct"/>
            <w:tcBorders>
              <w:top w:val="single" w:sz="8" w:space="0" w:color="A6A6A6" w:themeColor="background1" w:themeShade="A6"/>
              <w:bottom w:val="single" w:sz="8" w:space="0" w:color="A6A6A6" w:themeColor="background1" w:themeShade="A6"/>
            </w:tcBorders>
            <w:noWrap/>
            <w:hideMark/>
          </w:tcPr>
          <w:p w14:paraId="6790B1A5"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4</w:t>
            </w:r>
          </w:p>
        </w:tc>
        <w:tc>
          <w:tcPr>
            <w:tcW w:w="518" w:type="pct"/>
            <w:tcBorders>
              <w:top w:val="single" w:sz="8" w:space="0" w:color="A6A6A6" w:themeColor="background1" w:themeShade="A6"/>
              <w:bottom w:val="single" w:sz="8" w:space="0" w:color="A6A6A6" w:themeColor="background1" w:themeShade="A6"/>
            </w:tcBorders>
            <w:noWrap/>
            <w:hideMark/>
          </w:tcPr>
          <w:p w14:paraId="34FBFD84"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94,237</w:t>
            </w:r>
          </w:p>
        </w:tc>
        <w:tc>
          <w:tcPr>
            <w:tcW w:w="430" w:type="pct"/>
            <w:tcBorders>
              <w:top w:val="single" w:sz="8" w:space="0" w:color="A6A6A6" w:themeColor="background1" w:themeShade="A6"/>
              <w:bottom w:val="single" w:sz="8" w:space="0" w:color="A6A6A6" w:themeColor="background1" w:themeShade="A6"/>
            </w:tcBorders>
            <w:noWrap/>
            <w:hideMark/>
          </w:tcPr>
          <w:p w14:paraId="423988C5"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-50%</w:t>
            </w:r>
            <w:r>
              <w:rPr>
                <w:lang w:eastAsia="en-NZ"/>
              </w:rPr>
              <w:t>)</w:t>
            </w:r>
          </w:p>
        </w:tc>
        <w:tc>
          <w:tcPr>
            <w:tcW w:w="431" w:type="pct"/>
            <w:tcBorders>
              <w:top w:val="single" w:sz="8" w:space="0" w:color="A6A6A6" w:themeColor="background1" w:themeShade="A6"/>
              <w:bottom w:val="single" w:sz="8" w:space="0" w:color="A6A6A6" w:themeColor="background1" w:themeShade="A6"/>
            </w:tcBorders>
            <w:noWrap/>
            <w:hideMark/>
          </w:tcPr>
          <w:p w14:paraId="3440C2E9"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29,464</w:t>
            </w:r>
          </w:p>
        </w:tc>
        <w:tc>
          <w:tcPr>
            <w:tcW w:w="432" w:type="pct"/>
            <w:tcBorders>
              <w:top w:val="single" w:sz="8" w:space="0" w:color="A6A6A6" w:themeColor="background1" w:themeShade="A6"/>
              <w:bottom w:val="single" w:sz="8" w:space="0" w:color="A6A6A6" w:themeColor="background1" w:themeShade="A6"/>
            </w:tcBorders>
            <w:noWrap/>
            <w:hideMark/>
          </w:tcPr>
          <w:p w14:paraId="33823A37"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-15%</w:t>
            </w:r>
            <w:r>
              <w:rPr>
                <w:lang w:eastAsia="en-NZ"/>
              </w:rPr>
              <w:t>)</w:t>
            </w:r>
          </w:p>
        </w:tc>
      </w:tr>
      <w:tr w:rsidR="00FC77C7" w:rsidRPr="00516F59" w14:paraId="1CA48E8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6C0F9477" w14:textId="77777777" w:rsidR="00FC77C7" w:rsidRPr="00516F59" w:rsidRDefault="00FC77C7" w:rsidP="0093011F">
            <w:pPr>
              <w:pStyle w:val="TableText"/>
              <w:rPr>
                <w:lang w:eastAsia="en-NZ"/>
              </w:rPr>
            </w:pPr>
            <w:r w:rsidRPr="00516F59">
              <w:rPr>
                <w:lang w:eastAsia="en-NZ"/>
              </w:rPr>
              <w:t>Total phosphorus</w:t>
            </w:r>
          </w:p>
        </w:tc>
        <w:tc>
          <w:tcPr>
            <w:tcW w:w="603" w:type="pct"/>
            <w:tcBorders>
              <w:top w:val="single" w:sz="8" w:space="0" w:color="A6A6A6" w:themeColor="background1" w:themeShade="A6"/>
              <w:bottom w:val="single" w:sz="8" w:space="0" w:color="A6A6A6" w:themeColor="background1" w:themeShade="A6"/>
            </w:tcBorders>
            <w:noWrap/>
            <w:hideMark/>
          </w:tcPr>
          <w:p w14:paraId="2CBF7877"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mg/m3</w:t>
            </w:r>
          </w:p>
        </w:tc>
        <w:tc>
          <w:tcPr>
            <w:tcW w:w="690" w:type="pct"/>
            <w:tcBorders>
              <w:top w:val="single" w:sz="8" w:space="0" w:color="A6A6A6" w:themeColor="background1" w:themeShade="A6"/>
              <w:bottom w:val="single" w:sz="8" w:space="0" w:color="A6A6A6" w:themeColor="background1" w:themeShade="A6"/>
            </w:tcBorders>
            <w:noWrap/>
            <w:hideMark/>
          </w:tcPr>
          <w:p w14:paraId="487D41F9"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32.5</w:t>
            </w:r>
          </w:p>
        </w:tc>
        <w:tc>
          <w:tcPr>
            <w:tcW w:w="602" w:type="pct"/>
            <w:tcBorders>
              <w:top w:val="single" w:sz="8" w:space="0" w:color="A6A6A6" w:themeColor="background1" w:themeShade="A6"/>
              <w:bottom w:val="single" w:sz="8" w:space="0" w:color="A6A6A6" w:themeColor="background1" w:themeShade="A6"/>
            </w:tcBorders>
            <w:noWrap/>
            <w:hideMark/>
          </w:tcPr>
          <w:p w14:paraId="0858D802"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8.3</w:t>
            </w:r>
          </w:p>
        </w:tc>
        <w:tc>
          <w:tcPr>
            <w:tcW w:w="518" w:type="pct"/>
            <w:tcBorders>
              <w:top w:val="single" w:sz="8" w:space="0" w:color="A6A6A6" w:themeColor="background1" w:themeShade="A6"/>
              <w:bottom w:val="single" w:sz="8" w:space="0" w:color="A6A6A6" w:themeColor="background1" w:themeShade="A6"/>
            </w:tcBorders>
            <w:noWrap/>
            <w:hideMark/>
          </w:tcPr>
          <w:p w14:paraId="53638371"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169,142</w:t>
            </w:r>
          </w:p>
        </w:tc>
        <w:tc>
          <w:tcPr>
            <w:tcW w:w="430" w:type="pct"/>
            <w:tcBorders>
              <w:top w:val="single" w:sz="8" w:space="0" w:color="A6A6A6" w:themeColor="background1" w:themeShade="A6"/>
              <w:bottom w:val="single" w:sz="8" w:space="0" w:color="A6A6A6" w:themeColor="background1" w:themeShade="A6"/>
            </w:tcBorders>
            <w:noWrap/>
            <w:hideMark/>
          </w:tcPr>
          <w:p w14:paraId="2BB6612A"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-90%</w:t>
            </w:r>
            <w:r>
              <w:rPr>
                <w:lang w:eastAsia="en-NZ"/>
              </w:rPr>
              <w:t>)</w:t>
            </w:r>
          </w:p>
        </w:tc>
        <w:tc>
          <w:tcPr>
            <w:tcW w:w="431" w:type="pct"/>
            <w:tcBorders>
              <w:top w:val="single" w:sz="8" w:space="0" w:color="A6A6A6" w:themeColor="background1" w:themeShade="A6"/>
              <w:bottom w:val="single" w:sz="8" w:space="0" w:color="A6A6A6" w:themeColor="background1" w:themeShade="A6"/>
            </w:tcBorders>
            <w:noWrap/>
            <w:hideMark/>
          </w:tcPr>
          <w:p w14:paraId="0EBA5D4E"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50,977</w:t>
            </w:r>
          </w:p>
        </w:tc>
        <w:tc>
          <w:tcPr>
            <w:tcW w:w="432" w:type="pct"/>
            <w:tcBorders>
              <w:top w:val="single" w:sz="8" w:space="0" w:color="A6A6A6" w:themeColor="background1" w:themeShade="A6"/>
              <w:bottom w:val="single" w:sz="8" w:space="0" w:color="A6A6A6" w:themeColor="background1" w:themeShade="A6"/>
            </w:tcBorders>
            <w:noWrap/>
            <w:hideMark/>
          </w:tcPr>
          <w:p w14:paraId="1E9A3308"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-26%</w:t>
            </w:r>
            <w:r>
              <w:rPr>
                <w:lang w:eastAsia="en-NZ"/>
              </w:rPr>
              <w:t>)</w:t>
            </w:r>
          </w:p>
        </w:tc>
      </w:tr>
      <w:tr w:rsidR="00FC77C7" w:rsidRPr="00516F59" w14:paraId="3EA3CEE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6FFBA11C" w14:textId="77777777" w:rsidR="00FC77C7" w:rsidRPr="00516F59" w:rsidRDefault="00FC77C7" w:rsidP="0093011F">
            <w:pPr>
              <w:pStyle w:val="TableText"/>
              <w:rPr>
                <w:lang w:eastAsia="en-NZ"/>
              </w:rPr>
            </w:pPr>
            <w:r w:rsidRPr="00516F59">
              <w:rPr>
                <w:lang w:eastAsia="en-NZ"/>
              </w:rPr>
              <w:t>Dissolved reactive phosphorus</w:t>
            </w:r>
          </w:p>
        </w:tc>
        <w:tc>
          <w:tcPr>
            <w:tcW w:w="603" w:type="pct"/>
            <w:tcBorders>
              <w:top w:val="single" w:sz="8" w:space="0" w:color="A6A6A6" w:themeColor="background1" w:themeShade="A6"/>
              <w:bottom w:val="single" w:sz="8" w:space="0" w:color="A6A6A6" w:themeColor="background1" w:themeShade="A6"/>
            </w:tcBorders>
            <w:noWrap/>
            <w:hideMark/>
          </w:tcPr>
          <w:p w14:paraId="23609C7F"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mg/m3</w:t>
            </w:r>
          </w:p>
        </w:tc>
        <w:tc>
          <w:tcPr>
            <w:tcW w:w="690" w:type="pct"/>
            <w:tcBorders>
              <w:top w:val="single" w:sz="8" w:space="0" w:color="A6A6A6" w:themeColor="background1" w:themeShade="A6"/>
              <w:bottom w:val="single" w:sz="8" w:space="0" w:color="A6A6A6" w:themeColor="background1" w:themeShade="A6"/>
            </w:tcBorders>
            <w:noWrap/>
            <w:hideMark/>
          </w:tcPr>
          <w:p w14:paraId="4C606836"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14.6</w:t>
            </w:r>
          </w:p>
        </w:tc>
        <w:tc>
          <w:tcPr>
            <w:tcW w:w="602" w:type="pct"/>
            <w:tcBorders>
              <w:top w:val="single" w:sz="8" w:space="0" w:color="A6A6A6" w:themeColor="background1" w:themeShade="A6"/>
              <w:bottom w:val="single" w:sz="8" w:space="0" w:color="A6A6A6" w:themeColor="background1" w:themeShade="A6"/>
            </w:tcBorders>
            <w:noWrap/>
            <w:hideMark/>
          </w:tcPr>
          <w:p w14:paraId="298AC2AD"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4.4</w:t>
            </w:r>
          </w:p>
        </w:tc>
        <w:tc>
          <w:tcPr>
            <w:tcW w:w="518" w:type="pct"/>
            <w:tcBorders>
              <w:top w:val="single" w:sz="8" w:space="0" w:color="A6A6A6" w:themeColor="background1" w:themeShade="A6"/>
              <w:bottom w:val="single" w:sz="8" w:space="0" w:color="A6A6A6" w:themeColor="background1" w:themeShade="A6"/>
            </w:tcBorders>
            <w:noWrap/>
            <w:hideMark/>
          </w:tcPr>
          <w:p w14:paraId="4B5B1F45"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144,191</w:t>
            </w:r>
          </w:p>
        </w:tc>
        <w:tc>
          <w:tcPr>
            <w:tcW w:w="430" w:type="pct"/>
            <w:tcBorders>
              <w:top w:val="single" w:sz="8" w:space="0" w:color="A6A6A6" w:themeColor="background1" w:themeShade="A6"/>
              <w:bottom w:val="single" w:sz="8" w:space="0" w:color="A6A6A6" w:themeColor="background1" w:themeShade="A6"/>
            </w:tcBorders>
            <w:noWrap/>
            <w:hideMark/>
          </w:tcPr>
          <w:p w14:paraId="01CB6B4B"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-77%</w:t>
            </w:r>
            <w:r>
              <w:rPr>
                <w:lang w:eastAsia="en-NZ"/>
              </w:rPr>
              <w:t>)</w:t>
            </w:r>
          </w:p>
        </w:tc>
        <w:tc>
          <w:tcPr>
            <w:tcW w:w="431" w:type="pct"/>
            <w:tcBorders>
              <w:top w:val="single" w:sz="8" w:space="0" w:color="A6A6A6" w:themeColor="background1" w:themeShade="A6"/>
              <w:bottom w:val="single" w:sz="8" w:space="0" w:color="A6A6A6" w:themeColor="background1" w:themeShade="A6"/>
            </w:tcBorders>
            <w:noWrap/>
            <w:hideMark/>
          </w:tcPr>
          <w:p w14:paraId="73DFCBD3"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45,270</w:t>
            </w:r>
          </w:p>
        </w:tc>
        <w:tc>
          <w:tcPr>
            <w:tcW w:w="432" w:type="pct"/>
            <w:tcBorders>
              <w:top w:val="single" w:sz="8" w:space="0" w:color="A6A6A6" w:themeColor="background1" w:themeShade="A6"/>
              <w:bottom w:val="single" w:sz="8" w:space="0" w:color="A6A6A6" w:themeColor="background1" w:themeShade="A6"/>
            </w:tcBorders>
            <w:noWrap/>
            <w:hideMark/>
          </w:tcPr>
          <w:p w14:paraId="6B9B449B"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w:t>
            </w:r>
            <w:r w:rsidRPr="00516F59">
              <w:rPr>
                <w:lang w:eastAsia="en-NZ"/>
              </w:rPr>
              <w:t>-23%</w:t>
            </w:r>
            <w:r>
              <w:rPr>
                <w:lang w:eastAsia="en-NZ"/>
              </w:rPr>
              <w:t>)</w:t>
            </w:r>
          </w:p>
        </w:tc>
      </w:tr>
      <w:tr w:rsidR="00FC77C7" w:rsidRPr="00516F59" w14:paraId="62B267D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2D44DFEA" w14:textId="77777777" w:rsidR="00FC77C7" w:rsidRPr="00516F59" w:rsidRDefault="00FC77C7" w:rsidP="0093011F">
            <w:pPr>
              <w:pStyle w:val="TableText"/>
              <w:rPr>
                <w:lang w:eastAsia="en-NZ"/>
              </w:rPr>
            </w:pPr>
            <w:r w:rsidRPr="00516F59">
              <w:rPr>
                <w:lang w:eastAsia="en-NZ"/>
              </w:rPr>
              <w:t>E coli</w:t>
            </w:r>
          </w:p>
        </w:tc>
        <w:tc>
          <w:tcPr>
            <w:tcW w:w="603" w:type="pct"/>
            <w:tcBorders>
              <w:top w:val="single" w:sz="8" w:space="0" w:color="A6A6A6" w:themeColor="background1" w:themeShade="A6"/>
              <w:bottom w:val="single" w:sz="8" w:space="0" w:color="A6A6A6" w:themeColor="background1" w:themeShade="A6"/>
            </w:tcBorders>
            <w:noWrap/>
            <w:hideMark/>
          </w:tcPr>
          <w:p w14:paraId="464EDABD"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proofErr w:type="spellStart"/>
            <w:r w:rsidRPr="00516F59">
              <w:rPr>
                <w:lang w:eastAsia="en-NZ"/>
              </w:rPr>
              <w:t>cfu</w:t>
            </w:r>
            <w:proofErr w:type="spellEnd"/>
            <w:r w:rsidRPr="00516F59">
              <w:rPr>
                <w:lang w:eastAsia="en-NZ"/>
              </w:rPr>
              <w:t>/</w:t>
            </w:r>
            <w:r>
              <w:rPr>
                <w:lang w:eastAsia="en-NZ"/>
              </w:rPr>
              <w:t xml:space="preserve"> </w:t>
            </w:r>
            <w:r w:rsidRPr="00516F59">
              <w:rPr>
                <w:lang w:eastAsia="en-NZ"/>
              </w:rPr>
              <w:t>100ml</w:t>
            </w:r>
          </w:p>
        </w:tc>
        <w:tc>
          <w:tcPr>
            <w:tcW w:w="690" w:type="pct"/>
            <w:tcBorders>
              <w:top w:val="single" w:sz="8" w:space="0" w:color="A6A6A6" w:themeColor="background1" w:themeShade="A6"/>
              <w:bottom w:val="single" w:sz="8" w:space="0" w:color="A6A6A6" w:themeColor="background1" w:themeShade="A6"/>
            </w:tcBorders>
            <w:noWrap/>
            <w:hideMark/>
          </w:tcPr>
          <w:p w14:paraId="5A2A707B"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195</w:t>
            </w:r>
          </w:p>
        </w:tc>
        <w:tc>
          <w:tcPr>
            <w:tcW w:w="602" w:type="pct"/>
            <w:tcBorders>
              <w:top w:val="single" w:sz="8" w:space="0" w:color="A6A6A6" w:themeColor="background1" w:themeShade="A6"/>
              <w:bottom w:val="single" w:sz="8" w:space="0" w:color="A6A6A6" w:themeColor="background1" w:themeShade="A6"/>
            </w:tcBorders>
            <w:noWrap/>
            <w:hideMark/>
          </w:tcPr>
          <w:p w14:paraId="292A0723"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13.3</w:t>
            </w:r>
          </w:p>
        </w:tc>
        <w:tc>
          <w:tcPr>
            <w:tcW w:w="518" w:type="pct"/>
            <w:tcBorders>
              <w:top w:val="single" w:sz="8" w:space="0" w:color="A6A6A6" w:themeColor="background1" w:themeShade="A6"/>
              <w:bottom w:val="single" w:sz="8" w:space="0" w:color="A6A6A6" w:themeColor="background1" w:themeShade="A6"/>
            </w:tcBorders>
            <w:noWrap/>
            <w:hideMark/>
          </w:tcPr>
          <w:p w14:paraId="4C608522"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47,314</w:t>
            </w:r>
          </w:p>
        </w:tc>
        <w:tc>
          <w:tcPr>
            <w:tcW w:w="430" w:type="pct"/>
            <w:tcBorders>
              <w:top w:val="single" w:sz="8" w:space="0" w:color="A6A6A6" w:themeColor="background1" w:themeShade="A6"/>
              <w:bottom w:val="single" w:sz="8" w:space="0" w:color="A6A6A6" w:themeColor="background1" w:themeShade="A6"/>
            </w:tcBorders>
            <w:noWrap/>
            <w:hideMark/>
          </w:tcPr>
          <w:p w14:paraId="2DE044C4"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-25%</w:t>
            </w:r>
          </w:p>
        </w:tc>
        <w:tc>
          <w:tcPr>
            <w:tcW w:w="431" w:type="pct"/>
            <w:tcBorders>
              <w:top w:val="single" w:sz="8" w:space="0" w:color="A6A6A6" w:themeColor="background1" w:themeShade="A6"/>
              <w:bottom w:val="single" w:sz="8" w:space="0" w:color="A6A6A6" w:themeColor="background1" w:themeShade="A6"/>
            </w:tcBorders>
            <w:noWrap/>
            <w:hideMark/>
          </w:tcPr>
          <w:p w14:paraId="0FBADDC3"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1,117</w:t>
            </w:r>
          </w:p>
        </w:tc>
        <w:tc>
          <w:tcPr>
            <w:tcW w:w="432" w:type="pct"/>
            <w:tcBorders>
              <w:top w:val="single" w:sz="8" w:space="0" w:color="A6A6A6" w:themeColor="background1" w:themeShade="A6"/>
              <w:bottom w:val="single" w:sz="8" w:space="0" w:color="A6A6A6" w:themeColor="background1" w:themeShade="A6"/>
            </w:tcBorders>
            <w:noWrap/>
            <w:hideMark/>
          </w:tcPr>
          <w:p w14:paraId="0EDA2B0E"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-0.60%</w:t>
            </w:r>
          </w:p>
        </w:tc>
      </w:tr>
      <w:tr w:rsidR="00FC77C7" w:rsidRPr="00516F59" w14:paraId="27BD7A9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top w:val="single" w:sz="8" w:space="0" w:color="A6A6A6" w:themeColor="background1" w:themeShade="A6"/>
              <w:bottom w:val="single" w:sz="8" w:space="0" w:color="A6A6A6" w:themeColor="background1" w:themeShade="A6"/>
            </w:tcBorders>
            <w:noWrap/>
            <w:hideMark/>
          </w:tcPr>
          <w:p w14:paraId="71458B73" w14:textId="77777777" w:rsidR="00FC77C7" w:rsidRPr="00516F59" w:rsidRDefault="00FC77C7" w:rsidP="0093011F">
            <w:pPr>
              <w:pStyle w:val="TableText"/>
              <w:rPr>
                <w:lang w:eastAsia="en-NZ"/>
              </w:rPr>
            </w:pPr>
            <w:r w:rsidRPr="00516F59">
              <w:rPr>
                <w:lang w:eastAsia="en-NZ"/>
              </w:rPr>
              <w:t>Turbidity</w:t>
            </w:r>
          </w:p>
        </w:tc>
        <w:tc>
          <w:tcPr>
            <w:tcW w:w="603" w:type="pct"/>
            <w:tcBorders>
              <w:top w:val="single" w:sz="8" w:space="0" w:color="A6A6A6" w:themeColor="background1" w:themeShade="A6"/>
              <w:bottom w:val="single" w:sz="8" w:space="0" w:color="A6A6A6" w:themeColor="background1" w:themeShade="A6"/>
            </w:tcBorders>
            <w:noWrap/>
            <w:hideMark/>
          </w:tcPr>
          <w:p w14:paraId="1403A268"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NTU</w:t>
            </w:r>
          </w:p>
        </w:tc>
        <w:tc>
          <w:tcPr>
            <w:tcW w:w="690" w:type="pct"/>
            <w:tcBorders>
              <w:top w:val="single" w:sz="8" w:space="0" w:color="A6A6A6" w:themeColor="background1" w:themeShade="A6"/>
              <w:bottom w:val="single" w:sz="8" w:space="0" w:color="A6A6A6" w:themeColor="background1" w:themeShade="A6"/>
            </w:tcBorders>
            <w:noWrap/>
            <w:hideMark/>
          </w:tcPr>
          <w:p w14:paraId="6A7A2B59"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2.9</w:t>
            </w:r>
          </w:p>
        </w:tc>
        <w:tc>
          <w:tcPr>
            <w:tcW w:w="602" w:type="pct"/>
            <w:tcBorders>
              <w:top w:val="single" w:sz="8" w:space="0" w:color="A6A6A6" w:themeColor="background1" w:themeShade="A6"/>
              <w:bottom w:val="single" w:sz="8" w:space="0" w:color="A6A6A6" w:themeColor="background1" w:themeShade="A6"/>
            </w:tcBorders>
            <w:noWrap/>
            <w:hideMark/>
          </w:tcPr>
          <w:p w14:paraId="6BDDDEAE"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1.3</w:t>
            </w:r>
          </w:p>
        </w:tc>
        <w:tc>
          <w:tcPr>
            <w:tcW w:w="518" w:type="pct"/>
            <w:tcBorders>
              <w:top w:val="single" w:sz="8" w:space="0" w:color="A6A6A6" w:themeColor="background1" w:themeShade="A6"/>
              <w:bottom w:val="single" w:sz="8" w:space="0" w:color="A6A6A6" w:themeColor="background1" w:themeShade="A6"/>
            </w:tcBorders>
            <w:noWrap/>
            <w:hideMark/>
          </w:tcPr>
          <w:p w14:paraId="39B4A1E3"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117,343</w:t>
            </w:r>
          </w:p>
        </w:tc>
        <w:tc>
          <w:tcPr>
            <w:tcW w:w="430" w:type="pct"/>
            <w:tcBorders>
              <w:top w:val="single" w:sz="8" w:space="0" w:color="A6A6A6" w:themeColor="background1" w:themeShade="A6"/>
              <w:bottom w:val="single" w:sz="8" w:space="0" w:color="A6A6A6" w:themeColor="background1" w:themeShade="A6"/>
            </w:tcBorders>
            <w:noWrap/>
            <w:hideMark/>
          </w:tcPr>
          <w:p w14:paraId="61B351DC"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-62%</w:t>
            </w:r>
          </w:p>
        </w:tc>
        <w:tc>
          <w:tcPr>
            <w:tcW w:w="431" w:type="pct"/>
            <w:tcBorders>
              <w:top w:val="single" w:sz="8" w:space="0" w:color="A6A6A6" w:themeColor="background1" w:themeShade="A6"/>
              <w:bottom w:val="single" w:sz="8" w:space="0" w:color="A6A6A6" w:themeColor="background1" w:themeShade="A6"/>
            </w:tcBorders>
            <w:noWrap/>
            <w:hideMark/>
          </w:tcPr>
          <w:p w14:paraId="3758614E"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22,962</w:t>
            </w:r>
          </w:p>
        </w:tc>
        <w:tc>
          <w:tcPr>
            <w:tcW w:w="432" w:type="pct"/>
            <w:tcBorders>
              <w:top w:val="single" w:sz="8" w:space="0" w:color="A6A6A6" w:themeColor="background1" w:themeShade="A6"/>
              <w:bottom w:val="single" w:sz="8" w:space="0" w:color="A6A6A6" w:themeColor="background1" w:themeShade="A6"/>
            </w:tcBorders>
            <w:noWrap/>
            <w:hideMark/>
          </w:tcPr>
          <w:p w14:paraId="5499B4E4" w14:textId="77777777" w:rsidR="00FC77C7" w:rsidRPr="00516F5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16F59">
              <w:rPr>
                <w:lang w:eastAsia="en-NZ"/>
              </w:rPr>
              <w:t>-12%</w:t>
            </w:r>
          </w:p>
        </w:tc>
      </w:tr>
      <w:tr w:rsidR="00FC77C7" w:rsidRPr="00516F59" w14:paraId="25D16C68"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294" w:type="pct"/>
            <w:tcBorders>
              <w:top w:val="single" w:sz="8" w:space="0" w:color="A6A6A6" w:themeColor="background1" w:themeShade="A6"/>
            </w:tcBorders>
            <w:noWrap/>
            <w:hideMark/>
          </w:tcPr>
          <w:p w14:paraId="2B143AE3" w14:textId="77777777" w:rsidR="00FC77C7" w:rsidRPr="00516F59" w:rsidRDefault="00FC77C7" w:rsidP="0093011F">
            <w:pPr>
              <w:pStyle w:val="TableText"/>
              <w:rPr>
                <w:lang w:eastAsia="en-NZ"/>
              </w:rPr>
            </w:pPr>
            <w:r w:rsidRPr="00516F59">
              <w:rPr>
                <w:lang w:eastAsia="en-NZ"/>
              </w:rPr>
              <w:t>Clarity</w:t>
            </w:r>
          </w:p>
        </w:tc>
        <w:tc>
          <w:tcPr>
            <w:tcW w:w="603" w:type="pct"/>
            <w:tcBorders>
              <w:top w:val="single" w:sz="8" w:space="0" w:color="A6A6A6" w:themeColor="background1" w:themeShade="A6"/>
            </w:tcBorders>
            <w:noWrap/>
            <w:hideMark/>
          </w:tcPr>
          <w:p w14:paraId="4223D601"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m</w:t>
            </w:r>
          </w:p>
        </w:tc>
        <w:tc>
          <w:tcPr>
            <w:tcW w:w="690" w:type="pct"/>
            <w:tcBorders>
              <w:top w:val="single" w:sz="8" w:space="0" w:color="A6A6A6" w:themeColor="background1" w:themeShade="A6"/>
            </w:tcBorders>
            <w:noWrap/>
            <w:hideMark/>
          </w:tcPr>
          <w:p w14:paraId="73D5BF66"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1.7</w:t>
            </w:r>
          </w:p>
        </w:tc>
        <w:tc>
          <w:tcPr>
            <w:tcW w:w="602" w:type="pct"/>
            <w:tcBorders>
              <w:top w:val="single" w:sz="8" w:space="0" w:color="A6A6A6" w:themeColor="background1" w:themeShade="A6"/>
            </w:tcBorders>
            <w:noWrap/>
            <w:hideMark/>
          </w:tcPr>
          <w:p w14:paraId="6A1CA07E"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3.3</w:t>
            </w:r>
          </w:p>
        </w:tc>
        <w:tc>
          <w:tcPr>
            <w:tcW w:w="518" w:type="pct"/>
            <w:tcBorders>
              <w:top w:val="single" w:sz="8" w:space="0" w:color="A6A6A6" w:themeColor="background1" w:themeShade="A6"/>
            </w:tcBorders>
            <w:noWrap/>
            <w:hideMark/>
          </w:tcPr>
          <w:p w14:paraId="6745E61A"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13,499</w:t>
            </w:r>
          </w:p>
        </w:tc>
        <w:tc>
          <w:tcPr>
            <w:tcW w:w="430" w:type="pct"/>
            <w:tcBorders>
              <w:top w:val="single" w:sz="8" w:space="0" w:color="A6A6A6" w:themeColor="background1" w:themeShade="A6"/>
            </w:tcBorders>
            <w:noWrap/>
            <w:hideMark/>
          </w:tcPr>
          <w:p w14:paraId="7F995599"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-7%</w:t>
            </w:r>
          </w:p>
        </w:tc>
        <w:tc>
          <w:tcPr>
            <w:tcW w:w="431" w:type="pct"/>
            <w:tcBorders>
              <w:top w:val="single" w:sz="8" w:space="0" w:color="A6A6A6" w:themeColor="background1" w:themeShade="A6"/>
            </w:tcBorders>
            <w:noWrap/>
            <w:hideMark/>
          </w:tcPr>
          <w:p w14:paraId="3875CCD6"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1,467</w:t>
            </w:r>
          </w:p>
        </w:tc>
        <w:tc>
          <w:tcPr>
            <w:tcW w:w="432" w:type="pct"/>
            <w:tcBorders>
              <w:top w:val="single" w:sz="8" w:space="0" w:color="A6A6A6" w:themeColor="background1" w:themeShade="A6"/>
            </w:tcBorders>
            <w:noWrap/>
            <w:hideMark/>
          </w:tcPr>
          <w:p w14:paraId="1A400A22" w14:textId="77777777" w:rsidR="00FC77C7" w:rsidRPr="00516F59"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16F59">
              <w:rPr>
                <w:lang w:eastAsia="en-NZ"/>
              </w:rPr>
              <w:t>-1%</w:t>
            </w:r>
          </w:p>
        </w:tc>
      </w:tr>
    </w:tbl>
    <w:p w14:paraId="6E389224" w14:textId="77777777" w:rsidR="00FC77C7" w:rsidRPr="0093011F" w:rsidRDefault="00FC77C7" w:rsidP="00FC77C7">
      <w:pPr>
        <w:rPr>
          <w:sz w:val="18"/>
          <w:szCs w:val="18"/>
        </w:rPr>
      </w:pPr>
      <w:r w:rsidRPr="0093011F">
        <w:rPr>
          <w:sz w:val="18"/>
          <w:szCs w:val="18"/>
        </w:rPr>
        <w:t>Source: Ministry for the Environment &amp; Stats NZ (2019)</w:t>
      </w:r>
    </w:p>
    <w:p w14:paraId="0B4B7068" w14:textId="77777777" w:rsidR="00FC77C7" w:rsidRDefault="00FC77C7" w:rsidP="00FC77C7"/>
    <w:p w14:paraId="68240D09" w14:textId="77777777" w:rsidR="00FC77C7" w:rsidRDefault="00FC77C7" w:rsidP="00FC77C7"/>
    <w:p w14:paraId="4A150882" w14:textId="77777777" w:rsidR="00FC77C7" w:rsidRDefault="00FC77C7" w:rsidP="00FC77C7">
      <w:r>
        <w:t>Water quality has been reducing because of changes in agriculture, and particularly:</w:t>
      </w:r>
      <w:r>
        <w:rPr>
          <w:rStyle w:val="FootnoteReference"/>
        </w:rPr>
        <w:footnoteReference w:id="4"/>
      </w:r>
    </w:p>
    <w:p w14:paraId="23F42ED5" w14:textId="77777777" w:rsidR="00FC77C7" w:rsidRDefault="00FC77C7" w:rsidP="008355BD">
      <w:pPr>
        <w:pStyle w:val="ListParagraph"/>
        <w:numPr>
          <w:ilvl w:val="0"/>
          <w:numId w:val="15"/>
        </w:numPr>
      </w:pPr>
      <w:r>
        <w:t>Changes in stock type - fewer sheep and</w:t>
      </w:r>
      <w:r w:rsidRPr="00FE63B2">
        <w:t xml:space="preserve"> more cows</w:t>
      </w:r>
      <w:r>
        <w:t xml:space="preserve"> (and c</w:t>
      </w:r>
      <w:r w:rsidRPr="00D353A9">
        <w:t>attle excrete more nitrogen per animal than sheep</w:t>
      </w:r>
      <w:r>
        <w:t>)</w:t>
      </w:r>
    </w:p>
    <w:p w14:paraId="69B55F6B" w14:textId="77777777" w:rsidR="00FC77C7" w:rsidRDefault="00FC77C7" w:rsidP="008355BD">
      <w:pPr>
        <w:pStyle w:val="ListParagraph"/>
        <w:numPr>
          <w:ilvl w:val="0"/>
          <w:numId w:val="15"/>
        </w:numPr>
      </w:pPr>
      <w:r>
        <w:t>Increases in stock intensity per hectare</w:t>
      </w:r>
    </w:p>
    <w:p w14:paraId="6E1A74FE" w14:textId="77777777" w:rsidR="00FC77C7" w:rsidRDefault="00FC77C7" w:rsidP="008355BD">
      <w:pPr>
        <w:pStyle w:val="ListParagraph"/>
        <w:numPr>
          <w:ilvl w:val="0"/>
          <w:numId w:val="15"/>
        </w:numPr>
      </w:pPr>
      <w:r>
        <w:t>More nitrogen fertiliser applied</w:t>
      </w:r>
    </w:p>
    <w:p w14:paraId="08072E69" w14:textId="77777777" w:rsidR="00FC77C7" w:rsidRDefault="00FC77C7" w:rsidP="008355BD">
      <w:pPr>
        <w:pStyle w:val="ListParagraph"/>
        <w:numPr>
          <w:ilvl w:val="0"/>
          <w:numId w:val="15"/>
        </w:numPr>
      </w:pPr>
      <w:r>
        <w:t>More irrigated land (greater irrigation take reduces water levels in rivers and streams and concentrates pollution loads).</w:t>
      </w:r>
    </w:p>
    <w:p w14:paraId="168C289F" w14:textId="4A8D57F2" w:rsidR="00FC77C7" w:rsidRDefault="00FC77C7" w:rsidP="00FC77C7">
      <w:pPr>
        <w:pStyle w:val="Heading2"/>
      </w:pPr>
      <w:bookmarkStart w:id="10" w:name="_Toc35593982"/>
      <w:bookmarkStart w:id="11" w:name="_Toc35599743"/>
      <w:r>
        <w:t>Existing Policy – the NPS</w:t>
      </w:r>
      <w:r w:rsidR="00A53FAC">
        <w:t>-FM</w:t>
      </w:r>
      <w:bookmarkEnd w:id="10"/>
      <w:bookmarkEnd w:id="11"/>
    </w:p>
    <w:p w14:paraId="19FF1143" w14:textId="20F58D2E" w:rsidR="00FC77C7" w:rsidRDefault="00FC77C7" w:rsidP="00FC77C7">
      <w:pPr>
        <w:rPr>
          <w:lang w:eastAsia="en-AU"/>
        </w:rPr>
      </w:pPr>
      <w:r>
        <w:rPr>
          <w:lang w:eastAsia="en-AU"/>
        </w:rPr>
        <w:t xml:space="preserve">Freshwater management is the responsibility of councils under the Resource Management Act 1991. </w:t>
      </w:r>
      <w:r w:rsidRPr="00CA57E2">
        <w:rPr>
          <w:lang w:eastAsia="en-AU"/>
        </w:rPr>
        <w:t>National direction is provided through the National Policy Statement for Freshwater Management (</w:t>
      </w:r>
      <w:r>
        <w:rPr>
          <w:lang w:eastAsia="en-AU"/>
        </w:rPr>
        <w:t xml:space="preserve">the </w:t>
      </w:r>
      <w:r w:rsidRPr="00CA57E2">
        <w:rPr>
          <w:lang w:eastAsia="en-AU"/>
        </w:rPr>
        <w:t>NPS</w:t>
      </w:r>
      <w:r>
        <w:rPr>
          <w:lang w:eastAsia="en-AU"/>
        </w:rPr>
        <w:t>-F</w:t>
      </w:r>
      <w:r w:rsidR="00A53FAC">
        <w:rPr>
          <w:lang w:eastAsia="en-AU"/>
        </w:rPr>
        <w:t>M</w:t>
      </w:r>
      <w:r w:rsidRPr="00CA57E2">
        <w:rPr>
          <w:lang w:eastAsia="en-AU"/>
        </w:rPr>
        <w:t xml:space="preserve">). </w:t>
      </w:r>
      <w:r>
        <w:rPr>
          <w:lang w:eastAsia="en-AU"/>
        </w:rPr>
        <w:t>Originally introduced in 2011, t</w:t>
      </w:r>
      <w:r w:rsidRPr="00CA57E2">
        <w:rPr>
          <w:lang w:eastAsia="en-AU"/>
        </w:rPr>
        <w:t>he NPS</w:t>
      </w:r>
      <w:r>
        <w:rPr>
          <w:lang w:eastAsia="en-AU"/>
        </w:rPr>
        <w:t>-F</w:t>
      </w:r>
      <w:r w:rsidR="00A53FAC">
        <w:rPr>
          <w:lang w:eastAsia="en-AU"/>
        </w:rPr>
        <w:t>M</w:t>
      </w:r>
      <w:r w:rsidRPr="00CA57E2">
        <w:rPr>
          <w:lang w:eastAsia="en-AU"/>
        </w:rPr>
        <w:t xml:space="preserve"> was amended in 2014</w:t>
      </w:r>
      <w:r>
        <w:rPr>
          <w:lang w:eastAsia="en-AU"/>
        </w:rPr>
        <w:t xml:space="preserve"> and in 2017</w:t>
      </w:r>
      <w:r w:rsidRPr="00CA57E2">
        <w:rPr>
          <w:lang w:eastAsia="en-AU"/>
        </w:rPr>
        <w:t xml:space="preserve">. </w:t>
      </w:r>
      <w:r>
        <w:rPr>
          <w:lang w:eastAsia="en-AU"/>
        </w:rPr>
        <w:t xml:space="preserve">Councils must </w:t>
      </w:r>
      <w:r w:rsidRPr="00CA57E2">
        <w:rPr>
          <w:lang w:eastAsia="en-AU"/>
        </w:rPr>
        <w:t xml:space="preserve">fully implement the objectives and policies of the </w:t>
      </w:r>
      <w:r>
        <w:rPr>
          <w:lang w:eastAsia="en-AU"/>
        </w:rPr>
        <w:t>NPS-F</w:t>
      </w:r>
      <w:r w:rsidR="00A53FAC">
        <w:rPr>
          <w:lang w:eastAsia="en-AU"/>
        </w:rPr>
        <w:t>M</w:t>
      </w:r>
      <w:r>
        <w:rPr>
          <w:lang w:eastAsia="en-AU"/>
        </w:rPr>
        <w:t xml:space="preserve"> by 2025, or 2030 if they cannot complete the process to sufficient quality by 2025.</w:t>
      </w:r>
    </w:p>
    <w:p w14:paraId="69460557" w14:textId="77777777" w:rsidR="00FC77C7" w:rsidRDefault="00FC77C7" w:rsidP="00FC77C7">
      <w:pPr>
        <w:rPr>
          <w:lang w:eastAsia="en-AU"/>
        </w:rPr>
      </w:pPr>
    </w:p>
    <w:p w14:paraId="3E47B7D1" w14:textId="38F71578" w:rsidR="00FC77C7" w:rsidRDefault="00FC77C7" w:rsidP="00FC77C7">
      <w:pPr>
        <w:rPr>
          <w:lang w:eastAsia="en-AU"/>
        </w:rPr>
      </w:pPr>
      <w:r>
        <w:rPr>
          <w:lang w:eastAsia="en-AU"/>
        </w:rPr>
        <w:t>A review of the NPS-F</w:t>
      </w:r>
      <w:r w:rsidR="00A53FAC">
        <w:rPr>
          <w:lang w:eastAsia="en-AU"/>
        </w:rPr>
        <w:t>M</w:t>
      </w:r>
      <w:r>
        <w:rPr>
          <w:lang w:eastAsia="en-AU"/>
        </w:rPr>
        <w:t xml:space="preserve"> after its introduction suggested it would not </w:t>
      </w:r>
      <w:r w:rsidRPr="00C25186">
        <w:rPr>
          <w:lang w:eastAsia="en-AU"/>
        </w:rPr>
        <w:t>achiev</w:t>
      </w:r>
      <w:r>
        <w:rPr>
          <w:lang w:eastAsia="en-AU"/>
        </w:rPr>
        <w:t>e</w:t>
      </w:r>
      <w:r w:rsidRPr="00C25186">
        <w:rPr>
          <w:lang w:eastAsia="en-AU"/>
        </w:rPr>
        <w:t xml:space="preserve"> the sustainable management of freshwater resources.</w:t>
      </w:r>
      <w:r>
        <w:rPr>
          <w:rStyle w:val="FootnoteReference"/>
          <w:lang w:eastAsia="en-AU"/>
        </w:rPr>
        <w:footnoteReference w:id="5"/>
      </w:r>
      <w:r>
        <w:rPr>
          <w:lang w:eastAsia="en-AU"/>
        </w:rPr>
        <w:t xml:space="preserve"> The Ministry for the Environment (</w:t>
      </w:r>
      <w:proofErr w:type="spellStart"/>
      <w:r>
        <w:rPr>
          <w:lang w:eastAsia="en-AU"/>
        </w:rPr>
        <w:t>MfE</w:t>
      </w:r>
      <w:proofErr w:type="spellEnd"/>
      <w:r>
        <w:rPr>
          <w:lang w:eastAsia="en-AU"/>
        </w:rPr>
        <w:t>) suggests the problems include:</w:t>
      </w:r>
    </w:p>
    <w:p w14:paraId="6063A544" w14:textId="77777777" w:rsidR="00FC77C7" w:rsidRDefault="00FC77C7" w:rsidP="00FC77C7">
      <w:pPr>
        <w:rPr>
          <w:lang w:eastAsia="en-AU"/>
        </w:rPr>
      </w:pPr>
    </w:p>
    <w:p w14:paraId="69C80176" w14:textId="77777777" w:rsidR="00FC77C7" w:rsidRDefault="00FC77C7" w:rsidP="008355BD">
      <w:pPr>
        <w:pStyle w:val="ListParagraph"/>
        <w:numPr>
          <w:ilvl w:val="0"/>
          <w:numId w:val="16"/>
        </w:numPr>
        <w:rPr>
          <w:lang w:eastAsia="en-AU"/>
        </w:rPr>
      </w:pPr>
      <w:r>
        <w:rPr>
          <w:lang w:eastAsia="en-AU"/>
        </w:rPr>
        <w:t>p</w:t>
      </w:r>
      <w:r w:rsidRPr="00C17E68">
        <w:rPr>
          <w:lang w:eastAsia="en-AU"/>
        </w:rPr>
        <w:t>roblems with interpretation and implementation</w:t>
      </w:r>
      <w:r>
        <w:rPr>
          <w:lang w:eastAsia="en-AU"/>
        </w:rPr>
        <w:t>, including poor engagement with i</w:t>
      </w:r>
      <w:r w:rsidRPr="00C41428">
        <w:rPr>
          <w:lang w:eastAsia="en-AU"/>
        </w:rPr>
        <w:t>wi/</w:t>
      </w:r>
      <w:proofErr w:type="spellStart"/>
      <w:r w:rsidRPr="00C41428">
        <w:rPr>
          <w:lang w:eastAsia="en-AU"/>
        </w:rPr>
        <w:t>hapū</w:t>
      </w:r>
      <w:proofErr w:type="spellEnd"/>
      <w:r w:rsidRPr="00C41428">
        <w:rPr>
          <w:lang w:eastAsia="en-AU"/>
        </w:rPr>
        <w:t xml:space="preserve"> </w:t>
      </w:r>
      <w:r>
        <w:rPr>
          <w:lang w:eastAsia="en-AU"/>
        </w:rPr>
        <w:t>in some locations;</w:t>
      </w:r>
      <w:r>
        <w:rPr>
          <w:lang w:eastAsia="en-AU"/>
        </w:rPr>
        <w:br/>
      </w:r>
    </w:p>
    <w:p w14:paraId="38ECEAF4" w14:textId="77777777" w:rsidR="00FC77C7" w:rsidRDefault="00FC77C7" w:rsidP="008355BD">
      <w:pPr>
        <w:pStyle w:val="ListParagraph"/>
        <w:numPr>
          <w:ilvl w:val="0"/>
          <w:numId w:val="16"/>
        </w:numPr>
        <w:rPr>
          <w:lang w:eastAsia="en-AU"/>
        </w:rPr>
      </w:pPr>
      <w:r>
        <w:rPr>
          <w:lang w:eastAsia="en-AU"/>
        </w:rPr>
        <w:t>few regulatory options for councils to use to influence or control activities with the most impact on water quality, particularly agriculture; and</w:t>
      </w:r>
      <w:r>
        <w:rPr>
          <w:lang w:eastAsia="en-AU"/>
        </w:rPr>
        <w:br/>
      </w:r>
    </w:p>
    <w:p w14:paraId="73FE595F" w14:textId="77777777" w:rsidR="00FC77C7" w:rsidRDefault="00FC77C7" w:rsidP="008355BD">
      <w:pPr>
        <w:pStyle w:val="ListParagraph"/>
        <w:numPr>
          <w:ilvl w:val="0"/>
          <w:numId w:val="16"/>
        </w:numPr>
        <w:rPr>
          <w:lang w:eastAsia="en-AU"/>
        </w:rPr>
      </w:pPr>
      <w:proofErr w:type="gramStart"/>
      <w:r>
        <w:rPr>
          <w:lang w:eastAsia="en-AU"/>
        </w:rPr>
        <w:t>s</w:t>
      </w:r>
      <w:r w:rsidRPr="00C41428">
        <w:rPr>
          <w:lang w:eastAsia="en-AU"/>
        </w:rPr>
        <w:t>tandards</w:t>
      </w:r>
      <w:proofErr w:type="gramEnd"/>
      <w:r w:rsidRPr="00C41428">
        <w:rPr>
          <w:lang w:eastAsia="en-AU"/>
        </w:rPr>
        <w:t xml:space="preserve"> not stringent enough</w:t>
      </w:r>
      <w:r>
        <w:rPr>
          <w:lang w:eastAsia="en-AU"/>
        </w:rPr>
        <w:t xml:space="preserve"> – </w:t>
      </w:r>
      <w:r w:rsidRPr="00C41428">
        <w:rPr>
          <w:lang w:eastAsia="en-AU"/>
        </w:rPr>
        <w:t xml:space="preserve">slow adoption of quantitative </w:t>
      </w:r>
      <w:r>
        <w:rPr>
          <w:lang w:eastAsia="en-AU"/>
        </w:rPr>
        <w:t xml:space="preserve">and </w:t>
      </w:r>
      <w:r w:rsidRPr="00C41428">
        <w:rPr>
          <w:lang w:eastAsia="en-AU"/>
        </w:rPr>
        <w:t>enforceable water quality limits in the majority of regional plans, and the slow application of these limits to resource users</w:t>
      </w:r>
      <w:r>
        <w:rPr>
          <w:lang w:eastAsia="en-AU"/>
        </w:rPr>
        <w:t>.</w:t>
      </w:r>
    </w:p>
    <w:p w14:paraId="7FB77D54" w14:textId="77777777" w:rsidR="00FC77C7" w:rsidRDefault="00FC77C7" w:rsidP="00FC77C7">
      <w:pPr>
        <w:rPr>
          <w:lang w:eastAsia="en-AU"/>
        </w:rPr>
      </w:pPr>
    </w:p>
    <w:p w14:paraId="3D500E68" w14:textId="77777777" w:rsidR="00FC77C7" w:rsidRDefault="00FC77C7" w:rsidP="00FC77C7">
      <w:pPr>
        <w:rPr>
          <w:lang w:eastAsia="en-AU"/>
        </w:rPr>
      </w:pPr>
      <w:r>
        <w:rPr>
          <w:lang w:eastAsia="en-AU"/>
        </w:rPr>
        <w:t xml:space="preserve">The result of these shortcomings is that </w:t>
      </w:r>
      <w:r w:rsidRPr="00C41428">
        <w:rPr>
          <w:lang w:eastAsia="en-AU"/>
        </w:rPr>
        <w:t>water quality is continuing to degrade in places</w:t>
      </w:r>
      <w:r>
        <w:rPr>
          <w:lang w:eastAsia="en-AU"/>
        </w:rPr>
        <w:t>, or it is expected to take a long time to achieve desired outcomes.</w:t>
      </w:r>
    </w:p>
    <w:p w14:paraId="43456E3E" w14:textId="77777777" w:rsidR="00FC77C7" w:rsidRDefault="00FC77C7" w:rsidP="00FC77C7">
      <w:pPr>
        <w:pStyle w:val="Heading2"/>
      </w:pPr>
      <w:bookmarkStart w:id="12" w:name="_Toc35593983"/>
      <w:bookmarkStart w:id="13" w:name="_Toc35599744"/>
      <w:r>
        <w:t>The Essential Freshwater Package</w:t>
      </w:r>
      <w:bookmarkEnd w:id="12"/>
      <w:bookmarkEnd w:id="13"/>
    </w:p>
    <w:p w14:paraId="59A31EC8" w14:textId="57A05B4E" w:rsidR="00FC77C7" w:rsidRDefault="00FC77C7" w:rsidP="00FC77C7">
      <w:r>
        <w:t>In response to the problems identified with the NPS-F</w:t>
      </w:r>
      <w:r w:rsidR="00A53FAC">
        <w:t>M</w:t>
      </w:r>
      <w:r>
        <w:t>, the EFW package</w:t>
      </w:r>
      <w:r>
        <w:rPr>
          <w:rStyle w:val="FootnoteReference"/>
        </w:rPr>
        <w:footnoteReference w:id="6"/>
      </w:r>
      <w:r>
        <w:t xml:space="preserve"> would introduce a new set of regulatory requirements, including tightened standards (or bottom lines), and more controls over on-farm management via requirements for stock exclusion from riparian strips. It aims:</w:t>
      </w:r>
      <w:r>
        <w:br/>
      </w:r>
    </w:p>
    <w:p w14:paraId="61E0CBD3" w14:textId="77777777" w:rsidR="00FC77C7" w:rsidRDefault="00FC77C7" w:rsidP="008355BD">
      <w:pPr>
        <w:pStyle w:val="ListParagraph"/>
        <w:numPr>
          <w:ilvl w:val="0"/>
          <w:numId w:val="11"/>
        </w:numPr>
      </w:pPr>
      <w:r>
        <w:t>in the short run, to stop further degradation of freshwater quality and to start making improvements so water quality is materially improving within five years; and</w:t>
      </w:r>
      <w:r>
        <w:br/>
      </w:r>
    </w:p>
    <w:p w14:paraId="07F85072" w14:textId="77777777" w:rsidR="00FC77C7" w:rsidRDefault="00FC77C7" w:rsidP="008355BD">
      <w:pPr>
        <w:pStyle w:val="ListParagraph"/>
        <w:numPr>
          <w:ilvl w:val="0"/>
          <w:numId w:val="11"/>
        </w:numPr>
      </w:pPr>
      <w:proofErr w:type="gramStart"/>
      <w:r>
        <w:t>in</w:t>
      </w:r>
      <w:proofErr w:type="gramEnd"/>
      <w:r>
        <w:t xml:space="preserve"> the longer run, to bring freshwater resources, waterways and ecosystems to a healthy state within a generation.</w:t>
      </w:r>
    </w:p>
    <w:p w14:paraId="5C32E361" w14:textId="77777777" w:rsidR="00FC77C7" w:rsidRDefault="00FC77C7" w:rsidP="0093011F">
      <w:pPr>
        <w:ind w:left="360"/>
      </w:pPr>
    </w:p>
    <w:p w14:paraId="2749E265" w14:textId="77777777" w:rsidR="00FC77C7" w:rsidRDefault="00FC77C7" w:rsidP="00FC77C7">
      <w:r>
        <w:lastRenderedPageBreak/>
        <w:t xml:space="preserve">It will also address water allocation issues. </w:t>
      </w:r>
    </w:p>
    <w:p w14:paraId="587F1495" w14:textId="77777777" w:rsidR="00FC77C7" w:rsidRDefault="00FC77C7" w:rsidP="00FC77C7"/>
    <w:p w14:paraId="1E457471" w14:textId="77777777" w:rsidR="00FC77C7" w:rsidRDefault="00FC77C7" w:rsidP="00FC77C7">
      <w:r>
        <w:t>Three regulatory tools have been identified.</w:t>
      </w:r>
      <w:r>
        <w:rPr>
          <w:rStyle w:val="FootnoteReference"/>
        </w:rPr>
        <w:footnoteReference w:id="7"/>
      </w:r>
    </w:p>
    <w:p w14:paraId="6990E47F" w14:textId="30BD74E9" w:rsidR="00FC77C7" w:rsidRDefault="00FC77C7" w:rsidP="008355BD">
      <w:pPr>
        <w:pStyle w:val="ListParagraph"/>
        <w:numPr>
          <w:ilvl w:val="0"/>
          <w:numId w:val="17"/>
        </w:numPr>
      </w:pPr>
      <w:r>
        <w:t>changes to the NPS-F</w:t>
      </w:r>
      <w:r w:rsidR="00A53FAC">
        <w:t>M</w:t>
      </w:r>
      <w:r>
        <w:t>;</w:t>
      </w:r>
    </w:p>
    <w:p w14:paraId="769AC6FB" w14:textId="77777777" w:rsidR="00FC77C7" w:rsidRDefault="00FC77C7" w:rsidP="008355BD">
      <w:pPr>
        <w:pStyle w:val="ListParagraph"/>
        <w:numPr>
          <w:ilvl w:val="0"/>
          <w:numId w:val="17"/>
        </w:numPr>
      </w:pPr>
      <w:r>
        <w:t>the creation of a new National Environmental Standard (NES) (which would impose regulations quickly to limit potential further decline); and</w:t>
      </w:r>
    </w:p>
    <w:p w14:paraId="2AD08C23" w14:textId="77777777" w:rsidR="00FC77C7" w:rsidRDefault="00FC77C7" w:rsidP="008355BD">
      <w:pPr>
        <w:pStyle w:val="ListParagraph"/>
        <w:numPr>
          <w:ilvl w:val="0"/>
          <w:numId w:val="17"/>
        </w:numPr>
      </w:pPr>
      <w:proofErr w:type="gramStart"/>
      <w:r>
        <w:t>the</w:t>
      </w:r>
      <w:proofErr w:type="gramEnd"/>
      <w:r>
        <w:t xml:space="preserve"> creation of new regulations</w:t>
      </w:r>
      <w:r>
        <w:rPr>
          <w:rStyle w:val="FootnoteReference"/>
        </w:rPr>
        <w:footnoteReference w:id="8"/>
      </w:r>
      <w:r>
        <w:t xml:space="preserve"> (which can take immediate effect from their commencement date and are a more appropriate vehicle for some interventions).</w:t>
      </w:r>
    </w:p>
    <w:p w14:paraId="1D9CE56C" w14:textId="77777777" w:rsidR="00FC77C7" w:rsidRDefault="00FC77C7" w:rsidP="00FC77C7"/>
    <w:p w14:paraId="271A1762" w14:textId="77777777" w:rsidR="00FC77C7" w:rsidRDefault="00FC77C7" w:rsidP="00FC77C7">
      <w:r>
        <w:t xml:space="preserve">They would be expected to </w:t>
      </w:r>
      <w:r w:rsidRPr="00C41428">
        <w:t>improve policy direction</w:t>
      </w:r>
      <w:r>
        <w:t>,</w:t>
      </w:r>
      <w:r w:rsidRPr="00C41428">
        <w:t xml:space="preserve"> set thresholds or bottom lines</w:t>
      </w:r>
      <w:r>
        <w:t>,</w:t>
      </w:r>
      <w:r w:rsidRPr="00C41428">
        <w:t xml:space="preserve"> require adoption of good practice</w:t>
      </w:r>
      <w:r>
        <w:t>,</w:t>
      </w:r>
      <w:r w:rsidRPr="00C41428">
        <w:t xml:space="preserve"> improve monitoring and reporting on freshwater</w:t>
      </w:r>
      <w:r>
        <w:t>,</w:t>
      </w:r>
      <w:r w:rsidRPr="00C41428">
        <w:t xml:space="preserve"> and support people in implementing these changes.</w:t>
      </w:r>
      <w:r w:rsidRPr="007B1575">
        <w:t xml:space="preserve"> </w:t>
      </w:r>
      <w:r>
        <w:t>These include:</w:t>
      </w:r>
    </w:p>
    <w:p w14:paraId="2EFFD874" w14:textId="77777777" w:rsidR="00FC77C7" w:rsidRDefault="00FC77C7" w:rsidP="00FC77C7"/>
    <w:p w14:paraId="281FA96B" w14:textId="77777777" w:rsidR="00FC77C7" w:rsidRPr="00825877" w:rsidRDefault="00FC77C7" w:rsidP="008355BD">
      <w:pPr>
        <w:pStyle w:val="ListParagraph"/>
        <w:numPr>
          <w:ilvl w:val="0"/>
          <w:numId w:val="18"/>
        </w:numPr>
      </w:pPr>
      <w:r>
        <w:t>Nitrogen and Phosphorus:</w:t>
      </w:r>
    </w:p>
    <w:p w14:paraId="61B32817" w14:textId="77777777" w:rsidR="00FC77C7" w:rsidRDefault="00FC77C7" w:rsidP="008355BD">
      <w:pPr>
        <w:pStyle w:val="ListParagraph"/>
        <w:numPr>
          <w:ilvl w:val="1"/>
          <w:numId w:val="18"/>
        </w:numPr>
      </w:pPr>
      <w:r>
        <w:t>more stringent bottom-lines for Dissolved Inorganic Nitrogen (</w:t>
      </w:r>
      <w:r w:rsidRPr="0027580F">
        <w:t>DIN</w:t>
      </w:r>
      <w:r>
        <w:t xml:space="preserve">) and Dissolved Reactive Phosphorus (DRP) which will apply </w:t>
      </w:r>
      <w:r w:rsidRPr="0027580F">
        <w:t>in soft-bottomed rivers in some lowland agriculturally-dominated areas</w:t>
      </w:r>
      <w:r>
        <w:t>; and</w:t>
      </w:r>
    </w:p>
    <w:p w14:paraId="3115D95E" w14:textId="77777777" w:rsidR="00FC77C7" w:rsidRDefault="00FC77C7" w:rsidP="008355BD">
      <w:pPr>
        <w:pStyle w:val="ListParagraph"/>
        <w:numPr>
          <w:ilvl w:val="1"/>
          <w:numId w:val="18"/>
        </w:numPr>
      </w:pPr>
      <w:r>
        <w:t>r</w:t>
      </w:r>
      <w:r w:rsidRPr="00825877">
        <w:t>educing excessively high nitrogen leaching (</w:t>
      </w:r>
      <w:r>
        <w:t xml:space="preserve">a </w:t>
      </w:r>
      <w:r w:rsidRPr="00825877">
        <w:t>nitrogen cap)</w:t>
      </w:r>
      <w:r>
        <w:t xml:space="preserve"> </w:t>
      </w:r>
      <w:proofErr w:type="spellStart"/>
      <w:r>
        <w:t>eg</w:t>
      </w:r>
      <w:proofErr w:type="spellEnd"/>
      <w:r>
        <w:t xml:space="preserve"> using </w:t>
      </w:r>
      <w:r w:rsidRPr="00825877">
        <w:t>per-hectare nitrogen leaching thresholds (option 1) and a national fertiliser cap (option 2)</w:t>
      </w:r>
      <w:r>
        <w:t>;</w:t>
      </w:r>
      <w:r>
        <w:br/>
      </w:r>
    </w:p>
    <w:p w14:paraId="2E40AAEA" w14:textId="77777777" w:rsidR="00FC77C7" w:rsidRDefault="00FC77C7" w:rsidP="008355BD">
      <w:pPr>
        <w:pStyle w:val="ListParagraph"/>
        <w:numPr>
          <w:ilvl w:val="0"/>
          <w:numId w:val="18"/>
        </w:numPr>
      </w:pPr>
      <w:r>
        <w:rPr>
          <w:b/>
          <w:bCs/>
        </w:rPr>
        <w:t xml:space="preserve">Sediment: </w:t>
      </w:r>
      <w:r>
        <w:t>bottom lines for sediment which will require reductions in erosion;</w:t>
      </w:r>
      <w:r>
        <w:br/>
      </w:r>
    </w:p>
    <w:p w14:paraId="01E99C97" w14:textId="77777777" w:rsidR="00FC77C7" w:rsidRDefault="00FC77C7" w:rsidP="008355BD">
      <w:pPr>
        <w:pStyle w:val="ListParagraph"/>
        <w:numPr>
          <w:ilvl w:val="0"/>
          <w:numId w:val="18"/>
        </w:numPr>
      </w:pPr>
      <w:r w:rsidRPr="00B92A46">
        <w:rPr>
          <w:b/>
          <w:bCs/>
          <w:i/>
          <w:iCs/>
        </w:rPr>
        <w:t>E coli</w:t>
      </w:r>
      <w:r>
        <w:rPr>
          <w:b/>
          <w:bCs/>
        </w:rPr>
        <w:t xml:space="preserve">: </w:t>
      </w:r>
      <w:r>
        <w:t xml:space="preserve">a requirement </w:t>
      </w:r>
      <w:r w:rsidRPr="0027580F">
        <w:t xml:space="preserve">to set target states for </w:t>
      </w:r>
      <w:r w:rsidRPr="0027580F">
        <w:rPr>
          <w:i/>
          <w:iCs/>
        </w:rPr>
        <w:t>E coli</w:t>
      </w:r>
      <w:r w:rsidRPr="0027580F">
        <w:t xml:space="preserve"> above a national bottom line of 550 </w:t>
      </w:r>
      <w:r w:rsidRPr="0027580F">
        <w:rPr>
          <w:i/>
          <w:iCs/>
        </w:rPr>
        <w:t>E coli</w:t>
      </w:r>
      <w:r w:rsidRPr="0027580F">
        <w:t xml:space="preserve"> per 100 ml for primary contact sites during the swimming season</w:t>
      </w:r>
      <w:r>
        <w:t>;</w:t>
      </w:r>
      <w:r>
        <w:br/>
      </w:r>
    </w:p>
    <w:p w14:paraId="7A290E90" w14:textId="77777777" w:rsidR="00FC77C7" w:rsidRDefault="00FC77C7" w:rsidP="008355BD">
      <w:pPr>
        <w:pStyle w:val="ListParagraph"/>
        <w:numPr>
          <w:ilvl w:val="0"/>
          <w:numId w:val="18"/>
        </w:numPr>
      </w:pPr>
      <w:r w:rsidRPr="00B92A46">
        <w:rPr>
          <w:b/>
          <w:bCs/>
        </w:rPr>
        <w:t>M</w:t>
      </w:r>
      <w:r w:rsidRPr="00B92A46">
        <w:rPr>
          <w:rFonts w:cstheme="minorHAnsi"/>
          <w:b/>
          <w:bCs/>
        </w:rPr>
        <w:t>ā</w:t>
      </w:r>
      <w:r w:rsidRPr="00B92A46">
        <w:rPr>
          <w:b/>
          <w:bCs/>
        </w:rPr>
        <w:t xml:space="preserve">ori values: </w:t>
      </w:r>
      <w:r>
        <w:t>creating a '</w:t>
      </w:r>
      <w:proofErr w:type="spellStart"/>
      <w:r>
        <w:t>mahinga</w:t>
      </w:r>
      <w:proofErr w:type="spellEnd"/>
      <w:r>
        <w:t xml:space="preserve"> kai' compulsory value and a new value category for '</w:t>
      </w:r>
      <w:proofErr w:type="spellStart"/>
      <w:r>
        <w:t>tangata</w:t>
      </w:r>
      <w:proofErr w:type="spellEnd"/>
      <w:r>
        <w:t xml:space="preserve"> whenua' values in the National Objectives Framework;</w:t>
      </w:r>
      <w:r>
        <w:br/>
      </w:r>
    </w:p>
    <w:p w14:paraId="1420B5FC" w14:textId="77777777" w:rsidR="00FC77C7" w:rsidRDefault="00FC77C7" w:rsidP="008355BD">
      <w:pPr>
        <w:pStyle w:val="ListParagraph"/>
        <w:numPr>
          <w:ilvl w:val="0"/>
          <w:numId w:val="18"/>
        </w:numPr>
      </w:pPr>
      <w:r>
        <w:rPr>
          <w:b/>
          <w:bCs/>
        </w:rPr>
        <w:t xml:space="preserve">Wetlands: </w:t>
      </w:r>
      <w:r w:rsidRPr="00B92A46">
        <w:t>new rules to prevent further loss and degradation of remaining natural wetlands</w:t>
      </w:r>
      <w:r>
        <w:t>;</w:t>
      </w:r>
      <w:r>
        <w:br/>
      </w:r>
    </w:p>
    <w:p w14:paraId="45F23EEA" w14:textId="77777777" w:rsidR="00FC77C7" w:rsidRDefault="00FC77C7" w:rsidP="008355BD">
      <w:pPr>
        <w:pStyle w:val="ListParagraph"/>
        <w:numPr>
          <w:ilvl w:val="0"/>
          <w:numId w:val="18"/>
        </w:numPr>
      </w:pPr>
      <w:r w:rsidRPr="00825877">
        <w:rPr>
          <w:b/>
          <w:bCs/>
        </w:rPr>
        <w:t>Stock exclusion</w:t>
      </w:r>
      <w:r>
        <w:t xml:space="preserve">: </w:t>
      </w:r>
      <w:r w:rsidRPr="00825877">
        <w:t>regulations requiring farmers to exclude all cattle, pigs and deer from rivers, lakes, wetlands and drains across low-slope New Zealand</w:t>
      </w:r>
      <w:r>
        <w:t>.</w:t>
      </w:r>
    </w:p>
    <w:p w14:paraId="796483F3" w14:textId="77777777" w:rsidR="00FC77C7" w:rsidRDefault="00FC77C7" w:rsidP="00FC77C7"/>
    <w:p w14:paraId="20270587" w14:textId="77777777" w:rsidR="00FC77C7" w:rsidRDefault="00FC77C7" w:rsidP="00FC77C7">
      <w:r>
        <w:t>In this report we are examining the expected benefits of the package, quantifying these where possible. We discuss some identified benefits more qualitatively, and make links to other components of the impact analysis which will include benefit analyses.</w:t>
      </w:r>
    </w:p>
    <w:p w14:paraId="140BD673" w14:textId="77777777" w:rsidR="00FC77C7" w:rsidRDefault="00FC77C7" w:rsidP="00FC77C7">
      <w:pPr>
        <w:pStyle w:val="Heading2"/>
      </w:pPr>
      <w:bookmarkStart w:id="14" w:name="_Ref35525700"/>
      <w:bookmarkStart w:id="15" w:name="_Toc35593984"/>
      <w:bookmarkStart w:id="16" w:name="_Toc35599745"/>
      <w:bookmarkStart w:id="17" w:name="_Toc355102153"/>
      <w:r>
        <w:t xml:space="preserve">Benefits to be </w:t>
      </w:r>
      <w:proofErr w:type="gramStart"/>
      <w:r>
        <w:t>Evaluated</w:t>
      </w:r>
      <w:bookmarkEnd w:id="14"/>
      <w:bookmarkEnd w:id="15"/>
      <w:bookmarkEnd w:id="16"/>
      <w:proofErr w:type="gramEnd"/>
    </w:p>
    <w:p w14:paraId="252EBB6B" w14:textId="5C7E7079" w:rsidR="00FC77C7" w:rsidRDefault="00FC77C7" w:rsidP="00FC77C7">
      <w:r>
        <w:t xml:space="preserve">Our interest is in estimating the change in the full set of values obtained from improvements in the quality of freshwater, </w:t>
      </w:r>
      <w:proofErr w:type="spellStart"/>
      <w:r>
        <w:t>ie</w:t>
      </w:r>
      <w:proofErr w:type="spellEnd"/>
      <w:r>
        <w:t xml:space="preserve"> everything that changes people’s wellbeing. </w:t>
      </w:r>
      <w:r>
        <w:fldChar w:fldCharType="begin"/>
      </w:r>
      <w:r>
        <w:instrText xml:space="preserve"> REF _Ref34233765 \h </w:instrText>
      </w:r>
      <w:r>
        <w:fldChar w:fldCharType="separate"/>
      </w:r>
      <w:r w:rsidR="00024EB5">
        <w:t xml:space="preserve">Figure </w:t>
      </w:r>
      <w:r w:rsidR="00024EB5">
        <w:rPr>
          <w:noProof/>
        </w:rPr>
        <w:t>2</w:t>
      </w:r>
      <w:r>
        <w:fldChar w:fldCharType="end"/>
      </w:r>
      <w:r>
        <w:t xml:space="preserve"> provides a summary of the values considered.</w:t>
      </w:r>
      <w:r>
        <w:rPr>
          <w:rStyle w:val="FootnoteReference"/>
        </w:rPr>
        <w:footnoteReference w:id="9"/>
      </w:r>
    </w:p>
    <w:p w14:paraId="0CD8AFD9" w14:textId="6724D60C" w:rsidR="00FC77C7" w:rsidRDefault="00FC77C7" w:rsidP="0093011F">
      <w:pPr>
        <w:pStyle w:val="Caption"/>
      </w:pPr>
      <w:bookmarkStart w:id="18" w:name="_Ref34233765"/>
      <w:r>
        <w:lastRenderedPageBreak/>
        <w:t xml:space="preserve">Figure </w:t>
      </w:r>
      <w:r w:rsidR="00313617">
        <w:fldChar w:fldCharType="begin"/>
      </w:r>
      <w:r w:rsidR="00313617">
        <w:instrText xml:space="preserve"> SEQ Figure \* ARABIC </w:instrText>
      </w:r>
      <w:r w:rsidR="00313617">
        <w:fldChar w:fldCharType="separate"/>
      </w:r>
      <w:r w:rsidR="00024EB5">
        <w:rPr>
          <w:noProof/>
        </w:rPr>
        <w:t>2</w:t>
      </w:r>
      <w:r w:rsidR="00313617">
        <w:rPr>
          <w:noProof/>
        </w:rPr>
        <w:fldChar w:fldCharType="end"/>
      </w:r>
      <w:bookmarkEnd w:id="18"/>
      <w:r>
        <w:t xml:space="preserve"> Freshwater's contribution to total economic value</w:t>
      </w:r>
    </w:p>
    <w:p w14:paraId="6FDEBF3E" w14:textId="77777777" w:rsidR="00FC77C7" w:rsidRDefault="00FC77C7" w:rsidP="00FC77C7">
      <w:r w:rsidRPr="000D779C">
        <w:rPr>
          <w:noProof/>
          <w:lang w:eastAsia="en-NZ"/>
        </w:rPr>
        <w:drawing>
          <wp:inline distT="0" distB="0" distL="0" distR="0" wp14:anchorId="69E4BE71" wp14:editId="076AE632">
            <wp:extent cx="5220335" cy="1919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1919605"/>
                    </a:xfrm>
                    <a:prstGeom prst="rect">
                      <a:avLst/>
                    </a:prstGeom>
                    <a:noFill/>
                    <a:ln>
                      <a:noFill/>
                    </a:ln>
                  </pic:spPr>
                </pic:pic>
              </a:graphicData>
            </a:graphic>
          </wp:inline>
        </w:drawing>
      </w:r>
    </w:p>
    <w:p w14:paraId="4F5B9C31" w14:textId="77777777" w:rsidR="00FC77C7" w:rsidRPr="0093011F" w:rsidRDefault="00FC77C7" w:rsidP="00FC77C7">
      <w:pPr>
        <w:rPr>
          <w:sz w:val="18"/>
          <w:szCs w:val="18"/>
        </w:rPr>
      </w:pPr>
      <w:r w:rsidRPr="0093011F">
        <w:rPr>
          <w:sz w:val="18"/>
          <w:szCs w:val="18"/>
        </w:rPr>
        <w:t>Source: adapted from Sharp and Kerr (2005)</w:t>
      </w:r>
    </w:p>
    <w:p w14:paraId="0883E895" w14:textId="77777777" w:rsidR="00FC77C7" w:rsidRDefault="00FC77C7" w:rsidP="00FC77C7"/>
    <w:p w14:paraId="477E5B5E" w14:textId="77777777" w:rsidR="00FC77C7" w:rsidRPr="006E3396" w:rsidRDefault="00FC77C7" w:rsidP="00FC77C7">
      <w:r>
        <w:t xml:space="preserve">Total economic value (TEV) includes </w:t>
      </w:r>
      <w:r w:rsidRPr="006E3396">
        <w:t>active use and passive use values, where</w:t>
      </w:r>
      <w:r>
        <w:t>:</w:t>
      </w:r>
      <w:r w:rsidRPr="006E3396">
        <w:t xml:space="preserve"> </w:t>
      </w:r>
    </w:p>
    <w:p w14:paraId="55840AAD" w14:textId="77777777" w:rsidR="00FC77C7" w:rsidRDefault="00FC77C7" w:rsidP="008355BD">
      <w:pPr>
        <w:pStyle w:val="ListParagraph"/>
        <w:numPr>
          <w:ilvl w:val="0"/>
          <w:numId w:val="20"/>
        </w:numPr>
      </w:pPr>
      <w:proofErr w:type="gramStart"/>
      <w:r w:rsidRPr="006E3396">
        <w:rPr>
          <w:b/>
        </w:rPr>
        <w:t>active</w:t>
      </w:r>
      <w:proofErr w:type="gramEnd"/>
      <w:r w:rsidRPr="006E3396">
        <w:rPr>
          <w:b/>
        </w:rPr>
        <w:t xml:space="preserve"> use</w:t>
      </w:r>
      <w:r w:rsidRPr="006E3396">
        <w:t xml:space="preserve"> values derive from actual use of the water resource via </w:t>
      </w:r>
      <w:r>
        <w:t>commercial and non-commercial (</w:t>
      </w:r>
      <w:proofErr w:type="spellStart"/>
      <w:r>
        <w:t>eg</w:t>
      </w:r>
      <w:proofErr w:type="spellEnd"/>
      <w:r>
        <w:t xml:space="preserve"> recreational) activities</w:t>
      </w:r>
      <w:r w:rsidRPr="006E3396">
        <w:t xml:space="preserve">. </w:t>
      </w:r>
      <w:r>
        <w:t>T</w:t>
      </w:r>
      <w:r w:rsidRPr="006E3396">
        <w:t xml:space="preserve">he physical presence of the water </w:t>
      </w:r>
      <w:r>
        <w:t xml:space="preserve">(and its quality) </w:t>
      </w:r>
      <w:r w:rsidRPr="006E3396">
        <w:t xml:space="preserve">is vital to the realisation of the value. </w:t>
      </w:r>
    </w:p>
    <w:p w14:paraId="459A6D68" w14:textId="77777777" w:rsidR="00FC77C7" w:rsidRDefault="00FC77C7" w:rsidP="008355BD">
      <w:pPr>
        <w:pStyle w:val="ListParagraph"/>
        <w:numPr>
          <w:ilvl w:val="1"/>
          <w:numId w:val="20"/>
        </w:numPr>
      </w:pPr>
      <w:r>
        <w:t>Market values are those obtained by those whose business activity depends on the quality of freshwater, such as those with commercial recreational businesses;</w:t>
      </w:r>
    </w:p>
    <w:p w14:paraId="50641176" w14:textId="77777777" w:rsidR="00FC77C7" w:rsidRDefault="00FC77C7" w:rsidP="008355BD">
      <w:pPr>
        <w:pStyle w:val="ListParagraph"/>
        <w:numPr>
          <w:ilvl w:val="1"/>
          <w:numId w:val="20"/>
        </w:numPr>
      </w:pPr>
      <w:r>
        <w:t>Values are also obtained by people who visit freshwater sites for recreational purposes; typically these values are not expressed in a market, so they must be measured indirectly;</w:t>
      </w:r>
      <w:r>
        <w:br/>
      </w:r>
    </w:p>
    <w:p w14:paraId="29FEBE2D" w14:textId="77777777" w:rsidR="00FC77C7" w:rsidRDefault="00FC77C7" w:rsidP="008355BD">
      <w:pPr>
        <w:pStyle w:val="ListParagraph"/>
        <w:numPr>
          <w:ilvl w:val="0"/>
          <w:numId w:val="20"/>
        </w:numPr>
      </w:pPr>
      <w:proofErr w:type="gramStart"/>
      <w:r w:rsidRPr="006E3396">
        <w:rPr>
          <w:b/>
        </w:rPr>
        <w:t>passive</w:t>
      </w:r>
      <w:proofErr w:type="gramEnd"/>
      <w:r w:rsidRPr="006E3396">
        <w:rPr>
          <w:b/>
        </w:rPr>
        <w:t xml:space="preserve"> use</w:t>
      </w:r>
      <w:r w:rsidRPr="006E3396">
        <w:t xml:space="preserve"> values are values that pertain more to the fact of existence of the water resource</w:t>
      </w:r>
      <w:r>
        <w:t xml:space="preserve">. It includes: </w:t>
      </w:r>
    </w:p>
    <w:p w14:paraId="2CD283D0" w14:textId="77777777" w:rsidR="00FC77C7" w:rsidRDefault="00FC77C7" w:rsidP="008355BD">
      <w:pPr>
        <w:pStyle w:val="ListParagraph"/>
        <w:numPr>
          <w:ilvl w:val="1"/>
          <w:numId w:val="20"/>
        </w:numPr>
      </w:pPr>
      <w:r w:rsidRPr="00E9605B">
        <w:t>“existence value”</w:t>
      </w:r>
      <w:r>
        <w:t xml:space="preserve">, which is </w:t>
      </w:r>
      <w:r w:rsidRPr="00E9605B">
        <w:t xml:space="preserve">the value from knowing </w:t>
      </w:r>
      <w:r>
        <w:t>of the quality of an ecosystem or site which you may never visit; and</w:t>
      </w:r>
    </w:p>
    <w:p w14:paraId="231796A2" w14:textId="77777777" w:rsidR="00FC77C7" w:rsidRPr="006E3396" w:rsidRDefault="00FC77C7" w:rsidP="008355BD">
      <w:pPr>
        <w:pStyle w:val="ListParagraph"/>
        <w:numPr>
          <w:ilvl w:val="1"/>
          <w:numId w:val="20"/>
        </w:numPr>
      </w:pPr>
      <w:r>
        <w:t xml:space="preserve">Reputational value </w:t>
      </w:r>
      <w:r w:rsidRPr="003D79B8">
        <w:t xml:space="preserve">is the indirect value which clean freshwater contributes to New Zealand’s reputation for environmental quality and which might be expressed via a price premium in some markets for export goods </w:t>
      </w:r>
      <w:r>
        <w:t>(including tourism visits).</w:t>
      </w:r>
      <w:r w:rsidRPr="006E3396">
        <w:br/>
        <w:t xml:space="preserve"> </w:t>
      </w:r>
    </w:p>
    <w:p w14:paraId="5AFA970C" w14:textId="77777777" w:rsidR="00FC77C7" w:rsidRPr="006E3396" w:rsidRDefault="00FC77C7" w:rsidP="008355BD">
      <w:pPr>
        <w:pStyle w:val="ListParagraph"/>
        <w:numPr>
          <w:ilvl w:val="0"/>
          <w:numId w:val="20"/>
        </w:numPr>
      </w:pPr>
      <w:r w:rsidRPr="006E3396">
        <w:rPr>
          <w:b/>
        </w:rPr>
        <w:t>Option values</w:t>
      </w:r>
      <w:r w:rsidRPr="006E3396">
        <w:t xml:space="preserve"> which represent the value of retaining an option to use a resource in the future. They represent the value of not foreclosing options</w:t>
      </w:r>
      <w:r>
        <w:t xml:space="preserve"> and may pertain to active or passive uses</w:t>
      </w:r>
      <w:r w:rsidRPr="006E3396">
        <w:t xml:space="preserve">. </w:t>
      </w:r>
    </w:p>
    <w:p w14:paraId="5A818B2A" w14:textId="77777777" w:rsidR="00FC77C7" w:rsidRDefault="00FC77C7" w:rsidP="00FC77C7"/>
    <w:p w14:paraId="36C4A200" w14:textId="77777777" w:rsidR="00FC77C7" w:rsidRDefault="00FC77C7" w:rsidP="00FC77C7">
      <w:r>
        <w:t>Although t</w:t>
      </w:r>
      <w:r w:rsidRPr="006E3396">
        <w:t xml:space="preserve">hese </w:t>
      </w:r>
      <w:r>
        <w:t>categories of value</w:t>
      </w:r>
      <w:r w:rsidRPr="006E3396">
        <w:t xml:space="preserve"> are widely discussed in the literature, in practice it may not always be possible to separate </w:t>
      </w:r>
      <w:r>
        <w:t xml:space="preserve">them </w:t>
      </w:r>
      <w:r w:rsidRPr="006E3396">
        <w:t xml:space="preserve">out. Passive uses, in particular, are often combined into a </w:t>
      </w:r>
      <w:r>
        <w:t>single existence value category;</w:t>
      </w:r>
      <w:r w:rsidRPr="006E3396">
        <w:rPr>
          <w:rStyle w:val="FootnoteReference"/>
        </w:rPr>
        <w:footnoteReference w:id="10"/>
      </w:r>
      <w:r w:rsidRPr="006E3396">
        <w:t xml:space="preserve"> </w:t>
      </w:r>
      <w:r>
        <w:t xml:space="preserve">option values are likely to be best retained by maintaining high water quality and there is a strong correlation with the values expressed as existence value. </w:t>
      </w:r>
    </w:p>
    <w:p w14:paraId="3087A860" w14:textId="77777777" w:rsidR="00FC77C7" w:rsidRDefault="00FC77C7" w:rsidP="00FC77C7"/>
    <w:p w14:paraId="5F534490" w14:textId="73DCDEF7" w:rsidR="00FC77C7" w:rsidRDefault="00FC77C7" w:rsidP="00FC77C7">
      <w:r>
        <w:t>The concept of ecosystem services if often used in environmental valuation literature alongside the TEV concept (</w:t>
      </w:r>
      <w:proofErr w:type="spellStart"/>
      <w:r>
        <w:t>eg</w:t>
      </w:r>
      <w:proofErr w:type="spellEnd"/>
      <w:r>
        <w:t xml:space="preserve"> </w:t>
      </w:r>
      <w:proofErr w:type="spellStart"/>
      <w:r>
        <w:t>Pascual</w:t>
      </w:r>
      <w:proofErr w:type="spellEnd"/>
      <w:r>
        <w:t xml:space="preserve"> et al, 2010). Ecosystem services is a framework under which the relationship between the functioning of an ecosystem and the services provided to people is divided into four categories – provisioning, regulating, cultural and supporting (</w:t>
      </w:r>
      <w:r>
        <w:fldChar w:fldCharType="begin"/>
      </w:r>
      <w:r>
        <w:instrText xml:space="preserve"> REF _Ref348090153 \h </w:instrText>
      </w:r>
      <w:r>
        <w:fldChar w:fldCharType="separate"/>
      </w:r>
      <w:r w:rsidR="00024EB5" w:rsidRPr="006E3396">
        <w:t xml:space="preserve">Figure </w:t>
      </w:r>
      <w:r w:rsidR="00024EB5">
        <w:rPr>
          <w:noProof/>
        </w:rPr>
        <w:t>3</w:t>
      </w:r>
      <w:r>
        <w:fldChar w:fldCharType="end"/>
      </w:r>
      <w:r>
        <w:t>).</w:t>
      </w:r>
    </w:p>
    <w:p w14:paraId="187A326A" w14:textId="54EAB9A5" w:rsidR="00FC77C7" w:rsidRPr="006E3396" w:rsidRDefault="00FC77C7" w:rsidP="0093011F">
      <w:pPr>
        <w:pStyle w:val="Caption"/>
      </w:pPr>
      <w:bookmarkStart w:id="19" w:name="_Ref348090153"/>
      <w:bookmarkStart w:id="20" w:name="_Ref348095797"/>
      <w:bookmarkStart w:id="21" w:name="_Toc431827495"/>
      <w:r w:rsidRPr="006E3396">
        <w:lastRenderedPageBreak/>
        <w:t xml:space="preserve">Figure </w:t>
      </w:r>
      <w:r w:rsidR="00313617">
        <w:fldChar w:fldCharType="begin"/>
      </w:r>
      <w:r w:rsidR="00313617">
        <w:instrText xml:space="preserve"> SEQ Figure \* ARABIC </w:instrText>
      </w:r>
      <w:r w:rsidR="00313617">
        <w:fldChar w:fldCharType="separate"/>
      </w:r>
      <w:r w:rsidR="00024EB5">
        <w:rPr>
          <w:noProof/>
        </w:rPr>
        <w:t>3</w:t>
      </w:r>
      <w:r w:rsidR="00313617">
        <w:rPr>
          <w:noProof/>
        </w:rPr>
        <w:fldChar w:fldCharType="end"/>
      </w:r>
      <w:bookmarkEnd w:id="19"/>
      <w:bookmarkEnd w:id="20"/>
      <w:r w:rsidRPr="006E3396">
        <w:t xml:space="preserve"> </w:t>
      </w:r>
      <w:r w:rsidRPr="0093011F">
        <w:t>Ecosystem</w:t>
      </w:r>
      <w:r w:rsidRPr="006E3396">
        <w:t xml:space="preserve"> Services</w:t>
      </w:r>
      <w:bookmarkEnd w:id="21"/>
    </w:p>
    <w:p w14:paraId="22ECC7C7" w14:textId="77777777" w:rsidR="00FC77C7" w:rsidRDefault="00FC77C7" w:rsidP="00FC77C7">
      <w:pPr>
        <w:jc w:val="center"/>
        <w:rPr>
          <w:sz w:val="18"/>
          <w:szCs w:val="18"/>
        </w:rPr>
      </w:pPr>
      <w:r w:rsidRPr="006E3396">
        <w:rPr>
          <w:noProof/>
          <w:lang w:eastAsia="en-NZ"/>
        </w:rPr>
        <w:drawing>
          <wp:inline distT="0" distB="0" distL="0" distR="0" wp14:anchorId="2B0DCA48" wp14:editId="4B15F5E3">
            <wp:extent cx="4019550" cy="2265635"/>
            <wp:effectExtent l="0" t="0" r="0" b="1905"/>
            <wp:docPr id="40" name="Picture 40" descr="Z:\MfE\2013\Southland Water Value\Literature\Graphics\MEA original ecosystem services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fE\2013\Southland Water Value\Literature\Graphics\MEA original ecosystem services chart.PNG"/>
                    <pic:cNvPicPr>
                      <a:picLocks noChangeAspect="1" noChangeArrowheads="1"/>
                    </pic:cNvPicPr>
                  </pic:nvPicPr>
                  <pic:blipFill>
                    <a:blip r:embed="rId16" cstate="print"/>
                    <a:srcRect/>
                    <a:stretch>
                      <a:fillRect/>
                    </a:stretch>
                  </pic:blipFill>
                  <pic:spPr bwMode="auto">
                    <a:xfrm>
                      <a:off x="0" y="0"/>
                      <a:ext cx="4038616" cy="2276382"/>
                    </a:xfrm>
                    <a:prstGeom prst="rect">
                      <a:avLst/>
                    </a:prstGeom>
                    <a:noFill/>
                    <a:ln w="9525">
                      <a:noFill/>
                      <a:miter lim="800000"/>
                      <a:headEnd/>
                      <a:tailEnd/>
                    </a:ln>
                  </pic:spPr>
                </pic:pic>
              </a:graphicData>
            </a:graphic>
          </wp:inline>
        </w:drawing>
      </w:r>
    </w:p>
    <w:p w14:paraId="70B8EAC4" w14:textId="77777777" w:rsidR="00FC77C7" w:rsidRDefault="00FC77C7" w:rsidP="00FC77C7">
      <w:r w:rsidRPr="0093011F">
        <w:rPr>
          <w:sz w:val="18"/>
          <w:szCs w:val="18"/>
        </w:rPr>
        <w:t>Source: Millennium Ecosystem Assessment (2005</w:t>
      </w:r>
      <w:r w:rsidRPr="0013036B">
        <w:t>)</w:t>
      </w:r>
    </w:p>
    <w:p w14:paraId="01135A5E" w14:textId="77777777" w:rsidR="00FC77C7" w:rsidRDefault="00FC77C7" w:rsidP="00FC77C7"/>
    <w:p w14:paraId="5E7E70AF" w14:textId="77777777" w:rsidR="00FC77C7" w:rsidRDefault="00FC77C7" w:rsidP="00FC77C7">
      <w:r>
        <w:t>The concept is that freshwater and other ecosystems have a vital role in the functioning of the whole ecological system of which human activity and the economy is a part. The impacts of changes in water quality can thus affect values well beyond those immediately identified.</w:t>
      </w:r>
    </w:p>
    <w:p w14:paraId="33B5CDAE" w14:textId="77777777" w:rsidR="00FC77C7" w:rsidRDefault="00FC77C7" w:rsidP="00FC77C7">
      <w:pPr>
        <w:pStyle w:val="Heading2"/>
      </w:pPr>
      <w:bookmarkStart w:id="22" w:name="_Ref34340048"/>
      <w:bookmarkStart w:id="23" w:name="_Toc35593985"/>
      <w:bookmarkStart w:id="24" w:name="_Toc35599746"/>
      <w:r>
        <w:t>Speed of Implementation</w:t>
      </w:r>
      <w:bookmarkEnd w:id="22"/>
      <w:bookmarkEnd w:id="23"/>
      <w:bookmarkEnd w:id="24"/>
    </w:p>
    <w:p w14:paraId="2B504F1D" w14:textId="424C4A73" w:rsidR="00D76D4E" w:rsidRDefault="00FC77C7" w:rsidP="00D76D4E">
      <w:r>
        <w:t>For quantitative analysis we assume the response to the policy will increase over time. The Essential Freshwater package is expected to start having effects from approximately 2025. However, current policy in response to the NPS</w:t>
      </w:r>
      <w:r w:rsidR="00A53FAC">
        <w:t>-FM</w:t>
      </w:r>
      <w:r>
        <w:t xml:space="preserve"> is expected to have effects also. </w:t>
      </w:r>
      <w:r w:rsidR="00D76D4E">
        <w:t xml:space="preserve">The assumptions are shown in </w:t>
      </w:r>
      <w:r w:rsidR="00D76D4E">
        <w:fldChar w:fldCharType="begin"/>
      </w:r>
      <w:r w:rsidR="00D76D4E">
        <w:instrText xml:space="preserve"> REF _Ref34821164 \h </w:instrText>
      </w:r>
      <w:r w:rsidR="00D76D4E">
        <w:fldChar w:fldCharType="separate"/>
      </w:r>
      <w:r w:rsidR="00024EB5">
        <w:t xml:space="preserve">Figure </w:t>
      </w:r>
      <w:r w:rsidR="00024EB5">
        <w:rPr>
          <w:noProof/>
        </w:rPr>
        <w:t>4</w:t>
      </w:r>
      <w:r w:rsidR="00D76D4E">
        <w:fldChar w:fldCharType="end"/>
      </w:r>
      <w:r w:rsidR="00D76D4E">
        <w:t>.</w:t>
      </w:r>
      <w:r w:rsidR="00D76D4E">
        <w:br/>
      </w:r>
    </w:p>
    <w:p w14:paraId="42F7C4B5" w14:textId="245508DD" w:rsidR="00D76D4E" w:rsidRDefault="00D76D4E" w:rsidP="00D76D4E">
      <w:pPr>
        <w:pStyle w:val="ListParagraph"/>
        <w:numPr>
          <w:ilvl w:val="0"/>
          <w:numId w:val="28"/>
        </w:numPr>
      </w:pPr>
      <w:r>
        <w:t>The NPS</w:t>
      </w:r>
      <w:r w:rsidR="00A53FAC">
        <w:t>-FM</w:t>
      </w:r>
      <w:r>
        <w:t xml:space="preserve"> is assumed to be introduced in a straight line between now and 2050.</w:t>
      </w:r>
      <w:r>
        <w:br/>
      </w:r>
    </w:p>
    <w:p w14:paraId="36421DEF" w14:textId="77777777" w:rsidR="00D76D4E" w:rsidRDefault="00D76D4E" w:rsidP="00D76D4E">
      <w:pPr>
        <w:pStyle w:val="ListParagraph"/>
        <w:numPr>
          <w:ilvl w:val="0"/>
          <w:numId w:val="28"/>
        </w:numPr>
      </w:pPr>
      <w:r>
        <w:t>The EFW is assumed to be introduced rapidly from 2025 so that it is 35% implemented by 2030. It is then introduced in a straight line to achieve full implementation in 2050.</w:t>
      </w:r>
    </w:p>
    <w:p w14:paraId="21832CEC" w14:textId="77777777" w:rsidR="00D76D4E" w:rsidRDefault="00D76D4E" w:rsidP="00D76D4E"/>
    <w:p w14:paraId="405F1E12" w14:textId="0F7FE87F" w:rsidR="00D76D4E" w:rsidRDefault="00D76D4E" w:rsidP="00D76D4E">
      <w:r>
        <w:t>However, for modelling purposes, rather than assume nothing happens under the EFW scenario until 2025, the assumption is that the same effort as assumed under the NPS</w:t>
      </w:r>
      <w:r w:rsidR="00A53FAC">
        <w:t>-FM</w:t>
      </w:r>
      <w:r>
        <w:t xml:space="preserve"> occurs.</w:t>
      </w:r>
    </w:p>
    <w:p w14:paraId="1C116531" w14:textId="2B3671D5" w:rsidR="00D76D4E" w:rsidRDefault="00D76D4E" w:rsidP="00D76D4E">
      <w:pPr>
        <w:pStyle w:val="Caption"/>
      </w:pPr>
      <w:bookmarkStart w:id="25" w:name="_Ref34821164"/>
      <w:r>
        <w:t xml:space="preserve">Figure </w:t>
      </w:r>
      <w:r>
        <w:fldChar w:fldCharType="begin"/>
      </w:r>
      <w:r>
        <w:instrText xml:space="preserve"> SEQ Figure \* ARABIC </w:instrText>
      </w:r>
      <w:r>
        <w:fldChar w:fldCharType="separate"/>
      </w:r>
      <w:r w:rsidR="00024EB5">
        <w:rPr>
          <w:noProof/>
        </w:rPr>
        <w:t>4</w:t>
      </w:r>
      <w:r>
        <w:rPr>
          <w:noProof/>
        </w:rPr>
        <w:fldChar w:fldCharType="end"/>
      </w:r>
      <w:bookmarkEnd w:id="25"/>
      <w:r>
        <w:t xml:space="preserve"> Assumed rate of implementation</w:t>
      </w:r>
    </w:p>
    <w:p w14:paraId="6263DBAB" w14:textId="474F2297" w:rsidR="00D76D4E" w:rsidRDefault="00A53FAC" w:rsidP="00D76D4E">
      <w:pPr>
        <w:jc w:val="center"/>
      </w:pPr>
      <w:r w:rsidRPr="00A53FAC">
        <w:rPr>
          <w:noProof/>
          <w:lang w:eastAsia="en-NZ"/>
        </w:rPr>
        <w:drawing>
          <wp:inline distT="0" distB="0" distL="0" distR="0" wp14:anchorId="7CCD0001" wp14:editId="1D83A974">
            <wp:extent cx="4276512"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515" cy="2375459"/>
                    </a:xfrm>
                    <a:prstGeom prst="rect">
                      <a:avLst/>
                    </a:prstGeom>
                    <a:noFill/>
                    <a:ln>
                      <a:noFill/>
                    </a:ln>
                  </pic:spPr>
                </pic:pic>
              </a:graphicData>
            </a:graphic>
          </wp:inline>
        </w:drawing>
      </w:r>
    </w:p>
    <w:p w14:paraId="49848D87" w14:textId="2FF1860B" w:rsidR="007925DC" w:rsidRDefault="007925DC" w:rsidP="007925DC">
      <w:r>
        <w:lastRenderedPageBreak/>
        <w:t xml:space="preserve">The stock exclusion policy is a separate part of the policy package and is expected to be introduced much more quickly. Following </w:t>
      </w:r>
      <w:proofErr w:type="spellStart"/>
      <w:r>
        <w:t>MfE</w:t>
      </w:r>
      <w:proofErr w:type="spellEnd"/>
      <w:r>
        <w:t xml:space="preserve"> advice, we have assumed 33% implementation by 2021, 67% in 2022 and full implementation in 2023.</w:t>
      </w:r>
    </w:p>
    <w:p w14:paraId="5075E5E4" w14:textId="77777777" w:rsidR="00FC77C7" w:rsidRDefault="00FC77C7" w:rsidP="00FC77C7">
      <w:pPr>
        <w:pStyle w:val="Heading2"/>
      </w:pPr>
      <w:bookmarkStart w:id="26" w:name="_Toc35593986"/>
      <w:bookmarkStart w:id="27" w:name="_Toc35599747"/>
      <w:bookmarkEnd w:id="17"/>
      <w:r>
        <w:t>Discount Rates</w:t>
      </w:r>
      <w:bookmarkEnd w:id="26"/>
      <w:bookmarkEnd w:id="27"/>
    </w:p>
    <w:p w14:paraId="56014613" w14:textId="77777777" w:rsidR="00FC77C7" w:rsidRDefault="00FC77C7" w:rsidP="00FC77C7">
      <w:r>
        <w:t>In this analysis we use a central discount rate of 3% and with sensitivity analysis using 0%, 1% and 6%. Below we briefly discuss the basis for these rates.</w:t>
      </w:r>
    </w:p>
    <w:p w14:paraId="09EA3679" w14:textId="77777777" w:rsidR="00FC77C7" w:rsidRPr="00F22D33" w:rsidRDefault="00FC77C7" w:rsidP="00FC77C7">
      <w:pPr>
        <w:pStyle w:val="Heading3"/>
      </w:pPr>
      <w:r>
        <w:t>Rationale for Discounting</w:t>
      </w:r>
    </w:p>
    <w:p w14:paraId="79388530" w14:textId="77777777" w:rsidR="00FC77C7" w:rsidRDefault="00FC77C7" w:rsidP="00FC77C7">
      <w:r>
        <w:t xml:space="preserve">When analysing costs and benefits in a CBA for policy purposes, we are measuring changes in total community wellbeing. Wellbeing is assumed to be the result of ‘consumption’, using a broad definition of that term. Freshwater policies have costs because they require more expenditure (on fences, supplementary feed </w:t>
      </w:r>
      <w:proofErr w:type="spellStart"/>
      <w:r>
        <w:t>etc</w:t>
      </w:r>
      <w:proofErr w:type="spellEnd"/>
      <w:r>
        <w:t>) or result in reduced profits (</w:t>
      </w:r>
      <w:proofErr w:type="spellStart"/>
      <w:r>
        <w:t>eg</w:t>
      </w:r>
      <w:proofErr w:type="spellEnd"/>
      <w:r>
        <w:t xml:space="preserve"> because of lower stocking rates reducing total production); there are opportunity costs because the effect is to reduce the potential for consumption of goods and services that provide wellbeing. Similarly, on the benefits side, everything from which people obtain wellbeing is said to be ‘consumed’, </w:t>
      </w:r>
      <w:proofErr w:type="spellStart"/>
      <w:r>
        <w:t>eg</w:t>
      </w:r>
      <w:proofErr w:type="spellEnd"/>
      <w:r>
        <w:t xml:space="preserve"> people might ’consume’ a view or the knowledge of water quality improvements in places they will never visit; the policies are expected to lead to increased consumption of environmental goods. </w:t>
      </w:r>
    </w:p>
    <w:p w14:paraId="085A7C59" w14:textId="77777777" w:rsidR="00FC77C7" w:rsidRDefault="00FC77C7" w:rsidP="00FC77C7"/>
    <w:p w14:paraId="12612A31" w14:textId="77777777" w:rsidR="00FC77C7" w:rsidRDefault="00FC77C7" w:rsidP="00FC77C7">
      <w:r>
        <w:t xml:space="preserve">Wellbeing is affected by </w:t>
      </w:r>
      <w:r w:rsidRPr="00BF102F">
        <w:rPr>
          <w:u w:val="single"/>
        </w:rPr>
        <w:t>what</w:t>
      </w:r>
      <w:r>
        <w:t xml:space="preserve"> people consume, </w:t>
      </w:r>
      <w:r w:rsidRPr="00BF102F">
        <w:rPr>
          <w:u w:val="single"/>
        </w:rPr>
        <w:t>how much</w:t>
      </w:r>
      <w:r>
        <w:t xml:space="preserve"> they consume and </w:t>
      </w:r>
      <w:r w:rsidRPr="00BF102F">
        <w:rPr>
          <w:u w:val="single"/>
        </w:rPr>
        <w:t>when</w:t>
      </w:r>
      <w:r>
        <w:t xml:space="preserve"> they consume. Discounting is a means of adjusting the size of costs and benefits that arise in different time periods to account for preferences over the timing of consumption. </w:t>
      </w:r>
    </w:p>
    <w:p w14:paraId="349C54B2" w14:textId="77777777" w:rsidR="00FC77C7" w:rsidRDefault="00FC77C7" w:rsidP="00FC77C7"/>
    <w:p w14:paraId="6C6A01A9" w14:textId="77777777" w:rsidR="00FC77C7" w:rsidRDefault="00FC77C7" w:rsidP="00FC77C7">
      <w:r>
        <w:t>Discounting is usually used to reduce the value of future costs and benefits. This is because people generally prefer to consume sooner rather than later and, consistent with assumptions of rational decision making, this is assumed to mean people obtain greater wellbeing benefits from earlier consumption. Although several authors have questioned whether time preference is rational (</w:t>
      </w:r>
      <w:proofErr w:type="spellStart"/>
      <w:r>
        <w:t>eg</w:t>
      </w:r>
      <w:proofErr w:type="spellEnd"/>
      <w:r>
        <w:t xml:space="preserve"> Pigou, 1932; Ramsey 1928)</w:t>
      </w:r>
      <w:r>
        <w:rPr>
          <w:rStyle w:val="FootnoteReference"/>
        </w:rPr>
        <w:footnoteReference w:id="11"/>
      </w:r>
      <w:r>
        <w:t xml:space="preserve"> and/or if it should be used for public decision making (Samuelson, 1937), mostly there is acceptance of a theoretical basis for using a discount rate greater than zero and for using it in public policy decision making.</w:t>
      </w:r>
      <w:r>
        <w:rPr>
          <w:rStyle w:val="FootnoteReference"/>
        </w:rPr>
        <w:footnoteReference w:id="12"/>
      </w:r>
      <w:r>
        <w:t xml:space="preserve"> For example, Nicholas Stern who examined the use of very low discount rates in the context of climate change policy affecting future generations, suggested a low but positive rate on the basis of some less than zero probability of human extinction favouring current consumption.</w:t>
      </w:r>
      <w:r>
        <w:rPr>
          <w:rStyle w:val="FootnoteReference"/>
        </w:rPr>
        <w:footnoteReference w:id="13"/>
      </w:r>
    </w:p>
    <w:p w14:paraId="39CE97CC" w14:textId="77777777" w:rsidR="00FC77C7" w:rsidRDefault="00FC77C7" w:rsidP="00FC77C7">
      <w:pPr>
        <w:pStyle w:val="Heading4"/>
      </w:pPr>
      <w:r>
        <w:t>Methodologies</w:t>
      </w:r>
    </w:p>
    <w:p w14:paraId="45A23A10" w14:textId="77777777" w:rsidR="00FC77C7" w:rsidRDefault="00FC77C7" w:rsidP="00FC77C7">
      <w:r>
        <w:t xml:space="preserve">There have been two main methodologies for deriving a discount rate for public policy purposes. </w:t>
      </w:r>
    </w:p>
    <w:p w14:paraId="7B9A4031" w14:textId="77777777" w:rsidR="00FC77C7" w:rsidRDefault="00FC77C7" w:rsidP="00FC77C7"/>
    <w:p w14:paraId="679D8378" w14:textId="77777777" w:rsidR="00FC77C7" w:rsidRDefault="00FC77C7" w:rsidP="008355BD">
      <w:pPr>
        <w:pStyle w:val="ListParagraph"/>
        <w:numPr>
          <w:ilvl w:val="0"/>
          <w:numId w:val="19"/>
        </w:numPr>
      </w:pPr>
      <w:r>
        <w:t xml:space="preserve">The </w:t>
      </w:r>
      <w:r w:rsidRPr="008C1711">
        <w:rPr>
          <w:b/>
        </w:rPr>
        <w:t>social rate of time preference</w:t>
      </w:r>
      <w:r>
        <w:t xml:space="preserve"> (SRTP) measures time preferences directly – how much people prefer to consume now rather than later. Because </w:t>
      </w:r>
      <w:r w:rsidRPr="00DF0562">
        <w:t xml:space="preserve">people </w:t>
      </w:r>
      <w:r>
        <w:t xml:space="preserve">usually prefer to consume </w:t>
      </w:r>
      <w:r w:rsidRPr="00DF0562">
        <w:t>earlier in time</w:t>
      </w:r>
      <w:r>
        <w:t>,</w:t>
      </w:r>
      <w:r w:rsidRPr="00DF0562">
        <w:t xml:space="preserve"> and for adverse effects to be delayed, there is a cost when consumption is shifted to a later time, and a benefit when it is brought forward. </w:t>
      </w:r>
      <w:r>
        <w:t xml:space="preserve">SRTP analyses often also assume that people in the future will be richer and therefore the wellbeing gained from an </w:t>
      </w:r>
      <w:r>
        <w:lastRenderedPageBreak/>
        <w:t>additional dollar’s worth of consumption will be less than it is for current (and assumed poorer) individuals.</w:t>
      </w:r>
      <w:r>
        <w:rPr>
          <w:rStyle w:val="FootnoteReference"/>
        </w:rPr>
        <w:footnoteReference w:id="14"/>
      </w:r>
      <w:r>
        <w:t xml:space="preserve"> </w:t>
      </w:r>
      <w:r>
        <w:br/>
      </w:r>
    </w:p>
    <w:p w14:paraId="20C9938C" w14:textId="77777777" w:rsidR="00FC77C7" w:rsidRDefault="00FC77C7" w:rsidP="008355BD">
      <w:pPr>
        <w:pStyle w:val="ListParagraph"/>
        <w:numPr>
          <w:ilvl w:val="0"/>
          <w:numId w:val="19"/>
        </w:numPr>
      </w:pPr>
      <w:r>
        <w:t xml:space="preserve">The </w:t>
      </w:r>
      <w:r w:rsidRPr="008C1711">
        <w:rPr>
          <w:b/>
        </w:rPr>
        <w:t>social opportunity cost of capital</w:t>
      </w:r>
      <w:r>
        <w:t xml:space="preserve"> (SOC) examines returns on investment in which investing money, which might otherwise have been used to pay for consumption goods now, obtains a return enabling greater future consumption. </w:t>
      </w:r>
    </w:p>
    <w:p w14:paraId="702E2C7C" w14:textId="77777777" w:rsidR="00FC77C7" w:rsidRDefault="00FC77C7" w:rsidP="00FC77C7"/>
    <w:p w14:paraId="366D8DF4" w14:textId="77777777" w:rsidR="00FC77C7" w:rsidRDefault="00FC77C7" w:rsidP="00FC77C7">
      <w:r>
        <w:t>The NZ Treasury has generally used the SOC as the basis for setting discount rates for use in public policy,</w:t>
      </w:r>
      <w:r>
        <w:rPr>
          <w:rStyle w:val="FootnoteReference"/>
        </w:rPr>
        <w:footnoteReference w:id="15"/>
      </w:r>
      <w:r>
        <w:t xml:space="preserve"> currently recommending use of a 6% default rate.</w:t>
      </w:r>
      <w:r>
        <w:rPr>
          <w:rStyle w:val="FootnoteReference"/>
        </w:rPr>
        <w:footnoteReference w:id="16"/>
      </w:r>
      <w:r>
        <w:t xml:space="preserve"> However, for sensitivity analysis they have used a 3% rate in their </w:t>
      </w:r>
      <w:proofErr w:type="spellStart"/>
      <w:r>
        <w:t>CBAx</w:t>
      </w:r>
      <w:proofErr w:type="spellEnd"/>
      <w:r>
        <w:t xml:space="preserve"> tool, which is </w:t>
      </w:r>
      <w:r w:rsidRPr="00596D19">
        <w:t xml:space="preserve">a spreadsheet model that contains a database of values to help agencies </w:t>
      </w:r>
      <w:r>
        <w:t xml:space="preserve">measure </w:t>
      </w:r>
      <w:r w:rsidRPr="00596D19">
        <w:t xml:space="preserve">impacts and </w:t>
      </w:r>
      <w:r>
        <w:t>undertake CBAs</w:t>
      </w:r>
      <w:r w:rsidRPr="00596D19">
        <w:t>.</w:t>
      </w:r>
      <w:r>
        <w:rPr>
          <w:rStyle w:val="FootnoteReference"/>
        </w:rPr>
        <w:footnoteReference w:id="17"/>
      </w:r>
      <w:r>
        <w:t xml:space="preserve"> These discount rates are in real terms, </w:t>
      </w:r>
      <w:proofErr w:type="spellStart"/>
      <w:r>
        <w:t>ie</w:t>
      </w:r>
      <w:proofErr w:type="spellEnd"/>
      <w:r>
        <w:t xml:space="preserve"> they apply to monetary values using current dollars, so at 2% inflation they are equivalent to rates of approximately 7.9% and 4.9% in nominal terms. </w:t>
      </w:r>
    </w:p>
    <w:p w14:paraId="23EB9BB0" w14:textId="77777777" w:rsidR="00FC77C7" w:rsidRDefault="00FC77C7" w:rsidP="00FC77C7"/>
    <w:p w14:paraId="20C084CF" w14:textId="77777777" w:rsidR="00FC77C7" w:rsidRDefault="00FC77C7" w:rsidP="00FC77C7">
      <w:r>
        <w:t>Some studies in New Zealand have attempted to measure the SRTP, including a (real) rate of 4.4% estimated in 2006 for the national energy strategy,</w:t>
      </w:r>
      <w:r>
        <w:rPr>
          <w:rStyle w:val="FootnoteReference"/>
        </w:rPr>
        <w:footnoteReference w:id="18"/>
      </w:r>
      <w:r>
        <w:t xml:space="preserve"> a range of 2.7 to 4.2% developed in the context of decisions on investments in the national electricity transmission grid,</w:t>
      </w:r>
      <w:r>
        <w:rPr>
          <w:rStyle w:val="FootnoteReference"/>
        </w:rPr>
        <w:footnoteReference w:id="19"/>
      </w:r>
      <w:r>
        <w:t xml:space="preserve"> and 3% in a study relating to transport infrastructure investments.</w:t>
      </w:r>
      <w:r>
        <w:rPr>
          <w:rStyle w:val="FootnoteReference"/>
        </w:rPr>
        <w:footnoteReference w:id="20"/>
      </w:r>
      <w:r>
        <w:t xml:space="preserve"> Auckland Council adopted a rate of 4% for CBAs, building on advice from NZIER for a rate of between 3% and 4%.</w:t>
      </w:r>
      <w:r>
        <w:rPr>
          <w:rStyle w:val="FootnoteReference"/>
        </w:rPr>
        <w:footnoteReference w:id="21"/>
      </w:r>
    </w:p>
    <w:p w14:paraId="14B3B2D2" w14:textId="77777777" w:rsidR="00FC77C7" w:rsidRDefault="00FC77C7" w:rsidP="00FC77C7"/>
    <w:p w14:paraId="4CDFEFEA" w14:textId="77777777" w:rsidR="00FC77C7" w:rsidRDefault="00FC77C7" w:rsidP="00FC77C7">
      <w:r>
        <w:t xml:space="preserve">For analysis, we have adopted: </w:t>
      </w:r>
    </w:p>
    <w:p w14:paraId="4603C4BD" w14:textId="77777777" w:rsidR="00FC77C7" w:rsidRDefault="00FC77C7" w:rsidP="00FC77C7"/>
    <w:p w14:paraId="199F739C" w14:textId="77777777" w:rsidR="00FC77C7" w:rsidRDefault="00FC77C7" w:rsidP="008355BD">
      <w:pPr>
        <w:pStyle w:val="ListParagraph"/>
        <w:numPr>
          <w:ilvl w:val="0"/>
          <w:numId w:val="26"/>
        </w:numPr>
      </w:pPr>
      <w:proofErr w:type="gramStart"/>
      <w:r>
        <w:t>a</w:t>
      </w:r>
      <w:proofErr w:type="gramEnd"/>
      <w:r>
        <w:t xml:space="preserve"> rate of 3% as the central discount rate. It reflects analyses of the SRTP in New Zealand and uses the low rate used by Treasury in in its </w:t>
      </w:r>
      <w:proofErr w:type="spellStart"/>
      <w:r>
        <w:t>CBAx</w:t>
      </w:r>
      <w:proofErr w:type="spellEnd"/>
      <w:r>
        <w:t xml:space="preserve"> model.</w:t>
      </w:r>
      <w:r>
        <w:br/>
      </w:r>
    </w:p>
    <w:p w14:paraId="1522DF32" w14:textId="77777777" w:rsidR="00FC77C7" w:rsidRDefault="00FC77C7" w:rsidP="008355BD">
      <w:pPr>
        <w:pStyle w:val="ListParagraph"/>
        <w:numPr>
          <w:ilvl w:val="0"/>
          <w:numId w:val="26"/>
        </w:numPr>
      </w:pPr>
      <w:r>
        <w:t>a high rate of 6%, based on Treasury’s default rate; and</w:t>
      </w:r>
      <w:r>
        <w:br/>
      </w:r>
    </w:p>
    <w:p w14:paraId="75D94B7D" w14:textId="77777777" w:rsidR="00FC77C7" w:rsidRDefault="00FC77C7" w:rsidP="008355BD">
      <w:pPr>
        <w:pStyle w:val="ListParagraph"/>
        <w:numPr>
          <w:ilvl w:val="0"/>
          <w:numId w:val="26"/>
        </w:numPr>
      </w:pPr>
      <w:proofErr w:type="gramStart"/>
      <w:r>
        <w:t>a</w:t>
      </w:r>
      <w:proofErr w:type="gramEnd"/>
      <w:r>
        <w:t xml:space="preserve"> low rate of 1%, reflecting doubts over the rationality of discounting.</w:t>
      </w:r>
    </w:p>
    <w:p w14:paraId="2C3201CF" w14:textId="77777777" w:rsidR="00FC77C7" w:rsidRDefault="00FC77C7" w:rsidP="00FC77C7">
      <w:pPr>
        <w:rPr>
          <w:rFonts w:ascii="Century Gothic" w:hAnsi="Century Gothic" w:cs="Arial"/>
          <w:sz w:val="36"/>
          <w:szCs w:val="36"/>
        </w:rPr>
      </w:pPr>
      <w:r>
        <w:br w:type="page"/>
      </w:r>
    </w:p>
    <w:p w14:paraId="157C1E5F" w14:textId="77777777" w:rsidR="00FC77C7" w:rsidRDefault="00FC77C7" w:rsidP="00FC77C7">
      <w:pPr>
        <w:pStyle w:val="Heading1"/>
      </w:pPr>
      <w:bookmarkStart w:id="28" w:name="_Toc35593987"/>
      <w:bookmarkStart w:id="29" w:name="_Toc35599748"/>
      <w:r>
        <w:lastRenderedPageBreak/>
        <w:t>Existing Studies</w:t>
      </w:r>
      <w:bookmarkEnd w:id="28"/>
      <w:bookmarkEnd w:id="29"/>
    </w:p>
    <w:p w14:paraId="55A5D084" w14:textId="77777777" w:rsidR="00FC77C7" w:rsidRDefault="00FC77C7" w:rsidP="00FC77C7">
      <w:r>
        <w:t>Three studies have been undertaken recently to estimate the costs and benefits of proposed components the EF package. These studies, which include estimates of benefits in monetary terms, assess the impacts of:</w:t>
      </w:r>
    </w:p>
    <w:p w14:paraId="553D4606" w14:textId="77777777" w:rsidR="00FC77C7" w:rsidRDefault="00FC77C7" w:rsidP="00FC77C7"/>
    <w:p w14:paraId="2AB42780" w14:textId="77777777" w:rsidR="00FC77C7" w:rsidRDefault="00FC77C7" w:rsidP="008355BD">
      <w:pPr>
        <w:pStyle w:val="ListParagraph"/>
        <w:numPr>
          <w:ilvl w:val="0"/>
          <w:numId w:val="13"/>
        </w:numPr>
      </w:pPr>
      <w:r>
        <w:t xml:space="preserve">stock exclusion on human health; </w:t>
      </w:r>
    </w:p>
    <w:p w14:paraId="5C5C32BD" w14:textId="77777777" w:rsidR="00FC77C7" w:rsidRDefault="00FC77C7" w:rsidP="008355BD">
      <w:pPr>
        <w:pStyle w:val="ListParagraph"/>
        <w:numPr>
          <w:ilvl w:val="0"/>
          <w:numId w:val="13"/>
        </w:numPr>
      </w:pPr>
      <w:r w:rsidRPr="002B7620">
        <w:rPr>
          <w:i/>
          <w:iCs/>
        </w:rPr>
        <w:t>E coli</w:t>
      </w:r>
      <w:r>
        <w:t xml:space="preserve"> bottom lines on human health; and</w:t>
      </w:r>
    </w:p>
    <w:p w14:paraId="58136350" w14:textId="77777777" w:rsidR="00FC77C7" w:rsidRDefault="00FC77C7" w:rsidP="008355BD">
      <w:pPr>
        <w:pStyle w:val="ListParagraph"/>
        <w:numPr>
          <w:ilvl w:val="0"/>
          <w:numId w:val="13"/>
        </w:numPr>
      </w:pPr>
      <w:proofErr w:type="gramStart"/>
      <w:r>
        <w:t>sediment</w:t>
      </w:r>
      <w:proofErr w:type="gramEnd"/>
      <w:r>
        <w:t xml:space="preserve"> discharge reductions on water clarity.</w:t>
      </w:r>
    </w:p>
    <w:p w14:paraId="7AD5C80E" w14:textId="77777777" w:rsidR="00FC77C7" w:rsidRDefault="00FC77C7" w:rsidP="00FC77C7"/>
    <w:p w14:paraId="7668B2AD" w14:textId="77777777" w:rsidR="00FC77C7" w:rsidRDefault="00FC77C7" w:rsidP="00FC77C7">
      <w:r>
        <w:t xml:space="preserve">We summarise these studies below, but first we set out the assumptions which </w:t>
      </w:r>
      <w:proofErr w:type="spellStart"/>
      <w:r>
        <w:t>underly</w:t>
      </w:r>
      <w:proofErr w:type="spellEnd"/>
      <w:r>
        <w:t xml:space="preserve"> monetary valuation of non-market benefits.</w:t>
      </w:r>
    </w:p>
    <w:p w14:paraId="299B7EC6" w14:textId="77777777" w:rsidR="00FC77C7" w:rsidRDefault="00FC77C7" w:rsidP="00FC77C7">
      <w:pPr>
        <w:pStyle w:val="Heading2"/>
      </w:pPr>
      <w:bookmarkStart w:id="30" w:name="_Toc35593988"/>
      <w:bookmarkStart w:id="31" w:name="_Toc35599749"/>
      <w:r>
        <w:t>Assumptions</w:t>
      </w:r>
      <w:bookmarkEnd w:id="30"/>
      <w:bookmarkEnd w:id="31"/>
    </w:p>
    <w:p w14:paraId="4D5B495F" w14:textId="77777777" w:rsidR="00FC77C7" w:rsidRDefault="00FC77C7" w:rsidP="00FC77C7">
      <w:r>
        <w:t xml:space="preserve">In this section we examine non-market analyses which have estimated people’s willingness to pay (WTP) for water quality improvement. WTP estimates assume that achieving greater environmental quality will entail costs, </w:t>
      </w:r>
      <w:proofErr w:type="spellStart"/>
      <w:r>
        <w:t>ie</w:t>
      </w:r>
      <w:proofErr w:type="spellEnd"/>
      <w:r>
        <w:t xml:space="preserve"> that the community as a whole obtains less of something else that is valued, such as the profits from agricultural activities. WTP is then a measure of how much people would be willing to give up to obtain improvements in environmental quality</w:t>
      </w:r>
      <w:r w:rsidRPr="001910F5">
        <w:t>.</w:t>
      </w:r>
    </w:p>
    <w:p w14:paraId="421A9A60" w14:textId="77777777" w:rsidR="00FC77C7" w:rsidRDefault="00FC77C7" w:rsidP="00FC77C7"/>
    <w:p w14:paraId="11A13F0D" w14:textId="77777777" w:rsidR="00FC77C7" w:rsidRDefault="00FC77C7" w:rsidP="00FC77C7">
      <w:r>
        <w:t>Monetary valuation of improved water quality brings a set of assumptions or perspectives.</w:t>
      </w:r>
    </w:p>
    <w:p w14:paraId="71FC97F5" w14:textId="77777777" w:rsidR="00FC77C7" w:rsidRDefault="00FC77C7" w:rsidP="00FC77C7"/>
    <w:p w14:paraId="025E81BA" w14:textId="77777777" w:rsidR="00FC77C7" w:rsidRDefault="00FC77C7" w:rsidP="008355BD">
      <w:pPr>
        <w:pStyle w:val="ListParagraph"/>
        <w:numPr>
          <w:ilvl w:val="0"/>
          <w:numId w:val="9"/>
        </w:numPr>
      </w:pPr>
      <w:r>
        <w:t>Valuation necessarily takes a human-centric perspective. The values are those obtained and expressed be people and involve a measure of how they trade-off one potential use of a resource for another. Any intrinsic values of the environment (</w:t>
      </w:r>
      <w:proofErr w:type="spellStart"/>
      <w:r>
        <w:t>eg</w:t>
      </w:r>
      <w:proofErr w:type="spellEnd"/>
      <w:r>
        <w:t>, as included in Article 7 of the Resource Management Act 1991)</w:t>
      </w:r>
      <w:r>
        <w:rPr>
          <w:rStyle w:val="FootnoteReference"/>
        </w:rPr>
        <w:footnoteReference w:id="22"/>
      </w:r>
      <w:r>
        <w:t xml:space="preserve"> are therefore not addressed.</w:t>
      </w:r>
      <w:r>
        <w:br/>
      </w:r>
    </w:p>
    <w:p w14:paraId="7EA36973" w14:textId="762C2D45" w:rsidR="00FC77C7" w:rsidRDefault="00FC77C7" w:rsidP="008355BD">
      <w:pPr>
        <w:pStyle w:val="ListParagraph"/>
        <w:numPr>
          <w:ilvl w:val="0"/>
          <w:numId w:val="9"/>
        </w:numPr>
      </w:pPr>
      <w:bookmarkStart w:id="32" w:name="_Hlk38278071"/>
      <w:r>
        <w:t>The values are based on revealed or stated WTP for improved water quality. This assumes landowners have the right to discharge but the wider public must demonstrate what they would be willing to give up (</w:t>
      </w:r>
      <w:proofErr w:type="spellStart"/>
      <w:r>
        <w:t>eg</w:t>
      </w:r>
      <w:proofErr w:type="spellEnd"/>
      <w:r>
        <w:t xml:space="preserve"> to persuade the rights owners) to reduce the discharges. Under a different assumption in which there was an established right to clean water, the compensation the public would be willing to accept to allow water quality reductions would be expected to produce higher valuations.</w:t>
      </w:r>
      <w:r>
        <w:rPr>
          <w:rStyle w:val="FootnoteReference"/>
        </w:rPr>
        <w:footnoteReference w:id="23"/>
      </w:r>
      <w:r>
        <w:t xml:space="preserve"> </w:t>
      </w:r>
      <w:r w:rsidR="00805590">
        <w:t>The RMA (</w:t>
      </w:r>
      <w:r w:rsidR="00AC55CA">
        <w:t>Section</w:t>
      </w:r>
      <w:r w:rsidR="00805590">
        <w:t xml:space="preserve"> 15) states that </w:t>
      </w:r>
      <w:r w:rsidR="00805590" w:rsidRPr="00805590">
        <w:t>no person may discharge any contaminant into water unless allowed by a regulation, a plan, or a resource consent</w:t>
      </w:r>
      <w:r w:rsidR="00805590">
        <w:t xml:space="preserve">. Thus, the question of how any rights to discharge should be defined needs to be addressed in each region or nationally, and this decision has implications for the valuation approach. </w:t>
      </w:r>
      <w:bookmarkEnd w:id="32"/>
      <w:r>
        <w:br/>
      </w:r>
    </w:p>
    <w:p w14:paraId="5E11596A" w14:textId="77777777" w:rsidR="00FC77C7" w:rsidRDefault="00FC77C7" w:rsidP="008355BD">
      <w:pPr>
        <w:pStyle w:val="ListParagraph"/>
        <w:numPr>
          <w:ilvl w:val="0"/>
          <w:numId w:val="9"/>
        </w:numPr>
      </w:pPr>
      <w:r>
        <w:t xml:space="preserve">The values are those of individuals, rather than the community. Several authors have suggested that people might state different levels of preference if responding as members </w:t>
      </w:r>
      <w:r>
        <w:lastRenderedPageBreak/>
        <w:t>of a group rather than as individuals.</w:t>
      </w:r>
      <w:r>
        <w:rPr>
          <w:rStyle w:val="FootnoteReference"/>
        </w:rPr>
        <w:footnoteReference w:id="24"/>
      </w:r>
      <w:r>
        <w:t xml:space="preserve"> However, there are few empirical studies from this perspective, and none identified for this report.</w:t>
      </w:r>
    </w:p>
    <w:p w14:paraId="5AA012FE" w14:textId="77777777" w:rsidR="00FC77C7" w:rsidRDefault="00FC77C7" w:rsidP="00FC77C7">
      <w:pPr>
        <w:pStyle w:val="Heading2"/>
      </w:pPr>
      <w:bookmarkStart w:id="33" w:name="_Ref34316930"/>
      <w:bookmarkStart w:id="34" w:name="_Ref34341037"/>
      <w:bookmarkStart w:id="35" w:name="_Toc35593989"/>
      <w:bookmarkStart w:id="36" w:name="_Toc35599750"/>
      <w:r>
        <w:t>Stock Exclusion</w:t>
      </w:r>
      <w:bookmarkEnd w:id="33"/>
      <w:bookmarkEnd w:id="34"/>
      <w:bookmarkEnd w:id="35"/>
      <w:bookmarkEnd w:id="36"/>
    </w:p>
    <w:p w14:paraId="4A059229" w14:textId="77777777" w:rsidR="00FC77C7" w:rsidRDefault="00FC77C7" w:rsidP="00FC77C7">
      <w:r>
        <w:t xml:space="preserve">Analysis of the monetary benefits of fencing for stock exclusion was undertaken by Lincoln University (Tait </w:t>
      </w:r>
      <w:r>
        <w:rPr>
          <w:i/>
          <w:iCs/>
        </w:rPr>
        <w:t>et al,</w:t>
      </w:r>
      <w:r>
        <w:t xml:space="preserve"> 2016). This analysis used inputs from a NIWA study of the expected water quality outcomes from stock exclusion</w:t>
      </w:r>
      <w:r>
        <w:rPr>
          <w:rStyle w:val="FootnoteReference"/>
        </w:rPr>
        <w:footnoteReference w:id="25"/>
      </w:r>
      <w:r>
        <w:t xml:space="preserve"> and provided inputs to a National Stock Exclusion Study (NSES), which included a cost benefit analysis (CBA) by the Ministry of Primary Industries (MPI).</w:t>
      </w:r>
      <w:r>
        <w:rPr>
          <w:rStyle w:val="FootnoteReference"/>
        </w:rPr>
        <w:footnoteReference w:id="26"/>
      </w:r>
      <w:r>
        <w:t xml:space="preserve"> A revised stock exclusion policy is being considered as part of the EF package.</w:t>
      </w:r>
    </w:p>
    <w:p w14:paraId="52C4FA59" w14:textId="77777777" w:rsidR="00FC77C7" w:rsidRDefault="00FC77C7" w:rsidP="00FC77C7"/>
    <w:p w14:paraId="69C4FECC" w14:textId="77777777" w:rsidR="00FC77C7" w:rsidRDefault="00FC77C7" w:rsidP="00FC77C7">
      <w:r>
        <w:t xml:space="preserve">NIWA, with </w:t>
      </w:r>
      <w:proofErr w:type="spellStart"/>
      <w:r>
        <w:t>AgResearch</w:t>
      </w:r>
      <w:proofErr w:type="spellEnd"/>
      <w:r>
        <w:t xml:space="preserve">, developed an </w:t>
      </w:r>
      <w:r w:rsidRPr="009F7B3D">
        <w:rPr>
          <w:i/>
          <w:iCs/>
        </w:rPr>
        <w:t>E. coli</w:t>
      </w:r>
      <w:r w:rsidRPr="009F7B3D">
        <w:t xml:space="preserve"> Catchment Load Model</w:t>
      </w:r>
      <w:r>
        <w:t xml:space="preserve"> (</w:t>
      </w:r>
      <w:r w:rsidRPr="009F7B3D">
        <w:t>ECLM</w:t>
      </w:r>
      <w:r>
        <w:t xml:space="preserve">) which </w:t>
      </w:r>
      <w:r w:rsidRPr="009F7B3D">
        <w:t>predict</w:t>
      </w:r>
      <w:r>
        <w:t>ed</w:t>
      </w:r>
      <w:r w:rsidRPr="009F7B3D">
        <w:t xml:space="preserve"> annual in-stream </w:t>
      </w:r>
      <w:r w:rsidRPr="009F7B3D">
        <w:rPr>
          <w:i/>
          <w:iCs/>
        </w:rPr>
        <w:t>E. coli</w:t>
      </w:r>
      <w:r w:rsidRPr="009F7B3D">
        <w:t xml:space="preserve"> loads as a function of land use</w:t>
      </w:r>
      <w:r>
        <w:t xml:space="preserve"> (</w:t>
      </w:r>
      <w:r w:rsidRPr="009F7B3D">
        <w:t>including stock type</w:t>
      </w:r>
      <w:r>
        <w:t>)</w:t>
      </w:r>
      <w:r w:rsidRPr="009F7B3D">
        <w:t xml:space="preserve"> and catchment characteristics</w:t>
      </w:r>
      <w:r>
        <w:t xml:space="preserve">. In the model, </w:t>
      </w:r>
      <w:r w:rsidRPr="000143C9">
        <w:t xml:space="preserve">fencing </w:t>
      </w:r>
      <w:r>
        <w:t xml:space="preserve">has </w:t>
      </w:r>
      <w:r w:rsidRPr="000143C9">
        <w:t>a</w:t>
      </w:r>
      <w:r>
        <w:t>n associated</w:t>
      </w:r>
      <w:r w:rsidRPr="000143C9">
        <w:t xml:space="preserve"> load reduction factor, or removal efficiency, which decreases </w:t>
      </w:r>
      <w:r>
        <w:t xml:space="preserve">discharge rates </w:t>
      </w:r>
      <w:r w:rsidRPr="000143C9">
        <w:t>for each stock type.</w:t>
      </w:r>
      <w:r>
        <w:t xml:space="preserve"> The model output from simulating the stock exclusion policy included river lengths in different water quality bands based on </w:t>
      </w:r>
      <w:r>
        <w:rPr>
          <w:i/>
          <w:iCs/>
        </w:rPr>
        <w:t>E. coli</w:t>
      </w:r>
      <w:r>
        <w:t xml:space="preserve"> concentrations.</w:t>
      </w:r>
    </w:p>
    <w:p w14:paraId="456FC97A" w14:textId="77777777" w:rsidR="00FC77C7" w:rsidRDefault="00FC77C7" w:rsidP="00FC77C7"/>
    <w:p w14:paraId="6C912057" w14:textId="534C1823" w:rsidR="00FC77C7" w:rsidRDefault="00FC77C7" w:rsidP="00FC77C7">
      <w:r>
        <w:t xml:space="preserve">To quantify these improvements using monetary values, Tait </w:t>
      </w:r>
      <w:r>
        <w:rPr>
          <w:i/>
          <w:iCs/>
        </w:rPr>
        <w:t>et al</w:t>
      </w:r>
      <w:r>
        <w:t xml:space="preserve"> (2016) used a choice experiment, which is a type of stated preference survey. It presented a national representative sample of adults (18 and over) with a series of choice tasks in which they were asked to choose their preferred option between some hypothetical animal management programmes for waterways with different costs and different water quality outcomes relating to human health risk, ecological quality (measured using the Macroinvertebrate Community Index or MCI – see </w:t>
      </w:r>
      <w:r>
        <w:fldChar w:fldCharType="begin"/>
      </w:r>
      <w:r>
        <w:instrText xml:space="preserve"> REF _Ref30407818 \h </w:instrText>
      </w:r>
      <w:r>
        <w:fldChar w:fldCharType="separate"/>
      </w:r>
      <w:r w:rsidR="00024EB5">
        <w:t xml:space="preserve">Box </w:t>
      </w:r>
      <w:r w:rsidR="00024EB5">
        <w:rPr>
          <w:noProof/>
        </w:rPr>
        <w:t>1</w:t>
      </w:r>
      <w:r>
        <w:fldChar w:fldCharType="end"/>
      </w:r>
      <w:r>
        <w:t xml:space="preserve">) and water clarity (visible metres). An example choice task in the survey is shown in </w:t>
      </w:r>
      <w:r>
        <w:fldChar w:fldCharType="begin"/>
      </w:r>
      <w:r>
        <w:instrText xml:space="preserve"> REF _Ref32248769 \h </w:instrText>
      </w:r>
      <w:r>
        <w:fldChar w:fldCharType="separate"/>
      </w:r>
      <w:r w:rsidR="00024EB5">
        <w:t xml:space="preserve">Figure </w:t>
      </w:r>
      <w:r w:rsidR="00024EB5">
        <w:rPr>
          <w:noProof/>
        </w:rPr>
        <w:t>5</w:t>
      </w:r>
      <w:r>
        <w:fldChar w:fldCharType="end"/>
      </w:r>
      <w:r>
        <w:t>. Under each of the categories the pie charts represent the proportion of rivers or lakes which fall into different quality categories. Subsequent analysis of the data was used to estimate the willingness to pay for the different water quality attributes (</w:t>
      </w:r>
      <w:r>
        <w:fldChar w:fldCharType="begin"/>
      </w:r>
      <w:r>
        <w:instrText xml:space="preserve"> REF _Ref30413099 \h </w:instrText>
      </w:r>
      <w:r>
        <w:fldChar w:fldCharType="separate"/>
      </w:r>
      <w:r w:rsidR="00024EB5">
        <w:t xml:space="preserve">Table </w:t>
      </w:r>
      <w:r w:rsidR="00024EB5">
        <w:rPr>
          <w:noProof/>
        </w:rPr>
        <w:t>3</w:t>
      </w:r>
      <w:r>
        <w:fldChar w:fldCharType="end"/>
      </w:r>
      <w:r>
        <w:t>).</w:t>
      </w:r>
    </w:p>
    <w:p w14:paraId="16928D56" w14:textId="68E38517" w:rsidR="00FC77C7" w:rsidRDefault="00FC77C7" w:rsidP="0093011F">
      <w:pPr>
        <w:pStyle w:val="Caption"/>
      </w:pPr>
      <w:bookmarkStart w:id="38" w:name="_Ref30413099"/>
      <w:bookmarkStart w:id="39" w:name="_Ref35579068"/>
      <w:r>
        <w:t xml:space="preserve">Table </w:t>
      </w:r>
      <w:r w:rsidR="00313617">
        <w:fldChar w:fldCharType="begin"/>
      </w:r>
      <w:r w:rsidR="00313617">
        <w:instrText xml:space="preserve"> SEQ Table \* ARABIC </w:instrText>
      </w:r>
      <w:r w:rsidR="00313617">
        <w:fldChar w:fldCharType="separate"/>
      </w:r>
      <w:r w:rsidR="00024EB5">
        <w:rPr>
          <w:noProof/>
        </w:rPr>
        <w:t>3</w:t>
      </w:r>
      <w:r w:rsidR="00313617">
        <w:rPr>
          <w:noProof/>
        </w:rPr>
        <w:fldChar w:fldCharType="end"/>
      </w:r>
      <w:bookmarkEnd w:id="38"/>
      <w:r>
        <w:t xml:space="preserve"> W</w:t>
      </w:r>
      <w:r w:rsidRPr="00D900CB">
        <w:t xml:space="preserve">illingness to pay </w:t>
      </w:r>
      <w:r>
        <w:t xml:space="preserve">($/adult/year) </w:t>
      </w:r>
      <w:r w:rsidRPr="00D900CB">
        <w:t xml:space="preserve">for </w:t>
      </w:r>
      <w:r>
        <w:t xml:space="preserve">a 1% increase in </w:t>
      </w:r>
      <w:r w:rsidRPr="00D900CB">
        <w:t>water quality outcomes</w:t>
      </w:r>
      <w:bookmarkEnd w:id="39"/>
    </w:p>
    <w:tbl>
      <w:tblPr>
        <w:tblStyle w:val="CovecTables"/>
        <w:tblW w:w="5000" w:type="pct"/>
        <w:tblInd w:w="0" w:type="dxa"/>
        <w:tblLayout w:type="fixed"/>
        <w:tblLook w:val="01E0" w:firstRow="1" w:lastRow="1" w:firstColumn="1" w:lastColumn="1" w:noHBand="0" w:noVBand="0"/>
      </w:tblPr>
      <w:tblGrid>
        <w:gridCol w:w="1985"/>
        <w:gridCol w:w="2063"/>
        <w:gridCol w:w="886"/>
        <w:gridCol w:w="1202"/>
        <w:gridCol w:w="811"/>
        <w:gridCol w:w="1274"/>
      </w:tblGrid>
      <w:tr w:rsidR="00FC77C7" w:rsidRPr="00E10850" w14:paraId="66F46F0F"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hideMark/>
          </w:tcPr>
          <w:p w14:paraId="0F44ED18" w14:textId="77777777" w:rsidR="00FC77C7" w:rsidRPr="00E10850" w:rsidRDefault="00FC77C7" w:rsidP="0093011F">
            <w:pPr>
              <w:pStyle w:val="TableText"/>
              <w:jc w:val="left"/>
            </w:pPr>
            <w:r>
              <w:t>Attribute</w:t>
            </w:r>
          </w:p>
        </w:tc>
        <w:tc>
          <w:tcPr>
            <w:tcW w:w="1255" w:type="pct"/>
          </w:tcPr>
          <w:p w14:paraId="624864D1" w14:textId="77777777" w:rsidR="00FC77C7" w:rsidRPr="00E10850" w:rsidRDefault="00FC77C7" w:rsidP="0093011F">
            <w:pPr>
              <w:pStyle w:val="TableText"/>
              <w:jc w:val="left"/>
              <w:cnfStyle w:val="100000000000" w:firstRow="1" w:lastRow="0" w:firstColumn="0" w:lastColumn="0" w:oddVBand="0" w:evenVBand="0" w:oddHBand="0" w:evenHBand="0" w:firstRowFirstColumn="0" w:firstRowLastColumn="0" w:lastRowFirstColumn="0" w:lastRowLastColumn="0"/>
            </w:pPr>
            <w:r>
              <w:t>Level</w:t>
            </w:r>
          </w:p>
        </w:tc>
        <w:tc>
          <w:tcPr>
            <w:tcW w:w="539" w:type="pct"/>
            <w:noWrap/>
            <w:hideMark/>
          </w:tcPr>
          <w:p w14:paraId="0E50A17C" w14:textId="77777777" w:rsidR="00FC77C7" w:rsidRPr="00E10850"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E10850">
              <w:t>Median (2015)</w:t>
            </w:r>
          </w:p>
        </w:tc>
        <w:tc>
          <w:tcPr>
            <w:tcW w:w="731" w:type="pct"/>
            <w:noWrap/>
            <w:hideMark/>
          </w:tcPr>
          <w:p w14:paraId="464FD9AE" w14:textId="6CA32C3F"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E10850">
              <w:t>Range</w:t>
            </w:r>
          </w:p>
          <w:p w14:paraId="005EB491" w14:textId="77777777" w:rsidR="00FC77C7" w:rsidRPr="00E10850"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E10850">
              <w:t>(2015)</w:t>
            </w:r>
            <w:r>
              <w:rPr>
                <w:vertAlign w:val="superscript"/>
              </w:rPr>
              <w:t>a</w:t>
            </w:r>
          </w:p>
        </w:tc>
        <w:tc>
          <w:tcPr>
            <w:tcW w:w="493" w:type="pct"/>
            <w:noWrap/>
            <w:hideMark/>
          </w:tcPr>
          <w:p w14:paraId="4C41D5AC" w14:textId="77777777" w:rsidR="00FC77C7" w:rsidRPr="00E10850"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E10850">
              <w:t>Median (2019)</w:t>
            </w:r>
          </w:p>
        </w:tc>
        <w:tc>
          <w:tcPr>
            <w:tcW w:w="775" w:type="pct"/>
            <w:noWrap/>
            <w:hideMark/>
          </w:tcPr>
          <w:p w14:paraId="14AF0DC4" w14:textId="4AE55244"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E10850">
              <w:t>Range</w:t>
            </w:r>
          </w:p>
          <w:p w14:paraId="1AAFD7BF" w14:textId="77777777" w:rsidR="00FC77C7" w:rsidRPr="00E10850"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E10850">
              <w:t>(2019)</w:t>
            </w:r>
            <w:r w:rsidRPr="00E10850">
              <w:rPr>
                <w:vertAlign w:val="superscript"/>
              </w:rPr>
              <w:t>a</w:t>
            </w:r>
          </w:p>
        </w:tc>
      </w:tr>
      <w:tr w:rsidR="00FC77C7" w:rsidRPr="00E10850" w14:paraId="2CA59C59"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hideMark/>
          </w:tcPr>
          <w:p w14:paraId="4A5586E3" w14:textId="77777777" w:rsidR="00FC77C7" w:rsidRPr="00E10850" w:rsidRDefault="00FC77C7" w:rsidP="0093011F">
            <w:pPr>
              <w:pStyle w:val="TableText"/>
            </w:pPr>
            <w:r w:rsidRPr="00E10850">
              <w:t xml:space="preserve">Human Health Risk </w:t>
            </w:r>
          </w:p>
        </w:tc>
        <w:tc>
          <w:tcPr>
            <w:tcW w:w="1255" w:type="pct"/>
          </w:tcPr>
          <w:p w14:paraId="4E2496A5"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1:20</w:t>
            </w:r>
          </w:p>
        </w:tc>
        <w:tc>
          <w:tcPr>
            <w:tcW w:w="539" w:type="pct"/>
            <w:noWrap/>
            <w:vAlign w:val="top"/>
            <w:hideMark/>
          </w:tcPr>
          <w:p w14:paraId="6CB40C29"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$0.70</w:t>
            </w:r>
          </w:p>
        </w:tc>
        <w:tc>
          <w:tcPr>
            <w:tcW w:w="731" w:type="pct"/>
            <w:noWrap/>
            <w:vAlign w:val="top"/>
            <w:hideMark/>
          </w:tcPr>
          <w:p w14:paraId="52436107"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$0.22 - $1.28</w:t>
            </w:r>
          </w:p>
        </w:tc>
        <w:tc>
          <w:tcPr>
            <w:tcW w:w="493" w:type="pct"/>
            <w:noWrap/>
            <w:vAlign w:val="top"/>
            <w:hideMark/>
          </w:tcPr>
          <w:p w14:paraId="7DEE252D"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$0.74</w:t>
            </w:r>
          </w:p>
        </w:tc>
        <w:tc>
          <w:tcPr>
            <w:tcW w:w="775" w:type="pct"/>
            <w:noWrap/>
            <w:vAlign w:val="top"/>
            <w:hideMark/>
          </w:tcPr>
          <w:p w14:paraId="3415352C"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$0.23 - $1.36</w:t>
            </w:r>
          </w:p>
        </w:tc>
      </w:tr>
      <w:tr w:rsidR="00FC77C7" w:rsidRPr="00E10850" w14:paraId="63D850C8"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tcPr>
          <w:p w14:paraId="686BC11F" w14:textId="77777777" w:rsidR="00FC77C7" w:rsidRPr="00E10850" w:rsidRDefault="00FC77C7" w:rsidP="0093011F">
            <w:pPr>
              <w:pStyle w:val="TableText"/>
            </w:pPr>
            <w:r>
              <w:t>(chance of infection)</w:t>
            </w:r>
          </w:p>
        </w:tc>
        <w:tc>
          <w:tcPr>
            <w:tcW w:w="1255" w:type="pct"/>
          </w:tcPr>
          <w:p w14:paraId="08DCA459"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1:100</w:t>
            </w:r>
          </w:p>
        </w:tc>
        <w:tc>
          <w:tcPr>
            <w:tcW w:w="539" w:type="pct"/>
            <w:noWrap/>
            <w:vAlign w:val="top"/>
            <w:hideMark/>
          </w:tcPr>
          <w:p w14:paraId="139994E5"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$1.15</w:t>
            </w:r>
          </w:p>
        </w:tc>
        <w:tc>
          <w:tcPr>
            <w:tcW w:w="731" w:type="pct"/>
            <w:noWrap/>
            <w:vAlign w:val="top"/>
            <w:hideMark/>
          </w:tcPr>
          <w:p w14:paraId="05F1CF44"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$0.65 - $1.65</w:t>
            </w:r>
          </w:p>
        </w:tc>
        <w:tc>
          <w:tcPr>
            <w:tcW w:w="493" w:type="pct"/>
            <w:noWrap/>
            <w:vAlign w:val="top"/>
            <w:hideMark/>
          </w:tcPr>
          <w:p w14:paraId="28A90E6A"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$1.22</w:t>
            </w:r>
          </w:p>
        </w:tc>
        <w:tc>
          <w:tcPr>
            <w:tcW w:w="775" w:type="pct"/>
            <w:noWrap/>
            <w:vAlign w:val="top"/>
            <w:hideMark/>
          </w:tcPr>
          <w:p w14:paraId="789AC083"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$0.69 - $1.75</w:t>
            </w:r>
          </w:p>
        </w:tc>
      </w:tr>
      <w:tr w:rsidR="00FC77C7" w:rsidRPr="00E10850" w14:paraId="37BC112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tcBorders>
              <w:bottom w:val="single" w:sz="8" w:space="0" w:color="A6A6A6" w:themeColor="background1" w:themeShade="A6"/>
            </w:tcBorders>
          </w:tcPr>
          <w:p w14:paraId="7C9FF7C6" w14:textId="77777777" w:rsidR="00FC77C7" w:rsidRPr="00E10850" w:rsidRDefault="00FC77C7" w:rsidP="0093011F">
            <w:pPr>
              <w:pStyle w:val="TableText"/>
            </w:pPr>
          </w:p>
        </w:tc>
        <w:tc>
          <w:tcPr>
            <w:tcW w:w="1255" w:type="pct"/>
            <w:tcBorders>
              <w:bottom w:val="single" w:sz="8" w:space="0" w:color="A6A6A6" w:themeColor="background1" w:themeShade="A6"/>
            </w:tcBorders>
          </w:tcPr>
          <w:p w14:paraId="1FF14F15"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1:1,000</w:t>
            </w:r>
          </w:p>
        </w:tc>
        <w:tc>
          <w:tcPr>
            <w:tcW w:w="539" w:type="pct"/>
            <w:tcBorders>
              <w:bottom w:val="single" w:sz="8" w:space="0" w:color="A6A6A6" w:themeColor="background1" w:themeShade="A6"/>
            </w:tcBorders>
            <w:noWrap/>
            <w:vAlign w:val="top"/>
            <w:hideMark/>
          </w:tcPr>
          <w:p w14:paraId="07739EB1"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$3.31</w:t>
            </w:r>
          </w:p>
        </w:tc>
        <w:tc>
          <w:tcPr>
            <w:tcW w:w="731" w:type="pct"/>
            <w:tcBorders>
              <w:bottom w:val="single" w:sz="8" w:space="0" w:color="A6A6A6" w:themeColor="background1" w:themeShade="A6"/>
            </w:tcBorders>
            <w:noWrap/>
            <w:vAlign w:val="top"/>
            <w:hideMark/>
          </w:tcPr>
          <w:p w14:paraId="799B9968"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$2.79 - $3.83</w:t>
            </w:r>
          </w:p>
        </w:tc>
        <w:tc>
          <w:tcPr>
            <w:tcW w:w="493" w:type="pct"/>
            <w:tcBorders>
              <w:bottom w:val="single" w:sz="8" w:space="0" w:color="A6A6A6" w:themeColor="background1" w:themeShade="A6"/>
            </w:tcBorders>
            <w:noWrap/>
            <w:vAlign w:val="top"/>
            <w:hideMark/>
          </w:tcPr>
          <w:p w14:paraId="615911F5"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$3.52</w:t>
            </w:r>
          </w:p>
        </w:tc>
        <w:tc>
          <w:tcPr>
            <w:tcW w:w="775" w:type="pct"/>
            <w:tcBorders>
              <w:bottom w:val="single" w:sz="8" w:space="0" w:color="A6A6A6" w:themeColor="background1" w:themeShade="A6"/>
            </w:tcBorders>
            <w:noWrap/>
            <w:vAlign w:val="top"/>
            <w:hideMark/>
          </w:tcPr>
          <w:p w14:paraId="3112C27D"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$2.97 - $4.07</w:t>
            </w:r>
          </w:p>
        </w:tc>
      </w:tr>
      <w:tr w:rsidR="00FC77C7" w:rsidRPr="00E10850" w14:paraId="299CF09B"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tcBorders>
              <w:top w:val="single" w:sz="8" w:space="0" w:color="A6A6A6" w:themeColor="background1" w:themeShade="A6"/>
            </w:tcBorders>
            <w:hideMark/>
          </w:tcPr>
          <w:p w14:paraId="44E9B8B0" w14:textId="77777777" w:rsidR="00FC77C7" w:rsidRPr="00E10850" w:rsidRDefault="00FC77C7" w:rsidP="0093011F">
            <w:pPr>
              <w:pStyle w:val="TableText"/>
            </w:pPr>
            <w:r w:rsidRPr="00E10850">
              <w:t>Ecological Quality</w:t>
            </w:r>
            <w:r>
              <w:t xml:space="preserve"> </w:t>
            </w:r>
          </w:p>
        </w:tc>
        <w:tc>
          <w:tcPr>
            <w:tcW w:w="1255" w:type="pct"/>
            <w:tcBorders>
              <w:top w:val="single" w:sz="8" w:space="0" w:color="A6A6A6" w:themeColor="background1" w:themeShade="A6"/>
            </w:tcBorders>
          </w:tcPr>
          <w:p w14:paraId="555F1D64"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Moderate (81-99)</w:t>
            </w:r>
          </w:p>
        </w:tc>
        <w:tc>
          <w:tcPr>
            <w:tcW w:w="539" w:type="pct"/>
            <w:tcBorders>
              <w:top w:val="single" w:sz="8" w:space="0" w:color="A6A6A6" w:themeColor="background1" w:themeShade="A6"/>
            </w:tcBorders>
            <w:noWrap/>
            <w:vAlign w:val="top"/>
            <w:hideMark/>
          </w:tcPr>
          <w:p w14:paraId="3CF75CEB"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$2.14</w:t>
            </w:r>
          </w:p>
        </w:tc>
        <w:tc>
          <w:tcPr>
            <w:tcW w:w="731" w:type="pct"/>
            <w:tcBorders>
              <w:top w:val="single" w:sz="8" w:space="0" w:color="A6A6A6" w:themeColor="background1" w:themeShade="A6"/>
            </w:tcBorders>
            <w:noWrap/>
            <w:vAlign w:val="top"/>
            <w:hideMark/>
          </w:tcPr>
          <w:p w14:paraId="78B48A2B"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$1.73 - $2.54</w:t>
            </w:r>
          </w:p>
        </w:tc>
        <w:tc>
          <w:tcPr>
            <w:tcW w:w="493" w:type="pct"/>
            <w:tcBorders>
              <w:top w:val="single" w:sz="8" w:space="0" w:color="A6A6A6" w:themeColor="background1" w:themeShade="A6"/>
            </w:tcBorders>
            <w:noWrap/>
            <w:vAlign w:val="top"/>
            <w:hideMark/>
          </w:tcPr>
          <w:p w14:paraId="41259BEA"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$2.27</w:t>
            </w:r>
          </w:p>
        </w:tc>
        <w:tc>
          <w:tcPr>
            <w:tcW w:w="775" w:type="pct"/>
            <w:tcBorders>
              <w:top w:val="single" w:sz="8" w:space="0" w:color="A6A6A6" w:themeColor="background1" w:themeShade="A6"/>
            </w:tcBorders>
            <w:noWrap/>
            <w:vAlign w:val="top"/>
            <w:hideMark/>
          </w:tcPr>
          <w:p w14:paraId="5ADB496E"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$1.84 - $2.7</w:t>
            </w:r>
          </w:p>
        </w:tc>
      </w:tr>
      <w:tr w:rsidR="00FC77C7" w:rsidRPr="00E10850" w14:paraId="39A4F3D9"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tcBorders>
              <w:bottom w:val="single" w:sz="8" w:space="0" w:color="A6A6A6" w:themeColor="background1" w:themeShade="A6"/>
            </w:tcBorders>
            <w:hideMark/>
          </w:tcPr>
          <w:p w14:paraId="04C73684" w14:textId="77777777" w:rsidR="00FC77C7" w:rsidRPr="00E10850" w:rsidRDefault="00FC77C7" w:rsidP="0093011F">
            <w:pPr>
              <w:pStyle w:val="TableText"/>
            </w:pPr>
            <w:r>
              <w:t>(MCI)</w:t>
            </w:r>
          </w:p>
        </w:tc>
        <w:tc>
          <w:tcPr>
            <w:tcW w:w="1255" w:type="pct"/>
            <w:tcBorders>
              <w:bottom w:val="single" w:sz="8" w:space="0" w:color="A6A6A6" w:themeColor="background1" w:themeShade="A6"/>
            </w:tcBorders>
          </w:tcPr>
          <w:p w14:paraId="69830F03"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Good (100+)</w:t>
            </w:r>
          </w:p>
        </w:tc>
        <w:tc>
          <w:tcPr>
            <w:tcW w:w="539" w:type="pct"/>
            <w:tcBorders>
              <w:bottom w:val="single" w:sz="8" w:space="0" w:color="A6A6A6" w:themeColor="background1" w:themeShade="A6"/>
            </w:tcBorders>
            <w:noWrap/>
            <w:vAlign w:val="top"/>
            <w:hideMark/>
          </w:tcPr>
          <w:p w14:paraId="63E3D49B"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$5.68</w:t>
            </w:r>
          </w:p>
        </w:tc>
        <w:tc>
          <w:tcPr>
            <w:tcW w:w="731" w:type="pct"/>
            <w:tcBorders>
              <w:bottom w:val="single" w:sz="8" w:space="0" w:color="A6A6A6" w:themeColor="background1" w:themeShade="A6"/>
            </w:tcBorders>
            <w:noWrap/>
            <w:vAlign w:val="top"/>
            <w:hideMark/>
          </w:tcPr>
          <w:p w14:paraId="36603B71"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$5.41 - $5.93</w:t>
            </w:r>
          </w:p>
        </w:tc>
        <w:tc>
          <w:tcPr>
            <w:tcW w:w="493" w:type="pct"/>
            <w:tcBorders>
              <w:bottom w:val="single" w:sz="8" w:space="0" w:color="A6A6A6" w:themeColor="background1" w:themeShade="A6"/>
            </w:tcBorders>
            <w:noWrap/>
            <w:vAlign w:val="top"/>
            <w:hideMark/>
          </w:tcPr>
          <w:p w14:paraId="24D51E91"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$6.04</w:t>
            </w:r>
          </w:p>
        </w:tc>
        <w:tc>
          <w:tcPr>
            <w:tcW w:w="775" w:type="pct"/>
            <w:tcBorders>
              <w:bottom w:val="single" w:sz="8" w:space="0" w:color="A6A6A6" w:themeColor="background1" w:themeShade="A6"/>
            </w:tcBorders>
            <w:noWrap/>
            <w:vAlign w:val="top"/>
            <w:hideMark/>
          </w:tcPr>
          <w:p w14:paraId="1F026337"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$5.75 - $6.3</w:t>
            </w:r>
          </w:p>
        </w:tc>
      </w:tr>
      <w:tr w:rsidR="00FC77C7" w:rsidRPr="00E10850" w14:paraId="01020652"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207" w:type="pct"/>
            <w:tcBorders>
              <w:top w:val="single" w:sz="8" w:space="0" w:color="A6A6A6" w:themeColor="background1" w:themeShade="A6"/>
            </w:tcBorders>
            <w:hideMark/>
          </w:tcPr>
          <w:p w14:paraId="082B8E86" w14:textId="77777777" w:rsidR="00FC77C7" w:rsidRPr="00E10850" w:rsidRDefault="00FC77C7" w:rsidP="0093011F">
            <w:pPr>
              <w:pStyle w:val="TableText"/>
            </w:pPr>
            <w:r>
              <w:t xml:space="preserve">Water </w:t>
            </w:r>
            <w:r w:rsidRPr="00E10850">
              <w:t>Clarity</w:t>
            </w:r>
            <w:r>
              <w:t xml:space="preserve"> </w:t>
            </w:r>
          </w:p>
        </w:tc>
        <w:tc>
          <w:tcPr>
            <w:tcW w:w="1255" w:type="pct"/>
            <w:tcBorders>
              <w:top w:val="single" w:sz="8" w:space="0" w:color="A6A6A6" w:themeColor="background1" w:themeShade="A6"/>
            </w:tcBorders>
          </w:tcPr>
          <w:p w14:paraId="0A07511F" w14:textId="77777777" w:rsidR="00FC77C7" w:rsidRPr="00E10850"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 xml:space="preserve">Moderate (1.2m – 2.4m) </w:t>
            </w:r>
          </w:p>
        </w:tc>
        <w:tc>
          <w:tcPr>
            <w:tcW w:w="539" w:type="pct"/>
            <w:tcBorders>
              <w:top w:val="single" w:sz="8" w:space="0" w:color="A6A6A6" w:themeColor="background1" w:themeShade="A6"/>
            </w:tcBorders>
            <w:noWrap/>
            <w:vAlign w:val="top"/>
            <w:hideMark/>
          </w:tcPr>
          <w:p w14:paraId="55BFCCB4"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$4.13</w:t>
            </w:r>
          </w:p>
        </w:tc>
        <w:tc>
          <w:tcPr>
            <w:tcW w:w="731" w:type="pct"/>
            <w:tcBorders>
              <w:top w:val="single" w:sz="8" w:space="0" w:color="A6A6A6" w:themeColor="background1" w:themeShade="A6"/>
            </w:tcBorders>
            <w:noWrap/>
            <w:vAlign w:val="top"/>
            <w:hideMark/>
          </w:tcPr>
          <w:p w14:paraId="3A1D094E"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$3.64 - $4.62</w:t>
            </w:r>
          </w:p>
        </w:tc>
        <w:tc>
          <w:tcPr>
            <w:tcW w:w="493" w:type="pct"/>
            <w:tcBorders>
              <w:top w:val="single" w:sz="8" w:space="0" w:color="A6A6A6" w:themeColor="background1" w:themeShade="A6"/>
            </w:tcBorders>
            <w:noWrap/>
            <w:vAlign w:val="top"/>
            <w:hideMark/>
          </w:tcPr>
          <w:p w14:paraId="06FACF1B"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$4.39</w:t>
            </w:r>
          </w:p>
        </w:tc>
        <w:tc>
          <w:tcPr>
            <w:tcW w:w="775" w:type="pct"/>
            <w:tcBorders>
              <w:top w:val="single" w:sz="8" w:space="0" w:color="A6A6A6" w:themeColor="background1" w:themeShade="A6"/>
            </w:tcBorders>
            <w:noWrap/>
            <w:vAlign w:val="top"/>
            <w:hideMark/>
          </w:tcPr>
          <w:p w14:paraId="5EE7E326" w14:textId="77777777" w:rsidR="00FC77C7" w:rsidRPr="00E1085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9F0A6C">
              <w:t>$3.87 - $4.91</w:t>
            </w:r>
          </w:p>
        </w:tc>
      </w:tr>
      <w:tr w:rsidR="00FC77C7" w:rsidRPr="00E10850" w14:paraId="0FD28A86"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1207" w:type="pct"/>
          </w:tcPr>
          <w:p w14:paraId="45B91F47" w14:textId="77777777" w:rsidR="00FC77C7" w:rsidRPr="00E10850" w:rsidRDefault="00FC77C7" w:rsidP="0093011F">
            <w:pPr>
              <w:pStyle w:val="TableText"/>
            </w:pPr>
            <w:r>
              <w:t>(metres)</w:t>
            </w:r>
          </w:p>
        </w:tc>
        <w:tc>
          <w:tcPr>
            <w:tcW w:w="1255" w:type="pct"/>
          </w:tcPr>
          <w:p w14:paraId="69F1B611" w14:textId="77777777" w:rsidR="00FC77C7" w:rsidRPr="00E10850" w:rsidRDefault="00FC77C7" w:rsidP="0093011F">
            <w:pPr>
              <w:pStyle w:val="TableText"/>
              <w:jc w:val="left"/>
              <w:cnfStyle w:val="010000000000" w:firstRow="0" w:lastRow="1" w:firstColumn="0" w:lastColumn="0" w:oddVBand="0" w:evenVBand="0" w:oddHBand="0" w:evenHBand="0" w:firstRowFirstColumn="0" w:firstRowLastColumn="0" w:lastRowFirstColumn="0" w:lastRowLastColumn="0"/>
            </w:pPr>
            <w:r w:rsidRPr="00E10850">
              <w:t xml:space="preserve">Good </w:t>
            </w:r>
            <w:r>
              <w:t>(2.5m or more)</w:t>
            </w:r>
          </w:p>
        </w:tc>
        <w:tc>
          <w:tcPr>
            <w:tcW w:w="539" w:type="pct"/>
            <w:noWrap/>
            <w:vAlign w:val="top"/>
            <w:hideMark/>
          </w:tcPr>
          <w:p w14:paraId="78E29638" w14:textId="77777777" w:rsidR="00FC77C7" w:rsidRPr="00E1085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9F0A6C">
              <w:t>$7.39</w:t>
            </w:r>
          </w:p>
        </w:tc>
        <w:tc>
          <w:tcPr>
            <w:tcW w:w="731" w:type="pct"/>
            <w:noWrap/>
            <w:vAlign w:val="top"/>
            <w:hideMark/>
          </w:tcPr>
          <w:p w14:paraId="27A9DFB3" w14:textId="77777777" w:rsidR="00FC77C7" w:rsidRPr="00E1085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9F0A6C">
              <w:t>$6.93 - $7.86</w:t>
            </w:r>
          </w:p>
        </w:tc>
        <w:tc>
          <w:tcPr>
            <w:tcW w:w="493" w:type="pct"/>
            <w:noWrap/>
            <w:vAlign w:val="top"/>
            <w:hideMark/>
          </w:tcPr>
          <w:p w14:paraId="3AF7AB85" w14:textId="77777777" w:rsidR="00FC77C7" w:rsidRPr="00E1085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9F0A6C">
              <w:t>$7.86</w:t>
            </w:r>
          </w:p>
        </w:tc>
        <w:tc>
          <w:tcPr>
            <w:tcW w:w="775" w:type="pct"/>
            <w:noWrap/>
            <w:vAlign w:val="top"/>
            <w:hideMark/>
          </w:tcPr>
          <w:p w14:paraId="4A7BF0D2" w14:textId="77777777" w:rsidR="00FC77C7" w:rsidRPr="00E1085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9F0A6C">
              <w:t>$7.37 - $8.36</w:t>
            </w:r>
          </w:p>
        </w:tc>
      </w:tr>
    </w:tbl>
    <w:p w14:paraId="1B18EF2E" w14:textId="77777777" w:rsidR="00FC77C7" w:rsidRPr="006D1F65" w:rsidRDefault="00FC77C7" w:rsidP="00FC77C7">
      <w:pPr>
        <w:spacing w:line="240" w:lineRule="auto"/>
        <w:rPr>
          <w:sz w:val="18"/>
          <w:szCs w:val="18"/>
        </w:rPr>
      </w:pPr>
      <w:proofErr w:type="gramStart"/>
      <w:r>
        <w:rPr>
          <w:vertAlign w:val="superscript"/>
        </w:rPr>
        <w:t>a</w:t>
      </w:r>
      <w:proofErr w:type="gramEnd"/>
      <w:r>
        <w:t xml:space="preserve"> </w:t>
      </w:r>
      <w:r w:rsidRPr="006D1F65">
        <w:rPr>
          <w:sz w:val="18"/>
          <w:szCs w:val="18"/>
        </w:rPr>
        <w:t>Range = 5</w:t>
      </w:r>
      <w:r w:rsidRPr="006D1F65">
        <w:rPr>
          <w:sz w:val="18"/>
          <w:szCs w:val="18"/>
          <w:vertAlign w:val="superscript"/>
        </w:rPr>
        <w:t>th</w:t>
      </w:r>
      <w:r w:rsidRPr="006D1F65">
        <w:rPr>
          <w:sz w:val="18"/>
          <w:szCs w:val="18"/>
        </w:rPr>
        <w:t xml:space="preserve"> and 95</w:t>
      </w:r>
      <w:r w:rsidRPr="006D1F65">
        <w:rPr>
          <w:sz w:val="18"/>
          <w:szCs w:val="18"/>
          <w:vertAlign w:val="superscript"/>
        </w:rPr>
        <w:t>th</w:t>
      </w:r>
      <w:r w:rsidRPr="006D1F65">
        <w:rPr>
          <w:sz w:val="18"/>
          <w:szCs w:val="18"/>
        </w:rPr>
        <w:t xml:space="preserve"> percentiles</w:t>
      </w:r>
    </w:p>
    <w:p w14:paraId="269C698A" w14:textId="77777777" w:rsidR="00FC77C7" w:rsidRPr="006D1F65" w:rsidRDefault="00FC77C7" w:rsidP="00FC77C7">
      <w:pPr>
        <w:spacing w:line="240" w:lineRule="auto"/>
        <w:rPr>
          <w:sz w:val="18"/>
          <w:szCs w:val="18"/>
        </w:rPr>
      </w:pPr>
      <w:r w:rsidRPr="006D1F65">
        <w:rPr>
          <w:sz w:val="18"/>
          <w:szCs w:val="18"/>
        </w:rPr>
        <w:t xml:space="preserve">Note: All values inflated to Q4 2019 from Q3 2015 values (survey in September 2015) using CPI: Statistics New Zealand, </w:t>
      </w:r>
      <w:proofErr w:type="spellStart"/>
      <w:r w:rsidRPr="006D1F65">
        <w:rPr>
          <w:sz w:val="18"/>
          <w:szCs w:val="18"/>
        </w:rPr>
        <w:t>Infoshare</w:t>
      </w:r>
      <w:proofErr w:type="spellEnd"/>
      <w:r w:rsidRPr="006D1F65">
        <w:rPr>
          <w:sz w:val="18"/>
          <w:szCs w:val="18"/>
        </w:rPr>
        <w:t xml:space="preserve"> Database: CPI Index All Groups for New Zealand: Q3 2015 = 982; Q4 2019 = 1044</w:t>
      </w:r>
    </w:p>
    <w:p w14:paraId="5989A4F4" w14:textId="77777777" w:rsidR="00FC77C7" w:rsidRPr="006D1F65" w:rsidRDefault="00FC77C7" w:rsidP="00FC77C7">
      <w:pPr>
        <w:spacing w:line="240" w:lineRule="auto"/>
        <w:rPr>
          <w:sz w:val="18"/>
          <w:szCs w:val="18"/>
        </w:rPr>
      </w:pPr>
      <w:r w:rsidRPr="006D1F65">
        <w:rPr>
          <w:sz w:val="18"/>
          <w:szCs w:val="18"/>
        </w:rPr>
        <w:t xml:space="preserve">Source: 2015 values from Tait </w:t>
      </w:r>
      <w:r w:rsidRPr="006D1F65">
        <w:rPr>
          <w:i/>
          <w:iCs/>
          <w:sz w:val="18"/>
          <w:szCs w:val="18"/>
        </w:rPr>
        <w:t>et al</w:t>
      </w:r>
      <w:r w:rsidRPr="006D1F65">
        <w:rPr>
          <w:sz w:val="18"/>
          <w:szCs w:val="18"/>
        </w:rPr>
        <w:t xml:space="preserve"> (2016)</w:t>
      </w:r>
    </w:p>
    <w:p w14:paraId="108A0BF8" w14:textId="707B3254" w:rsidR="00FC77C7" w:rsidRDefault="00FC77C7" w:rsidP="0093011F">
      <w:pPr>
        <w:pStyle w:val="Caption"/>
      </w:pPr>
      <w:bookmarkStart w:id="40" w:name="_Ref32248769"/>
      <w:r>
        <w:lastRenderedPageBreak/>
        <w:t xml:space="preserve">Figure </w:t>
      </w:r>
      <w:r w:rsidR="00313617">
        <w:fldChar w:fldCharType="begin"/>
      </w:r>
      <w:r w:rsidR="00313617">
        <w:instrText xml:space="preserve"> SEQ Figure \* ARABIC </w:instrText>
      </w:r>
      <w:r w:rsidR="00313617">
        <w:fldChar w:fldCharType="separate"/>
      </w:r>
      <w:r w:rsidR="00024EB5">
        <w:rPr>
          <w:noProof/>
        </w:rPr>
        <w:t>5</w:t>
      </w:r>
      <w:r w:rsidR="00313617">
        <w:rPr>
          <w:noProof/>
        </w:rPr>
        <w:fldChar w:fldCharType="end"/>
      </w:r>
      <w:bookmarkEnd w:id="40"/>
      <w:r>
        <w:t xml:space="preserve"> Example choice set</w:t>
      </w:r>
    </w:p>
    <w:p w14:paraId="1AF9EF14" w14:textId="77777777" w:rsidR="00FC77C7" w:rsidRDefault="00FC77C7" w:rsidP="00FC77C7">
      <w:r w:rsidRPr="000143C9">
        <w:rPr>
          <w:noProof/>
          <w:lang w:eastAsia="en-NZ"/>
        </w:rPr>
        <w:drawing>
          <wp:inline distT="0" distB="0" distL="0" distR="0" wp14:anchorId="226035FD" wp14:editId="6003EC8C">
            <wp:extent cx="3703320" cy="349717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4935" cy="3498696"/>
                    </a:xfrm>
                    <a:prstGeom prst="rect">
                      <a:avLst/>
                    </a:prstGeom>
                    <a:noFill/>
                    <a:ln>
                      <a:noFill/>
                    </a:ln>
                  </pic:spPr>
                </pic:pic>
              </a:graphicData>
            </a:graphic>
          </wp:inline>
        </w:drawing>
      </w:r>
    </w:p>
    <w:p w14:paraId="01559EC6" w14:textId="77777777" w:rsidR="00FC77C7" w:rsidRPr="006D1F65" w:rsidRDefault="00FC77C7" w:rsidP="00FC77C7">
      <w:pPr>
        <w:rPr>
          <w:sz w:val="18"/>
          <w:szCs w:val="18"/>
        </w:rPr>
      </w:pPr>
      <w:r w:rsidRPr="006D1F65">
        <w:rPr>
          <w:sz w:val="18"/>
          <w:szCs w:val="18"/>
        </w:rPr>
        <w:t>Source: Tait et al (2016)</w:t>
      </w:r>
    </w:p>
    <w:p w14:paraId="4CB8B080" w14:textId="0F4C703C" w:rsidR="00FC77C7" w:rsidRDefault="00FC77C7" w:rsidP="0093011F">
      <w:pPr>
        <w:pStyle w:val="Caption"/>
      </w:pPr>
      <w:bookmarkStart w:id="41" w:name="_Ref30407818"/>
      <w:bookmarkStart w:id="42" w:name="_Ref30407797"/>
      <w:r>
        <w:t xml:space="preserve">Box </w:t>
      </w:r>
      <w:r w:rsidR="00313617">
        <w:fldChar w:fldCharType="begin"/>
      </w:r>
      <w:r w:rsidR="00313617">
        <w:instrText xml:space="preserve"> SEQ Box \* ARABIC </w:instrText>
      </w:r>
      <w:r w:rsidR="00313617">
        <w:fldChar w:fldCharType="separate"/>
      </w:r>
      <w:r w:rsidR="00024EB5">
        <w:rPr>
          <w:noProof/>
        </w:rPr>
        <w:t>1</w:t>
      </w:r>
      <w:r w:rsidR="00313617">
        <w:rPr>
          <w:noProof/>
        </w:rPr>
        <w:fldChar w:fldCharType="end"/>
      </w:r>
      <w:bookmarkEnd w:id="41"/>
      <w:r>
        <w:t xml:space="preserve"> </w:t>
      </w:r>
      <w:bookmarkEnd w:id="42"/>
      <w:r>
        <w:t>Macroinvertebrate Community Index</w:t>
      </w:r>
    </w:p>
    <w:tbl>
      <w:tblPr>
        <w:tblStyle w:val="TableGrid"/>
        <w:tblW w:w="0" w:type="auto"/>
        <w:tblLook w:val="04A0" w:firstRow="1" w:lastRow="0" w:firstColumn="1" w:lastColumn="0" w:noHBand="0" w:noVBand="1"/>
      </w:tblPr>
      <w:tblGrid>
        <w:gridCol w:w="8211"/>
      </w:tblGrid>
      <w:tr w:rsidR="00FC77C7" w14:paraId="19F9D27F" w14:textId="77777777" w:rsidTr="0093011F">
        <w:tc>
          <w:tcPr>
            <w:tcW w:w="8211" w:type="dxa"/>
          </w:tcPr>
          <w:p w14:paraId="6457FC89" w14:textId="77777777" w:rsidR="00FC77C7" w:rsidRDefault="00FC77C7" w:rsidP="0093011F">
            <w:pPr>
              <w:pStyle w:val="TableText"/>
            </w:pPr>
            <w:r w:rsidRPr="00C94AE7">
              <w:t xml:space="preserve">The Macroinvertebrate Community Index (MCI) is used as a measure of stream “health” and is calculated as the sum of scores based on the presence of different types of invertebrate (Stark 1985; Stark and </w:t>
            </w:r>
            <w:proofErr w:type="spellStart"/>
            <w:r w:rsidRPr="00C94AE7">
              <w:t>Maxted</w:t>
            </w:r>
            <w:proofErr w:type="spellEnd"/>
            <w:r w:rsidRPr="00C94AE7">
              <w:t xml:space="preserve"> 2007). Those common in unpolluted streams are given high scores and those common in polluted streams are given low scores. </w:t>
            </w:r>
          </w:p>
          <w:p w14:paraId="1E7FF780" w14:textId="77777777" w:rsidR="00FC77C7" w:rsidRDefault="00FC77C7" w:rsidP="0093011F">
            <w:pPr>
              <w:pStyle w:val="TableText"/>
            </w:pPr>
          </w:p>
          <w:p w14:paraId="2E46BA46" w14:textId="77777777" w:rsidR="00FC77C7" w:rsidRDefault="00FC77C7" w:rsidP="0093011F">
            <w:pPr>
              <w:pStyle w:val="TableText"/>
            </w:pPr>
            <m:oMathPara>
              <m:oMath>
                <m:r>
                  <w:rPr>
                    <w:rFonts w:ascii="Cambria Math" w:hAnsi="Cambria Math"/>
                  </w:rPr>
                  <m:t>MCI</m:t>
                </m:r>
                <m:r>
                  <m:rPr>
                    <m:sty m:val="p"/>
                  </m:rPr>
                  <w:rPr>
                    <w:rFonts w:ascii="Cambria Math" w:hAnsi="Cambria Math"/>
                  </w:rPr>
                  <m:t xml:space="preserve">= </m:t>
                </m:r>
                <m:f>
                  <m:fPr>
                    <m:ctrlPr>
                      <w:rPr>
                        <w:rFonts w:ascii="Cambria Math" w:hAnsi="Cambria Math"/>
                        <w:sz w:val="20"/>
                        <w:szCs w:val="24"/>
                      </w:rPr>
                    </m:ctrlPr>
                  </m:fPr>
                  <m:num>
                    <m:nary>
                      <m:naryPr>
                        <m:chr m:val="∑"/>
                        <m:limLoc m:val="undOvr"/>
                        <m:ctrlPr>
                          <w:rPr>
                            <w:rFonts w:ascii="Cambria Math" w:hAnsi="Cambria Math"/>
                            <w:sz w:val="20"/>
                            <w:szCs w:val="24"/>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S</m:t>
                        </m:r>
                      </m:sup>
                      <m:e>
                        <m:sSub>
                          <m:sSubPr>
                            <m:ctrlPr>
                              <w:rPr>
                                <w:rFonts w:ascii="Cambria Math" w:hAnsi="Cambria Math"/>
                                <w:sz w:val="20"/>
                                <w:szCs w:val="24"/>
                              </w:rPr>
                            </m:ctrlPr>
                          </m:sSubPr>
                          <m:e>
                            <m:r>
                              <w:rPr>
                                <w:rFonts w:ascii="Cambria Math" w:hAnsi="Cambria Math"/>
                              </w:rPr>
                              <m:t>a</m:t>
                            </m:r>
                          </m:e>
                          <m:sub>
                            <m:r>
                              <w:rPr>
                                <w:rFonts w:ascii="Cambria Math" w:hAnsi="Cambria Math"/>
                              </w:rPr>
                              <m:t>i</m:t>
                            </m:r>
                          </m:sub>
                        </m:sSub>
                      </m:e>
                    </m:nary>
                  </m:num>
                  <m:den>
                    <m:r>
                      <w:rPr>
                        <w:rFonts w:ascii="Cambria Math" w:hAnsi="Cambria Math"/>
                      </w:rPr>
                      <m:t>S</m:t>
                    </m:r>
                  </m:den>
                </m:f>
                <m:r>
                  <m:rPr>
                    <m:sty m:val="p"/>
                  </m:rPr>
                  <w:rPr>
                    <w:rFonts w:ascii="Cambria Math" w:hAnsi="Cambria Math"/>
                  </w:rPr>
                  <m:t xml:space="preserve"> × 20</m:t>
                </m:r>
              </m:oMath>
            </m:oMathPara>
          </w:p>
          <w:p w14:paraId="6A64E1EC" w14:textId="77777777" w:rsidR="00FC77C7" w:rsidRDefault="00FC77C7" w:rsidP="0093011F">
            <w:pPr>
              <w:pStyle w:val="TableText"/>
            </w:pPr>
          </w:p>
          <w:p w14:paraId="3B3C1A6A" w14:textId="77777777" w:rsidR="00FC77C7" w:rsidRPr="00220D2D" w:rsidRDefault="00FC77C7" w:rsidP="0093011F">
            <w:pPr>
              <w:pStyle w:val="TableText"/>
            </w:pPr>
            <w:r>
              <w:t xml:space="preserve">Where S = the total number of taxa in the sample, and </w:t>
            </w:r>
            <w:proofErr w:type="spellStart"/>
            <w:r>
              <w:t>a</w:t>
            </w:r>
            <w:r>
              <w:rPr>
                <w:vertAlign w:val="subscript"/>
              </w:rPr>
              <w:t>i</w:t>
            </w:r>
            <w:proofErr w:type="spellEnd"/>
            <w:r>
              <w:t xml:space="preserve"> is the tolerance value (measure of the sensitivity to </w:t>
            </w:r>
            <w:r w:rsidRPr="00220D2D">
              <w:t>pollution and habitat disturbance</w:t>
            </w:r>
            <w:r>
              <w:t>)</w:t>
            </w:r>
            <w:r w:rsidRPr="00220D2D">
              <w:t xml:space="preserve"> </w:t>
            </w:r>
            <w:r>
              <w:t xml:space="preserve">for the </w:t>
            </w:r>
            <w:proofErr w:type="spellStart"/>
            <w:r w:rsidRPr="00220D2D">
              <w:rPr>
                <w:iCs/>
              </w:rPr>
              <w:t>i</w:t>
            </w:r>
            <w:r>
              <w:t>th</w:t>
            </w:r>
            <w:proofErr w:type="spellEnd"/>
            <w:r>
              <w:t xml:space="preserve"> taxon.</w:t>
            </w:r>
          </w:p>
          <w:p w14:paraId="0BCE1BC5" w14:textId="77777777" w:rsidR="00FC77C7" w:rsidRDefault="00FC77C7" w:rsidP="0093011F">
            <w:pPr>
              <w:pStyle w:val="TableText"/>
            </w:pPr>
          </w:p>
          <w:p w14:paraId="7D0BFE13" w14:textId="77777777" w:rsidR="00FC77C7" w:rsidRDefault="00FC77C7" w:rsidP="0093011F">
            <w:pPr>
              <w:pStyle w:val="TableText"/>
            </w:pPr>
            <w:r w:rsidRPr="00C94AE7">
              <w:t>Related indices include the Quantitative MCI (QMCI)</w:t>
            </w:r>
          </w:p>
          <w:p w14:paraId="501F10DE" w14:textId="77777777" w:rsidR="00FC77C7" w:rsidRDefault="00FC77C7" w:rsidP="0093011F">
            <w:pPr>
              <w:pStyle w:val="TableText"/>
            </w:pPr>
          </w:p>
          <w:p w14:paraId="52D6F920" w14:textId="77777777" w:rsidR="00FC77C7" w:rsidRDefault="00FC77C7" w:rsidP="0093011F">
            <w:pPr>
              <w:pStyle w:val="TableText"/>
            </w:pPr>
            <m:oMathPara>
              <m:oMath>
                <m:r>
                  <w:rPr>
                    <w:rFonts w:ascii="Cambria Math" w:hAnsi="Cambria Math"/>
                  </w:rPr>
                  <m:t>QMCI</m:t>
                </m:r>
                <m:r>
                  <m:rPr>
                    <m:sty m:val="p"/>
                  </m:rPr>
                  <w:rPr>
                    <w:rFonts w:ascii="Cambria Math" w:hAnsi="Cambria Math"/>
                  </w:rPr>
                  <m:t xml:space="preserve">= </m:t>
                </m:r>
                <m:nary>
                  <m:naryPr>
                    <m:chr m:val="∑"/>
                    <m:limLoc m:val="subSup"/>
                    <m:ctrlPr>
                      <w:rPr>
                        <w:rFonts w:ascii="Cambria Math" w:hAnsi="Cambria Math"/>
                        <w:sz w:val="20"/>
                        <w:szCs w:val="24"/>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S</m:t>
                    </m:r>
                  </m:sup>
                  <m:e>
                    <m:f>
                      <m:fPr>
                        <m:ctrlPr>
                          <w:rPr>
                            <w:rFonts w:ascii="Cambria Math" w:hAnsi="Cambria Math"/>
                            <w:sz w:val="20"/>
                            <w:szCs w:val="24"/>
                          </w:rPr>
                        </m:ctrlPr>
                      </m:fPr>
                      <m:num>
                        <m:sSub>
                          <m:sSubPr>
                            <m:ctrlPr>
                              <w:rPr>
                                <w:rFonts w:ascii="Cambria Math" w:hAnsi="Cambria Math"/>
                                <w:sz w:val="20"/>
                                <w:szCs w:val="24"/>
                              </w:rPr>
                            </m:ctrlPr>
                          </m:sSubPr>
                          <m:e>
                            <m:r>
                              <m:rPr>
                                <m:sty m:val="p"/>
                              </m:rPr>
                              <w:rPr>
                                <w:rFonts w:ascii="Cambria Math" w:hAnsi="Cambria Math"/>
                              </w:rPr>
                              <m:t>(</m:t>
                            </m:r>
                            <m:r>
                              <w:rPr>
                                <w:rFonts w:ascii="Cambria Math" w:hAnsi="Cambria Math"/>
                              </w:rPr>
                              <m:t>n</m:t>
                            </m:r>
                          </m:e>
                          <m:sub>
                            <m:r>
                              <w:rPr>
                                <w:rFonts w:ascii="Cambria Math" w:hAnsi="Cambria Math"/>
                              </w:rPr>
                              <m:t>i</m:t>
                            </m:r>
                          </m:sub>
                        </m:sSub>
                        <m:r>
                          <m:rPr>
                            <m:sty m:val="p"/>
                          </m:rPr>
                          <w:rPr>
                            <w:rFonts w:ascii="Cambria Math" w:hAnsi="Cambria Math"/>
                          </w:rPr>
                          <m:t xml:space="preserve"> × </m:t>
                        </m:r>
                        <m:sSub>
                          <m:sSubPr>
                            <m:ctrlPr>
                              <w:rPr>
                                <w:rFonts w:ascii="Cambria Math" w:hAnsi="Cambria Math"/>
                                <w:sz w:val="20"/>
                                <w:szCs w:val="24"/>
                              </w:rPr>
                            </m:ctrlPr>
                          </m:sSubPr>
                          <m:e>
                            <m:r>
                              <w:rPr>
                                <w:rFonts w:ascii="Cambria Math" w:hAnsi="Cambria Math"/>
                              </w:rPr>
                              <m:t>a</m:t>
                            </m:r>
                          </m:e>
                          <m:sub>
                            <m:r>
                              <w:rPr>
                                <w:rFonts w:ascii="Cambria Math" w:hAnsi="Cambria Math"/>
                              </w:rPr>
                              <m:t>i</m:t>
                            </m:r>
                          </m:sub>
                        </m:sSub>
                        <m:r>
                          <m:rPr>
                            <m:sty m:val="p"/>
                          </m:rPr>
                          <w:rPr>
                            <w:rFonts w:ascii="Cambria Math" w:hAnsi="Cambria Math"/>
                          </w:rPr>
                          <m:t>)</m:t>
                        </m:r>
                      </m:num>
                      <m:den>
                        <m:r>
                          <w:rPr>
                            <w:rFonts w:ascii="Cambria Math" w:hAnsi="Cambria Math"/>
                          </w:rPr>
                          <m:t>N</m:t>
                        </m:r>
                      </m:den>
                    </m:f>
                  </m:e>
                </m:nary>
              </m:oMath>
            </m:oMathPara>
          </w:p>
          <w:p w14:paraId="1C2030B8" w14:textId="77777777" w:rsidR="00FC77C7" w:rsidRDefault="00FC77C7" w:rsidP="0093011F">
            <w:pPr>
              <w:pStyle w:val="TableText"/>
            </w:pPr>
            <w:r>
              <w:t xml:space="preserve">Where </w:t>
            </w:r>
            <w:proofErr w:type="spellStart"/>
            <w:r>
              <w:t>n</w:t>
            </w:r>
            <w:r>
              <w:rPr>
                <w:vertAlign w:val="subscript"/>
              </w:rPr>
              <w:t>i</w:t>
            </w:r>
            <w:proofErr w:type="spellEnd"/>
            <w:r>
              <w:t xml:space="preserve"> is the abundance for the </w:t>
            </w:r>
            <w:proofErr w:type="spellStart"/>
            <w:r>
              <w:rPr>
                <w:iCs/>
              </w:rPr>
              <w:t>i</w:t>
            </w:r>
            <w:r>
              <w:t>th</w:t>
            </w:r>
            <w:proofErr w:type="spellEnd"/>
            <w:r>
              <w:t xml:space="preserve"> scoring taxon and N is the total of the coded abundances of the total sample.</w:t>
            </w:r>
          </w:p>
        </w:tc>
      </w:tr>
    </w:tbl>
    <w:p w14:paraId="200D08D6" w14:textId="77777777" w:rsidR="00FC77C7" w:rsidRPr="006D1F65" w:rsidRDefault="00FC77C7" w:rsidP="00FC77C7">
      <w:pPr>
        <w:rPr>
          <w:sz w:val="18"/>
          <w:szCs w:val="18"/>
        </w:rPr>
      </w:pPr>
      <w:r w:rsidRPr="006D1F65">
        <w:rPr>
          <w:sz w:val="18"/>
          <w:szCs w:val="18"/>
        </w:rPr>
        <w:t xml:space="preserve">Source: Stark and </w:t>
      </w:r>
      <w:proofErr w:type="spellStart"/>
      <w:r w:rsidRPr="006D1F65">
        <w:rPr>
          <w:sz w:val="18"/>
          <w:szCs w:val="18"/>
        </w:rPr>
        <w:t>Maxted</w:t>
      </w:r>
      <w:proofErr w:type="spellEnd"/>
      <w:r w:rsidRPr="006D1F65">
        <w:rPr>
          <w:sz w:val="18"/>
          <w:szCs w:val="18"/>
        </w:rPr>
        <w:t xml:space="preserve"> (2007)</w:t>
      </w:r>
    </w:p>
    <w:p w14:paraId="2F18C426" w14:textId="77777777" w:rsidR="00FC77C7" w:rsidRDefault="00FC77C7" w:rsidP="00FC77C7"/>
    <w:p w14:paraId="6429A771" w14:textId="77777777" w:rsidR="00FC77C7" w:rsidRDefault="00FC77C7" w:rsidP="00FC77C7">
      <w:r>
        <w:t xml:space="preserve">Although Tait </w:t>
      </w:r>
      <w:r>
        <w:rPr>
          <w:i/>
          <w:iCs/>
        </w:rPr>
        <w:t>et al</w:t>
      </w:r>
      <w:r>
        <w:t xml:space="preserve"> provided values for ecological quality and water clarity, t</w:t>
      </w:r>
      <w:r w:rsidRPr="0083403F">
        <w:t>he analysis of the benefits of the stock exclusion policy was limited to the impacts on human health</w:t>
      </w:r>
      <w:r>
        <w:t>.</w:t>
      </w:r>
      <w:r w:rsidRPr="0083403F">
        <w:t xml:space="preserve"> </w:t>
      </w:r>
      <w:r>
        <w:t xml:space="preserve">The analysis of human health impacts was possible because of the predictive model (ECLM) that linked the policy to the effects on </w:t>
      </w:r>
      <w:r w:rsidRPr="00093826">
        <w:rPr>
          <w:i/>
          <w:iCs/>
        </w:rPr>
        <w:t>E coli</w:t>
      </w:r>
      <w:r>
        <w:t xml:space="preserve">. There was no similar model identified to predict the impacts on MCI or water clarity. </w:t>
      </w:r>
    </w:p>
    <w:p w14:paraId="2D097863" w14:textId="77777777" w:rsidR="00FC77C7" w:rsidRDefault="00FC77C7" w:rsidP="00FC77C7"/>
    <w:p w14:paraId="5F5C3BBD" w14:textId="253F45A6" w:rsidR="00FC77C7" w:rsidRDefault="00FC77C7" w:rsidP="00FC77C7">
      <w:r>
        <w:t xml:space="preserve">The estimated benefits of different variations of the stock exclusion policy are shown in </w:t>
      </w:r>
      <w:r>
        <w:fldChar w:fldCharType="begin"/>
      </w:r>
      <w:r>
        <w:instrText xml:space="preserve"> REF _Ref32313277 \h </w:instrText>
      </w:r>
      <w:r>
        <w:fldChar w:fldCharType="separate"/>
      </w:r>
      <w:r w:rsidR="00024EB5">
        <w:t xml:space="preserve">Table </w:t>
      </w:r>
      <w:r w:rsidR="00024EB5">
        <w:rPr>
          <w:noProof/>
        </w:rPr>
        <w:t>4</w:t>
      </w:r>
      <w:r>
        <w:fldChar w:fldCharType="end"/>
      </w:r>
      <w:r>
        <w:t xml:space="preserve">; it assumes over 95% of dairy land that could fenced, is already fenced, 70% for sheep &amp; beef and 73% </w:t>
      </w:r>
      <w:r>
        <w:lastRenderedPageBreak/>
        <w:t xml:space="preserve">for deer. The closest policy to the new proposed stock exclusion policy is Option 5, </w:t>
      </w:r>
      <w:proofErr w:type="spellStart"/>
      <w:r>
        <w:t>ie</w:t>
      </w:r>
      <w:proofErr w:type="spellEnd"/>
      <w:r>
        <w:t xml:space="preserve"> it does not include fencing of steep land.</w:t>
      </w:r>
      <w:r>
        <w:rPr>
          <w:rStyle w:val="FootnoteReference"/>
        </w:rPr>
        <w:footnoteReference w:id="27"/>
      </w:r>
      <w:r>
        <w:t xml:space="preserve"> </w:t>
      </w:r>
    </w:p>
    <w:p w14:paraId="706CB054" w14:textId="4136CAAF" w:rsidR="00FC77C7" w:rsidRDefault="00FC77C7" w:rsidP="0093011F">
      <w:pPr>
        <w:pStyle w:val="Caption"/>
      </w:pPr>
      <w:bookmarkStart w:id="43" w:name="_Ref32313277"/>
      <w:r>
        <w:t xml:space="preserve">Table </w:t>
      </w:r>
      <w:r w:rsidR="00313617">
        <w:fldChar w:fldCharType="begin"/>
      </w:r>
      <w:r w:rsidR="00313617">
        <w:instrText xml:space="preserve"> SEQ Table \* ARABIC </w:instrText>
      </w:r>
      <w:r w:rsidR="00313617">
        <w:fldChar w:fldCharType="separate"/>
      </w:r>
      <w:r w:rsidR="00024EB5">
        <w:rPr>
          <w:noProof/>
        </w:rPr>
        <w:t>4</w:t>
      </w:r>
      <w:r w:rsidR="00313617">
        <w:rPr>
          <w:noProof/>
        </w:rPr>
        <w:fldChar w:fldCharType="end"/>
      </w:r>
      <w:bookmarkEnd w:id="43"/>
      <w:r>
        <w:t xml:space="preserve"> Annual and p</w:t>
      </w:r>
      <w:r w:rsidRPr="00D400CE">
        <w:t>resent value of benefits of stock exclusion policy options (discounted at 8</w:t>
      </w:r>
      <w:r>
        <w:t>%</w:t>
      </w:r>
      <w:r w:rsidRPr="00D400CE">
        <w:t xml:space="preserve"> over 25 years)</w:t>
      </w:r>
    </w:p>
    <w:tbl>
      <w:tblPr>
        <w:tblStyle w:val="CovecTables"/>
        <w:tblW w:w="0" w:type="auto"/>
        <w:tblLayout w:type="fixed"/>
        <w:tblLook w:val="04E0" w:firstRow="1" w:lastRow="1" w:firstColumn="1" w:lastColumn="0" w:noHBand="0" w:noVBand="1"/>
      </w:tblPr>
      <w:tblGrid>
        <w:gridCol w:w="5222"/>
        <w:gridCol w:w="919"/>
        <w:gridCol w:w="834"/>
        <w:gridCol w:w="1133"/>
      </w:tblGrid>
      <w:tr w:rsidR="00FC77C7" w14:paraId="59DB3787" w14:textId="77777777" w:rsidTr="009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2" w:type="dxa"/>
          </w:tcPr>
          <w:p w14:paraId="14B56B39" w14:textId="77777777" w:rsidR="00FC77C7" w:rsidRDefault="00FC77C7" w:rsidP="0093011F">
            <w:pPr>
              <w:pStyle w:val="TableText"/>
              <w:jc w:val="left"/>
            </w:pPr>
            <w:r>
              <w:t>Stock exclusion options</w:t>
            </w:r>
          </w:p>
        </w:tc>
        <w:tc>
          <w:tcPr>
            <w:tcW w:w="919" w:type="dxa"/>
          </w:tcPr>
          <w:p w14:paraId="0EDF21FB"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Marginal annual benefits ($m)</w:t>
            </w:r>
          </w:p>
        </w:tc>
        <w:tc>
          <w:tcPr>
            <w:tcW w:w="834" w:type="dxa"/>
            <w:vAlign w:val="top"/>
          </w:tcPr>
          <w:p w14:paraId="21275D79"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Present value</w:t>
            </w:r>
          </w:p>
          <w:p w14:paraId="7E39A2C6"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w:t>
            </w:r>
          </w:p>
        </w:tc>
        <w:tc>
          <w:tcPr>
            <w:tcW w:w="1133" w:type="dxa"/>
            <w:vAlign w:val="top"/>
          </w:tcPr>
          <w:p w14:paraId="04269280"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Cumulative PV</w:t>
            </w:r>
          </w:p>
          <w:p w14:paraId="56CEE2AF"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w:t>
            </w:r>
          </w:p>
        </w:tc>
      </w:tr>
      <w:tr w:rsidR="00FC77C7" w14:paraId="789820A7"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bottom w:val="single" w:sz="8" w:space="0" w:color="A6A6A6" w:themeColor="background1" w:themeShade="A6"/>
            </w:tcBorders>
            <w:vAlign w:val="top"/>
          </w:tcPr>
          <w:p w14:paraId="49EE1BB8" w14:textId="77777777" w:rsidR="00FC77C7" w:rsidRDefault="00FC77C7" w:rsidP="0093011F">
            <w:pPr>
              <w:pStyle w:val="TableText"/>
            </w:pPr>
            <w:r w:rsidRPr="004F1251">
              <w:t>Baseline: Current fencing, including regional council requirements to be implemented by July 2017</w:t>
            </w:r>
          </w:p>
        </w:tc>
        <w:tc>
          <w:tcPr>
            <w:tcW w:w="919" w:type="dxa"/>
            <w:tcBorders>
              <w:bottom w:val="single" w:sz="8" w:space="0" w:color="A6A6A6" w:themeColor="background1" w:themeShade="A6"/>
            </w:tcBorders>
          </w:tcPr>
          <w:p w14:paraId="4EAA4E5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834" w:type="dxa"/>
            <w:tcBorders>
              <w:bottom w:val="single" w:sz="8" w:space="0" w:color="A6A6A6" w:themeColor="background1" w:themeShade="A6"/>
            </w:tcBorders>
            <w:vAlign w:val="top"/>
          </w:tcPr>
          <w:p w14:paraId="768C3A0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133" w:type="dxa"/>
            <w:tcBorders>
              <w:bottom w:val="single" w:sz="8" w:space="0" w:color="A6A6A6" w:themeColor="background1" w:themeShade="A6"/>
            </w:tcBorders>
            <w:vAlign w:val="top"/>
          </w:tcPr>
          <w:p w14:paraId="7C9B9B0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35AB704A"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top w:val="single" w:sz="8" w:space="0" w:color="A6A6A6" w:themeColor="background1" w:themeShade="A6"/>
              <w:bottom w:val="single" w:sz="8" w:space="0" w:color="A6A6A6" w:themeColor="background1" w:themeShade="A6"/>
            </w:tcBorders>
            <w:vAlign w:val="top"/>
          </w:tcPr>
          <w:p w14:paraId="7F29AC43" w14:textId="77777777" w:rsidR="00FC77C7" w:rsidRDefault="00FC77C7" w:rsidP="0093011F">
            <w:pPr>
              <w:pStyle w:val="TableText"/>
            </w:pPr>
            <w:r w:rsidRPr="004F1251">
              <w:t>Baseline plus: Dairy cattle on dairy platforms by 2017 on flat and rolling land for Accord waterways</w:t>
            </w:r>
          </w:p>
        </w:tc>
        <w:tc>
          <w:tcPr>
            <w:tcW w:w="919" w:type="dxa"/>
            <w:tcBorders>
              <w:top w:val="single" w:sz="8" w:space="0" w:color="A6A6A6" w:themeColor="background1" w:themeShade="A6"/>
              <w:bottom w:val="single" w:sz="8" w:space="0" w:color="A6A6A6" w:themeColor="background1" w:themeShade="A6"/>
            </w:tcBorders>
            <w:vAlign w:val="top"/>
          </w:tcPr>
          <w:p w14:paraId="7CC2817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740A6D">
              <w:t>5.7</w:t>
            </w:r>
          </w:p>
        </w:tc>
        <w:tc>
          <w:tcPr>
            <w:tcW w:w="834" w:type="dxa"/>
            <w:tcBorders>
              <w:top w:val="single" w:sz="8" w:space="0" w:color="A6A6A6" w:themeColor="background1" w:themeShade="A6"/>
              <w:bottom w:val="single" w:sz="8" w:space="0" w:color="A6A6A6" w:themeColor="background1" w:themeShade="A6"/>
            </w:tcBorders>
            <w:vAlign w:val="top"/>
          </w:tcPr>
          <w:p w14:paraId="4CECDD09"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3A71C9">
              <w:t>65.3</w:t>
            </w:r>
          </w:p>
        </w:tc>
        <w:tc>
          <w:tcPr>
            <w:tcW w:w="1133" w:type="dxa"/>
            <w:tcBorders>
              <w:top w:val="single" w:sz="8" w:space="0" w:color="A6A6A6" w:themeColor="background1" w:themeShade="A6"/>
              <w:bottom w:val="single" w:sz="8" w:space="0" w:color="A6A6A6" w:themeColor="background1" w:themeShade="A6"/>
            </w:tcBorders>
            <w:vAlign w:val="top"/>
          </w:tcPr>
          <w:p w14:paraId="35E88E6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A54C93">
              <w:t>65.3</w:t>
            </w:r>
          </w:p>
        </w:tc>
      </w:tr>
      <w:tr w:rsidR="00FC77C7" w14:paraId="6EB10CAA"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top w:val="single" w:sz="8" w:space="0" w:color="A6A6A6" w:themeColor="background1" w:themeShade="A6"/>
              <w:bottom w:val="single" w:sz="8" w:space="0" w:color="A6A6A6" w:themeColor="background1" w:themeShade="A6"/>
            </w:tcBorders>
            <w:vAlign w:val="top"/>
          </w:tcPr>
          <w:p w14:paraId="0CFF982F" w14:textId="77777777" w:rsidR="00FC77C7" w:rsidRDefault="00FC77C7" w:rsidP="0093011F">
            <w:pPr>
              <w:pStyle w:val="TableText"/>
            </w:pPr>
            <w:r w:rsidRPr="004F1251">
              <w:t>Option 2 plus: Dairy cattle grazing on land owned by dairy farmers by 2020 on flat and rolling land for Accord waterways</w:t>
            </w:r>
          </w:p>
        </w:tc>
        <w:tc>
          <w:tcPr>
            <w:tcW w:w="919" w:type="dxa"/>
            <w:tcBorders>
              <w:top w:val="single" w:sz="8" w:space="0" w:color="A6A6A6" w:themeColor="background1" w:themeShade="A6"/>
              <w:bottom w:val="single" w:sz="8" w:space="0" w:color="A6A6A6" w:themeColor="background1" w:themeShade="A6"/>
            </w:tcBorders>
            <w:vAlign w:val="top"/>
          </w:tcPr>
          <w:p w14:paraId="447DF99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740A6D">
              <w:t>5.9</w:t>
            </w:r>
          </w:p>
        </w:tc>
        <w:tc>
          <w:tcPr>
            <w:tcW w:w="834" w:type="dxa"/>
            <w:tcBorders>
              <w:top w:val="single" w:sz="8" w:space="0" w:color="A6A6A6" w:themeColor="background1" w:themeShade="A6"/>
              <w:bottom w:val="single" w:sz="8" w:space="0" w:color="A6A6A6" w:themeColor="background1" w:themeShade="A6"/>
            </w:tcBorders>
            <w:vAlign w:val="top"/>
          </w:tcPr>
          <w:p w14:paraId="2FDE2B9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3A71C9">
              <w:t>68.0</w:t>
            </w:r>
          </w:p>
        </w:tc>
        <w:tc>
          <w:tcPr>
            <w:tcW w:w="1133" w:type="dxa"/>
            <w:tcBorders>
              <w:top w:val="single" w:sz="8" w:space="0" w:color="A6A6A6" w:themeColor="background1" w:themeShade="A6"/>
              <w:bottom w:val="single" w:sz="8" w:space="0" w:color="A6A6A6" w:themeColor="background1" w:themeShade="A6"/>
            </w:tcBorders>
            <w:vAlign w:val="top"/>
          </w:tcPr>
          <w:p w14:paraId="793B301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A54C93">
              <w:t>133.3</w:t>
            </w:r>
          </w:p>
        </w:tc>
      </w:tr>
      <w:tr w:rsidR="00FC77C7" w14:paraId="041CC063"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top w:val="single" w:sz="8" w:space="0" w:color="A6A6A6" w:themeColor="background1" w:themeShade="A6"/>
              <w:bottom w:val="single" w:sz="8" w:space="0" w:color="A6A6A6" w:themeColor="background1" w:themeShade="A6"/>
            </w:tcBorders>
            <w:vAlign w:val="top"/>
          </w:tcPr>
          <w:p w14:paraId="193FD104" w14:textId="77777777" w:rsidR="00FC77C7" w:rsidRDefault="00FC77C7" w:rsidP="0093011F">
            <w:pPr>
              <w:pStyle w:val="TableText"/>
            </w:pPr>
            <w:r w:rsidRPr="004F1251">
              <w:t>Option 3 plus: Dairy cattle grazing on land owned by a third party by 2025 on flat and rolling land for Accord waterways</w:t>
            </w:r>
          </w:p>
        </w:tc>
        <w:tc>
          <w:tcPr>
            <w:tcW w:w="919" w:type="dxa"/>
            <w:tcBorders>
              <w:top w:val="single" w:sz="8" w:space="0" w:color="A6A6A6" w:themeColor="background1" w:themeShade="A6"/>
              <w:bottom w:val="single" w:sz="8" w:space="0" w:color="A6A6A6" w:themeColor="background1" w:themeShade="A6"/>
            </w:tcBorders>
            <w:vAlign w:val="top"/>
          </w:tcPr>
          <w:p w14:paraId="404258A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740A6D">
              <w:t>10.8</w:t>
            </w:r>
          </w:p>
        </w:tc>
        <w:tc>
          <w:tcPr>
            <w:tcW w:w="834" w:type="dxa"/>
            <w:tcBorders>
              <w:top w:val="single" w:sz="8" w:space="0" w:color="A6A6A6" w:themeColor="background1" w:themeShade="A6"/>
              <w:bottom w:val="single" w:sz="8" w:space="0" w:color="A6A6A6" w:themeColor="background1" w:themeShade="A6"/>
            </w:tcBorders>
            <w:vAlign w:val="top"/>
          </w:tcPr>
          <w:p w14:paraId="4C4FBC1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3A71C9">
              <w:t>124.5</w:t>
            </w:r>
          </w:p>
        </w:tc>
        <w:tc>
          <w:tcPr>
            <w:tcW w:w="1133" w:type="dxa"/>
            <w:tcBorders>
              <w:top w:val="single" w:sz="8" w:space="0" w:color="A6A6A6" w:themeColor="background1" w:themeShade="A6"/>
              <w:bottom w:val="single" w:sz="8" w:space="0" w:color="A6A6A6" w:themeColor="background1" w:themeShade="A6"/>
            </w:tcBorders>
            <w:vAlign w:val="top"/>
          </w:tcPr>
          <w:p w14:paraId="29F055E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A54C93">
              <w:t>257.8</w:t>
            </w:r>
          </w:p>
        </w:tc>
      </w:tr>
      <w:tr w:rsidR="00FC77C7" w14:paraId="33180C37"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top w:val="single" w:sz="8" w:space="0" w:color="A6A6A6" w:themeColor="background1" w:themeShade="A6"/>
              <w:bottom w:val="single" w:sz="8" w:space="0" w:color="A6A6A6" w:themeColor="background1" w:themeShade="A6"/>
            </w:tcBorders>
            <w:vAlign w:val="top"/>
          </w:tcPr>
          <w:p w14:paraId="5E0D494A" w14:textId="77777777" w:rsidR="00FC77C7" w:rsidRDefault="00FC77C7" w:rsidP="0093011F">
            <w:pPr>
              <w:pStyle w:val="TableText"/>
            </w:pPr>
            <w:r w:rsidRPr="004F1251">
              <w:t xml:space="preserve">Option 4 </w:t>
            </w:r>
            <w:proofErr w:type="spellStart"/>
            <w:r w:rsidRPr="004F1251">
              <w:t>plus:Beef</w:t>
            </w:r>
            <w:proofErr w:type="spellEnd"/>
            <w:r w:rsidRPr="004F1251">
              <w:t xml:space="preserve"> cattle excluded by 2025 on flat land, and 2030 on rolling land for Accord waterways</w:t>
            </w:r>
          </w:p>
        </w:tc>
        <w:tc>
          <w:tcPr>
            <w:tcW w:w="919" w:type="dxa"/>
            <w:tcBorders>
              <w:top w:val="single" w:sz="8" w:space="0" w:color="A6A6A6" w:themeColor="background1" w:themeShade="A6"/>
              <w:bottom w:val="single" w:sz="8" w:space="0" w:color="A6A6A6" w:themeColor="background1" w:themeShade="A6"/>
            </w:tcBorders>
            <w:vAlign w:val="top"/>
          </w:tcPr>
          <w:p w14:paraId="3EC185F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740A6D">
              <w:t>62.1</w:t>
            </w:r>
          </w:p>
        </w:tc>
        <w:tc>
          <w:tcPr>
            <w:tcW w:w="834" w:type="dxa"/>
            <w:tcBorders>
              <w:top w:val="single" w:sz="8" w:space="0" w:color="A6A6A6" w:themeColor="background1" w:themeShade="A6"/>
              <w:bottom w:val="single" w:sz="8" w:space="0" w:color="A6A6A6" w:themeColor="background1" w:themeShade="A6"/>
            </w:tcBorders>
            <w:vAlign w:val="top"/>
          </w:tcPr>
          <w:p w14:paraId="213DCFD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3A71C9">
              <w:t>716.1</w:t>
            </w:r>
          </w:p>
        </w:tc>
        <w:tc>
          <w:tcPr>
            <w:tcW w:w="1133" w:type="dxa"/>
            <w:tcBorders>
              <w:top w:val="single" w:sz="8" w:space="0" w:color="A6A6A6" w:themeColor="background1" w:themeShade="A6"/>
              <w:bottom w:val="single" w:sz="8" w:space="0" w:color="A6A6A6" w:themeColor="background1" w:themeShade="A6"/>
            </w:tcBorders>
            <w:vAlign w:val="top"/>
          </w:tcPr>
          <w:p w14:paraId="5B5A526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A54C93">
              <w:t>973.9</w:t>
            </w:r>
          </w:p>
        </w:tc>
      </w:tr>
      <w:tr w:rsidR="00FC77C7" w14:paraId="1C19AFE7" w14:textId="77777777" w:rsidTr="0093011F">
        <w:tc>
          <w:tcPr>
            <w:cnfStyle w:val="001000000000" w:firstRow="0" w:lastRow="0" w:firstColumn="1" w:lastColumn="0" w:oddVBand="0" w:evenVBand="0" w:oddHBand="0" w:evenHBand="0" w:firstRowFirstColumn="0" w:firstRowLastColumn="0" w:lastRowFirstColumn="0" w:lastRowLastColumn="0"/>
            <w:tcW w:w="5222" w:type="dxa"/>
            <w:tcBorders>
              <w:top w:val="single" w:sz="8" w:space="0" w:color="A6A6A6" w:themeColor="background1" w:themeShade="A6"/>
              <w:bottom w:val="single" w:sz="8" w:space="0" w:color="A6A6A6" w:themeColor="background1" w:themeShade="A6"/>
            </w:tcBorders>
            <w:vAlign w:val="top"/>
          </w:tcPr>
          <w:p w14:paraId="3C9968CE" w14:textId="77777777" w:rsidR="00FC77C7" w:rsidRDefault="00FC77C7" w:rsidP="0093011F">
            <w:pPr>
              <w:pStyle w:val="TableText"/>
            </w:pPr>
            <w:r w:rsidRPr="004F1251">
              <w:t>Option 5 plus: Deer excluded by 2025 on flat land, and 2030 on rolling land for Accord waterways</w:t>
            </w:r>
          </w:p>
        </w:tc>
        <w:tc>
          <w:tcPr>
            <w:tcW w:w="919" w:type="dxa"/>
            <w:tcBorders>
              <w:top w:val="single" w:sz="8" w:space="0" w:color="A6A6A6" w:themeColor="background1" w:themeShade="A6"/>
              <w:bottom w:val="single" w:sz="8" w:space="0" w:color="A6A6A6" w:themeColor="background1" w:themeShade="A6"/>
            </w:tcBorders>
            <w:vAlign w:val="top"/>
          </w:tcPr>
          <w:p w14:paraId="645683F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740A6D">
              <w:t>0.8</w:t>
            </w:r>
          </w:p>
        </w:tc>
        <w:tc>
          <w:tcPr>
            <w:tcW w:w="834" w:type="dxa"/>
            <w:tcBorders>
              <w:top w:val="single" w:sz="8" w:space="0" w:color="A6A6A6" w:themeColor="background1" w:themeShade="A6"/>
              <w:bottom w:val="single" w:sz="8" w:space="0" w:color="A6A6A6" w:themeColor="background1" w:themeShade="A6"/>
            </w:tcBorders>
            <w:vAlign w:val="top"/>
          </w:tcPr>
          <w:p w14:paraId="6611B8D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3A71C9">
              <w:t>9.5</w:t>
            </w:r>
          </w:p>
        </w:tc>
        <w:tc>
          <w:tcPr>
            <w:tcW w:w="1133" w:type="dxa"/>
            <w:tcBorders>
              <w:top w:val="single" w:sz="8" w:space="0" w:color="A6A6A6" w:themeColor="background1" w:themeShade="A6"/>
              <w:bottom w:val="single" w:sz="8" w:space="0" w:color="A6A6A6" w:themeColor="background1" w:themeShade="A6"/>
            </w:tcBorders>
            <w:vAlign w:val="top"/>
          </w:tcPr>
          <w:p w14:paraId="50EC80E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t>
            </w:r>
            <w:r w:rsidRPr="00A54C93">
              <w:t>983.4</w:t>
            </w:r>
          </w:p>
        </w:tc>
      </w:tr>
      <w:tr w:rsidR="00FC77C7" w14:paraId="64202854" w14:textId="77777777" w:rsidTr="0093011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222" w:type="dxa"/>
            <w:tcBorders>
              <w:top w:val="single" w:sz="8" w:space="0" w:color="A6A6A6" w:themeColor="background1" w:themeShade="A6"/>
            </w:tcBorders>
            <w:vAlign w:val="top"/>
          </w:tcPr>
          <w:p w14:paraId="207DFB2D" w14:textId="77777777" w:rsidR="00FC77C7" w:rsidRDefault="00FC77C7" w:rsidP="0093011F">
            <w:pPr>
              <w:pStyle w:val="TableText"/>
            </w:pPr>
            <w:r w:rsidRPr="004F1251">
              <w:t>ALL: Exclude all cattle (dairy and beef) and deer into steep country (slopes up to 28 degrees) by 2017</w:t>
            </w:r>
          </w:p>
        </w:tc>
        <w:tc>
          <w:tcPr>
            <w:tcW w:w="919" w:type="dxa"/>
            <w:tcBorders>
              <w:top w:val="single" w:sz="8" w:space="0" w:color="A6A6A6" w:themeColor="background1" w:themeShade="A6"/>
            </w:tcBorders>
            <w:vAlign w:val="top"/>
          </w:tcPr>
          <w:p w14:paraId="1C19A10D"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w:t>
            </w:r>
            <w:r w:rsidRPr="00740A6D">
              <w:t>207</w:t>
            </w:r>
            <w:r>
              <w:t>.0</w:t>
            </w:r>
          </w:p>
        </w:tc>
        <w:tc>
          <w:tcPr>
            <w:tcW w:w="834" w:type="dxa"/>
            <w:tcBorders>
              <w:top w:val="single" w:sz="8" w:space="0" w:color="A6A6A6" w:themeColor="background1" w:themeShade="A6"/>
            </w:tcBorders>
            <w:vAlign w:val="top"/>
          </w:tcPr>
          <w:p w14:paraId="1E442FF0"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w:t>
            </w:r>
            <w:r w:rsidRPr="003A71C9">
              <w:t>2</w:t>
            </w:r>
            <w:r>
              <w:t>,</w:t>
            </w:r>
            <w:r w:rsidRPr="003A71C9">
              <w:t>386.4</w:t>
            </w:r>
          </w:p>
        </w:tc>
        <w:tc>
          <w:tcPr>
            <w:tcW w:w="1133" w:type="dxa"/>
            <w:tcBorders>
              <w:top w:val="single" w:sz="8" w:space="0" w:color="A6A6A6" w:themeColor="background1" w:themeShade="A6"/>
            </w:tcBorders>
            <w:vAlign w:val="top"/>
          </w:tcPr>
          <w:p w14:paraId="38EFD737"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w:t>
            </w:r>
            <w:r w:rsidRPr="00A54C93">
              <w:t>3</w:t>
            </w:r>
            <w:r>
              <w:t>,</w:t>
            </w:r>
            <w:r w:rsidRPr="00A54C93">
              <w:t>369.8</w:t>
            </w:r>
          </w:p>
        </w:tc>
      </w:tr>
    </w:tbl>
    <w:p w14:paraId="40B80611" w14:textId="77777777" w:rsidR="00FC77C7" w:rsidRPr="006D1F65" w:rsidRDefault="00FC77C7" w:rsidP="00FC77C7">
      <w:pPr>
        <w:rPr>
          <w:sz w:val="18"/>
          <w:szCs w:val="18"/>
        </w:rPr>
      </w:pPr>
      <w:r w:rsidRPr="006D1F65">
        <w:rPr>
          <w:sz w:val="18"/>
          <w:szCs w:val="18"/>
        </w:rPr>
        <w:t xml:space="preserve">Source: Tait </w:t>
      </w:r>
      <w:r w:rsidRPr="006D1F65">
        <w:rPr>
          <w:i/>
          <w:iCs/>
          <w:sz w:val="18"/>
          <w:szCs w:val="18"/>
        </w:rPr>
        <w:t>et al</w:t>
      </w:r>
      <w:r w:rsidRPr="006D1F65">
        <w:rPr>
          <w:sz w:val="18"/>
          <w:szCs w:val="18"/>
        </w:rPr>
        <w:t xml:space="preserve"> (2016); </w:t>
      </w:r>
      <w:proofErr w:type="spellStart"/>
      <w:r w:rsidRPr="006D1F65">
        <w:rPr>
          <w:sz w:val="18"/>
          <w:szCs w:val="18"/>
        </w:rPr>
        <w:t>Grinter</w:t>
      </w:r>
      <w:proofErr w:type="spellEnd"/>
      <w:r w:rsidRPr="006D1F65">
        <w:rPr>
          <w:sz w:val="18"/>
          <w:szCs w:val="18"/>
        </w:rPr>
        <w:t xml:space="preserve"> and White (2016)</w:t>
      </w:r>
    </w:p>
    <w:p w14:paraId="6ECD9510" w14:textId="77777777" w:rsidR="00FC77C7" w:rsidRDefault="00FC77C7" w:rsidP="00FC77C7"/>
    <w:p w14:paraId="5FDC6D50" w14:textId="77777777" w:rsidR="00FC77C7" w:rsidRDefault="00FC77C7" w:rsidP="00FC77C7">
      <w:r>
        <w:t xml:space="preserve">In its interim Regulatory Impact Analysis (RIA), </w:t>
      </w:r>
      <w:proofErr w:type="spellStart"/>
      <w:r>
        <w:t>MfE</w:t>
      </w:r>
      <w:proofErr w:type="spellEnd"/>
      <w:r>
        <w:t xml:space="preserve"> suggests that, because of the inclusion of land beside streams less than 1 metre wide, the EF package would exclude more stock than assumed in the 2016 analysis, such that the benefits would exceed the $983 million estimate for the value of exclusion from flat land.</w:t>
      </w:r>
      <w:r>
        <w:rPr>
          <w:rStyle w:val="FootnoteReference"/>
        </w:rPr>
        <w:footnoteReference w:id="28"/>
      </w:r>
      <w:r>
        <w:t xml:space="preserve"> However, the EF package as agreed by Cabinet does not include this extension.</w:t>
      </w:r>
    </w:p>
    <w:p w14:paraId="265A827C" w14:textId="77777777" w:rsidR="00FC77C7" w:rsidRDefault="00FC77C7" w:rsidP="00FC77C7"/>
    <w:p w14:paraId="794CA284" w14:textId="77777777" w:rsidR="00FC77C7" w:rsidRPr="00C3424D" w:rsidRDefault="00FC77C7" w:rsidP="00FC77C7">
      <w:r>
        <w:t xml:space="preserve">In our analysis of stock exclusion policy, we use the results of a new analysis by NIWA with the values from Tait </w:t>
      </w:r>
      <w:r>
        <w:rPr>
          <w:i/>
          <w:iCs/>
        </w:rPr>
        <w:t>et al</w:t>
      </w:r>
      <w:r>
        <w:t xml:space="preserve"> (2016).</w:t>
      </w:r>
    </w:p>
    <w:p w14:paraId="0C038922" w14:textId="77777777" w:rsidR="00FC77C7" w:rsidRDefault="00FC77C7" w:rsidP="00FC77C7">
      <w:pPr>
        <w:pStyle w:val="Heading2"/>
      </w:pPr>
      <w:bookmarkStart w:id="44" w:name="_Toc35593990"/>
      <w:bookmarkStart w:id="45" w:name="_Toc35599751"/>
      <w:r>
        <w:t>E Coli Bottom Lines</w:t>
      </w:r>
      <w:bookmarkEnd w:id="44"/>
      <w:bookmarkEnd w:id="45"/>
    </w:p>
    <w:p w14:paraId="7EB09578" w14:textId="39FA45D8" w:rsidR="00FC77C7" w:rsidRDefault="00FC77C7" w:rsidP="00FC77C7">
      <w:r>
        <w:t xml:space="preserve">In the interim RIA, </w:t>
      </w:r>
      <w:proofErr w:type="spellStart"/>
      <w:r>
        <w:t>MfE</w:t>
      </w:r>
      <w:proofErr w:type="spellEnd"/>
      <w:r>
        <w:t xml:space="preserve"> analysed the benefits of the </w:t>
      </w:r>
      <w:r>
        <w:rPr>
          <w:i/>
          <w:iCs/>
        </w:rPr>
        <w:t>E coli</w:t>
      </w:r>
      <w:r>
        <w:t xml:space="preserve"> element of the EF package, focussing on the bottom lines as defined in </w:t>
      </w:r>
      <w:r>
        <w:fldChar w:fldCharType="begin"/>
      </w:r>
      <w:r>
        <w:instrText xml:space="preserve"> REF _Ref32579739 \h </w:instrText>
      </w:r>
      <w:r>
        <w:fldChar w:fldCharType="separate"/>
      </w:r>
      <w:r w:rsidR="00024EB5">
        <w:t xml:space="preserve">Table </w:t>
      </w:r>
      <w:r w:rsidR="00024EB5">
        <w:rPr>
          <w:noProof/>
        </w:rPr>
        <w:t>5</w:t>
      </w:r>
      <w:r>
        <w:fldChar w:fldCharType="end"/>
      </w:r>
      <w:r>
        <w:t xml:space="preserve"> (option 1 in the Interim RIA). </w:t>
      </w:r>
    </w:p>
    <w:p w14:paraId="57631EAB" w14:textId="77777777" w:rsidR="00FC77C7" w:rsidRDefault="00FC77C7" w:rsidP="00FC77C7"/>
    <w:p w14:paraId="109C6C8D" w14:textId="5EB76CD2" w:rsidR="00FC77C7" w:rsidRDefault="00FC77C7" w:rsidP="00FC77C7">
      <w:r>
        <w:t xml:space="preserve">The </w:t>
      </w:r>
      <w:proofErr w:type="spellStart"/>
      <w:r>
        <w:t>MfE</w:t>
      </w:r>
      <w:proofErr w:type="spellEnd"/>
      <w:r>
        <w:t xml:space="preserve"> analysis used estimates of existing risk levels using Land Air and Water </w:t>
      </w:r>
      <w:proofErr w:type="spellStart"/>
      <w:r>
        <w:t>Aotearoa</w:t>
      </w:r>
      <w:proofErr w:type="spellEnd"/>
      <w:r>
        <w:t xml:space="preserve"> (</w:t>
      </w:r>
      <w:r w:rsidRPr="001C72E1">
        <w:t>LAWA</w:t>
      </w:r>
      <w:r>
        <w:t>)</w:t>
      </w:r>
      <w:r w:rsidRPr="001C72E1">
        <w:t xml:space="preserve"> </w:t>
      </w:r>
      <w:r>
        <w:t>data</w:t>
      </w:r>
      <w:r>
        <w:rPr>
          <w:rStyle w:val="FootnoteReference"/>
        </w:rPr>
        <w:footnoteReference w:id="29"/>
      </w:r>
      <w:r w:rsidRPr="001C72E1">
        <w:t xml:space="preserve"> </w:t>
      </w:r>
      <w:r>
        <w:t xml:space="preserve">which </w:t>
      </w:r>
      <w:r w:rsidRPr="001C72E1">
        <w:t xml:space="preserve">contained the Faecal Indicator Bacteria results from the 2015/16 - 2017/18 summer bathing seasons. There are 292 </w:t>
      </w:r>
      <w:r>
        <w:t xml:space="preserve">monitored </w:t>
      </w:r>
      <w:r w:rsidRPr="001C72E1">
        <w:t>sites, and 206 for which a 95th percentile was calculated</w:t>
      </w:r>
      <w:r>
        <w:t xml:space="preserve"> (as required for health risk classification - </w:t>
      </w:r>
      <w:r>
        <w:fldChar w:fldCharType="begin"/>
      </w:r>
      <w:r>
        <w:instrText xml:space="preserve"> REF _Ref32579739 \h </w:instrText>
      </w:r>
      <w:r>
        <w:fldChar w:fldCharType="separate"/>
      </w:r>
      <w:r w:rsidR="00024EB5">
        <w:t xml:space="preserve">Table </w:t>
      </w:r>
      <w:r w:rsidR="00024EB5">
        <w:rPr>
          <w:noProof/>
        </w:rPr>
        <w:t>5</w:t>
      </w:r>
      <w:r>
        <w:fldChar w:fldCharType="end"/>
      </w:r>
      <w:r>
        <w:t>)</w:t>
      </w:r>
      <w:r w:rsidRPr="001C72E1">
        <w:t xml:space="preserve">. </w:t>
      </w:r>
      <w:r w:rsidRPr="00106E8C">
        <w:rPr>
          <w:i/>
          <w:iCs/>
        </w:rPr>
        <w:t>E coli</w:t>
      </w:r>
      <w:r w:rsidRPr="001C72E1">
        <w:t xml:space="preserve"> levels in </w:t>
      </w:r>
      <w:r>
        <w:t xml:space="preserve">11.5% of </w:t>
      </w:r>
      <w:r w:rsidRPr="001C72E1">
        <w:t xml:space="preserve">sites are in the “excellent” band of the guidelines, </w:t>
      </w:r>
      <w:r>
        <w:t xml:space="preserve">13.5% </w:t>
      </w:r>
      <w:r w:rsidRPr="001C72E1">
        <w:t>are “good”</w:t>
      </w:r>
      <w:r>
        <w:t>,</w:t>
      </w:r>
      <w:r w:rsidRPr="001C72E1">
        <w:t xml:space="preserve"> </w:t>
      </w:r>
      <w:r>
        <w:t xml:space="preserve">22.6% </w:t>
      </w:r>
      <w:r w:rsidRPr="001C72E1">
        <w:t>are “fair”</w:t>
      </w:r>
      <w:r>
        <w:t xml:space="preserve"> and 52.4% </w:t>
      </w:r>
      <w:r w:rsidRPr="001C72E1">
        <w:t>are “poor” (where the guidelines recommend the public is warned against swimming). All catchments upstream of sites that are “poor” have significant amounts (over 50</w:t>
      </w:r>
      <w:r>
        <w:t>%</w:t>
      </w:r>
      <w:r w:rsidRPr="001C72E1">
        <w:t>) of pastoral land use</w:t>
      </w:r>
      <w:r>
        <w:t xml:space="preserve">. In addition, there is a wastewater treatment plant (WWTP) discharging to freshwater (either always or sometimes) upstream of 52 sites; in 50% of these sites, </w:t>
      </w:r>
      <w:r w:rsidRPr="00106E8C">
        <w:rPr>
          <w:i/>
          <w:iCs/>
        </w:rPr>
        <w:t>E coli</w:t>
      </w:r>
      <w:r>
        <w:t xml:space="preserve"> levels exceeded the recommended national bottom line.</w:t>
      </w:r>
    </w:p>
    <w:p w14:paraId="5BFD1C50" w14:textId="5321FB17" w:rsidR="00FC77C7" w:rsidRDefault="00FC77C7" w:rsidP="0093011F">
      <w:pPr>
        <w:pStyle w:val="Caption"/>
      </w:pPr>
      <w:bookmarkStart w:id="46" w:name="_Ref32579739"/>
      <w:r>
        <w:lastRenderedPageBreak/>
        <w:t xml:space="preserve">Table </w:t>
      </w:r>
      <w:r w:rsidR="00313617">
        <w:fldChar w:fldCharType="begin"/>
      </w:r>
      <w:r w:rsidR="00313617">
        <w:instrText xml:space="preserve"> SEQ Table \* ARABIC </w:instrText>
      </w:r>
      <w:r w:rsidR="00313617">
        <w:fldChar w:fldCharType="separate"/>
      </w:r>
      <w:r w:rsidR="00024EB5">
        <w:rPr>
          <w:noProof/>
        </w:rPr>
        <w:t>5</w:t>
      </w:r>
      <w:r w:rsidR="00313617">
        <w:rPr>
          <w:noProof/>
        </w:rPr>
        <w:fldChar w:fldCharType="end"/>
      </w:r>
      <w:bookmarkEnd w:id="46"/>
      <w:r>
        <w:t xml:space="preserve"> </w:t>
      </w:r>
      <w:r w:rsidRPr="00D67AFE">
        <w:rPr>
          <w:i/>
          <w:iCs/>
        </w:rPr>
        <w:t>E coli</w:t>
      </w:r>
      <w:r w:rsidRPr="00AA5B1A">
        <w:t xml:space="preserve"> attribute table for Appendix 2 of the NPS-F</w:t>
      </w:r>
      <w:r w:rsidR="00A53FAC">
        <w:t>M</w:t>
      </w:r>
    </w:p>
    <w:tbl>
      <w:tblPr>
        <w:tblStyle w:val="CovecTables"/>
        <w:tblW w:w="5000" w:type="pct"/>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1E0" w:firstRow="1" w:lastRow="1" w:firstColumn="1" w:lastColumn="1" w:noHBand="0" w:noVBand="0"/>
      </w:tblPr>
      <w:tblGrid>
        <w:gridCol w:w="2123"/>
        <w:gridCol w:w="2191"/>
        <w:gridCol w:w="3887"/>
      </w:tblGrid>
      <w:tr w:rsidR="00FC77C7" w14:paraId="7DE7F686"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none" w:sz="0" w:space="0" w:color="auto"/>
            </w:tcBorders>
          </w:tcPr>
          <w:p w14:paraId="183400A8" w14:textId="77777777" w:rsidR="00FC77C7" w:rsidRPr="00D67AFE" w:rsidRDefault="00FC77C7" w:rsidP="0093011F">
            <w:pPr>
              <w:pStyle w:val="TableText"/>
              <w:jc w:val="left"/>
            </w:pPr>
            <w:r w:rsidRPr="00D67AFE">
              <w:t>Value</w:t>
            </w:r>
          </w:p>
        </w:tc>
        <w:tc>
          <w:tcPr>
            <w:tcW w:w="3706" w:type="pct"/>
            <w:gridSpan w:val="2"/>
            <w:tcBorders>
              <w:bottom w:val="none" w:sz="0" w:space="0" w:color="auto"/>
            </w:tcBorders>
          </w:tcPr>
          <w:p w14:paraId="1E09ED79" w14:textId="77777777" w:rsidR="00FC77C7" w:rsidRPr="00D67AFE" w:rsidRDefault="00FC77C7" w:rsidP="0093011F">
            <w:pPr>
              <w:pStyle w:val="TableText"/>
              <w:jc w:val="left"/>
              <w:cnfStyle w:val="100000000000" w:firstRow="1" w:lastRow="0" w:firstColumn="0" w:lastColumn="0" w:oddVBand="0" w:evenVBand="0" w:oddHBand="0" w:evenHBand="0" w:firstRowFirstColumn="0" w:firstRowLastColumn="0" w:lastRowFirstColumn="0" w:lastRowLastColumn="0"/>
            </w:pPr>
            <w:r w:rsidRPr="00D67AFE">
              <w:t>Human health for recreation</w:t>
            </w:r>
          </w:p>
        </w:tc>
      </w:tr>
      <w:tr w:rsidR="00FC77C7" w14:paraId="1BB03169"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single" w:sz="8" w:space="0" w:color="A6A6A6" w:themeColor="background1" w:themeShade="A6"/>
            </w:tcBorders>
          </w:tcPr>
          <w:p w14:paraId="46E95C07" w14:textId="77777777" w:rsidR="00FC77C7" w:rsidRPr="00D67AFE" w:rsidRDefault="00FC77C7" w:rsidP="0093011F">
            <w:pPr>
              <w:pStyle w:val="TableText"/>
            </w:pPr>
            <w:r w:rsidRPr="00D67AFE">
              <w:t>Freshwater Body Type</w:t>
            </w:r>
          </w:p>
        </w:tc>
        <w:tc>
          <w:tcPr>
            <w:tcW w:w="3706" w:type="pct"/>
            <w:gridSpan w:val="2"/>
            <w:tcBorders>
              <w:bottom w:val="single" w:sz="8" w:space="0" w:color="A6A6A6" w:themeColor="background1" w:themeShade="A6"/>
            </w:tcBorders>
          </w:tcPr>
          <w:p w14:paraId="017C615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Primary contact sites in lakes and rivers (during the bathing season)</w:t>
            </w:r>
          </w:p>
        </w:tc>
      </w:tr>
      <w:tr w:rsidR="00FC77C7" w14:paraId="389A7C9E"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shd w:val="pct10" w:color="auto" w:fill="auto"/>
          </w:tcPr>
          <w:p w14:paraId="51644FF4" w14:textId="77777777" w:rsidR="00FC77C7" w:rsidRPr="00D67AFE" w:rsidRDefault="00FC77C7" w:rsidP="0093011F">
            <w:pPr>
              <w:pStyle w:val="TableText"/>
            </w:pPr>
            <w:r w:rsidRPr="00D67AFE">
              <w:t>Attribute</w:t>
            </w:r>
          </w:p>
        </w:tc>
        <w:tc>
          <w:tcPr>
            <w:tcW w:w="3706" w:type="pct"/>
            <w:gridSpan w:val="2"/>
            <w:shd w:val="pct10" w:color="auto" w:fill="auto"/>
          </w:tcPr>
          <w:p w14:paraId="105C1B9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Escherichia coli (E. coli)</w:t>
            </w:r>
          </w:p>
        </w:tc>
      </w:tr>
      <w:tr w:rsidR="00FC77C7" w14:paraId="1599411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single" w:sz="8" w:space="0" w:color="A6A6A6" w:themeColor="background1" w:themeShade="A6"/>
            </w:tcBorders>
          </w:tcPr>
          <w:p w14:paraId="19AB854E" w14:textId="77777777" w:rsidR="00FC77C7" w:rsidRPr="00D67AFE" w:rsidRDefault="00FC77C7" w:rsidP="0093011F">
            <w:pPr>
              <w:pStyle w:val="TableText"/>
            </w:pPr>
            <w:r w:rsidRPr="00D67AFE">
              <w:t>Attribute Unit</w:t>
            </w:r>
          </w:p>
        </w:tc>
        <w:tc>
          <w:tcPr>
            <w:tcW w:w="3706" w:type="pct"/>
            <w:gridSpan w:val="2"/>
            <w:tcBorders>
              <w:bottom w:val="single" w:sz="8" w:space="0" w:color="A6A6A6" w:themeColor="background1" w:themeShade="A6"/>
            </w:tcBorders>
          </w:tcPr>
          <w:p w14:paraId="6425B4E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 xml:space="preserve">95th percentile of E. coli/100 ml (number of </w:t>
            </w:r>
            <w:r>
              <w:rPr>
                <w:i/>
              </w:rPr>
              <w:t xml:space="preserve">E. coli </w:t>
            </w:r>
            <w:r>
              <w:t>per hundred millilitres)</w:t>
            </w:r>
          </w:p>
        </w:tc>
      </w:tr>
      <w:tr w:rsidR="00FC77C7" w14:paraId="5EFDE10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shd w:val="pct10" w:color="auto" w:fill="auto"/>
          </w:tcPr>
          <w:p w14:paraId="33637E14" w14:textId="77777777" w:rsidR="00FC77C7" w:rsidRPr="00D67AFE" w:rsidRDefault="00FC77C7" w:rsidP="0093011F">
            <w:pPr>
              <w:pStyle w:val="TableText"/>
            </w:pPr>
          </w:p>
          <w:p w14:paraId="0AE893DE" w14:textId="77777777" w:rsidR="00FC77C7" w:rsidRPr="00D67AFE" w:rsidRDefault="00FC77C7" w:rsidP="0093011F">
            <w:pPr>
              <w:pStyle w:val="TableText"/>
            </w:pPr>
            <w:r w:rsidRPr="00D67AFE">
              <w:t>Attribute State</w:t>
            </w:r>
          </w:p>
        </w:tc>
        <w:tc>
          <w:tcPr>
            <w:tcW w:w="1336" w:type="pct"/>
            <w:shd w:val="pct10" w:color="auto" w:fill="auto"/>
          </w:tcPr>
          <w:p w14:paraId="177D73E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p w14:paraId="42D35C79" w14:textId="77777777" w:rsidR="00FC77C7" w:rsidRPr="00D67AF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67AFE">
              <w:t>Numeric Attribute State</w:t>
            </w:r>
          </w:p>
        </w:tc>
        <w:tc>
          <w:tcPr>
            <w:tcW w:w="2371" w:type="pct"/>
            <w:shd w:val="pct10" w:color="auto" w:fill="auto"/>
          </w:tcPr>
          <w:p w14:paraId="418F70B6" w14:textId="77777777" w:rsidR="00FC77C7" w:rsidRPr="00D67AF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67AFE">
              <w:t>Narrative Attribute State</w:t>
            </w:r>
          </w:p>
          <w:p w14:paraId="36E3DF6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67AFE">
              <w:t>Assuming ‘% of time’ equals ‘% of samples’</w:t>
            </w:r>
          </w:p>
        </w:tc>
      </w:tr>
      <w:tr w:rsidR="00FC77C7" w14:paraId="7207E6D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Pr>
          <w:p w14:paraId="4CAEEAB7" w14:textId="77777777" w:rsidR="00FC77C7" w:rsidRPr="00D67AFE" w:rsidRDefault="00FC77C7" w:rsidP="0093011F">
            <w:pPr>
              <w:pStyle w:val="TableText"/>
            </w:pPr>
            <w:r w:rsidRPr="00D67AFE">
              <w:t>Excellent</w:t>
            </w:r>
          </w:p>
        </w:tc>
        <w:tc>
          <w:tcPr>
            <w:tcW w:w="1336" w:type="pct"/>
          </w:tcPr>
          <w:p w14:paraId="6D6F3D2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 130</w:t>
            </w:r>
          </w:p>
        </w:tc>
        <w:tc>
          <w:tcPr>
            <w:tcW w:w="2371" w:type="pct"/>
          </w:tcPr>
          <w:p w14:paraId="5F89F6B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Estimated risk of Campylobacter infection has</w:t>
            </w:r>
          </w:p>
          <w:p w14:paraId="4ACB3D9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a &lt; 0.1% occurrence, 95% of the time</w:t>
            </w:r>
          </w:p>
        </w:tc>
      </w:tr>
      <w:tr w:rsidR="00FC77C7" w14:paraId="7CEF716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Pr>
          <w:p w14:paraId="3430678E" w14:textId="77777777" w:rsidR="00FC77C7" w:rsidRPr="00D67AFE" w:rsidRDefault="00FC77C7" w:rsidP="0093011F">
            <w:pPr>
              <w:pStyle w:val="TableText"/>
            </w:pPr>
            <w:r w:rsidRPr="00D67AFE">
              <w:t>Good</w:t>
            </w:r>
          </w:p>
        </w:tc>
        <w:tc>
          <w:tcPr>
            <w:tcW w:w="1336" w:type="pct"/>
          </w:tcPr>
          <w:p w14:paraId="4001802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131 - 260</w:t>
            </w:r>
          </w:p>
        </w:tc>
        <w:tc>
          <w:tcPr>
            <w:tcW w:w="2371" w:type="pct"/>
          </w:tcPr>
          <w:p w14:paraId="149D987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Estimated risk of Campylobacter infection has a 0.1 – 1.0% occurrence, 95% of the time</w:t>
            </w:r>
          </w:p>
        </w:tc>
      </w:tr>
      <w:tr w:rsidR="00FC77C7" w14:paraId="2568359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tcBorders>
              <w:bottom w:val="single" w:sz="8" w:space="0" w:color="A6A6A6" w:themeColor="background1" w:themeShade="A6"/>
            </w:tcBorders>
          </w:tcPr>
          <w:p w14:paraId="08DDC07B" w14:textId="77777777" w:rsidR="00FC77C7" w:rsidRPr="00D67AFE" w:rsidRDefault="00FC77C7" w:rsidP="0093011F">
            <w:pPr>
              <w:pStyle w:val="TableText"/>
            </w:pPr>
            <w:r w:rsidRPr="00D67AFE">
              <w:t>Fair</w:t>
            </w:r>
          </w:p>
        </w:tc>
        <w:tc>
          <w:tcPr>
            <w:tcW w:w="1336" w:type="pct"/>
            <w:tcBorders>
              <w:bottom w:val="single" w:sz="8" w:space="0" w:color="A6A6A6" w:themeColor="background1" w:themeShade="A6"/>
            </w:tcBorders>
          </w:tcPr>
          <w:p w14:paraId="3E2DD62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261 – 550</w:t>
            </w:r>
          </w:p>
        </w:tc>
        <w:tc>
          <w:tcPr>
            <w:tcW w:w="2371" w:type="pct"/>
            <w:tcBorders>
              <w:bottom w:val="single" w:sz="8" w:space="0" w:color="A6A6A6" w:themeColor="background1" w:themeShade="A6"/>
            </w:tcBorders>
          </w:tcPr>
          <w:p w14:paraId="7F7E254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Estimated risk of Campylobacter infection has a 1 – 5% occurrence, 95% of the time</w:t>
            </w:r>
          </w:p>
        </w:tc>
      </w:tr>
      <w:tr w:rsidR="00FC77C7" w14:paraId="47B0A5BD"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294" w:type="pct"/>
            <w:shd w:val="pct10" w:color="auto" w:fill="auto"/>
          </w:tcPr>
          <w:p w14:paraId="29DB8E09" w14:textId="77777777" w:rsidR="00FC77C7" w:rsidRPr="00D67AFE" w:rsidRDefault="00FC77C7" w:rsidP="0093011F">
            <w:pPr>
              <w:pStyle w:val="TableText"/>
            </w:pPr>
            <w:r w:rsidRPr="00D67AFE">
              <w:t>National bottom line</w:t>
            </w:r>
          </w:p>
        </w:tc>
        <w:tc>
          <w:tcPr>
            <w:tcW w:w="1336" w:type="pct"/>
            <w:shd w:val="pct10" w:color="auto" w:fill="auto"/>
          </w:tcPr>
          <w:p w14:paraId="66E4B600"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550</w:t>
            </w:r>
          </w:p>
        </w:tc>
        <w:tc>
          <w:tcPr>
            <w:tcW w:w="2371" w:type="pct"/>
            <w:shd w:val="pct10" w:color="auto" w:fill="auto"/>
          </w:tcPr>
          <w:p w14:paraId="6F2709D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3768C00D"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294" w:type="pct"/>
            <w:tcBorders>
              <w:bottom w:val="none" w:sz="0" w:space="0" w:color="auto"/>
            </w:tcBorders>
          </w:tcPr>
          <w:p w14:paraId="5ED32597" w14:textId="77777777" w:rsidR="00FC77C7" w:rsidRPr="00D67AFE" w:rsidRDefault="00FC77C7" w:rsidP="0093011F">
            <w:pPr>
              <w:pStyle w:val="TableText"/>
            </w:pPr>
            <w:r w:rsidRPr="00D67AFE">
              <w:t>Poor</w:t>
            </w:r>
          </w:p>
        </w:tc>
        <w:tc>
          <w:tcPr>
            <w:tcW w:w="1336" w:type="pct"/>
            <w:tcBorders>
              <w:bottom w:val="none" w:sz="0" w:space="0" w:color="auto"/>
            </w:tcBorders>
          </w:tcPr>
          <w:p w14:paraId="6555FB34"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&gt; 550</w:t>
            </w:r>
          </w:p>
        </w:tc>
        <w:tc>
          <w:tcPr>
            <w:tcW w:w="2371" w:type="pct"/>
            <w:tcBorders>
              <w:bottom w:val="none" w:sz="0" w:space="0" w:color="auto"/>
            </w:tcBorders>
          </w:tcPr>
          <w:p w14:paraId="2E92E291"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Estimated risk of Campylobacter infection has</w:t>
            </w:r>
          </w:p>
          <w:p w14:paraId="540AA4FF"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a &gt; 5% occurrence, at least 5% of the time</w:t>
            </w:r>
          </w:p>
        </w:tc>
      </w:tr>
    </w:tbl>
    <w:p w14:paraId="489C7E66" w14:textId="77777777" w:rsidR="00FC77C7" w:rsidRPr="00C3424D" w:rsidRDefault="00FC77C7" w:rsidP="00FC77C7">
      <w:pPr>
        <w:rPr>
          <w:sz w:val="18"/>
          <w:szCs w:val="18"/>
        </w:rPr>
      </w:pPr>
      <w:r w:rsidRPr="00C3424D">
        <w:rPr>
          <w:sz w:val="18"/>
          <w:szCs w:val="18"/>
        </w:rPr>
        <w:t>Source: Ministry for the Environment (2019d)</w:t>
      </w:r>
    </w:p>
    <w:p w14:paraId="36A9FA6E" w14:textId="77777777" w:rsidR="00FC77C7" w:rsidRDefault="00FC77C7" w:rsidP="00FC77C7">
      <w:pPr>
        <w:pStyle w:val="BodyText"/>
      </w:pPr>
    </w:p>
    <w:p w14:paraId="31F90C9A" w14:textId="77777777" w:rsidR="00FC77C7" w:rsidRDefault="00FC77C7" w:rsidP="00FC77C7">
      <w:proofErr w:type="spellStart"/>
      <w:r>
        <w:t>MfE</w:t>
      </w:r>
      <w:proofErr w:type="spellEnd"/>
      <w:r>
        <w:t xml:space="preserve"> analysed the costs of the policy, assuming stock exclusion (by fencing) from grassland areas and targeting </w:t>
      </w:r>
      <w:r w:rsidRPr="00106E8C">
        <w:t>runoff from areas like laneways (where stock walk to the milking sheds) and yards.</w:t>
      </w:r>
    </w:p>
    <w:p w14:paraId="3A654417" w14:textId="77777777" w:rsidR="00FC77C7" w:rsidRDefault="00FC77C7" w:rsidP="00FC77C7"/>
    <w:p w14:paraId="59F1FF85" w14:textId="3D8CD888" w:rsidR="00FC77C7" w:rsidRDefault="00FC77C7" w:rsidP="00FC77C7">
      <w:r>
        <w:t>The benefits were estimated using national data</w:t>
      </w:r>
      <w:r>
        <w:rPr>
          <w:rStyle w:val="FootnoteReference"/>
        </w:rPr>
        <w:footnoteReference w:id="30"/>
      </w:r>
      <w:r>
        <w:t xml:space="preserve"> on notified cases (</w:t>
      </w:r>
      <w:r>
        <w:fldChar w:fldCharType="begin"/>
      </w:r>
      <w:r>
        <w:instrText xml:space="preserve"> REF _Ref32580590 \h </w:instrText>
      </w:r>
      <w:r>
        <w:fldChar w:fldCharType="separate"/>
      </w:r>
      <w:r w:rsidR="00024EB5">
        <w:t xml:space="preserve">Table </w:t>
      </w:r>
      <w:r w:rsidR="00024EB5">
        <w:rPr>
          <w:noProof/>
        </w:rPr>
        <w:t>6</w:t>
      </w:r>
      <w:r>
        <w:fldChar w:fldCharType="end"/>
      </w:r>
      <w:r>
        <w:t xml:space="preserve">) and cost data from a Havelock North </w:t>
      </w:r>
      <w:proofErr w:type="spellStart"/>
      <w:r>
        <w:t>campylobacteriosis</w:t>
      </w:r>
      <w:proofErr w:type="spellEnd"/>
      <w:r>
        <w:t xml:space="preserve"> outbreak in 2016. Notified cases are those notified to the Medical Officer of Health, as required by law for these and other diseases.</w:t>
      </w:r>
      <w:r>
        <w:rPr>
          <w:rStyle w:val="FootnoteReference"/>
        </w:rPr>
        <w:footnoteReference w:id="31"/>
      </w:r>
      <w:r>
        <w:t xml:space="preserve"> The data in </w:t>
      </w:r>
      <w:r>
        <w:fldChar w:fldCharType="begin"/>
      </w:r>
      <w:r>
        <w:instrText xml:space="preserve"> REF _Ref32580590 \h </w:instrText>
      </w:r>
      <w:r>
        <w:fldChar w:fldCharType="separate"/>
      </w:r>
      <w:r w:rsidR="00024EB5">
        <w:t xml:space="preserve">Table </w:t>
      </w:r>
      <w:r w:rsidR="00024EB5">
        <w:rPr>
          <w:noProof/>
        </w:rPr>
        <w:t>6</w:t>
      </w:r>
      <w:r>
        <w:fldChar w:fldCharType="end"/>
      </w:r>
      <w:r>
        <w:t xml:space="preserve"> are the number of cases notified, those hospitalised and the number that were recorded as being associated with contact with recreational water. For </w:t>
      </w:r>
      <w:proofErr w:type="spellStart"/>
      <w:r w:rsidRPr="00796AA3">
        <w:t>campylobacteriosis</w:t>
      </w:r>
      <w:proofErr w:type="spellEnd"/>
      <w:r>
        <w:t xml:space="preserve">, 427 were recorded as being associated with water and </w:t>
      </w:r>
      <w:r w:rsidRPr="00796AA3">
        <w:t>1,970 were recorded as not associated with recreational water contact</w:t>
      </w:r>
      <w:r>
        <w:t xml:space="preserve">, so </w:t>
      </w:r>
      <w:r w:rsidRPr="00796AA3">
        <w:t>the number of notified cases with contact with recreational water as a risk factor is estimated at 427</w:t>
      </w:r>
      <w:r>
        <w:t>-</w:t>
      </w:r>
      <w:r w:rsidRPr="00796AA3">
        <w:t xml:space="preserve"> 4,512</w:t>
      </w:r>
      <w:r>
        <w:t>.</w:t>
      </w:r>
      <w:r>
        <w:rPr>
          <w:rStyle w:val="FootnoteReference"/>
        </w:rPr>
        <w:footnoteReference w:id="32"/>
      </w:r>
      <w:r>
        <w:t xml:space="preserve"> </w:t>
      </w:r>
    </w:p>
    <w:p w14:paraId="33E47100" w14:textId="6BF86F18" w:rsidR="00FC77C7" w:rsidRDefault="00FC77C7" w:rsidP="0093011F">
      <w:pPr>
        <w:pStyle w:val="Caption"/>
        <w:rPr>
          <w:b/>
          <w:sz w:val="14"/>
        </w:rPr>
      </w:pPr>
      <w:bookmarkStart w:id="47" w:name="_Ref32580590"/>
      <w:r>
        <w:t xml:space="preserve">Table </w:t>
      </w:r>
      <w:r w:rsidR="00313617">
        <w:fldChar w:fldCharType="begin"/>
      </w:r>
      <w:r w:rsidR="00313617">
        <w:instrText xml:space="preserve"> SEQ Table \* ARABIC </w:instrText>
      </w:r>
      <w:r w:rsidR="00313617">
        <w:fldChar w:fldCharType="separate"/>
      </w:r>
      <w:r w:rsidR="00024EB5">
        <w:rPr>
          <w:noProof/>
        </w:rPr>
        <w:t>6</w:t>
      </w:r>
      <w:r w:rsidR="00313617">
        <w:rPr>
          <w:noProof/>
        </w:rPr>
        <w:fldChar w:fldCharType="end"/>
      </w:r>
      <w:bookmarkEnd w:id="47"/>
      <w:r>
        <w:t xml:space="preserve"> </w:t>
      </w:r>
      <w:r w:rsidRPr="00180FEC">
        <w:t>Summary of water borne notified diseases and contact with recreational water</w:t>
      </w:r>
    </w:p>
    <w:tbl>
      <w:tblPr>
        <w:tblStyle w:val="CovecTables"/>
        <w:tblW w:w="5000" w:type="pct"/>
        <w:tblInd w:w="0" w:type="dxa"/>
        <w:tblLook w:val="01E0" w:firstRow="1" w:lastRow="1" w:firstColumn="1" w:lastColumn="1" w:noHBand="0" w:noVBand="0"/>
      </w:tblPr>
      <w:tblGrid>
        <w:gridCol w:w="2177"/>
        <w:gridCol w:w="2014"/>
        <w:gridCol w:w="2016"/>
        <w:gridCol w:w="2014"/>
      </w:tblGrid>
      <w:tr w:rsidR="00FC77C7" w14:paraId="6F8A6AFD"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24" w:type="pct"/>
            <w:vAlign w:val="top"/>
          </w:tcPr>
          <w:p w14:paraId="5DCFE51D" w14:textId="77777777" w:rsidR="00FC77C7" w:rsidRDefault="00FC77C7" w:rsidP="0093011F">
            <w:pPr>
              <w:pStyle w:val="TableText"/>
              <w:jc w:val="left"/>
              <w:rPr>
                <w:b w:val="0"/>
              </w:rPr>
            </w:pPr>
            <w:r>
              <w:t>Disease</w:t>
            </w:r>
          </w:p>
        </w:tc>
        <w:tc>
          <w:tcPr>
            <w:tcW w:w="1225" w:type="pct"/>
            <w:vAlign w:val="top"/>
          </w:tcPr>
          <w:p w14:paraId="0B957AC1" w14:textId="5A91CB66"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t>Cases</w:t>
            </w:r>
          </w:p>
          <w:p w14:paraId="00930334"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rPr>
                <w:w w:val="95"/>
              </w:rPr>
              <w:t>notified</w:t>
            </w:r>
          </w:p>
        </w:tc>
        <w:tc>
          <w:tcPr>
            <w:tcW w:w="1226" w:type="pct"/>
            <w:vAlign w:val="top"/>
          </w:tcPr>
          <w:p w14:paraId="22EE8123" w14:textId="2634F9F3"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t>Cases</w:t>
            </w:r>
          </w:p>
          <w:p w14:paraId="32DCEBBE"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rPr>
                <w:w w:val="95"/>
              </w:rPr>
              <w:t>hospitalised</w:t>
            </w:r>
          </w:p>
        </w:tc>
        <w:tc>
          <w:tcPr>
            <w:tcW w:w="1226" w:type="pct"/>
            <w:vAlign w:val="top"/>
          </w:tcPr>
          <w:p w14:paraId="604C96B3" w14:textId="59659659"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t>Contact with</w:t>
            </w:r>
          </w:p>
          <w:p w14:paraId="753E3BD6"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rPr>
            </w:pPr>
            <w:r>
              <w:t>recreational water</w:t>
            </w:r>
          </w:p>
        </w:tc>
      </w:tr>
      <w:tr w:rsidR="00FC77C7" w14:paraId="21467879"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324" w:type="pct"/>
            <w:vAlign w:val="top"/>
          </w:tcPr>
          <w:p w14:paraId="2C375BA1" w14:textId="77777777" w:rsidR="00FC77C7" w:rsidRDefault="00FC77C7" w:rsidP="0093011F">
            <w:pPr>
              <w:pStyle w:val="TableText"/>
            </w:pPr>
            <w:proofErr w:type="spellStart"/>
            <w:r>
              <w:t>Campylobacteriosis</w:t>
            </w:r>
            <w:proofErr w:type="spellEnd"/>
          </w:p>
        </w:tc>
        <w:tc>
          <w:tcPr>
            <w:tcW w:w="1225" w:type="pct"/>
            <w:vAlign w:val="top"/>
          </w:tcPr>
          <w:p w14:paraId="62C302B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6,482</w:t>
            </w:r>
          </w:p>
        </w:tc>
        <w:tc>
          <w:tcPr>
            <w:tcW w:w="1226" w:type="pct"/>
            <w:vAlign w:val="top"/>
          </w:tcPr>
          <w:p w14:paraId="6E4CB89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510</w:t>
            </w:r>
          </w:p>
        </w:tc>
        <w:tc>
          <w:tcPr>
            <w:tcW w:w="1226" w:type="pct"/>
            <w:vAlign w:val="top"/>
          </w:tcPr>
          <w:p w14:paraId="10517D7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427 - 4,512</w:t>
            </w:r>
          </w:p>
        </w:tc>
      </w:tr>
      <w:tr w:rsidR="00FC77C7" w14:paraId="6D3DC6F3"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324" w:type="pct"/>
            <w:vAlign w:val="top"/>
          </w:tcPr>
          <w:p w14:paraId="27888FAD" w14:textId="77777777" w:rsidR="00FC77C7" w:rsidRDefault="00FC77C7" w:rsidP="0093011F">
            <w:pPr>
              <w:pStyle w:val="TableText"/>
            </w:pPr>
            <w:r>
              <w:t>Salmonellosis</w:t>
            </w:r>
          </w:p>
        </w:tc>
        <w:tc>
          <w:tcPr>
            <w:tcW w:w="1225" w:type="pct"/>
            <w:vAlign w:val="top"/>
          </w:tcPr>
          <w:p w14:paraId="3CFCB1E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1,119</w:t>
            </w:r>
          </w:p>
        </w:tc>
        <w:tc>
          <w:tcPr>
            <w:tcW w:w="1226" w:type="pct"/>
            <w:vAlign w:val="top"/>
          </w:tcPr>
          <w:p w14:paraId="4541740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220</w:t>
            </w:r>
          </w:p>
        </w:tc>
        <w:tc>
          <w:tcPr>
            <w:tcW w:w="1226" w:type="pct"/>
            <w:vAlign w:val="top"/>
          </w:tcPr>
          <w:p w14:paraId="7B0E436E"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135 - 669</w:t>
            </w:r>
          </w:p>
        </w:tc>
      </w:tr>
      <w:tr w:rsidR="00FC77C7" w14:paraId="6FAD6B3A"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324" w:type="pct"/>
            <w:vAlign w:val="top"/>
          </w:tcPr>
          <w:p w14:paraId="76063902" w14:textId="77777777" w:rsidR="00FC77C7" w:rsidRDefault="00FC77C7" w:rsidP="0093011F">
            <w:pPr>
              <w:pStyle w:val="TableText"/>
            </w:pPr>
            <w:r>
              <w:t>Cryptosporidiosis</w:t>
            </w:r>
          </w:p>
        </w:tc>
        <w:tc>
          <w:tcPr>
            <w:tcW w:w="1225" w:type="pct"/>
            <w:vAlign w:val="top"/>
          </w:tcPr>
          <w:p w14:paraId="67C5EEB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1,192</w:t>
            </w:r>
          </w:p>
        </w:tc>
        <w:tc>
          <w:tcPr>
            <w:tcW w:w="1226" w:type="pct"/>
            <w:vAlign w:val="top"/>
          </w:tcPr>
          <w:p w14:paraId="2F64FA5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66</w:t>
            </w:r>
          </w:p>
        </w:tc>
        <w:tc>
          <w:tcPr>
            <w:tcW w:w="1226" w:type="pct"/>
            <w:vAlign w:val="top"/>
          </w:tcPr>
          <w:p w14:paraId="4FE3C29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219 - 620</w:t>
            </w:r>
          </w:p>
        </w:tc>
      </w:tr>
      <w:tr w:rsidR="00FC77C7" w14:paraId="1D6115AD"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324" w:type="pct"/>
            <w:tcBorders>
              <w:bottom w:val="single" w:sz="8" w:space="0" w:color="A6A6A6" w:themeColor="background1" w:themeShade="A6"/>
            </w:tcBorders>
            <w:vAlign w:val="top"/>
          </w:tcPr>
          <w:p w14:paraId="6AF795BD" w14:textId="77777777" w:rsidR="00FC77C7" w:rsidRDefault="00FC77C7" w:rsidP="0093011F">
            <w:pPr>
              <w:pStyle w:val="TableText"/>
            </w:pPr>
            <w:r>
              <w:t>Giardiasis</w:t>
            </w:r>
          </w:p>
        </w:tc>
        <w:tc>
          <w:tcPr>
            <w:tcW w:w="1225" w:type="pct"/>
            <w:tcBorders>
              <w:bottom w:val="single" w:sz="8" w:space="0" w:color="A6A6A6" w:themeColor="background1" w:themeShade="A6"/>
            </w:tcBorders>
            <w:vAlign w:val="top"/>
          </w:tcPr>
          <w:p w14:paraId="373875A9"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1,648</w:t>
            </w:r>
          </w:p>
        </w:tc>
        <w:tc>
          <w:tcPr>
            <w:tcW w:w="1226" w:type="pct"/>
            <w:tcBorders>
              <w:bottom w:val="single" w:sz="8" w:space="0" w:color="A6A6A6" w:themeColor="background1" w:themeShade="A6"/>
            </w:tcBorders>
            <w:vAlign w:val="top"/>
          </w:tcPr>
          <w:p w14:paraId="0C06B3EE"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37</w:t>
            </w:r>
          </w:p>
        </w:tc>
        <w:tc>
          <w:tcPr>
            <w:tcW w:w="1226" w:type="pct"/>
            <w:tcBorders>
              <w:bottom w:val="single" w:sz="8" w:space="0" w:color="A6A6A6" w:themeColor="background1" w:themeShade="A6"/>
            </w:tcBorders>
            <w:vAlign w:val="top"/>
          </w:tcPr>
          <w:p w14:paraId="78317BA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250 - 1,073</w:t>
            </w:r>
          </w:p>
        </w:tc>
      </w:tr>
      <w:tr w:rsidR="00FC77C7" w14:paraId="6F892A00"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324" w:type="pct"/>
            <w:tcBorders>
              <w:top w:val="single" w:sz="8" w:space="0" w:color="A6A6A6" w:themeColor="background1" w:themeShade="A6"/>
            </w:tcBorders>
            <w:vAlign w:val="top"/>
          </w:tcPr>
          <w:p w14:paraId="30895242" w14:textId="77777777" w:rsidR="00FC77C7" w:rsidRDefault="00FC77C7" w:rsidP="0093011F">
            <w:pPr>
              <w:pStyle w:val="TableText"/>
            </w:pPr>
            <w:r>
              <w:t>Total</w:t>
            </w:r>
          </w:p>
        </w:tc>
        <w:tc>
          <w:tcPr>
            <w:tcW w:w="1225" w:type="pct"/>
            <w:tcBorders>
              <w:top w:val="single" w:sz="8" w:space="0" w:color="A6A6A6" w:themeColor="background1" w:themeShade="A6"/>
            </w:tcBorders>
            <w:vAlign w:val="top"/>
          </w:tcPr>
          <w:p w14:paraId="1F258199"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10,441</w:t>
            </w:r>
          </w:p>
        </w:tc>
        <w:tc>
          <w:tcPr>
            <w:tcW w:w="1226" w:type="pct"/>
            <w:tcBorders>
              <w:top w:val="single" w:sz="8" w:space="0" w:color="A6A6A6" w:themeColor="background1" w:themeShade="A6"/>
            </w:tcBorders>
            <w:vAlign w:val="top"/>
          </w:tcPr>
          <w:p w14:paraId="7CE99954"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833</w:t>
            </w:r>
          </w:p>
        </w:tc>
        <w:tc>
          <w:tcPr>
            <w:tcW w:w="1226" w:type="pct"/>
            <w:tcBorders>
              <w:top w:val="single" w:sz="8" w:space="0" w:color="A6A6A6" w:themeColor="background1" w:themeShade="A6"/>
            </w:tcBorders>
            <w:vAlign w:val="top"/>
          </w:tcPr>
          <w:p w14:paraId="28AC280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1,031 – 6,874</w:t>
            </w:r>
          </w:p>
        </w:tc>
      </w:tr>
    </w:tbl>
    <w:p w14:paraId="7C1D3370" w14:textId="77777777" w:rsidR="00FC77C7" w:rsidRPr="00C3424D" w:rsidRDefault="00FC77C7" w:rsidP="00FC77C7">
      <w:pPr>
        <w:rPr>
          <w:sz w:val="18"/>
          <w:szCs w:val="18"/>
        </w:rPr>
      </w:pPr>
      <w:r w:rsidRPr="00C3424D">
        <w:rPr>
          <w:sz w:val="18"/>
          <w:szCs w:val="18"/>
        </w:rPr>
        <w:t>Source: ESR (2019) in Ministry for the Environment (2019d)</w:t>
      </w:r>
    </w:p>
    <w:p w14:paraId="074B5031" w14:textId="77777777" w:rsidR="00FC77C7" w:rsidRDefault="00FC77C7" w:rsidP="00FC77C7"/>
    <w:p w14:paraId="6F502F0E" w14:textId="77777777" w:rsidR="00FC77C7" w:rsidRDefault="00FC77C7" w:rsidP="00FC77C7">
      <w:proofErr w:type="spellStart"/>
      <w:r>
        <w:t>MfE</w:t>
      </w:r>
      <w:proofErr w:type="spellEnd"/>
      <w:r>
        <w:t xml:space="preserve"> suggests, across all four diseases, t</w:t>
      </w:r>
      <w:r w:rsidRPr="006E4914">
        <w:t>he actual number of cases could be ten times the notified number of cases because many people do not present to doctors</w:t>
      </w:r>
      <w:r>
        <w:t xml:space="preserve">. In the Havelock North </w:t>
      </w:r>
      <w:proofErr w:type="spellStart"/>
      <w:r>
        <w:t>campylobacteriosis</w:t>
      </w:r>
      <w:proofErr w:type="spellEnd"/>
      <w:r>
        <w:t xml:space="preserve"> outbreak in 2016, there were 964 notifications, but estimates of actual cases included </w:t>
      </w:r>
      <w:bookmarkStart w:id="48" w:name="_Hlk32921605"/>
      <w:r w:rsidRPr="00D85C06">
        <w:t>5</w:t>
      </w:r>
      <w:r>
        <w:t>,</w:t>
      </w:r>
      <w:r w:rsidRPr="00D85C06">
        <w:t xml:space="preserve">540 </w:t>
      </w:r>
      <w:r>
        <w:t>(based on a resident survey) and 2,827 – 7,326 (with a mean of 4,928) based on ratios between notified and actual cases from the literature</w:t>
      </w:r>
      <w:bookmarkEnd w:id="48"/>
      <w:r>
        <w:t>.</w:t>
      </w:r>
      <w:r>
        <w:rPr>
          <w:rStyle w:val="FootnoteReference"/>
        </w:rPr>
        <w:footnoteReference w:id="33"/>
      </w:r>
      <w:r>
        <w:t xml:space="preserve"> </w:t>
      </w:r>
      <w:proofErr w:type="spellStart"/>
      <w:r>
        <w:t>MfE</w:t>
      </w:r>
      <w:proofErr w:type="spellEnd"/>
      <w:r>
        <w:t xml:space="preserve"> considered other studies, including the </w:t>
      </w:r>
      <w:r>
        <w:lastRenderedPageBreak/>
        <w:t>results of an Acute Gastrointestinal Illness (AGI) study which suggested only 0.4% of cases were notified.</w:t>
      </w:r>
      <w:r>
        <w:rPr>
          <w:rStyle w:val="FootnoteReference"/>
        </w:rPr>
        <w:footnoteReference w:id="34"/>
      </w:r>
      <w:r>
        <w:t xml:space="preserve"> The Havelock North infection may have resulted in greater percentage notification because of the significant local and national publicity about the outbreak, whereas our interest here is in more isolated infection incidents.</w:t>
      </w:r>
    </w:p>
    <w:p w14:paraId="722A2252" w14:textId="77777777" w:rsidR="00FC77C7" w:rsidRDefault="00FC77C7" w:rsidP="00FC77C7"/>
    <w:p w14:paraId="557395E7" w14:textId="6CDB6FD4" w:rsidR="00FC77C7" w:rsidRDefault="00FC77C7" w:rsidP="00FC77C7">
      <w:r>
        <w:t>A study of the Havelock North outbreak was used as the source of costs per case. Total costs were estimated to be $21 million for an estimated 5,088 households,</w:t>
      </w:r>
      <w:r>
        <w:rPr>
          <w:rStyle w:val="FootnoteReference"/>
        </w:rPr>
        <w:footnoteReference w:id="35"/>
      </w:r>
      <w:r>
        <w:t xml:space="preserve"> including those to households, local and central government, business and the health sector. Because the Havelock North outbreak was concerned with drinking water, </w:t>
      </w:r>
      <w:proofErr w:type="spellStart"/>
      <w:r>
        <w:t>MfE</w:t>
      </w:r>
      <w:proofErr w:type="spellEnd"/>
      <w:r>
        <w:t xml:space="preserve"> did not include the costs of households purchasing bottled water, the costs to local and central government, or the costs to NGOs. This reduced the costs to $12.8 million in total and to approximately $2,500/household affected. The per household costs were combined with the estimated national cases (the contact with recreational water numbers in </w:t>
      </w:r>
      <w:r>
        <w:fldChar w:fldCharType="begin"/>
      </w:r>
      <w:r>
        <w:instrText xml:space="preserve"> REF _Ref32580590 \h </w:instrText>
      </w:r>
      <w:r>
        <w:fldChar w:fldCharType="separate"/>
      </w:r>
      <w:r w:rsidR="00024EB5">
        <w:t xml:space="preserve">Table </w:t>
      </w:r>
      <w:r w:rsidR="00024EB5">
        <w:rPr>
          <w:noProof/>
        </w:rPr>
        <w:t>6</w:t>
      </w:r>
      <w:r>
        <w:fldChar w:fldCharType="end"/>
      </w:r>
      <w:r>
        <w:t xml:space="preserve"> were rounded to 1,000 – 7,000 and multiplied by 10), multiplied by just under half on the basis of an estimate of the number of households within </w:t>
      </w:r>
      <w:r w:rsidRPr="00CE7177">
        <w:t>20 km of a monitored recreational site (2.2 million people),</w:t>
      </w:r>
      <w:r>
        <w:t xml:space="preserve"> and rounded down to $10-$80 million (see calculations in </w:t>
      </w:r>
      <w:r>
        <w:fldChar w:fldCharType="begin"/>
      </w:r>
      <w:r>
        <w:instrText xml:space="preserve"> REF _Ref32937491 \h </w:instrText>
      </w:r>
      <w:r>
        <w:fldChar w:fldCharType="separate"/>
      </w:r>
      <w:r w:rsidR="00024EB5">
        <w:t xml:space="preserve">Table </w:t>
      </w:r>
      <w:r w:rsidR="00024EB5">
        <w:rPr>
          <w:noProof/>
        </w:rPr>
        <w:t>7</w:t>
      </w:r>
      <w:r>
        <w:fldChar w:fldCharType="end"/>
      </w:r>
      <w:r>
        <w:t>).</w:t>
      </w:r>
    </w:p>
    <w:p w14:paraId="4E4AB155" w14:textId="5F6489C4" w:rsidR="00FC77C7" w:rsidRDefault="00FC77C7" w:rsidP="0093011F">
      <w:pPr>
        <w:pStyle w:val="Caption"/>
      </w:pPr>
      <w:bookmarkStart w:id="49" w:name="_Ref32937491"/>
      <w:r>
        <w:t xml:space="preserve">Table </w:t>
      </w:r>
      <w:r w:rsidR="00313617">
        <w:fldChar w:fldCharType="begin"/>
      </w:r>
      <w:r w:rsidR="00313617">
        <w:instrText xml:space="preserve"> SEQ Table \* ARABIC </w:instrText>
      </w:r>
      <w:r w:rsidR="00313617">
        <w:fldChar w:fldCharType="separate"/>
      </w:r>
      <w:r w:rsidR="00024EB5">
        <w:rPr>
          <w:noProof/>
        </w:rPr>
        <w:t>7</w:t>
      </w:r>
      <w:r w:rsidR="00313617">
        <w:rPr>
          <w:noProof/>
        </w:rPr>
        <w:fldChar w:fldCharType="end"/>
      </w:r>
      <w:bookmarkEnd w:id="49"/>
      <w:r>
        <w:t xml:space="preserve"> Costs of freshwater-borne infections</w:t>
      </w:r>
    </w:p>
    <w:tbl>
      <w:tblPr>
        <w:tblStyle w:val="CovecTables"/>
        <w:tblW w:w="5983" w:type="dxa"/>
        <w:tblLook w:val="04E0" w:firstRow="1" w:lastRow="1" w:firstColumn="1" w:lastColumn="0" w:noHBand="0" w:noVBand="1"/>
      </w:tblPr>
      <w:tblGrid>
        <w:gridCol w:w="2085"/>
        <w:gridCol w:w="1913"/>
        <w:gridCol w:w="1985"/>
      </w:tblGrid>
      <w:tr w:rsidR="00FC77C7" w:rsidRPr="00174ECE" w14:paraId="3605041D"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5" w:type="dxa"/>
            <w:noWrap/>
            <w:hideMark/>
          </w:tcPr>
          <w:p w14:paraId="2281F1BB" w14:textId="77777777" w:rsidR="00FC77C7" w:rsidRPr="00174ECE" w:rsidRDefault="00FC77C7" w:rsidP="0093011F">
            <w:pPr>
              <w:pStyle w:val="TableText"/>
              <w:rPr>
                <w:lang w:eastAsia="en-NZ"/>
              </w:rPr>
            </w:pPr>
            <w:r w:rsidRPr="00174ECE">
              <w:rPr>
                <w:lang w:eastAsia="en-NZ"/>
              </w:rPr>
              <w:t> </w:t>
            </w:r>
          </w:p>
        </w:tc>
        <w:tc>
          <w:tcPr>
            <w:tcW w:w="1913" w:type="dxa"/>
            <w:noWrap/>
            <w:hideMark/>
          </w:tcPr>
          <w:p w14:paraId="6E236354" w14:textId="77777777" w:rsidR="00FC77C7" w:rsidRPr="00174EC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74ECE">
              <w:rPr>
                <w:lang w:eastAsia="en-NZ"/>
              </w:rPr>
              <w:t>Low</w:t>
            </w:r>
          </w:p>
        </w:tc>
        <w:tc>
          <w:tcPr>
            <w:tcW w:w="1985" w:type="dxa"/>
            <w:noWrap/>
            <w:hideMark/>
          </w:tcPr>
          <w:p w14:paraId="5EA689E5" w14:textId="77777777" w:rsidR="00FC77C7" w:rsidRPr="00174EC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74ECE">
              <w:rPr>
                <w:lang w:eastAsia="en-NZ"/>
              </w:rPr>
              <w:t>High</w:t>
            </w:r>
          </w:p>
        </w:tc>
      </w:tr>
      <w:tr w:rsidR="00FC77C7" w:rsidRPr="00174ECE" w14:paraId="6C53D3FD"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85" w:type="dxa"/>
            <w:noWrap/>
            <w:hideMark/>
          </w:tcPr>
          <w:p w14:paraId="797B91EA" w14:textId="77777777" w:rsidR="00FC77C7" w:rsidRPr="00174ECE" w:rsidRDefault="00FC77C7" w:rsidP="0093011F">
            <w:pPr>
              <w:pStyle w:val="TableText"/>
              <w:rPr>
                <w:lang w:eastAsia="en-NZ"/>
              </w:rPr>
            </w:pPr>
            <w:r w:rsidRPr="00174ECE">
              <w:rPr>
                <w:lang w:eastAsia="en-NZ"/>
              </w:rPr>
              <w:t>Notified cases</w:t>
            </w:r>
          </w:p>
        </w:tc>
        <w:tc>
          <w:tcPr>
            <w:tcW w:w="1913" w:type="dxa"/>
            <w:noWrap/>
            <w:hideMark/>
          </w:tcPr>
          <w:p w14:paraId="1499C5DB"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74ECE">
              <w:rPr>
                <w:lang w:eastAsia="en-NZ"/>
              </w:rPr>
              <w:t>1,000</w:t>
            </w:r>
          </w:p>
        </w:tc>
        <w:tc>
          <w:tcPr>
            <w:tcW w:w="1985" w:type="dxa"/>
            <w:noWrap/>
            <w:hideMark/>
          </w:tcPr>
          <w:p w14:paraId="6A48222C"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74ECE">
              <w:rPr>
                <w:lang w:eastAsia="en-NZ"/>
              </w:rPr>
              <w:t>7,000</w:t>
            </w:r>
          </w:p>
        </w:tc>
      </w:tr>
      <w:tr w:rsidR="00FC77C7" w:rsidRPr="00174ECE" w14:paraId="3461B812"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85" w:type="dxa"/>
            <w:noWrap/>
            <w:hideMark/>
          </w:tcPr>
          <w:p w14:paraId="66F8813A" w14:textId="77777777" w:rsidR="00FC77C7" w:rsidRPr="00174ECE" w:rsidRDefault="00FC77C7" w:rsidP="0093011F">
            <w:pPr>
              <w:pStyle w:val="TableText"/>
              <w:rPr>
                <w:lang w:eastAsia="en-NZ"/>
              </w:rPr>
            </w:pPr>
            <w:r w:rsidRPr="00174ECE">
              <w:rPr>
                <w:lang w:eastAsia="en-NZ"/>
              </w:rPr>
              <w:t>Actual cases (x10)</w:t>
            </w:r>
          </w:p>
        </w:tc>
        <w:tc>
          <w:tcPr>
            <w:tcW w:w="1913" w:type="dxa"/>
            <w:noWrap/>
            <w:hideMark/>
          </w:tcPr>
          <w:p w14:paraId="668272B2"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74ECE">
              <w:rPr>
                <w:lang w:eastAsia="en-NZ"/>
              </w:rPr>
              <w:t>10,000</w:t>
            </w:r>
          </w:p>
        </w:tc>
        <w:tc>
          <w:tcPr>
            <w:tcW w:w="1985" w:type="dxa"/>
            <w:noWrap/>
            <w:hideMark/>
          </w:tcPr>
          <w:p w14:paraId="357714B2"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74ECE">
              <w:rPr>
                <w:lang w:eastAsia="en-NZ"/>
              </w:rPr>
              <w:t>70,000</w:t>
            </w:r>
          </w:p>
        </w:tc>
      </w:tr>
      <w:tr w:rsidR="00FC77C7" w:rsidRPr="00174ECE" w14:paraId="06B5943F"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85" w:type="dxa"/>
            <w:noWrap/>
            <w:hideMark/>
          </w:tcPr>
          <w:p w14:paraId="23DF685A" w14:textId="77777777" w:rsidR="00FC77C7" w:rsidRPr="00174ECE" w:rsidRDefault="00FC77C7" w:rsidP="0093011F">
            <w:pPr>
              <w:pStyle w:val="TableText"/>
              <w:rPr>
                <w:lang w:eastAsia="en-NZ"/>
              </w:rPr>
            </w:pPr>
            <w:r w:rsidRPr="00174ECE">
              <w:rPr>
                <w:lang w:eastAsia="en-NZ"/>
              </w:rPr>
              <w:t>Affected by freshwater</w:t>
            </w:r>
          </w:p>
        </w:tc>
        <w:tc>
          <w:tcPr>
            <w:tcW w:w="1913" w:type="dxa"/>
            <w:noWrap/>
            <w:vAlign w:val="top"/>
            <w:hideMark/>
          </w:tcPr>
          <w:p w14:paraId="4CB3080E"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E519C">
              <w:t>46%</w:t>
            </w:r>
          </w:p>
        </w:tc>
        <w:tc>
          <w:tcPr>
            <w:tcW w:w="1985" w:type="dxa"/>
            <w:noWrap/>
            <w:vAlign w:val="top"/>
            <w:hideMark/>
          </w:tcPr>
          <w:p w14:paraId="0B48E63E"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E519C">
              <w:t>46%</w:t>
            </w:r>
          </w:p>
        </w:tc>
      </w:tr>
      <w:tr w:rsidR="00FC77C7" w:rsidRPr="00174ECE" w14:paraId="7EFF053B"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85" w:type="dxa"/>
            <w:noWrap/>
            <w:hideMark/>
          </w:tcPr>
          <w:p w14:paraId="7F04DF71" w14:textId="77777777" w:rsidR="00FC77C7" w:rsidRPr="00174ECE" w:rsidRDefault="00FC77C7" w:rsidP="0093011F">
            <w:pPr>
              <w:pStyle w:val="TableText"/>
              <w:rPr>
                <w:lang w:eastAsia="en-NZ"/>
              </w:rPr>
            </w:pPr>
            <w:r w:rsidRPr="00174ECE">
              <w:rPr>
                <w:lang w:eastAsia="en-NZ"/>
              </w:rPr>
              <w:t>Cost per case</w:t>
            </w:r>
          </w:p>
        </w:tc>
        <w:tc>
          <w:tcPr>
            <w:tcW w:w="1913" w:type="dxa"/>
            <w:noWrap/>
            <w:vAlign w:val="top"/>
            <w:hideMark/>
          </w:tcPr>
          <w:p w14:paraId="78FCF8D8"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E519C">
              <w:t>$2,500</w:t>
            </w:r>
          </w:p>
        </w:tc>
        <w:tc>
          <w:tcPr>
            <w:tcW w:w="1985" w:type="dxa"/>
            <w:noWrap/>
            <w:vAlign w:val="top"/>
            <w:hideMark/>
          </w:tcPr>
          <w:p w14:paraId="1BE36DFB" w14:textId="77777777" w:rsidR="00FC77C7" w:rsidRPr="00174EC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E519C">
              <w:t>$2,500</w:t>
            </w:r>
          </w:p>
        </w:tc>
      </w:tr>
      <w:tr w:rsidR="00FC77C7" w:rsidRPr="00174ECE" w14:paraId="23D67C3F"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085" w:type="dxa"/>
            <w:noWrap/>
            <w:hideMark/>
          </w:tcPr>
          <w:p w14:paraId="18789A7A" w14:textId="77777777" w:rsidR="00FC77C7" w:rsidRPr="00174ECE" w:rsidRDefault="00FC77C7" w:rsidP="0093011F">
            <w:pPr>
              <w:pStyle w:val="TableText"/>
              <w:rPr>
                <w:lang w:eastAsia="en-NZ"/>
              </w:rPr>
            </w:pPr>
            <w:r w:rsidRPr="00174ECE">
              <w:rPr>
                <w:lang w:eastAsia="en-NZ"/>
              </w:rPr>
              <w:t xml:space="preserve">Total </w:t>
            </w:r>
            <w:r>
              <w:rPr>
                <w:lang w:eastAsia="en-NZ"/>
              </w:rPr>
              <w:t xml:space="preserve">annual </w:t>
            </w:r>
            <w:r w:rsidRPr="00174ECE">
              <w:rPr>
                <w:lang w:eastAsia="en-NZ"/>
              </w:rPr>
              <w:t>cost</w:t>
            </w:r>
            <w:r>
              <w:rPr>
                <w:lang w:eastAsia="en-NZ"/>
              </w:rPr>
              <w:t xml:space="preserve"> ($m)</w:t>
            </w:r>
          </w:p>
        </w:tc>
        <w:tc>
          <w:tcPr>
            <w:tcW w:w="1913" w:type="dxa"/>
            <w:noWrap/>
            <w:vAlign w:val="top"/>
            <w:hideMark/>
          </w:tcPr>
          <w:p w14:paraId="65CAFF7A" w14:textId="77777777" w:rsidR="00FC77C7" w:rsidRPr="00174EC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7E519C">
              <w:t>$11</w:t>
            </w:r>
            <w:r>
              <w:t>.5</w:t>
            </w:r>
          </w:p>
        </w:tc>
        <w:tc>
          <w:tcPr>
            <w:tcW w:w="1985" w:type="dxa"/>
            <w:noWrap/>
            <w:vAlign w:val="top"/>
            <w:hideMark/>
          </w:tcPr>
          <w:p w14:paraId="37B7DE43" w14:textId="77777777" w:rsidR="00FC77C7" w:rsidRPr="00174EC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7E519C">
              <w:t>$80</w:t>
            </w:r>
            <w:r>
              <w:t>.</w:t>
            </w:r>
            <w:r w:rsidRPr="007E519C">
              <w:t>2</w:t>
            </w:r>
          </w:p>
        </w:tc>
      </w:tr>
    </w:tbl>
    <w:p w14:paraId="7669306F" w14:textId="77777777" w:rsidR="00FC77C7" w:rsidRPr="00C3424D" w:rsidRDefault="00FC77C7" w:rsidP="00FC77C7">
      <w:pPr>
        <w:rPr>
          <w:sz w:val="18"/>
          <w:szCs w:val="18"/>
        </w:rPr>
      </w:pPr>
      <w:r w:rsidRPr="00C3424D">
        <w:rPr>
          <w:sz w:val="18"/>
          <w:szCs w:val="18"/>
        </w:rPr>
        <w:t>Source: estimated from numbers in Ministry for the Environment (2019d)</w:t>
      </w:r>
    </w:p>
    <w:p w14:paraId="3C741154" w14:textId="77777777" w:rsidR="00FC77C7" w:rsidRDefault="00FC77C7" w:rsidP="00FC77C7"/>
    <w:p w14:paraId="4BC998DC" w14:textId="77777777" w:rsidR="00FC77C7" w:rsidRDefault="00FC77C7" w:rsidP="00FC77C7">
      <w:r>
        <w:t xml:space="preserve">These costs represent the total cost of infections (which might be eliminated if there were no infections), but are not an estimate of the benefits of the EF package. </w:t>
      </w:r>
    </w:p>
    <w:p w14:paraId="0FFA057E" w14:textId="77777777" w:rsidR="00FC77C7" w:rsidRDefault="00FC77C7" w:rsidP="00FC77C7"/>
    <w:p w14:paraId="05B176E3" w14:textId="77777777" w:rsidR="00FC77C7" w:rsidRDefault="00FC77C7" w:rsidP="00FC77C7">
      <w:r>
        <w:t xml:space="preserve">Our preference is for the results using the WTP study as it would be expected to include the full set of benefits that people obtain from improvements in the quality of swimming water, including those that accrue to those who don’t visit the freshwater sites but benefit from knowing it is clean. </w:t>
      </w:r>
    </w:p>
    <w:p w14:paraId="042A9A37" w14:textId="77777777" w:rsidR="00FC77C7" w:rsidRDefault="00FC77C7" w:rsidP="00FC77C7"/>
    <w:p w14:paraId="716AE8D9" w14:textId="77777777" w:rsidR="00FC77C7" w:rsidRDefault="00FC77C7" w:rsidP="00FC77C7">
      <w:r>
        <w:t xml:space="preserve">The </w:t>
      </w:r>
      <w:proofErr w:type="spellStart"/>
      <w:r>
        <w:t>MfE</w:t>
      </w:r>
      <w:proofErr w:type="spellEnd"/>
      <w:r>
        <w:t xml:space="preserve"> analysis does suggest that there are costs to the health system that would be additional to those that an individual would face, and presumably which would be external to their expressed WTP. However, we do not have a basis for estimating the level of this cost (and cost savings as a benefit) in addition to the WTP numbers. </w:t>
      </w:r>
    </w:p>
    <w:p w14:paraId="2D73C7DE" w14:textId="77777777" w:rsidR="00FC77C7" w:rsidRDefault="00FC77C7" w:rsidP="00FC77C7">
      <w:pPr>
        <w:pStyle w:val="Heading2"/>
      </w:pPr>
      <w:bookmarkStart w:id="50" w:name="_Ref34369594"/>
      <w:bookmarkStart w:id="51" w:name="_Toc35593991"/>
      <w:bookmarkStart w:id="52" w:name="_Toc35599752"/>
      <w:r>
        <w:t>Sediment Discharge</w:t>
      </w:r>
      <w:bookmarkEnd w:id="50"/>
      <w:bookmarkEnd w:id="51"/>
      <w:bookmarkEnd w:id="52"/>
    </w:p>
    <w:p w14:paraId="4DC74D04" w14:textId="77777777" w:rsidR="00FC77C7" w:rsidRDefault="00FC77C7" w:rsidP="00FC77C7">
      <w:r>
        <w:t xml:space="preserve">An analysis of the impacts of the EF package on sediment discharges was undertaken by </w:t>
      </w:r>
      <w:proofErr w:type="spellStart"/>
      <w:r>
        <w:t>Landcare</w:t>
      </w:r>
      <w:proofErr w:type="spellEnd"/>
      <w:r>
        <w:t xml:space="preserve"> Research</w:t>
      </w:r>
      <w:r>
        <w:rPr>
          <w:rStyle w:val="FootnoteReference"/>
        </w:rPr>
        <w:footnoteReference w:id="36"/>
      </w:r>
      <w:r>
        <w:t xml:space="preserve"> building on initial physical impact analysis by NIWA.</w:t>
      </w:r>
      <w:r>
        <w:rPr>
          <w:rStyle w:val="FootnoteReference"/>
        </w:rPr>
        <w:footnoteReference w:id="37"/>
      </w:r>
      <w:r>
        <w:t xml:space="preserve"> </w:t>
      </w:r>
    </w:p>
    <w:p w14:paraId="71E26339" w14:textId="77777777" w:rsidR="00FC77C7" w:rsidRDefault="00FC77C7" w:rsidP="00FC77C7"/>
    <w:p w14:paraId="15057A92" w14:textId="243A5623" w:rsidR="00FC77C7" w:rsidRDefault="00FC77C7" w:rsidP="00FC77C7">
      <w:r>
        <w:t xml:space="preserve">NIWA developed and used modelled relationships </w:t>
      </w:r>
      <w:r w:rsidRPr="005933A5">
        <w:t>between sediment loading and turbidity</w:t>
      </w:r>
      <w:r>
        <w:t xml:space="preserve"> and visual clarity, which they describe as having tolerable levels of uncertainty. These were used to </w:t>
      </w:r>
      <w:r w:rsidRPr="005933A5">
        <w:t xml:space="preserve">map where proposed thresholds are expected to be exceeded, and then to estimate the reduction in </w:t>
      </w:r>
      <w:r w:rsidRPr="005933A5">
        <w:lastRenderedPageBreak/>
        <w:t xml:space="preserve">mean annual sediment load required to meet the threshold values. </w:t>
      </w:r>
      <w:r>
        <w:t>The modelling was thus able to predict the water clarity outcomes of the sediment control components of the EF package (</w:t>
      </w:r>
      <w:r>
        <w:fldChar w:fldCharType="begin"/>
      </w:r>
      <w:r>
        <w:instrText xml:space="preserve"> REF _Ref32591860 \h </w:instrText>
      </w:r>
      <w:r>
        <w:fldChar w:fldCharType="separate"/>
      </w:r>
      <w:r w:rsidR="00024EB5">
        <w:t xml:space="preserve">Table </w:t>
      </w:r>
      <w:r w:rsidR="00024EB5">
        <w:rPr>
          <w:noProof/>
        </w:rPr>
        <w:t>8</w:t>
      </w:r>
      <w:r>
        <w:fldChar w:fldCharType="end"/>
      </w:r>
      <w:r>
        <w:t xml:space="preserve">). To combine the water clarity improvement estimates with the benefit values for water quality improvement in Tait </w:t>
      </w:r>
      <w:r>
        <w:rPr>
          <w:i/>
          <w:iCs/>
        </w:rPr>
        <w:t>et al</w:t>
      </w:r>
      <w:r>
        <w:t xml:space="preserve"> (</w:t>
      </w:r>
      <w:r>
        <w:fldChar w:fldCharType="begin"/>
      </w:r>
      <w:r>
        <w:instrText xml:space="preserve"> REF _Ref30413099 \h </w:instrText>
      </w:r>
      <w:r>
        <w:fldChar w:fldCharType="separate"/>
      </w:r>
      <w:r w:rsidR="00024EB5">
        <w:t xml:space="preserve">Table </w:t>
      </w:r>
      <w:r w:rsidR="00024EB5">
        <w:rPr>
          <w:noProof/>
        </w:rPr>
        <w:t>3</w:t>
      </w:r>
      <w:r>
        <w:fldChar w:fldCharType="end"/>
      </w:r>
      <w:r>
        <w:t xml:space="preserve">), </w:t>
      </w:r>
      <w:proofErr w:type="spellStart"/>
      <w:r>
        <w:t>Landcare</w:t>
      </w:r>
      <w:proofErr w:type="spellEnd"/>
      <w:r>
        <w:t xml:space="preserve"> also estimated the percentage of </w:t>
      </w:r>
      <w:r w:rsidRPr="009D07EE">
        <w:t xml:space="preserve">the clarity improvements </w:t>
      </w:r>
      <w:r>
        <w:t xml:space="preserve">(to meeting limits) that started </w:t>
      </w:r>
      <w:r w:rsidRPr="009D07EE">
        <w:t>in waters classified as poor, moderate, or good</w:t>
      </w:r>
      <w:r>
        <w:t xml:space="preserve"> (the final three columns in </w:t>
      </w:r>
      <w:r>
        <w:fldChar w:fldCharType="begin"/>
      </w:r>
      <w:r>
        <w:instrText xml:space="preserve"> REF _Ref32591860 \h </w:instrText>
      </w:r>
      <w:r>
        <w:fldChar w:fldCharType="separate"/>
      </w:r>
      <w:r w:rsidR="00024EB5">
        <w:t xml:space="preserve">Table </w:t>
      </w:r>
      <w:r w:rsidR="00024EB5">
        <w:rPr>
          <w:noProof/>
        </w:rPr>
        <w:t>8</w:t>
      </w:r>
      <w:r>
        <w:fldChar w:fldCharType="end"/>
      </w:r>
      <w:r>
        <w:t>)</w:t>
      </w:r>
      <w:r w:rsidRPr="009D07EE">
        <w:t>.</w:t>
      </w:r>
      <w:r>
        <w:t xml:space="preserve"> Thus, </w:t>
      </w:r>
      <w:r w:rsidRPr="00134DAF">
        <w:t>of the waterbodies in Auckland that changed from violating their limits to achieving them, only 1% were good or poor, while 98% were moderate</w:t>
      </w:r>
      <w:r>
        <w:t>.</w:t>
      </w:r>
    </w:p>
    <w:p w14:paraId="0E3BE612" w14:textId="27EFFBE2" w:rsidR="00FC77C7" w:rsidRDefault="00FC77C7" w:rsidP="0093011F">
      <w:pPr>
        <w:pStyle w:val="Caption"/>
        <w:spacing w:line="240" w:lineRule="auto"/>
      </w:pPr>
      <w:bookmarkStart w:id="53" w:name="_Ref32591860"/>
      <w:r>
        <w:t xml:space="preserve">Table </w:t>
      </w:r>
      <w:r w:rsidR="00313617">
        <w:fldChar w:fldCharType="begin"/>
      </w:r>
      <w:r w:rsidR="00313617">
        <w:instrText xml:space="preserve"> SEQ Table \* ARABIC </w:instrText>
      </w:r>
      <w:r w:rsidR="00313617">
        <w:fldChar w:fldCharType="separate"/>
      </w:r>
      <w:r w:rsidR="00024EB5">
        <w:rPr>
          <w:noProof/>
        </w:rPr>
        <w:t>8</w:t>
      </w:r>
      <w:r w:rsidR="00313617">
        <w:rPr>
          <w:noProof/>
        </w:rPr>
        <w:fldChar w:fldCharType="end"/>
      </w:r>
      <w:bookmarkEnd w:id="53"/>
      <w:r>
        <w:t xml:space="preserve"> Percent of Regions waterways meeting water clarity limits and % that meet limits from different starting positions</w:t>
      </w:r>
    </w:p>
    <w:tbl>
      <w:tblPr>
        <w:tblStyle w:val="CovecTables"/>
        <w:tblW w:w="0" w:type="auto"/>
        <w:tblLook w:val="04E0" w:firstRow="1" w:lastRow="1" w:firstColumn="1" w:lastColumn="0" w:noHBand="0" w:noVBand="1"/>
      </w:tblPr>
      <w:tblGrid>
        <w:gridCol w:w="1901"/>
        <w:gridCol w:w="1034"/>
        <w:gridCol w:w="1035"/>
        <w:gridCol w:w="1034"/>
        <w:gridCol w:w="1035"/>
        <w:gridCol w:w="1219"/>
        <w:gridCol w:w="850"/>
      </w:tblGrid>
      <w:tr w:rsidR="00FC77C7" w14:paraId="79ECBAA6" w14:textId="77777777" w:rsidTr="009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vAlign w:val="top"/>
          </w:tcPr>
          <w:p w14:paraId="2AF5E867" w14:textId="77777777" w:rsidR="00FC77C7" w:rsidRDefault="00FC77C7" w:rsidP="0093011F">
            <w:pPr>
              <w:pStyle w:val="TableText"/>
              <w:jc w:val="left"/>
            </w:pPr>
            <w:r w:rsidRPr="00E9587F">
              <w:t xml:space="preserve">Region </w:t>
            </w:r>
          </w:p>
        </w:tc>
        <w:tc>
          <w:tcPr>
            <w:tcW w:w="1034" w:type="dxa"/>
            <w:vAlign w:val="top"/>
          </w:tcPr>
          <w:p w14:paraId="36E1832C" w14:textId="0B851931" w:rsidR="00FC77C7" w:rsidRDefault="0093011F" w:rsidP="0093011F">
            <w:pPr>
              <w:pStyle w:val="TableText"/>
              <w:jc w:val="center"/>
              <w:cnfStyle w:val="100000000000" w:firstRow="1" w:lastRow="0" w:firstColumn="0" w:lastColumn="0" w:oddVBand="0" w:evenVBand="0" w:oddHBand="0" w:evenHBand="0" w:firstRowFirstColumn="0" w:firstRowLastColumn="0" w:lastRowFirstColumn="0" w:lastRowLastColumn="0"/>
            </w:pPr>
            <w:r>
              <w:t xml:space="preserve">% </w:t>
            </w:r>
            <w:r w:rsidR="00FC77C7" w:rsidRPr="00E9587F">
              <w:t>Before Mitigation</w:t>
            </w:r>
          </w:p>
        </w:tc>
        <w:tc>
          <w:tcPr>
            <w:tcW w:w="1035" w:type="dxa"/>
            <w:vAlign w:val="top"/>
          </w:tcPr>
          <w:p w14:paraId="0471FAF7" w14:textId="63FF328C" w:rsidR="00FC77C7" w:rsidRDefault="0093011F" w:rsidP="0093011F">
            <w:pPr>
              <w:pStyle w:val="TableText"/>
              <w:jc w:val="center"/>
              <w:cnfStyle w:val="100000000000" w:firstRow="1" w:lastRow="0" w:firstColumn="0" w:lastColumn="0" w:oddVBand="0" w:evenVBand="0" w:oddHBand="0" w:evenHBand="0" w:firstRowFirstColumn="0" w:firstRowLastColumn="0" w:lastRowFirstColumn="0" w:lastRowLastColumn="0"/>
            </w:pPr>
            <w:r>
              <w:t xml:space="preserve">% </w:t>
            </w:r>
            <w:r w:rsidR="00FC77C7" w:rsidRPr="00E9587F">
              <w:t>After Mitigation</w:t>
            </w:r>
          </w:p>
        </w:tc>
        <w:tc>
          <w:tcPr>
            <w:tcW w:w="1034" w:type="dxa"/>
          </w:tcPr>
          <w:p w14:paraId="23B59040" w14:textId="77777777" w:rsidR="00FC77C7" w:rsidRPr="00E9587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 Point Change</w:t>
            </w:r>
          </w:p>
        </w:tc>
        <w:tc>
          <w:tcPr>
            <w:tcW w:w="1035" w:type="dxa"/>
            <w:vAlign w:val="top"/>
          </w:tcPr>
          <w:p w14:paraId="076BBBC6" w14:textId="2945C194"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936D53">
              <w:t>% Good</w:t>
            </w:r>
          </w:p>
        </w:tc>
        <w:tc>
          <w:tcPr>
            <w:tcW w:w="1219" w:type="dxa"/>
            <w:vAlign w:val="top"/>
          </w:tcPr>
          <w:p w14:paraId="4B0F4A36" w14:textId="74201E28"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936D53">
              <w:t xml:space="preserve">% </w:t>
            </w:r>
            <w:r>
              <w:t>Moderate</w:t>
            </w:r>
          </w:p>
        </w:tc>
        <w:tc>
          <w:tcPr>
            <w:tcW w:w="850" w:type="dxa"/>
            <w:vAlign w:val="top"/>
          </w:tcPr>
          <w:p w14:paraId="249EC4B3" w14:textId="0F31EB1B"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936D53">
              <w:t xml:space="preserve">% </w:t>
            </w:r>
            <w:r>
              <w:t>Poor</w:t>
            </w:r>
          </w:p>
        </w:tc>
      </w:tr>
      <w:tr w:rsidR="00FC77C7" w14:paraId="0328035B"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8" w:space="0" w:color="A6A6A6" w:themeColor="background1" w:themeShade="A6"/>
              <w:bottom w:val="single" w:sz="6" w:space="0" w:color="A6A6A6" w:themeColor="background1" w:themeShade="A6"/>
            </w:tcBorders>
            <w:vAlign w:val="top"/>
          </w:tcPr>
          <w:p w14:paraId="09C17848" w14:textId="77777777" w:rsidR="00FC77C7" w:rsidRDefault="00FC77C7" w:rsidP="0093011F">
            <w:pPr>
              <w:pStyle w:val="TableText"/>
            </w:pPr>
            <w:r w:rsidRPr="00E9587F">
              <w:t xml:space="preserve">Auckland </w:t>
            </w:r>
          </w:p>
        </w:tc>
        <w:tc>
          <w:tcPr>
            <w:tcW w:w="1034" w:type="dxa"/>
            <w:tcBorders>
              <w:top w:val="single" w:sz="8" w:space="0" w:color="A6A6A6" w:themeColor="background1" w:themeShade="A6"/>
              <w:bottom w:val="single" w:sz="6" w:space="0" w:color="A6A6A6" w:themeColor="background1" w:themeShade="A6"/>
            </w:tcBorders>
            <w:vAlign w:val="top"/>
          </w:tcPr>
          <w:p w14:paraId="5E300CF0"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88.4</w:t>
            </w:r>
          </w:p>
        </w:tc>
        <w:tc>
          <w:tcPr>
            <w:tcW w:w="1035" w:type="dxa"/>
            <w:tcBorders>
              <w:top w:val="single" w:sz="8" w:space="0" w:color="A6A6A6" w:themeColor="background1" w:themeShade="A6"/>
              <w:bottom w:val="single" w:sz="6" w:space="0" w:color="A6A6A6" w:themeColor="background1" w:themeShade="A6"/>
            </w:tcBorders>
            <w:vAlign w:val="top"/>
          </w:tcPr>
          <w:p w14:paraId="746D488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89.2</w:t>
            </w:r>
          </w:p>
        </w:tc>
        <w:tc>
          <w:tcPr>
            <w:tcW w:w="1034" w:type="dxa"/>
            <w:tcBorders>
              <w:top w:val="single" w:sz="8" w:space="0" w:color="A6A6A6" w:themeColor="background1" w:themeShade="A6"/>
              <w:bottom w:val="single" w:sz="6" w:space="0" w:color="A6A6A6" w:themeColor="background1" w:themeShade="A6"/>
            </w:tcBorders>
            <w:vAlign w:val="top"/>
          </w:tcPr>
          <w:p w14:paraId="1F8427C1"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0.8</w:t>
            </w:r>
          </w:p>
        </w:tc>
        <w:tc>
          <w:tcPr>
            <w:tcW w:w="1035" w:type="dxa"/>
            <w:tcBorders>
              <w:top w:val="single" w:sz="8" w:space="0" w:color="A6A6A6" w:themeColor="background1" w:themeShade="A6"/>
              <w:bottom w:val="single" w:sz="6" w:space="0" w:color="A6A6A6" w:themeColor="background1" w:themeShade="A6"/>
            </w:tcBorders>
            <w:vAlign w:val="top"/>
          </w:tcPr>
          <w:p w14:paraId="2BF5E052"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1.1</w:t>
            </w:r>
          </w:p>
        </w:tc>
        <w:tc>
          <w:tcPr>
            <w:tcW w:w="1219" w:type="dxa"/>
            <w:tcBorders>
              <w:top w:val="single" w:sz="8" w:space="0" w:color="A6A6A6" w:themeColor="background1" w:themeShade="A6"/>
              <w:bottom w:val="single" w:sz="6" w:space="0" w:color="A6A6A6" w:themeColor="background1" w:themeShade="A6"/>
            </w:tcBorders>
            <w:vAlign w:val="top"/>
          </w:tcPr>
          <w:p w14:paraId="12AB6F07"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97.9</w:t>
            </w:r>
          </w:p>
        </w:tc>
        <w:tc>
          <w:tcPr>
            <w:tcW w:w="850" w:type="dxa"/>
            <w:tcBorders>
              <w:top w:val="single" w:sz="8" w:space="0" w:color="A6A6A6" w:themeColor="background1" w:themeShade="A6"/>
              <w:bottom w:val="single" w:sz="6" w:space="0" w:color="A6A6A6" w:themeColor="background1" w:themeShade="A6"/>
            </w:tcBorders>
            <w:vAlign w:val="top"/>
          </w:tcPr>
          <w:p w14:paraId="55CF0CB9"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1.1</w:t>
            </w:r>
          </w:p>
        </w:tc>
      </w:tr>
      <w:tr w:rsidR="00FC77C7" w14:paraId="47FFBA9C"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31156DFC" w14:textId="77777777" w:rsidR="00FC77C7" w:rsidRDefault="00FC77C7" w:rsidP="0093011F">
            <w:pPr>
              <w:pStyle w:val="TableText"/>
            </w:pPr>
            <w:r w:rsidRPr="00E9587F">
              <w:t xml:space="preserve">Bay of Plenty </w:t>
            </w:r>
          </w:p>
        </w:tc>
        <w:tc>
          <w:tcPr>
            <w:tcW w:w="1034" w:type="dxa"/>
            <w:tcBorders>
              <w:top w:val="single" w:sz="6" w:space="0" w:color="A6A6A6" w:themeColor="background1" w:themeShade="A6"/>
              <w:bottom w:val="single" w:sz="6" w:space="0" w:color="A6A6A6" w:themeColor="background1" w:themeShade="A6"/>
            </w:tcBorders>
            <w:vAlign w:val="top"/>
          </w:tcPr>
          <w:p w14:paraId="1E2931A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91.9</w:t>
            </w:r>
          </w:p>
        </w:tc>
        <w:tc>
          <w:tcPr>
            <w:tcW w:w="1035" w:type="dxa"/>
            <w:tcBorders>
              <w:top w:val="single" w:sz="6" w:space="0" w:color="A6A6A6" w:themeColor="background1" w:themeShade="A6"/>
              <w:bottom w:val="single" w:sz="6" w:space="0" w:color="A6A6A6" w:themeColor="background1" w:themeShade="A6"/>
            </w:tcBorders>
            <w:vAlign w:val="top"/>
          </w:tcPr>
          <w:p w14:paraId="2D6344C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93.9</w:t>
            </w:r>
          </w:p>
        </w:tc>
        <w:tc>
          <w:tcPr>
            <w:tcW w:w="1034" w:type="dxa"/>
            <w:tcBorders>
              <w:top w:val="single" w:sz="6" w:space="0" w:color="A6A6A6" w:themeColor="background1" w:themeShade="A6"/>
              <w:bottom w:val="single" w:sz="6" w:space="0" w:color="A6A6A6" w:themeColor="background1" w:themeShade="A6"/>
            </w:tcBorders>
            <w:vAlign w:val="top"/>
          </w:tcPr>
          <w:p w14:paraId="5452C0CA"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2</w:t>
            </w:r>
          </w:p>
        </w:tc>
        <w:tc>
          <w:tcPr>
            <w:tcW w:w="1035" w:type="dxa"/>
            <w:tcBorders>
              <w:top w:val="single" w:sz="6" w:space="0" w:color="A6A6A6" w:themeColor="background1" w:themeShade="A6"/>
              <w:bottom w:val="single" w:sz="6" w:space="0" w:color="A6A6A6" w:themeColor="background1" w:themeShade="A6"/>
            </w:tcBorders>
            <w:vAlign w:val="top"/>
          </w:tcPr>
          <w:p w14:paraId="05BAE332"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48.8</w:t>
            </w:r>
          </w:p>
        </w:tc>
        <w:tc>
          <w:tcPr>
            <w:tcW w:w="1219" w:type="dxa"/>
            <w:tcBorders>
              <w:top w:val="single" w:sz="6" w:space="0" w:color="A6A6A6" w:themeColor="background1" w:themeShade="A6"/>
              <w:bottom w:val="single" w:sz="6" w:space="0" w:color="A6A6A6" w:themeColor="background1" w:themeShade="A6"/>
            </w:tcBorders>
            <w:vAlign w:val="top"/>
          </w:tcPr>
          <w:p w14:paraId="6DAAB886"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51.2</w:t>
            </w:r>
          </w:p>
        </w:tc>
        <w:tc>
          <w:tcPr>
            <w:tcW w:w="850" w:type="dxa"/>
            <w:tcBorders>
              <w:top w:val="single" w:sz="6" w:space="0" w:color="A6A6A6" w:themeColor="background1" w:themeShade="A6"/>
              <w:bottom w:val="single" w:sz="6" w:space="0" w:color="A6A6A6" w:themeColor="background1" w:themeShade="A6"/>
            </w:tcBorders>
            <w:vAlign w:val="top"/>
          </w:tcPr>
          <w:p w14:paraId="4975D1D5"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5DA1F333"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38A6D188" w14:textId="77777777" w:rsidR="00FC77C7" w:rsidRDefault="00FC77C7" w:rsidP="0093011F">
            <w:pPr>
              <w:pStyle w:val="TableText"/>
            </w:pPr>
            <w:r w:rsidRPr="00E9587F">
              <w:t xml:space="preserve">Canterbury </w:t>
            </w:r>
          </w:p>
        </w:tc>
        <w:tc>
          <w:tcPr>
            <w:tcW w:w="1034" w:type="dxa"/>
            <w:tcBorders>
              <w:top w:val="single" w:sz="6" w:space="0" w:color="A6A6A6" w:themeColor="background1" w:themeShade="A6"/>
              <w:bottom w:val="single" w:sz="6" w:space="0" w:color="A6A6A6" w:themeColor="background1" w:themeShade="A6"/>
            </w:tcBorders>
            <w:vAlign w:val="top"/>
          </w:tcPr>
          <w:p w14:paraId="72C1269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82.8</w:t>
            </w:r>
          </w:p>
        </w:tc>
        <w:tc>
          <w:tcPr>
            <w:tcW w:w="1035" w:type="dxa"/>
            <w:tcBorders>
              <w:top w:val="single" w:sz="6" w:space="0" w:color="A6A6A6" w:themeColor="background1" w:themeShade="A6"/>
              <w:bottom w:val="single" w:sz="6" w:space="0" w:color="A6A6A6" w:themeColor="background1" w:themeShade="A6"/>
            </w:tcBorders>
            <w:vAlign w:val="top"/>
          </w:tcPr>
          <w:p w14:paraId="76F28D6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84.5</w:t>
            </w:r>
          </w:p>
        </w:tc>
        <w:tc>
          <w:tcPr>
            <w:tcW w:w="1034" w:type="dxa"/>
            <w:tcBorders>
              <w:top w:val="single" w:sz="6" w:space="0" w:color="A6A6A6" w:themeColor="background1" w:themeShade="A6"/>
              <w:bottom w:val="single" w:sz="6" w:space="0" w:color="A6A6A6" w:themeColor="background1" w:themeShade="A6"/>
            </w:tcBorders>
            <w:vAlign w:val="top"/>
          </w:tcPr>
          <w:p w14:paraId="52278FBE"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1.7</w:t>
            </w:r>
          </w:p>
        </w:tc>
        <w:tc>
          <w:tcPr>
            <w:tcW w:w="1035" w:type="dxa"/>
            <w:tcBorders>
              <w:top w:val="single" w:sz="6" w:space="0" w:color="A6A6A6" w:themeColor="background1" w:themeShade="A6"/>
              <w:bottom w:val="single" w:sz="6" w:space="0" w:color="A6A6A6" w:themeColor="background1" w:themeShade="A6"/>
            </w:tcBorders>
            <w:vAlign w:val="top"/>
          </w:tcPr>
          <w:p w14:paraId="52C25872"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83.5</w:t>
            </w:r>
          </w:p>
        </w:tc>
        <w:tc>
          <w:tcPr>
            <w:tcW w:w="1219" w:type="dxa"/>
            <w:tcBorders>
              <w:top w:val="single" w:sz="6" w:space="0" w:color="A6A6A6" w:themeColor="background1" w:themeShade="A6"/>
              <w:bottom w:val="single" w:sz="6" w:space="0" w:color="A6A6A6" w:themeColor="background1" w:themeShade="A6"/>
            </w:tcBorders>
            <w:vAlign w:val="top"/>
          </w:tcPr>
          <w:p w14:paraId="04C7E0E3"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16.5</w:t>
            </w:r>
          </w:p>
        </w:tc>
        <w:tc>
          <w:tcPr>
            <w:tcW w:w="850" w:type="dxa"/>
            <w:tcBorders>
              <w:top w:val="single" w:sz="6" w:space="0" w:color="A6A6A6" w:themeColor="background1" w:themeShade="A6"/>
              <w:bottom w:val="single" w:sz="6" w:space="0" w:color="A6A6A6" w:themeColor="background1" w:themeShade="A6"/>
            </w:tcBorders>
            <w:vAlign w:val="top"/>
          </w:tcPr>
          <w:p w14:paraId="030B2548"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6E91C4DB"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28FBE6A3" w14:textId="77777777" w:rsidR="00FC77C7" w:rsidRDefault="00FC77C7" w:rsidP="0093011F">
            <w:pPr>
              <w:pStyle w:val="TableText"/>
            </w:pPr>
            <w:r w:rsidRPr="00E9587F">
              <w:t xml:space="preserve">Gisborne </w:t>
            </w:r>
          </w:p>
        </w:tc>
        <w:tc>
          <w:tcPr>
            <w:tcW w:w="1034" w:type="dxa"/>
            <w:tcBorders>
              <w:top w:val="single" w:sz="6" w:space="0" w:color="A6A6A6" w:themeColor="background1" w:themeShade="A6"/>
              <w:bottom w:val="single" w:sz="6" w:space="0" w:color="A6A6A6" w:themeColor="background1" w:themeShade="A6"/>
            </w:tcBorders>
            <w:vAlign w:val="top"/>
          </w:tcPr>
          <w:p w14:paraId="62CBD66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77</w:t>
            </w:r>
          </w:p>
        </w:tc>
        <w:tc>
          <w:tcPr>
            <w:tcW w:w="1035" w:type="dxa"/>
            <w:tcBorders>
              <w:top w:val="single" w:sz="6" w:space="0" w:color="A6A6A6" w:themeColor="background1" w:themeShade="A6"/>
              <w:bottom w:val="single" w:sz="6" w:space="0" w:color="A6A6A6" w:themeColor="background1" w:themeShade="A6"/>
            </w:tcBorders>
            <w:vAlign w:val="top"/>
          </w:tcPr>
          <w:p w14:paraId="40ED096E"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84.9</w:t>
            </w:r>
          </w:p>
        </w:tc>
        <w:tc>
          <w:tcPr>
            <w:tcW w:w="1034" w:type="dxa"/>
            <w:tcBorders>
              <w:top w:val="single" w:sz="6" w:space="0" w:color="A6A6A6" w:themeColor="background1" w:themeShade="A6"/>
              <w:bottom w:val="single" w:sz="6" w:space="0" w:color="A6A6A6" w:themeColor="background1" w:themeShade="A6"/>
            </w:tcBorders>
            <w:vAlign w:val="top"/>
          </w:tcPr>
          <w:p w14:paraId="608F9CE5"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7.9</w:t>
            </w:r>
          </w:p>
        </w:tc>
        <w:tc>
          <w:tcPr>
            <w:tcW w:w="1035" w:type="dxa"/>
            <w:tcBorders>
              <w:top w:val="single" w:sz="6" w:space="0" w:color="A6A6A6" w:themeColor="background1" w:themeShade="A6"/>
              <w:bottom w:val="single" w:sz="6" w:space="0" w:color="A6A6A6" w:themeColor="background1" w:themeShade="A6"/>
            </w:tcBorders>
            <w:vAlign w:val="top"/>
          </w:tcPr>
          <w:p w14:paraId="0082F887"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88</w:t>
            </w:r>
          </w:p>
        </w:tc>
        <w:tc>
          <w:tcPr>
            <w:tcW w:w="1219" w:type="dxa"/>
            <w:tcBorders>
              <w:top w:val="single" w:sz="6" w:space="0" w:color="A6A6A6" w:themeColor="background1" w:themeShade="A6"/>
              <w:bottom w:val="single" w:sz="6" w:space="0" w:color="A6A6A6" w:themeColor="background1" w:themeShade="A6"/>
            </w:tcBorders>
            <w:vAlign w:val="top"/>
          </w:tcPr>
          <w:p w14:paraId="3B8505C5"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12</w:t>
            </w:r>
          </w:p>
        </w:tc>
        <w:tc>
          <w:tcPr>
            <w:tcW w:w="850" w:type="dxa"/>
            <w:tcBorders>
              <w:top w:val="single" w:sz="6" w:space="0" w:color="A6A6A6" w:themeColor="background1" w:themeShade="A6"/>
              <w:bottom w:val="single" w:sz="6" w:space="0" w:color="A6A6A6" w:themeColor="background1" w:themeShade="A6"/>
            </w:tcBorders>
            <w:vAlign w:val="top"/>
          </w:tcPr>
          <w:p w14:paraId="793B2F48"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2D578B90"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6939EE62" w14:textId="77777777" w:rsidR="00FC77C7" w:rsidRDefault="00FC77C7" w:rsidP="0093011F">
            <w:pPr>
              <w:pStyle w:val="TableText"/>
            </w:pPr>
            <w:r w:rsidRPr="00E9587F">
              <w:t xml:space="preserve">Hawke's Bay </w:t>
            </w:r>
          </w:p>
        </w:tc>
        <w:tc>
          <w:tcPr>
            <w:tcW w:w="1034" w:type="dxa"/>
            <w:tcBorders>
              <w:top w:val="single" w:sz="6" w:space="0" w:color="A6A6A6" w:themeColor="background1" w:themeShade="A6"/>
              <w:bottom w:val="single" w:sz="6" w:space="0" w:color="A6A6A6" w:themeColor="background1" w:themeShade="A6"/>
            </w:tcBorders>
            <w:vAlign w:val="top"/>
          </w:tcPr>
          <w:p w14:paraId="6E7B03E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91.3</w:t>
            </w:r>
          </w:p>
        </w:tc>
        <w:tc>
          <w:tcPr>
            <w:tcW w:w="1035" w:type="dxa"/>
            <w:tcBorders>
              <w:top w:val="single" w:sz="6" w:space="0" w:color="A6A6A6" w:themeColor="background1" w:themeShade="A6"/>
              <w:bottom w:val="single" w:sz="6" w:space="0" w:color="A6A6A6" w:themeColor="background1" w:themeShade="A6"/>
            </w:tcBorders>
            <w:vAlign w:val="top"/>
          </w:tcPr>
          <w:p w14:paraId="0052DBF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93.5</w:t>
            </w:r>
          </w:p>
        </w:tc>
        <w:tc>
          <w:tcPr>
            <w:tcW w:w="1034" w:type="dxa"/>
            <w:tcBorders>
              <w:top w:val="single" w:sz="6" w:space="0" w:color="A6A6A6" w:themeColor="background1" w:themeShade="A6"/>
              <w:bottom w:val="single" w:sz="6" w:space="0" w:color="A6A6A6" w:themeColor="background1" w:themeShade="A6"/>
            </w:tcBorders>
            <w:vAlign w:val="top"/>
          </w:tcPr>
          <w:p w14:paraId="05CD5B31"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2.2</w:t>
            </w:r>
          </w:p>
        </w:tc>
        <w:tc>
          <w:tcPr>
            <w:tcW w:w="1035" w:type="dxa"/>
            <w:tcBorders>
              <w:top w:val="single" w:sz="6" w:space="0" w:color="A6A6A6" w:themeColor="background1" w:themeShade="A6"/>
              <w:bottom w:val="single" w:sz="6" w:space="0" w:color="A6A6A6" w:themeColor="background1" w:themeShade="A6"/>
            </w:tcBorders>
            <w:vAlign w:val="top"/>
          </w:tcPr>
          <w:p w14:paraId="32300CB8"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65.9</w:t>
            </w:r>
          </w:p>
        </w:tc>
        <w:tc>
          <w:tcPr>
            <w:tcW w:w="1219" w:type="dxa"/>
            <w:tcBorders>
              <w:top w:val="single" w:sz="6" w:space="0" w:color="A6A6A6" w:themeColor="background1" w:themeShade="A6"/>
              <w:bottom w:val="single" w:sz="6" w:space="0" w:color="A6A6A6" w:themeColor="background1" w:themeShade="A6"/>
            </w:tcBorders>
            <w:vAlign w:val="top"/>
          </w:tcPr>
          <w:p w14:paraId="7864AD3E"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34.1</w:t>
            </w:r>
          </w:p>
        </w:tc>
        <w:tc>
          <w:tcPr>
            <w:tcW w:w="850" w:type="dxa"/>
            <w:tcBorders>
              <w:top w:val="single" w:sz="6" w:space="0" w:color="A6A6A6" w:themeColor="background1" w:themeShade="A6"/>
              <w:bottom w:val="single" w:sz="6" w:space="0" w:color="A6A6A6" w:themeColor="background1" w:themeShade="A6"/>
            </w:tcBorders>
            <w:vAlign w:val="top"/>
          </w:tcPr>
          <w:p w14:paraId="49571899"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1E2F0135"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1291CEF5" w14:textId="77777777" w:rsidR="00FC77C7" w:rsidRDefault="00FC77C7" w:rsidP="0093011F">
            <w:pPr>
              <w:pStyle w:val="TableText"/>
            </w:pPr>
            <w:proofErr w:type="spellStart"/>
            <w:r w:rsidRPr="00E9587F">
              <w:t>Manawatu</w:t>
            </w:r>
            <w:proofErr w:type="spellEnd"/>
            <w:r w:rsidRPr="00E9587F">
              <w:t xml:space="preserve"> Whanganui </w:t>
            </w:r>
          </w:p>
        </w:tc>
        <w:tc>
          <w:tcPr>
            <w:tcW w:w="1034" w:type="dxa"/>
            <w:tcBorders>
              <w:top w:val="single" w:sz="6" w:space="0" w:color="A6A6A6" w:themeColor="background1" w:themeShade="A6"/>
              <w:bottom w:val="single" w:sz="6" w:space="0" w:color="A6A6A6" w:themeColor="background1" w:themeShade="A6"/>
            </w:tcBorders>
            <w:vAlign w:val="top"/>
          </w:tcPr>
          <w:p w14:paraId="7EBD56F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72.5</w:t>
            </w:r>
          </w:p>
        </w:tc>
        <w:tc>
          <w:tcPr>
            <w:tcW w:w="1035" w:type="dxa"/>
            <w:tcBorders>
              <w:top w:val="single" w:sz="6" w:space="0" w:color="A6A6A6" w:themeColor="background1" w:themeShade="A6"/>
              <w:bottom w:val="single" w:sz="6" w:space="0" w:color="A6A6A6" w:themeColor="background1" w:themeShade="A6"/>
            </w:tcBorders>
            <w:vAlign w:val="top"/>
          </w:tcPr>
          <w:p w14:paraId="40BDD98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72.6</w:t>
            </w:r>
          </w:p>
        </w:tc>
        <w:tc>
          <w:tcPr>
            <w:tcW w:w="1034" w:type="dxa"/>
            <w:tcBorders>
              <w:top w:val="single" w:sz="6" w:space="0" w:color="A6A6A6" w:themeColor="background1" w:themeShade="A6"/>
              <w:bottom w:val="single" w:sz="6" w:space="0" w:color="A6A6A6" w:themeColor="background1" w:themeShade="A6"/>
            </w:tcBorders>
            <w:vAlign w:val="top"/>
          </w:tcPr>
          <w:p w14:paraId="4E5013CC"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0.1</w:t>
            </w:r>
          </w:p>
        </w:tc>
        <w:tc>
          <w:tcPr>
            <w:tcW w:w="1035" w:type="dxa"/>
            <w:tcBorders>
              <w:top w:val="single" w:sz="6" w:space="0" w:color="A6A6A6" w:themeColor="background1" w:themeShade="A6"/>
              <w:bottom w:val="single" w:sz="6" w:space="0" w:color="A6A6A6" w:themeColor="background1" w:themeShade="A6"/>
            </w:tcBorders>
            <w:vAlign w:val="top"/>
          </w:tcPr>
          <w:p w14:paraId="71145292"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84.1</w:t>
            </w:r>
          </w:p>
        </w:tc>
        <w:tc>
          <w:tcPr>
            <w:tcW w:w="1219" w:type="dxa"/>
            <w:tcBorders>
              <w:top w:val="single" w:sz="6" w:space="0" w:color="A6A6A6" w:themeColor="background1" w:themeShade="A6"/>
              <w:bottom w:val="single" w:sz="6" w:space="0" w:color="A6A6A6" w:themeColor="background1" w:themeShade="A6"/>
            </w:tcBorders>
            <w:vAlign w:val="top"/>
          </w:tcPr>
          <w:p w14:paraId="33B0A699"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15.9</w:t>
            </w:r>
          </w:p>
        </w:tc>
        <w:tc>
          <w:tcPr>
            <w:tcW w:w="850" w:type="dxa"/>
            <w:tcBorders>
              <w:top w:val="single" w:sz="6" w:space="0" w:color="A6A6A6" w:themeColor="background1" w:themeShade="A6"/>
              <w:bottom w:val="single" w:sz="6" w:space="0" w:color="A6A6A6" w:themeColor="background1" w:themeShade="A6"/>
            </w:tcBorders>
            <w:vAlign w:val="top"/>
          </w:tcPr>
          <w:p w14:paraId="1AF4034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66E75F2D"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0C4E0122" w14:textId="77777777" w:rsidR="00FC77C7" w:rsidRDefault="00FC77C7" w:rsidP="0093011F">
            <w:pPr>
              <w:pStyle w:val="TableText"/>
            </w:pPr>
            <w:r w:rsidRPr="00E9587F">
              <w:t xml:space="preserve">Marlborough </w:t>
            </w:r>
          </w:p>
        </w:tc>
        <w:tc>
          <w:tcPr>
            <w:tcW w:w="1034" w:type="dxa"/>
            <w:tcBorders>
              <w:top w:val="single" w:sz="6" w:space="0" w:color="A6A6A6" w:themeColor="background1" w:themeShade="A6"/>
              <w:bottom w:val="single" w:sz="6" w:space="0" w:color="A6A6A6" w:themeColor="background1" w:themeShade="A6"/>
            </w:tcBorders>
            <w:vAlign w:val="top"/>
          </w:tcPr>
          <w:p w14:paraId="278E35A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94.8</w:t>
            </w:r>
          </w:p>
        </w:tc>
        <w:tc>
          <w:tcPr>
            <w:tcW w:w="1035" w:type="dxa"/>
            <w:tcBorders>
              <w:top w:val="single" w:sz="6" w:space="0" w:color="A6A6A6" w:themeColor="background1" w:themeShade="A6"/>
              <w:bottom w:val="single" w:sz="6" w:space="0" w:color="A6A6A6" w:themeColor="background1" w:themeShade="A6"/>
            </w:tcBorders>
            <w:vAlign w:val="top"/>
          </w:tcPr>
          <w:p w14:paraId="15ACA89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96.9</w:t>
            </w:r>
          </w:p>
        </w:tc>
        <w:tc>
          <w:tcPr>
            <w:tcW w:w="1034" w:type="dxa"/>
            <w:tcBorders>
              <w:top w:val="single" w:sz="6" w:space="0" w:color="A6A6A6" w:themeColor="background1" w:themeShade="A6"/>
              <w:bottom w:val="single" w:sz="6" w:space="0" w:color="A6A6A6" w:themeColor="background1" w:themeShade="A6"/>
            </w:tcBorders>
            <w:vAlign w:val="top"/>
          </w:tcPr>
          <w:p w14:paraId="1BCBDAA2"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2.1</w:t>
            </w:r>
          </w:p>
        </w:tc>
        <w:tc>
          <w:tcPr>
            <w:tcW w:w="1035" w:type="dxa"/>
            <w:tcBorders>
              <w:top w:val="single" w:sz="6" w:space="0" w:color="A6A6A6" w:themeColor="background1" w:themeShade="A6"/>
              <w:bottom w:val="single" w:sz="6" w:space="0" w:color="A6A6A6" w:themeColor="background1" w:themeShade="A6"/>
            </w:tcBorders>
            <w:vAlign w:val="top"/>
          </w:tcPr>
          <w:p w14:paraId="768F3A69"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94.9</w:t>
            </w:r>
          </w:p>
        </w:tc>
        <w:tc>
          <w:tcPr>
            <w:tcW w:w="1219" w:type="dxa"/>
            <w:tcBorders>
              <w:top w:val="single" w:sz="6" w:space="0" w:color="A6A6A6" w:themeColor="background1" w:themeShade="A6"/>
              <w:bottom w:val="single" w:sz="6" w:space="0" w:color="A6A6A6" w:themeColor="background1" w:themeShade="A6"/>
            </w:tcBorders>
            <w:vAlign w:val="top"/>
          </w:tcPr>
          <w:p w14:paraId="6FC0CBDF"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5.1</w:t>
            </w:r>
          </w:p>
        </w:tc>
        <w:tc>
          <w:tcPr>
            <w:tcW w:w="850" w:type="dxa"/>
            <w:tcBorders>
              <w:top w:val="single" w:sz="6" w:space="0" w:color="A6A6A6" w:themeColor="background1" w:themeShade="A6"/>
              <w:bottom w:val="single" w:sz="6" w:space="0" w:color="A6A6A6" w:themeColor="background1" w:themeShade="A6"/>
            </w:tcBorders>
            <w:vAlign w:val="top"/>
          </w:tcPr>
          <w:p w14:paraId="525A226C"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3030BE17"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553B284C" w14:textId="77777777" w:rsidR="00FC77C7" w:rsidRDefault="00FC77C7" w:rsidP="0093011F">
            <w:pPr>
              <w:pStyle w:val="TableText"/>
            </w:pPr>
            <w:r w:rsidRPr="00E9587F">
              <w:t xml:space="preserve">Northland </w:t>
            </w:r>
          </w:p>
        </w:tc>
        <w:tc>
          <w:tcPr>
            <w:tcW w:w="1034" w:type="dxa"/>
            <w:tcBorders>
              <w:top w:val="single" w:sz="6" w:space="0" w:color="A6A6A6" w:themeColor="background1" w:themeShade="A6"/>
              <w:bottom w:val="single" w:sz="6" w:space="0" w:color="A6A6A6" w:themeColor="background1" w:themeShade="A6"/>
            </w:tcBorders>
            <w:vAlign w:val="top"/>
          </w:tcPr>
          <w:p w14:paraId="5985DB7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86.8</w:t>
            </w:r>
          </w:p>
        </w:tc>
        <w:tc>
          <w:tcPr>
            <w:tcW w:w="1035" w:type="dxa"/>
            <w:tcBorders>
              <w:top w:val="single" w:sz="6" w:space="0" w:color="A6A6A6" w:themeColor="background1" w:themeShade="A6"/>
              <w:bottom w:val="single" w:sz="6" w:space="0" w:color="A6A6A6" w:themeColor="background1" w:themeShade="A6"/>
            </w:tcBorders>
            <w:vAlign w:val="top"/>
          </w:tcPr>
          <w:p w14:paraId="7F41B86D"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88.8</w:t>
            </w:r>
          </w:p>
        </w:tc>
        <w:tc>
          <w:tcPr>
            <w:tcW w:w="1034" w:type="dxa"/>
            <w:tcBorders>
              <w:top w:val="single" w:sz="6" w:space="0" w:color="A6A6A6" w:themeColor="background1" w:themeShade="A6"/>
              <w:bottom w:val="single" w:sz="6" w:space="0" w:color="A6A6A6" w:themeColor="background1" w:themeShade="A6"/>
            </w:tcBorders>
            <w:vAlign w:val="top"/>
          </w:tcPr>
          <w:p w14:paraId="174D1706"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2</w:t>
            </w:r>
          </w:p>
        </w:tc>
        <w:tc>
          <w:tcPr>
            <w:tcW w:w="1035" w:type="dxa"/>
            <w:tcBorders>
              <w:top w:val="single" w:sz="6" w:space="0" w:color="A6A6A6" w:themeColor="background1" w:themeShade="A6"/>
              <w:bottom w:val="single" w:sz="6" w:space="0" w:color="A6A6A6" w:themeColor="background1" w:themeShade="A6"/>
            </w:tcBorders>
            <w:vAlign w:val="top"/>
          </w:tcPr>
          <w:p w14:paraId="03790A8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0.2</w:t>
            </w:r>
          </w:p>
        </w:tc>
        <w:tc>
          <w:tcPr>
            <w:tcW w:w="1219" w:type="dxa"/>
            <w:tcBorders>
              <w:top w:val="single" w:sz="6" w:space="0" w:color="A6A6A6" w:themeColor="background1" w:themeShade="A6"/>
              <w:bottom w:val="single" w:sz="6" w:space="0" w:color="A6A6A6" w:themeColor="background1" w:themeShade="A6"/>
            </w:tcBorders>
            <w:vAlign w:val="top"/>
          </w:tcPr>
          <w:p w14:paraId="5595FCF0"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91.5</w:t>
            </w:r>
          </w:p>
        </w:tc>
        <w:tc>
          <w:tcPr>
            <w:tcW w:w="850" w:type="dxa"/>
            <w:tcBorders>
              <w:top w:val="single" w:sz="6" w:space="0" w:color="A6A6A6" w:themeColor="background1" w:themeShade="A6"/>
              <w:bottom w:val="single" w:sz="6" w:space="0" w:color="A6A6A6" w:themeColor="background1" w:themeShade="A6"/>
            </w:tcBorders>
            <w:vAlign w:val="top"/>
          </w:tcPr>
          <w:p w14:paraId="761574D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8.4</w:t>
            </w:r>
          </w:p>
        </w:tc>
      </w:tr>
      <w:tr w:rsidR="00FC77C7" w14:paraId="6AFEBFCA"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58F94B99" w14:textId="77777777" w:rsidR="00FC77C7" w:rsidRDefault="00FC77C7" w:rsidP="0093011F">
            <w:pPr>
              <w:pStyle w:val="TableText"/>
            </w:pPr>
            <w:r w:rsidRPr="00E9587F">
              <w:t xml:space="preserve">Otago </w:t>
            </w:r>
          </w:p>
        </w:tc>
        <w:tc>
          <w:tcPr>
            <w:tcW w:w="1034" w:type="dxa"/>
            <w:tcBorders>
              <w:top w:val="single" w:sz="6" w:space="0" w:color="A6A6A6" w:themeColor="background1" w:themeShade="A6"/>
              <w:bottom w:val="single" w:sz="6" w:space="0" w:color="A6A6A6" w:themeColor="background1" w:themeShade="A6"/>
            </w:tcBorders>
            <w:vAlign w:val="top"/>
          </w:tcPr>
          <w:p w14:paraId="6ED6253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78.3</w:t>
            </w:r>
          </w:p>
        </w:tc>
        <w:tc>
          <w:tcPr>
            <w:tcW w:w="1035" w:type="dxa"/>
            <w:tcBorders>
              <w:top w:val="single" w:sz="6" w:space="0" w:color="A6A6A6" w:themeColor="background1" w:themeShade="A6"/>
              <w:bottom w:val="single" w:sz="6" w:space="0" w:color="A6A6A6" w:themeColor="background1" w:themeShade="A6"/>
            </w:tcBorders>
            <w:vAlign w:val="top"/>
          </w:tcPr>
          <w:p w14:paraId="285E99C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82.7</w:t>
            </w:r>
          </w:p>
        </w:tc>
        <w:tc>
          <w:tcPr>
            <w:tcW w:w="1034" w:type="dxa"/>
            <w:tcBorders>
              <w:top w:val="single" w:sz="6" w:space="0" w:color="A6A6A6" w:themeColor="background1" w:themeShade="A6"/>
              <w:bottom w:val="single" w:sz="6" w:space="0" w:color="A6A6A6" w:themeColor="background1" w:themeShade="A6"/>
            </w:tcBorders>
            <w:vAlign w:val="top"/>
          </w:tcPr>
          <w:p w14:paraId="503D54CF"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4.4</w:t>
            </w:r>
          </w:p>
        </w:tc>
        <w:tc>
          <w:tcPr>
            <w:tcW w:w="1035" w:type="dxa"/>
            <w:tcBorders>
              <w:top w:val="single" w:sz="6" w:space="0" w:color="A6A6A6" w:themeColor="background1" w:themeShade="A6"/>
              <w:bottom w:val="single" w:sz="6" w:space="0" w:color="A6A6A6" w:themeColor="background1" w:themeShade="A6"/>
            </w:tcBorders>
            <w:vAlign w:val="top"/>
          </w:tcPr>
          <w:p w14:paraId="5BEB5EE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45.8</w:t>
            </w:r>
          </w:p>
        </w:tc>
        <w:tc>
          <w:tcPr>
            <w:tcW w:w="1219" w:type="dxa"/>
            <w:tcBorders>
              <w:top w:val="single" w:sz="6" w:space="0" w:color="A6A6A6" w:themeColor="background1" w:themeShade="A6"/>
              <w:bottom w:val="single" w:sz="6" w:space="0" w:color="A6A6A6" w:themeColor="background1" w:themeShade="A6"/>
            </w:tcBorders>
            <w:vAlign w:val="top"/>
          </w:tcPr>
          <w:p w14:paraId="6FA52F6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32.4</w:t>
            </w:r>
          </w:p>
        </w:tc>
        <w:tc>
          <w:tcPr>
            <w:tcW w:w="850" w:type="dxa"/>
            <w:tcBorders>
              <w:top w:val="single" w:sz="6" w:space="0" w:color="A6A6A6" w:themeColor="background1" w:themeShade="A6"/>
              <w:bottom w:val="single" w:sz="6" w:space="0" w:color="A6A6A6" w:themeColor="background1" w:themeShade="A6"/>
            </w:tcBorders>
            <w:vAlign w:val="top"/>
          </w:tcPr>
          <w:p w14:paraId="2F18F1BE"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21.8</w:t>
            </w:r>
          </w:p>
        </w:tc>
      </w:tr>
      <w:tr w:rsidR="00FC77C7" w14:paraId="00B4D7C6"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4A10AA4F" w14:textId="77777777" w:rsidR="00FC77C7" w:rsidRDefault="00FC77C7" w:rsidP="0093011F">
            <w:pPr>
              <w:pStyle w:val="TableText"/>
            </w:pPr>
            <w:r w:rsidRPr="00E9587F">
              <w:t xml:space="preserve">Southland </w:t>
            </w:r>
          </w:p>
        </w:tc>
        <w:tc>
          <w:tcPr>
            <w:tcW w:w="1034" w:type="dxa"/>
            <w:tcBorders>
              <w:top w:val="single" w:sz="6" w:space="0" w:color="A6A6A6" w:themeColor="background1" w:themeShade="A6"/>
              <w:bottom w:val="single" w:sz="6" w:space="0" w:color="A6A6A6" w:themeColor="background1" w:themeShade="A6"/>
            </w:tcBorders>
            <w:vAlign w:val="top"/>
          </w:tcPr>
          <w:p w14:paraId="7C62715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73.3</w:t>
            </w:r>
          </w:p>
        </w:tc>
        <w:tc>
          <w:tcPr>
            <w:tcW w:w="1035" w:type="dxa"/>
            <w:tcBorders>
              <w:top w:val="single" w:sz="6" w:space="0" w:color="A6A6A6" w:themeColor="background1" w:themeShade="A6"/>
              <w:bottom w:val="single" w:sz="6" w:space="0" w:color="A6A6A6" w:themeColor="background1" w:themeShade="A6"/>
            </w:tcBorders>
            <w:vAlign w:val="top"/>
          </w:tcPr>
          <w:p w14:paraId="67A2EBD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74.4</w:t>
            </w:r>
          </w:p>
        </w:tc>
        <w:tc>
          <w:tcPr>
            <w:tcW w:w="1034" w:type="dxa"/>
            <w:tcBorders>
              <w:top w:val="single" w:sz="6" w:space="0" w:color="A6A6A6" w:themeColor="background1" w:themeShade="A6"/>
              <w:bottom w:val="single" w:sz="6" w:space="0" w:color="A6A6A6" w:themeColor="background1" w:themeShade="A6"/>
            </w:tcBorders>
            <w:vAlign w:val="top"/>
          </w:tcPr>
          <w:p w14:paraId="703FBF1F"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1.1</w:t>
            </w:r>
          </w:p>
        </w:tc>
        <w:tc>
          <w:tcPr>
            <w:tcW w:w="1035" w:type="dxa"/>
            <w:tcBorders>
              <w:top w:val="single" w:sz="6" w:space="0" w:color="A6A6A6" w:themeColor="background1" w:themeShade="A6"/>
              <w:bottom w:val="single" w:sz="6" w:space="0" w:color="A6A6A6" w:themeColor="background1" w:themeShade="A6"/>
            </w:tcBorders>
            <w:vAlign w:val="top"/>
          </w:tcPr>
          <w:p w14:paraId="589404CB"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4.4</w:t>
            </w:r>
          </w:p>
        </w:tc>
        <w:tc>
          <w:tcPr>
            <w:tcW w:w="1219" w:type="dxa"/>
            <w:tcBorders>
              <w:top w:val="single" w:sz="6" w:space="0" w:color="A6A6A6" w:themeColor="background1" w:themeShade="A6"/>
              <w:bottom w:val="single" w:sz="6" w:space="0" w:color="A6A6A6" w:themeColor="background1" w:themeShade="A6"/>
            </w:tcBorders>
            <w:vAlign w:val="top"/>
          </w:tcPr>
          <w:p w14:paraId="4188B564"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67.2</w:t>
            </w:r>
          </w:p>
        </w:tc>
        <w:tc>
          <w:tcPr>
            <w:tcW w:w="850" w:type="dxa"/>
            <w:tcBorders>
              <w:top w:val="single" w:sz="6" w:space="0" w:color="A6A6A6" w:themeColor="background1" w:themeShade="A6"/>
              <w:bottom w:val="single" w:sz="6" w:space="0" w:color="A6A6A6" w:themeColor="background1" w:themeShade="A6"/>
            </w:tcBorders>
            <w:vAlign w:val="top"/>
          </w:tcPr>
          <w:p w14:paraId="34A38868"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28.3</w:t>
            </w:r>
          </w:p>
        </w:tc>
      </w:tr>
      <w:tr w:rsidR="00FC77C7" w14:paraId="43BBC536"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34C6802D" w14:textId="77777777" w:rsidR="00FC77C7" w:rsidRDefault="00FC77C7" w:rsidP="0093011F">
            <w:pPr>
              <w:pStyle w:val="TableText"/>
            </w:pPr>
            <w:r w:rsidRPr="00E9587F">
              <w:t xml:space="preserve">Taranaki </w:t>
            </w:r>
          </w:p>
        </w:tc>
        <w:tc>
          <w:tcPr>
            <w:tcW w:w="1034" w:type="dxa"/>
            <w:tcBorders>
              <w:top w:val="single" w:sz="6" w:space="0" w:color="A6A6A6" w:themeColor="background1" w:themeShade="A6"/>
              <w:bottom w:val="single" w:sz="6" w:space="0" w:color="A6A6A6" w:themeColor="background1" w:themeShade="A6"/>
            </w:tcBorders>
            <w:vAlign w:val="top"/>
          </w:tcPr>
          <w:p w14:paraId="3E300F7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88.6</w:t>
            </w:r>
          </w:p>
        </w:tc>
        <w:tc>
          <w:tcPr>
            <w:tcW w:w="1035" w:type="dxa"/>
            <w:tcBorders>
              <w:top w:val="single" w:sz="6" w:space="0" w:color="A6A6A6" w:themeColor="background1" w:themeShade="A6"/>
              <w:bottom w:val="single" w:sz="6" w:space="0" w:color="A6A6A6" w:themeColor="background1" w:themeShade="A6"/>
            </w:tcBorders>
            <w:vAlign w:val="top"/>
          </w:tcPr>
          <w:p w14:paraId="54CF559D"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89.4</w:t>
            </w:r>
          </w:p>
        </w:tc>
        <w:tc>
          <w:tcPr>
            <w:tcW w:w="1034" w:type="dxa"/>
            <w:tcBorders>
              <w:top w:val="single" w:sz="6" w:space="0" w:color="A6A6A6" w:themeColor="background1" w:themeShade="A6"/>
              <w:bottom w:val="single" w:sz="6" w:space="0" w:color="A6A6A6" w:themeColor="background1" w:themeShade="A6"/>
            </w:tcBorders>
            <w:vAlign w:val="top"/>
          </w:tcPr>
          <w:p w14:paraId="31143B5B"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0.8</w:t>
            </w:r>
          </w:p>
        </w:tc>
        <w:tc>
          <w:tcPr>
            <w:tcW w:w="1035" w:type="dxa"/>
            <w:tcBorders>
              <w:top w:val="single" w:sz="6" w:space="0" w:color="A6A6A6" w:themeColor="background1" w:themeShade="A6"/>
              <w:bottom w:val="single" w:sz="6" w:space="0" w:color="A6A6A6" w:themeColor="background1" w:themeShade="A6"/>
            </w:tcBorders>
            <w:vAlign w:val="top"/>
          </w:tcPr>
          <w:p w14:paraId="7035EB4C"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1.5</w:t>
            </w:r>
          </w:p>
        </w:tc>
        <w:tc>
          <w:tcPr>
            <w:tcW w:w="1219" w:type="dxa"/>
            <w:tcBorders>
              <w:top w:val="single" w:sz="6" w:space="0" w:color="A6A6A6" w:themeColor="background1" w:themeShade="A6"/>
              <w:bottom w:val="single" w:sz="6" w:space="0" w:color="A6A6A6" w:themeColor="background1" w:themeShade="A6"/>
            </w:tcBorders>
            <w:vAlign w:val="top"/>
          </w:tcPr>
          <w:p w14:paraId="5F90A942"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98.5</w:t>
            </w:r>
          </w:p>
        </w:tc>
        <w:tc>
          <w:tcPr>
            <w:tcW w:w="850" w:type="dxa"/>
            <w:tcBorders>
              <w:top w:val="single" w:sz="6" w:space="0" w:color="A6A6A6" w:themeColor="background1" w:themeShade="A6"/>
              <w:bottom w:val="single" w:sz="6" w:space="0" w:color="A6A6A6" w:themeColor="background1" w:themeShade="A6"/>
            </w:tcBorders>
            <w:vAlign w:val="top"/>
          </w:tcPr>
          <w:p w14:paraId="4BBA437C"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6A594C69"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1589884E" w14:textId="77777777" w:rsidR="00FC77C7" w:rsidRDefault="00FC77C7" w:rsidP="0093011F">
            <w:pPr>
              <w:pStyle w:val="TableText"/>
            </w:pPr>
            <w:r w:rsidRPr="00E9587F">
              <w:t xml:space="preserve">Tasman/Nelson </w:t>
            </w:r>
          </w:p>
        </w:tc>
        <w:tc>
          <w:tcPr>
            <w:tcW w:w="1034" w:type="dxa"/>
            <w:tcBorders>
              <w:top w:val="single" w:sz="6" w:space="0" w:color="A6A6A6" w:themeColor="background1" w:themeShade="A6"/>
              <w:bottom w:val="single" w:sz="6" w:space="0" w:color="A6A6A6" w:themeColor="background1" w:themeShade="A6"/>
            </w:tcBorders>
            <w:vAlign w:val="top"/>
          </w:tcPr>
          <w:p w14:paraId="583ECA1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96.5</w:t>
            </w:r>
          </w:p>
        </w:tc>
        <w:tc>
          <w:tcPr>
            <w:tcW w:w="1035" w:type="dxa"/>
            <w:tcBorders>
              <w:top w:val="single" w:sz="6" w:space="0" w:color="A6A6A6" w:themeColor="background1" w:themeShade="A6"/>
              <w:bottom w:val="single" w:sz="6" w:space="0" w:color="A6A6A6" w:themeColor="background1" w:themeShade="A6"/>
            </w:tcBorders>
            <w:vAlign w:val="top"/>
          </w:tcPr>
          <w:p w14:paraId="7BDB9F3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96.5</w:t>
            </w:r>
          </w:p>
        </w:tc>
        <w:tc>
          <w:tcPr>
            <w:tcW w:w="1034" w:type="dxa"/>
            <w:tcBorders>
              <w:top w:val="single" w:sz="6" w:space="0" w:color="A6A6A6" w:themeColor="background1" w:themeShade="A6"/>
              <w:bottom w:val="single" w:sz="6" w:space="0" w:color="A6A6A6" w:themeColor="background1" w:themeShade="A6"/>
            </w:tcBorders>
            <w:vAlign w:val="top"/>
          </w:tcPr>
          <w:p w14:paraId="33779FB4"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0</w:t>
            </w:r>
          </w:p>
        </w:tc>
        <w:tc>
          <w:tcPr>
            <w:tcW w:w="1035" w:type="dxa"/>
            <w:tcBorders>
              <w:top w:val="single" w:sz="6" w:space="0" w:color="A6A6A6" w:themeColor="background1" w:themeShade="A6"/>
              <w:bottom w:val="single" w:sz="6" w:space="0" w:color="A6A6A6" w:themeColor="background1" w:themeShade="A6"/>
            </w:tcBorders>
            <w:vAlign w:val="top"/>
          </w:tcPr>
          <w:p w14:paraId="0F368227"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100</w:t>
            </w:r>
          </w:p>
        </w:tc>
        <w:tc>
          <w:tcPr>
            <w:tcW w:w="1219" w:type="dxa"/>
            <w:tcBorders>
              <w:top w:val="single" w:sz="6" w:space="0" w:color="A6A6A6" w:themeColor="background1" w:themeShade="A6"/>
              <w:bottom w:val="single" w:sz="6" w:space="0" w:color="A6A6A6" w:themeColor="background1" w:themeShade="A6"/>
            </w:tcBorders>
            <w:vAlign w:val="top"/>
          </w:tcPr>
          <w:p w14:paraId="392BC9C4"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c>
          <w:tcPr>
            <w:tcW w:w="850" w:type="dxa"/>
            <w:tcBorders>
              <w:top w:val="single" w:sz="6" w:space="0" w:color="A6A6A6" w:themeColor="background1" w:themeShade="A6"/>
              <w:bottom w:val="single" w:sz="6" w:space="0" w:color="A6A6A6" w:themeColor="background1" w:themeShade="A6"/>
            </w:tcBorders>
            <w:vAlign w:val="top"/>
          </w:tcPr>
          <w:p w14:paraId="5FE83580"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1446098F"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7ED53AF9" w14:textId="77777777" w:rsidR="00FC77C7" w:rsidRDefault="00FC77C7" w:rsidP="0093011F">
            <w:pPr>
              <w:pStyle w:val="TableText"/>
            </w:pPr>
            <w:r w:rsidRPr="00E9587F">
              <w:t xml:space="preserve">Waikato </w:t>
            </w:r>
          </w:p>
        </w:tc>
        <w:tc>
          <w:tcPr>
            <w:tcW w:w="1034" w:type="dxa"/>
            <w:tcBorders>
              <w:top w:val="single" w:sz="6" w:space="0" w:color="A6A6A6" w:themeColor="background1" w:themeShade="A6"/>
              <w:bottom w:val="single" w:sz="6" w:space="0" w:color="A6A6A6" w:themeColor="background1" w:themeShade="A6"/>
            </w:tcBorders>
            <w:vAlign w:val="top"/>
          </w:tcPr>
          <w:p w14:paraId="554452B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63.2</w:t>
            </w:r>
          </w:p>
        </w:tc>
        <w:tc>
          <w:tcPr>
            <w:tcW w:w="1035" w:type="dxa"/>
            <w:tcBorders>
              <w:top w:val="single" w:sz="6" w:space="0" w:color="A6A6A6" w:themeColor="background1" w:themeShade="A6"/>
              <w:bottom w:val="single" w:sz="6" w:space="0" w:color="A6A6A6" w:themeColor="background1" w:themeShade="A6"/>
            </w:tcBorders>
            <w:vAlign w:val="top"/>
          </w:tcPr>
          <w:p w14:paraId="39257AC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73.4</w:t>
            </w:r>
          </w:p>
        </w:tc>
        <w:tc>
          <w:tcPr>
            <w:tcW w:w="1034" w:type="dxa"/>
            <w:tcBorders>
              <w:top w:val="single" w:sz="6" w:space="0" w:color="A6A6A6" w:themeColor="background1" w:themeShade="A6"/>
              <w:bottom w:val="single" w:sz="6" w:space="0" w:color="A6A6A6" w:themeColor="background1" w:themeShade="A6"/>
            </w:tcBorders>
            <w:vAlign w:val="top"/>
          </w:tcPr>
          <w:p w14:paraId="6DE36D98"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10.2</w:t>
            </w:r>
          </w:p>
        </w:tc>
        <w:tc>
          <w:tcPr>
            <w:tcW w:w="1035" w:type="dxa"/>
            <w:tcBorders>
              <w:top w:val="single" w:sz="6" w:space="0" w:color="A6A6A6" w:themeColor="background1" w:themeShade="A6"/>
              <w:bottom w:val="single" w:sz="6" w:space="0" w:color="A6A6A6" w:themeColor="background1" w:themeShade="A6"/>
            </w:tcBorders>
            <w:vAlign w:val="top"/>
          </w:tcPr>
          <w:p w14:paraId="48F0497E"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9</w:t>
            </w:r>
          </w:p>
        </w:tc>
        <w:tc>
          <w:tcPr>
            <w:tcW w:w="1219" w:type="dxa"/>
            <w:tcBorders>
              <w:top w:val="single" w:sz="6" w:space="0" w:color="A6A6A6" w:themeColor="background1" w:themeShade="A6"/>
              <w:bottom w:val="single" w:sz="6" w:space="0" w:color="A6A6A6" w:themeColor="background1" w:themeShade="A6"/>
            </w:tcBorders>
            <w:vAlign w:val="top"/>
          </w:tcPr>
          <w:p w14:paraId="4540488E"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44.7</w:t>
            </w:r>
          </w:p>
        </w:tc>
        <w:tc>
          <w:tcPr>
            <w:tcW w:w="850" w:type="dxa"/>
            <w:tcBorders>
              <w:top w:val="single" w:sz="6" w:space="0" w:color="A6A6A6" w:themeColor="background1" w:themeShade="A6"/>
              <w:bottom w:val="single" w:sz="6" w:space="0" w:color="A6A6A6" w:themeColor="background1" w:themeShade="A6"/>
            </w:tcBorders>
            <w:vAlign w:val="top"/>
          </w:tcPr>
          <w:p w14:paraId="4E2C4AFF"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46.4</w:t>
            </w:r>
          </w:p>
        </w:tc>
      </w:tr>
      <w:tr w:rsidR="00FC77C7" w14:paraId="1819FD16" w14:textId="77777777" w:rsidTr="0093011F">
        <w:tc>
          <w:tcPr>
            <w:cnfStyle w:val="001000000000" w:firstRow="0" w:lastRow="0" w:firstColumn="1" w:lastColumn="0" w:oddVBand="0" w:evenVBand="0" w:oddHBand="0" w:evenHBand="0" w:firstRowFirstColumn="0" w:firstRowLastColumn="0" w:lastRowFirstColumn="0" w:lastRowLastColumn="0"/>
            <w:tcW w:w="1901" w:type="dxa"/>
            <w:tcBorders>
              <w:top w:val="single" w:sz="6" w:space="0" w:color="A6A6A6" w:themeColor="background1" w:themeShade="A6"/>
              <w:bottom w:val="single" w:sz="6" w:space="0" w:color="A6A6A6" w:themeColor="background1" w:themeShade="A6"/>
            </w:tcBorders>
            <w:vAlign w:val="top"/>
          </w:tcPr>
          <w:p w14:paraId="5DE95C29" w14:textId="77777777" w:rsidR="00FC77C7" w:rsidRDefault="00FC77C7" w:rsidP="0093011F">
            <w:pPr>
              <w:pStyle w:val="TableText"/>
            </w:pPr>
            <w:r w:rsidRPr="00E9587F">
              <w:t xml:space="preserve">Wellington </w:t>
            </w:r>
          </w:p>
        </w:tc>
        <w:tc>
          <w:tcPr>
            <w:tcW w:w="1034" w:type="dxa"/>
            <w:tcBorders>
              <w:top w:val="single" w:sz="6" w:space="0" w:color="A6A6A6" w:themeColor="background1" w:themeShade="A6"/>
              <w:bottom w:val="single" w:sz="6" w:space="0" w:color="A6A6A6" w:themeColor="background1" w:themeShade="A6"/>
            </w:tcBorders>
            <w:vAlign w:val="top"/>
          </w:tcPr>
          <w:p w14:paraId="5C8166F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87.9</w:t>
            </w:r>
          </w:p>
        </w:tc>
        <w:tc>
          <w:tcPr>
            <w:tcW w:w="1035" w:type="dxa"/>
            <w:tcBorders>
              <w:top w:val="single" w:sz="6" w:space="0" w:color="A6A6A6" w:themeColor="background1" w:themeShade="A6"/>
              <w:bottom w:val="single" w:sz="6" w:space="0" w:color="A6A6A6" w:themeColor="background1" w:themeShade="A6"/>
            </w:tcBorders>
            <w:vAlign w:val="top"/>
          </w:tcPr>
          <w:p w14:paraId="6B58C66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EC53D8">
              <w:t>93.3</w:t>
            </w:r>
          </w:p>
        </w:tc>
        <w:tc>
          <w:tcPr>
            <w:tcW w:w="1034" w:type="dxa"/>
            <w:tcBorders>
              <w:top w:val="single" w:sz="6" w:space="0" w:color="A6A6A6" w:themeColor="background1" w:themeShade="A6"/>
              <w:bottom w:val="single" w:sz="6" w:space="0" w:color="A6A6A6" w:themeColor="background1" w:themeShade="A6"/>
            </w:tcBorders>
            <w:vAlign w:val="top"/>
          </w:tcPr>
          <w:p w14:paraId="47C177F3" w14:textId="77777777" w:rsidR="00FC77C7" w:rsidRPr="00E9587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04C54">
              <w:t>5.4</w:t>
            </w:r>
          </w:p>
        </w:tc>
        <w:tc>
          <w:tcPr>
            <w:tcW w:w="1035" w:type="dxa"/>
            <w:tcBorders>
              <w:top w:val="single" w:sz="6" w:space="0" w:color="A6A6A6" w:themeColor="background1" w:themeShade="A6"/>
              <w:bottom w:val="single" w:sz="6" w:space="0" w:color="A6A6A6" w:themeColor="background1" w:themeShade="A6"/>
            </w:tcBorders>
            <w:vAlign w:val="top"/>
          </w:tcPr>
          <w:p w14:paraId="64238735"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76.3</w:t>
            </w:r>
          </w:p>
        </w:tc>
        <w:tc>
          <w:tcPr>
            <w:tcW w:w="1219" w:type="dxa"/>
            <w:tcBorders>
              <w:top w:val="single" w:sz="6" w:space="0" w:color="A6A6A6" w:themeColor="background1" w:themeShade="A6"/>
              <w:bottom w:val="single" w:sz="6" w:space="0" w:color="A6A6A6" w:themeColor="background1" w:themeShade="A6"/>
            </w:tcBorders>
            <w:vAlign w:val="top"/>
          </w:tcPr>
          <w:p w14:paraId="4206E59A"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23.7</w:t>
            </w:r>
          </w:p>
        </w:tc>
        <w:tc>
          <w:tcPr>
            <w:tcW w:w="850" w:type="dxa"/>
            <w:tcBorders>
              <w:top w:val="single" w:sz="6" w:space="0" w:color="A6A6A6" w:themeColor="background1" w:themeShade="A6"/>
              <w:bottom w:val="single" w:sz="6" w:space="0" w:color="A6A6A6" w:themeColor="background1" w:themeShade="A6"/>
            </w:tcBorders>
            <w:vAlign w:val="top"/>
          </w:tcPr>
          <w:p w14:paraId="1DA32D9F" w14:textId="77777777" w:rsidR="00FC77C7" w:rsidRPr="008C6DC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CC3B97">
              <w:t>0</w:t>
            </w:r>
          </w:p>
        </w:tc>
      </w:tr>
      <w:tr w:rsidR="00FC77C7" w14:paraId="67749AB1" w14:textId="77777777" w:rsidTr="0093011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901" w:type="dxa"/>
            <w:tcBorders>
              <w:top w:val="single" w:sz="6" w:space="0" w:color="A6A6A6" w:themeColor="background1" w:themeShade="A6"/>
            </w:tcBorders>
            <w:vAlign w:val="top"/>
          </w:tcPr>
          <w:p w14:paraId="380F040B" w14:textId="77777777" w:rsidR="00FC77C7" w:rsidRDefault="00FC77C7" w:rsidP="0093011F">
            <w:pPr>
              <w:pStyle w:val="TableText"/>
            </w:pPr>
            <w:r w:rsidRPr="00E9587F">
              <w:t xml:space="preserve">West Coast </w:t>
            </w:r>
          </w:p>
        </w:tc>
        <w:tc>
          <w:tcPr>
            <w:tcW w:w="1034" w:type="dxa"/>
            <w:tcBorders>
              <w:top w:val="single" w:sz="6" w:space="0" w:color="A6A6A6" w:themeColor="background1" w:themeShade="A6"/>
            </w:tcBorders>
            <w:vAlign w:val="top"/>
          </w:tcPr>
          <w:p w14:paraId="331AE5AD"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EC53D8">
              <w:t>91.4</w:t>
            </w:r>
          </w:p>
        </w:tc>
        <w:tc>
          <w:tcPr>
            <w:tcW w:w="1035" w:type="dxa"/>
            <w:tcBorders>
              <w:top w:val="single" w:sz="6" w:space="0" w:color="A6A6A6" w:themeColor="background1" w:themeShade="A6"/>
            </w:tcBorders>
            <w:vAlign w:val="top"/>
          </w:tcPr>
          <w:p w14:paraId="29E9E2D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EC53D8">
              <w:t>91.5</w:t>
            </w:r>
          </w:p>
        </w:tc>
        <w:tc>
          <w:tcPr>
            <w:tcW w:w="1034" w:type="dxa"/>
            <w:tcBorders>
              <w:top w:val="single" w:sz="6" w:space="0" w:color="A6A6A6" w:themeColor="background1" w:themeShade="A6"/>
            </w:tcBorders>
            <w:vAlign w:val="top"/>
          </w:tcPr>
          <w:p w14:paraId="0CB0D091" w14:textId="77777777" w:rsidR="00FC77C7" w:rsidRPr="00E9587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804C54">
              <w:t>0.1</w:t>
            </w:r>
          </w:p>
        </w:tc>
        <w:tc>
          <w:tcPr>
            <w:tcW w:w="1035" w:type="dxa"/>
            <w:tcBorders>
              <w:top w:val="single" w:sz="6" w:space="0" w:color="A6A6A6" w:themeColor="background1" w:themeShade="A6"/>
            </w:tcBorders>
            <w:vAlign w:val="top"/>
          </w:tcPr>
          <w:p w14:paraId="763DF874" w14:textId="77777777" w:rsidR="00FC77C7" w:rsidRPr="008C6DC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CC3B97">
              <w:t>39.1</w:t>
            </w:r>
          </w:p>
        </w:tc>
        <w:tc>
          <w:tcPr>
            <w:tcW w:w="1219" w:type="dxa"/>
            <w:tcBorders>
              <w:top w:val="single" w:sz="6" w:space="0" w:color="A6A6A6" w:themeColor="background1" w:themeShade="A6"/>
            </w:tcBorders>
            <w:vAlign w:val="top"/>
          </w:tcPr>
          <w:p w14:paraId="427179AB" w14:textId="77777777" w:rsidR="00FC77C7" w:rsidRPr="008C6DC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CC3B97">
              <w:t>60.9</w:t>
            </w:r>
          </w:p>
        </w:tc>
        <w:tc>
          <w:tcPr>
            <w:tcW w:w="850" w:type="dxa"/>
            <w:tcBorders>
              <w:top w:val="single" w:sz="6" w:space="0" w:color="A6A6A6" w:themeColor="background1" w:themeShade="A6"/>
            </w:tcBorders>
            <w:vAlign w:val="top"/>
          </w:tcPr>
          <w:p w14:paraId="165574F5" w14:textId="77777777" w:rsidR="00FC77C7" w:rsidRPr="008C6DC0"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CC3B97">
              <w:t>0</w:t>
            </w:r>
          </w:p>
        </w:tc>
      </w:tr>
    </w:tbl>
    <w:p w14:paraId="7F5F6146" w14:textId="77777777" w:rsidR="00FC77C7" w:rsidRPr="00C3424D" w:rsidRDefault="00FC77C7" w:rsidP="00FC77C7">
      <w:pPr>
        <w:rPr>
          <w:sz w:val="18"/>
          <w:szCs w:val="18"/>
        </w:rPr>
      </w:pPr>
      <w:r w:rsidRPr="00C3424D">
        <w:rPr>
          <w:sz w:val="18"/>
          <w:szCs w:val="18"/>
        </w:rPr>
        <w:t xml:space="preserve">Source: </w:t>
      </w:r>
      <w:proofErr w:type="spellStart"/>
      <w:r w:rsidRPr="00C3424D">
        <w:rPr>
          <w:sz w:val="18"/>
          <w:szCs w:val="18"/>
        </w:rPr>
        <w:t>Neverman</w:t>
      </w:r>
      <w:proofErr w:type="spellEnd"/>
      <w:r w:rsidRPr="00C3424D">
        <w:rPr>
          <w:sz w:val="18"/>
          <w:szCs w:val="18"/>
        </w:rPr>
        <w:t xml:space="preserve"> </w:t>
      </w:r>
      <w:r w:rsidRPr="00C3424D">
        <w:rPr>
          <w:i/>
          <w:iCs/>
          <w:sz w:val="18"/>
          <w:szCs w:val="18"/>
        </w:rPr>
        <w:t>et al</w:t>
      </w:r>
      <w:r w:rsidRPr="00C3424D">
        <w:rPr>
          <w:sz w:val="18"/>
          <w:szCs w:val="18"/>
        </w:rPr>
        <w:t xml:space="preserve"> (2019)</w:t>
      </w:r>
    </w:p>
    <w:p w14:paraId="0923A6A1" w14:textId="77777777" w:rsidR="00FC77C7" w:rsidRDefault="00FC77C7" w:rsidP="00FC77C7"/>
    <w:p w14:paraId="37BC2D0E" w14:textId="15FFC48C" w:rsidR="00FC77C7" w:rsidRDefault="00FC77C7" w:rsidP="00FC77C7">
      <w:r>
        <w:t xml:space="preserve">In estimating the benefits, they note that although much of the modelling is static in nature, </w:t>
      </w:r>
      <w:proofErr w:type="spellStart"/>
      <w:r>
        <w:t>ie</w:t>
      </w:r>
      <w:proofErr w:type="spellEnd"/>
      <w:r>
        <w:t xml:space="preserve"> the environmental effects of policy are modelled to occur instantaneously (or the results are shown only for when fully implemented), they assume it takes time for implementation and model the benefits as gradually ramping up </w:t>
      </w:r>
      <w:r w:rsidRPr="00B0144E">
        <w:t>in the first 10 years</w:t>
      </w:r>
      <w:r>
        <w:t>. They apply a formula of 1</w:t>
      </w:r>
      <w:proofErr w:type="gramStart"/>
      <w:r>
        <w:t>/(</w:t>
      </w:r>
      <w:proofErr w:type="gramEnd"/>
      <w:r>
        <w:t xml:space="preserve">10-i), where </w:t>
      </w:r>
      <w:proofErr w:type="spellStart"/>
      <w:r>
        <w:t>i</w:t>
      </w:r>
      <w:proofErr w:type="spellEnd"/>
      <w:r>
        <w:t xml:space="preserve">=the year; the effect is shown in </w:t>
      </w:r>
      <w:r>
        <w:fldChar w:fldCharType="begin"/>
      </w:r>
      <w:r>
        <w:instrText xml:space="preserve"> REF _Ref32590468 \h </w:instrText>
      </w:r>
      <w:r>
        <w:fldChar w:fldCharType="separate"/>
      </w:r>
      <w:r w:rsidR="00024EB5">
        <w:t xml:space="preserve">Figure </w:t>
      </w:r>
      <w:r w:rsidR="00024EB5">
        <w:rPr>
          <w:noProof/>
        </w:rPr>
        <w:t>6</w:t>
      </w:r>
      <w:r>
        <w:fldChar w:fldCharType="end"/>
      </w:r>
      <w:r>
        <w:t>; from year nine the full benefits are obtained.</w:t>
      </w:r>
    </w:p>
    <w:p w14:paraId="46C476B3" w14:textId="3366F694" w:rsidR="00902582" w:rsidRDefault="00902582" w:rsidP="00FC77C7"/>
    <w:p w14:paraId="54F8A713" w14:textId="79C86800" w:rsidR="00902582" w:rsidRDefault="00902582" w:rsidP="00902582">
      <w:r>
        <w:t>Taking these improvements, and the lagged benefits into account, they estimate total benefits by region and nationally at different discount rates (4% and 6%) over 50 years. Total benefits were estimated at $504 million (4% discount rate) and $335 million (6%) (</w:t>
      </w:r>
      <w:r>
        <w:fldChar w:fldCharType="begin"/>
      </w:r>
      <w:r>
        <w:instrText xml:space="preserve"> REF _Ref32594405 \h </w:instrText>
      </w:r>
      <w:r>
        <w:fldChar w:fldCharType="separate"/>
      </w:r>
      <w:r w:rsidR="00024EB5">
        <w:t xml:space="preserve">Table </w:t>
      </w:r>
      <w:r w:rsidR="00024EB5">
        <w:rPr>
          <w:noProof/>
        </w:rPr>
        <w:t>9</w:t>
      </w:r>
      <w:r>
        <w:fldChar w:fldCharType="end"/>
      </w:r>
      <w:r>
        <w:t>). Over 50% of the benefits were estimated to arise in Wellington (33%) and Waikato (19%), with a further 25% in Canterbury and Auckland regions.</w:t>
      </w:r>
    </w:p>
    <w:p w14:paraId="100E569F" w14:textId="77777777" w:rsidR="00902582" w:rsidRDefault="00902582" w:rsidP="00FC77C7"/>
    <w:p w14:paraId="49193F43" w14:textId="262CE8B2" w:rsidR="00FC77C7" w:rsidRDefault="00FC77C7" w:rsidP="0093011F">
      <w:pPr>
        <w:pStyle w:val="Caption"/>
      </w:pPr>
      <w:bookmarkStart w:id="54" w:name="_Ref32590468"/>
      <w:r>
        <w:lastRenderedPageBreak/>
        <w:t xml:space="preserve">Figure </w:t>
      </w:r>
      <w:r w:rsidR="00313617">
        <w:fldChar w:fldCharType="begin"/>
      </w:r>
      <w:r w:rsidR="00313617">
        <w:instrText xml:space="preserve"> SEQ Figure \* ARABIC </w:instrText>
      </w:r>
      <w:r w:rsidR="00313617">
        <w:fldChar w:fldCharType="separate"/>
      </w:r>
      <w:r w:rsidR="00024EB5">
        <w:rPr>
          <w:noProof/>
        </w:rPr>
        <w:t>6</w:t>
      </w:r>
      <w:r w:rsidR="00313617">
        <w:rPr>
          <w:noProof/>
        </w:rPr>
        <w:fldChar w:fldCharType="end"/>
      </w:r>
      <w:bookmarkEnd w:id="54"/>
      <w:r>
        <w:t xml:space="preserve"> Assumed ramping up of implementation and impacts</w:t>
      </w:r>
    </w:p>
    <w:p w14:paraId="689CCAA0" w14:textId="77777777" w:rsidR="00FC77C7" w:rsidRDefault="00FC77C7" w:rsidP="00FC77C7">
      <w:r w:rsidRPr="00BE6218">
        <w:rPr>
          <w:noProof/>
          <w:lang w:eastAsia="en-NZ"/>
        </w:rPr>
        <w:drawing>
          <wp:inline distT="0" distB="0" distL="0" distR="0" wp14:anchorId="11969532" wp14:editId="58E66CF0">
            <wp:extent cx="4229100" cy="2534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051" cy="2538202"/>
                    </a:xfrm>
                    <a:prstGeom prst="rect">
                      <a:avLst/>
                    </a:prstGeom>
                    <a:noFill/>
                    <a:ln>
                      <a:noFill/>
                    </a:ln>
                  </pic:spPr>
                </pic:pic>
              </a:graphicData>
            </a:graphic>
          </wp:inline>
        </w:drawing>
      </w:r>
    </w:p>
    <w:p w14:paraId="62163B6F" w14:textId="77777777" w:rsidR="00FC77C7" w:rsidRPr="00C3424D" w:rsidRDefault="00FC77C7" w:rsidP="00FC77C7">
      <w:pPr>
        <w:rPr>
          <w:sz w:val="18"/>
          <w:szCs w:val="18"/>
        </w:rPr>
      </w:pPr>
      <w:r w:rsidRPr="00C3424D">
        <w:rPr>
          <w:sz w:val="18"/>
          <w:szCs w:val="18"/>
        </w:rPr>
        <w:t xml:space="preserve">Source: assumptions in </w:t>
      </w:r>
      <w:proofErr w:type="spellStart"/>
      <w:r w:rsidRPr="00C3424D">
        <w:rPr>
          <w:sz w:val="18"/>
          <w:szCs w:val="18"/>
        </w:rPr>
        <w:t>Neverman</w:t>
      </w:r>
      <w:proofErr w:type="spellEnd"/>
      <w:r w:rsidRPr="00C3424D">
        <w:rPr>
          <w:sz w:val="18"/>
          <w:szCs w:val="18"/>
        </w:rPr>
        <w:t xml:space="preserve"> </w:t>
      </w:r>
      <w:r w:rsidRPr="00C3424D">
        <w:rPr>
          <w:i/>
          <w:iCs/>
          <w:sz w:val="18"/>
          <w:szCs w:val="18"/>
        </w:rPr>
        <w:t>et al</w:t>
      </w:r>
      <w:r w:rsidRPr="00C3424D">
        <w:rPr>
          <w:sz w:val="18"/>
          <w:szCs w:val="18"/>
        </w:rPr>
        <w:t xml:space="preserve"> (2019)</w:t>
      </w:r>
    </w:p>
    <w:p w14:paraId="09F2ECF7" w14:textId="77777777" w:rsidR="00FC77C7" w:rsidRDefault="00FC77C7" w:rsidP="00FC77C7"/>
    <w:p w14:paraId="1A1D203B" w14:textId="3462FEAA" w:rsidR="00FC77C7" w:rsidRDefault="00FC77C7" w:rsidP="0093011F">
      <w:pPr>
        <w:pStyle w:val="Caption"/>
      </w:pPr>
      <w:bookmarkStart w:id="55" w:name="_Ref32594405"/>
      <w:r>
        <w:t xml:space="preserve">Table </w:t>
      </w:r>
      <w:r w:rsidR="00313617">
        <w:fldChar w:fldCharType="begin"/>
      </w:r>
      <w:r w:rsidR="00313617">
        <w:instrText xml:space="preserve"> SEQ Table \* ARABIC </w:instrText>
      </w:r>
      <w:r w:rsidR="00313617">
        <w:fldChar w:fldCharType="separate"/>
      </w:r>
      <w:r w:rsidR="00024EB5">
        <w:rPr>
          <w:noProof/>
        </w:rPr>
        <w:t>9</w:t>
      </w:r>
      <w:r w:rsidR="00313617">
        <w:rPr>
          <w:noProof/>
        </w:rPr>
        <w:fldChar w:fldCharType="end"/>
      </w:r>
      <w:bookmarkEnd w:id="55"/>
      <w:r>
        <w:t xml:space="preserve"> Net present value ($ million) </w:t>
      </w:r>
      <w:r w:rsidRPr="00134DAF">
        <w:t>of benefits from water clarity changes</w:t>
      </w:r>
      <w:r>
        <w:t xml:space="preserve"> from sediment policy</w:t>
      </w:r>
    </w:p>
    <w:tbl>
      <w:tblPr>
        <w:tblStyle w:val="CovecTables"/>
        <w:tblW w:w="5000" w:type="pct"/>
        <w:tblInd w:w="0" w:type="dxa"/>
        <w:tblLook w:val="04E0" w:firstRow="1" w:lastRow="1" w:firstColumn="1" w:lastColumn="0" w:noHBand="0" w:noVBand="1"/>
      </w:tblPr>
      <w:tblGrid>
        <w:gridCol w:w="4265"/>
        <w:gridCol w:w="1978"/>
        <w:gridCol w:w="1978"/>
      </w:tblGrid>
      <w:tr w:rsidR="00FC77C7" w:rsidRPr="00134DAF" w14:paraId="3262230E"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94" w:type="pct"/>
            <w:noWrap/>
            <w:hideMark/>
          </w:tcPr>
          <w:p w14:paraId="6A6A2849" w14:textId="77777777" w:rsidR="00FC77C7" w:rsidRPr="00134DAF" w:rsidRDefault="00FC77C7" w:rsidP="0093011F">
            <w:pPr>
              <w:pStyle w:val="TableText"/>
              <w:jc w:val="left"/>
              <w:rPr>
                <w:lang w:eastAsia="en-NZ"/>
              </w:rPr>
            </w:pPr>
            <w:r w:rsidRPr="00134DAF">
              <w:rPr>
                <w:lang w:eastAsia="en-NZ"/>
              </w:rPr>
              <w:t xml:space="preserve">Region </w:t>
            </w:r>
          </w:p>
        </w:tc>
        <w:tc>
          <w:tcPr>
            <w:tcW w:w="1203" w:type="pct"/>
            <w:noWrap/>
            <w:hideMark/>
          </w:tcPr>
          <w:p w14:paraId="059862D9" w14:textId="77777777" w:rsidR="00FC77C7" w:rsidRPr="00134DA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34DAF">
              <w:rPr>
                <w:lang w:eastAsia="en-NZ"/>
              </w:rPr>
              <w:t>4% Discount Rate</w:t>
            </w:r>
          </w:p>
        </w:tc>
        <w:tc>
          <w:tcPr>
            <w:tcW w:w="1203" w:type="pct"/>
            <w:noWrap/>
            <w:hideMark/>
          </w:tcPr>
          <w:p w14:paraId="4214C8A4" w14:textId="77777777" w:rsidR="00FC77C7" w:rsidRPr="00134DA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34DAF">
              <w:rPr>
                <w:lang w:eastAsia="en-NZ"/>
              </w:rPr>
              <w:t>6% Discount Rate</w:t>
            </w:r>
          </w:p>
        </w:tc>
      </w:tr>
      <w:tr w:rsidR="00FC77C7" w:rsidRPr="00134DAF" w14:paraId="5A41D51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79E7A401" w14:textId="77777777" w:rsidR="00FC77C7" w:rsidRPr="00134DAF" w:rsidRDefault="00FC77C7" w:rsidP="0093011F">
            <w:pPr>
              <w:pStyle w:val="TableText"/>
              <w:rPr>
                <w:lang w:eastAsia="en-NZ"/>
              </w:rPr>
            </w:pPr>
            <w:r w:rsidRPr="00134DAF">
              <w:rPr>
                <w:lang w:eastAsia="en-NZ"/>
              </w:rPr>
              <w:t xml:space="preserve">Auckland </w:t>
            </w:r>
          </w:p>
        </w:tc>
        <w:tc>
          <w:tcPr>
            <w:tcW w:w="1203" w:type="pct"/>
            <w:tcBorders>
              <w:top w:val="single" w:sz="8" w:space="0" w:color="A6A6A6" w:themeColor="background1" w:themeShade="A6"/>
              <w:bottom w:val="single" w:sz="8" w:space="0" w:color="A6A6A6" w:themeColor="background1" w:themeShade="A6"/>
            </w:tcBorders>
            <w:noWrap/>
            <w:hideMark/>
          </w:tcPr>
          <w:p w14:paraId="468BA4FC"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$59.4</w:t>
            </w:r>
          </w:p>
        </w:tc>
        <w:tc>
          <w:tcPr>
            <w:tcW w:w="1203" w:type="pct"/>
            <w:tcBorders>
              <w:top w:val="single" w:sz="8" w:space="0" w:color="A6A6A6" w:themeColor="background1" w:themeShade="A6"/>
              <w:bottom w:val="single" w:sz="8" w:space="0" w:color="A6A6A6" w:themeColor="background1" w:themeShade="A6"/>
            </w:tcBorders>
            <w:noWrap/>
            <w:hideMark/>
          </w:tcPr>
          <w:p w14:paraId="764543AA"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$38.5</w:t>
            </w:r>
          </w:p>
        </w:tc>
      </w:tr>
      <w:tr w:rsidR="00FC77C7" w:rsidRPr="00134DAF" w14:paraId="6809C73B"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2A985814" w14:textId="77777777" w:rsidR="00FC77C7" w:rsidRPr="00134DAF" w:rsidRDefault="00FC77C7" w:rsidP="0093011F">
            <w:pPr>
              <w:pStyle w:val="TableText"/>
              <w:rPr>
                <w:lang w:eastAsia="en-NZ"/>
              </w:rPr>
            </w:pPr>
            <w:r w:rsidRPr="00134DAF">
              <w:rPr>
                <w:lang w:eastAsia="en-NZ"/>
              </w:rPr>
              <w:t xml:space="preserve">Bay of Plenty </w:t>
            </w:r>
          </w:p>
        </w:tc>
        <w:tc>
          <w:tcPr>
            <w:tcW w:w="1203" w:type="pct"/>
            <w:tcBorders>
              <w:top w:val="single" w:sz="8" w:space="0" w:color="A6A6A6" w:themeColor="background1" w:themeShade="A6"/>
              <w:bottom w:val="single" w:sz="8" w:space="0" w:color="A6A6A6" w:themeColor="background1" w:themeShade="A6"/>
            </w:tcBorders>
            <w:noWrap/>
            <w:hideMark/>
          </w:tcPr>
          <w:p w14:paraId="3177BBC0"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$26.7</w:t>
            </w:r>
          </w:p>
        </w:tc>
        <w:tc>
          <w:tcPr>
            <w:tcW w:w="1203" w:type="pct"/>
            <w:tcBorders>
              <w:top w:val="single" w:sz="8" w:space="0" w:color="A6A6A6" w:themeColor="background1" w:themeShade="A6"/>
              <w:bottom w:val="single" w:sz="8" w:space="0" w:color="A6A6A6" w:themeColor="background1" w:themeShade="A6"/>
            </w:tcBorders>
            <w:noWrap/>
            <w:hideMark/>
          </w:tcPr>
          <w:p w14:paraId="596A8F56"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$17.8</w:t>
            </w:r>
          </w:p>
        </w:tc>
      </w:tr>
      <w:tr w:rsidR="00FC77C7" w:rsidRPr="00134DAF" w14:paraId="7B5977D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5A2D1F56" w14:textId="77777777" w:rsidR="00FC77C7" w:rsidRPr="00134DAF" w:rsidRDefault="00FC77C7" w:rsidP="0093011F">
            <w:pPr>
              <w:pStyle w:val="TableText"/>
              <w:rPr>
                <w:lang w:eastAsia="en-NZ"/>
              </w:rPr>
            </w:pPr>
            <w:r w:rsidRPr="00134DAF">
              <w:rPr>
                <w:lang w:eastAsia="en-NZ"/>
              </w:rPr>
              <w:t xml:space="preserve">Canterbury </w:t>
            </w:r>
          </w:p>
        </w:tc>
        <w:tc>
          <w:tcPr>
            <w:tcW w:w="1203" w:type="pct"/>
            <w:tcBorders>
              <w:top w:val="single" w:sz="8" w:space="0" w:color="A6A6A6" w:themeColor="background1" w:themeShade="A6"/>
              <w:bottom w:val="single" w:sz="8" w:space="0" w:color="A6A6A6" w:themeColor="background1" w:themeShade="A6"/>
            </w:tcBorders>
            <w:noWrap/>
            <w:hideMark/>
          </w:tcPr>
          <w:p w14:paraId="10181E95"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$64.6</w:t>
            </w:r>
          </w:p>
        </w:tc>
        <w:tc>
          <w:tcPr>
            <w:tcW w:w="1203" w:type="pct"/>
            <w:tcBorders>
              <w:top w:val="single" w:sz="8" w:space="0" w:color="A6A6A6" w:themeColor="background1" w:themeShade="A6"/>
              <w:bottom w:val="single" w:sz="8" w:space="0" w:color="A6A6A6" w:themeColor="background1" w:themeShade="A6"/>
            </w:tcBorders>
            <w:noWrap/>
            <w:hideMark/>
          </w:tcPr>
          <w:p w14:paraId="0859E2AB"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$42.7</w:t>
            </w:r>
          </w:p>
        </w:tc>
      </w:tr>
      <w:tr w:rsidR="00FC77C7" w:rsidRPr="00134DAF" w14:paraId="2169033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3258268A" w14:textId="77777777" w:rsidR="00FC77C7" w:rsidRPr="00134DAF" w:rsidRDefault="00FC77C7" w:rsidP="0093011F">
            <w:pPr>
              <w:pStyle w:val="TableText"/>
              <w:rPr>
                <w:lang w:eastAsia="en-NZ"/>
              </w:rPr>
            </w:pPr>
            <w:r w:rsidRPr="00134DAF">
              <w:rPr>
                <w:lang w:eastAsia="en-NZ"/>
              </w:rPr>
              <w:t xml:space="preserve">Gisborne </w:t>
            </w:r>
          </w:p>
        </w:tc>
        <w:tc>
          <w:tcPr>
            <w:tcW w:w="1203" w:type="pct"/>
            <w:tcBorders>
              <w:top w:val="single" w:sz="8" w:space="0" w:color="A6A6A6" w:themeColor="background1" w:themeShade="A6"/>
              <w:bottom w:val="single" w:sz="8" w:space="0" w:color="A6A6A6" w:themeColor="background1" w:themeShade="A6"/>
            </w:tcBorders>
            <w:noWrap/>
            <w:hideMark/>
          </w:tcPr>
          <w:p w14:paraId="7ACB3A18"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$16.5</w:t>
            </w:r>
          </w:p>
        </w:tc>
        <w:tc>
          <w:tcPr>
            <w:tcW w:w="1203" w:type="pct"/>
            <w:tcBorders>
              <w:top w:val="single" w:sz="8" w:space="0" w:color="A6A6A6" w:themeColor="background1" w:themeShade="A6"/>
              <w:bottom w:val="single" w:sz="8" w:space="0" w:color="A6A6A6" w:themeColor="background1" w:themeShade="A6"/>
            </w:tcBorders>
            <w:noWrap/>
            <w:hideMark/>
          </w:tcPr>
          <w:p w14:paraId="6180B33D"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$11.1</w:t>
            </w:r>
          </w:p>
        </w:tc>
      </w:tr>
      <w:tr w:rsidR="00FC77C7" w:rsidRPr="00134DAF" w14:paraId="290032D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54ACA5C6" w14:textId="77777777" w:rsidR="00FC77C7" w:rsidRPr="00134DAF" w:rsidRDefault="00FC77C7" w:rsidP="0093011F">
            <w:pPr>
              <w:pStyle w:val="TableText"/>
              <w:rPr>
                <w:lang w:eastAsia="en-NZ"/>
              </w:rPr>
            </w:pPr>
            <w:r w:rsidRPr="00134DAF">
              <w:rPr>
                <w:lang w:eastAsia="en-NZ"/>
              </w:rPr>
              <w:t xml:space="preserve">Hawke's Bay </w:t>
            </w:r>
          </w:p>
        </w:tc>
        <w:tc>
          <w:tcPr>
            <w:tcW w:w="1203" w:type="pct"/>
            <w:tcBorders>
              <w:top w:val="single" w:sz="8" w:space="0" w:color="A6A6A6" w:themeColor="background1" w:themeShade="A6"/>
              <w:bottom w:val="single" w:sz="8" w:space="0" w:color="A6A6A6" w:themeColor="background1" w:themeShade="A6"/>
            </w:tcBorders>
            <w:noWrap/>
            <w:hideMark/>
          </w:tcPr>
          <w:p w14:paraId="7E608C7F"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$14.3</w:t>
            </w:r>
          </w:p>
        </w:tc>
        <w:tc>
          <w:tcPr>
            <w:tcW w:w="1203" w:type="pct"/>
            <w:tcBorders>
              <w:top w:val="single" w:sz="8" w:space="0" w:color="A6A6A6" w:themeColor="background1" w:themeShade="A6"/>
              <w:bottom w:val="single" w:sz="8" w:space="0" w:color="A6A6A6" w:themeColor="background1" w:themeShade="A6"/>
            </w:tcBorders>
            <w:noWrap/>
            <w:hideMark/>
          </w:tcPr>
          <w:p w14:paraId="58FACFBC"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$9.6</w:t>
            </w:r>
          </w:p>
        </w:tc>
      </w:tr>
      <w:tr w:rsidR="00FC77C7" w:rsidRPr="00134DAF" w14:paraId="01995E4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07AB5041" w14:textId="77777777" w:rsidR="00FC77C7" w:rsidRPr="00134DAF" w:rsidRDefault="00FC77C7" w:rsidP="0093011F">
            <w:pPr>
              <w:pStyle w:val="TableText"/>
              <w:rPr>
                <w:lang w:eastAsia="en-NZ"/>
              </w:rPr>
            </w:pPr>
            <w:proofErr w:type="spellStart"/>
            <w:r w:rsidRPr="00134DAF">
              <w:rPr>
                <w:lang w:eastAsia="en-NZ"/>
              </w:rPr>
              <w:t>Manawatu</w:t>
            </w:r>
            <w:proofErr w:type="spellEnd"/>
            <w:r w:rsidRPr="00134DAF">
              <w:rPr>
                <w:lang w:eastAsia="en-NZ"/>
              </w:rPr>
              <w:t xml:space="preserve"> Whanganui </w:t>
            </w:r>
          </w:p>
        </w:tc>
        <w:tc>
          <w:tcPr>
            <w:tcW w:w="1203" w:type="pct"/>
            <w:tcBorders>
              <w:top w:val="single" w:sz="8" w:space="0" w:color="A6A6A6" w:themeColor="background1" w:themeShade="A6"/>
              <w:bottom w:val="single" w:sz="8" w:space="0" w:color="A6A6A6" w:themeColor="background1" w:themeShade="A6"/>
            </w:tcBorders>
            <w:noWrap/>
            <w:hideMark/>
          </w:tcPr>
          <w:p w14:paraId="5232818A"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$1.5</w:t>
            </w:r>
          </w:p>
        </w:tc>
        <w:tc>
          <w:tcPr>
            <w:tcW w:w="1203" w:type="pct"/>
            <w:tcBorders>
              <w:top w:val="single" w:sz="8" w:space="0" w:color="A6A6A6" w:themeColor="background1" w:themeShade="A6"/>
              <w:bottom w:val="single" w:sz="8" w:space="0" w:color="A6A6A6" w:themeColor="background1" w:themeShade="A6"/>
            </w:tcBorders>
            <w:noWrap/>
            <w:hideMark/>
          </w:tcPr>
          <w:p w14:paraId="76A06040"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$1.0</w:t>
            </w:r>
          </w:p>
        </w:tc>
      </w:tr>
      <w:tr w:rsidR="00FC77C7" w:rsidRPr="00134DAF" w14:paraId="081AD0B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73C29A57" w14:textId="77777777" w:rsidR="00FC77C7" w:rsidRPr="00134DAF" w:rsidRDefault="00FC77C7" w:rsidP="0093011F">
            <w:pPr>
              <w:pStyle w:val="TableText"/>
              <w:rPr>
                <w:lang w:eastAsia="en-NZ"/>
              </w:rPr>
            </w:pPr>
            <w:r w:rsidRPr="00134DAF">
              <w:rPr>
                <w:lang w:eastAsia="en-NZ"/>
              </w:rPr>
              <w:t xml:space="preserve">Marlborough </w:t>
            </w:r>
          </w:p>
        </w:tc>
        <w:tc>
          <w:tcPr>
            <w:tcW w:w="1203" w:type="pct"/>
            <w:tcBorders>
              <w:top w:val="single" w:sz="8" w:space="0" w:color="A6A6A6" w:themeColor="background1" w:themeShade="A6"/>
              <w:bottom w:val="single" w:sz="8" w:space="0" w:color="A6A6A6" w:themeColor="background1" w:themeShade="A6"/>
            </w:tcBorders>
            <w:noWrap/>
            <w:hideMark/>
          </w:tcPr>
          <w:p w14:paraId="0BA7DF91"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$5.0</w:t>
            </w:r>
          </w:p>
        </w:tc>
        <w:tc>
          <w:tcPr>
            <w:tcW w:w="1203" w:type="pct"/>
            <w:tcBorders>
              <w:top w:val="single" w:sz="8" w:space="0" w:color="A6A6A6" w:themeColor="background1" w:themeShade="A6"/>
              <w:bottom w:val="single" w:sz="8" w:space="0" w:color="A6A6A6" w:themeColor="background1" w:themeShade="A6"/>
            </w:tcBorders>
            <w:noWrap/>
            <w:hideMark/>
          </w:tcPr>
          <w:p w14:paraId="4238622B"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$3.4</w:t>
            </w:r>
          </w:p>
        </w:tc>
      </w:tr>
      <w:tr w:rsidR="00FC77C7" w:rsidRPr="00134DAF" w14:paraId="5E5314D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07C5755E" w14:textId="77777777" w:rsidR="00FC77C7" w:rsidRPr="00134DAF" w:rsidRDefault="00FC77C7" w:rsidP="0093011F">
            <w:pPr>
              <w:pStyle w:val="TableText"/>
              <w:rPr>
                <w:lang w:eastAsia="en-NZ"/>
              </w:rPr>
            </w:pPr>
            <w:r w:rsidRPr="00134DAF">
              <w:rPr>
                <w:lang w:eastAsia="en-NZ"/>
              </w:rPr>
              <w:t xml:space="preserve">Northland </w:t>
            </w:r>
          </w:p>
        </w:tc>
        <w:tc>
          <w:tcPr>
            <w:tcW w:w="1203" w:type="pct"/>
            <w:tcBorders>
              <w:top w:val="single" w:sz="8" w:space="0" w:color="A6A6A6" w:themeColor="background1" w:themeShade="A6"/>
              <w:bottom w:val="single" w:sz="8" w:space="0" w:color="A6A6A6" w:themeColor="background1" w:themeShade="A6"/>
            </w:tcBorders>
            <w:noWrap/>
            <w:hideMark/>
          </w:tcPr>
          <w:p w14:paraId="3D3440CF"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$8.7</w:t>
            </w:r>
          </w:p>
        </w:tc>
        <w:tc>
          <w:tcPr>
            <w:tcW w:w="1203" w:type="pct"/>
            <w:tcBorders>
              <w:top w:val="single" w:sz="8" w:space="0" w:color="A6A6A6" w:themeColor="background1" w:themeShade="A6"/>
              <w:bottom w:val="single" w:sz="8" w:space="0" w:color="A6A6A6" w:themeColor="background1" w:themeShade="A6"/>
            </w:tcBorders>
            <w:noWrap/>
            <w:hideMark/>
          </w:tcPr>
          <w:p w14:paraId="18A71EBE"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$5.8</w:t>
            </w:r>
          </w:p>
        </w:tc>
      </w:tr>
      <w:tr w:rsidR="00FC77C7" w:rsidRPr="00134DAF" w14:paraId="6C11FDA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3452A62A" w14:textId="77777777" w:rsidR="00FC77C7" w:rsidRPr="00134DAF" w:rsidRDefault="00FC77C7" w:rsidP="0093011F">
            <w:pPr>
              <w:pStyle w:val="TableText"/>
              <w:rPr>
                <w:lang w:eastAsia="en-NZ"/>
              </w:rPr>
            </w:pPr>
            <w:r w:rsidRPr="00134DAF">
              <w:rPr>
                <w:lang w:eastAsia="en-NZ"/>
              </w:rPr>
              <w:t xml:space="preserve">Otago </w:t>
            </w:r>
          </w:p>
        </w:tc>
        <w:tc>
          <w:tcPr>
            <w:tcW w:w="1203" w:type="pct"/>
            <w:tcBorders>
              <w:top w:val="single" w:sz="8" w:space="0" w:color="A6A6A6" w:themeColor="background1" w:themeShade="A6"/>
              <w:bottom w:val="single" w:sz="8" w:space="0" w:color="A6A6A6" w:themeColor="background1" w:themeShade="A6"/>
            </w:tcBorders>
            <w:noWrap/>
            <w:hideMark/>
          </w:tcPr>
          <w:p w14:paraId="61BD65FC"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$38.4</w:t>
            </w:r>
          </w:p>
        </w:tc>
        <w:tc>
          <w:tcPr>
            <w:tcW w:w="1203" w:type="pct"/>
            <w:tcBorders>
              <w:top w:val="single" w:sz="8" w:space="0" w:color="A6A6A6" w:themeColor="background1" w:themeShade="A6"/>
              <w:bottom w:val="single" w:sz="8" w:space="0" w:color="A6A6A6" w:themeColor="background1" w:themeShade="A6"/>
            </w:tcBorders>
            <w:noWrap/>
            <w:hideMark/>
          </w:tcPr>
          <w:p w14:paraId="39FE4E63"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$25.7</w:t>
            </w:r>
          </w:p>
        </w:tc>
      </w:tr>
      <w:tr w:rsidR="00FC77C7" w:rsidRPr="00134DAF" w14:paraId="27EBA48D"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093C2F9C" w14:textId="77777777" w:rsidR="00FC77C7" w:rsidRPr="00134DAF" w:rsidRDefault="00FC77C7" w:rsidP="0093011F">
            <w:pPr>
              <w:pStyle w:val="TableText"/>
              <w:rPr>
                <w:lang w:eastAsia="en-NZ"/>
              </w:rPr>
            </w:pPr>
            <w:r w:rsidRPr="00134DAF">
              <w:rPr>
                <w:lang w:eastAsia="en-NZ"/>
              </w:rPr>
              <w:t xml:space="preserve">Southland </w:t>
            </w:r>
          </w:p>
        </w:tc>
        <w:tc>
          <w:tcPr>
            <w:tcW w:w="1203" w:type="pct"/>
            <w:tcBorders>
              <w:top w:val="single" w:sz="8" w:space="0" w:color="A6A6A6" w:themeColor="background1" w:themeShade="A6"/>
              <w:bottom w:val="single" w:sz="8" w:space="0" w:color="A6A6A6" w:themeColor="background1" w:themeShade="A6"/>
            </w:tcBorders>
            <w:noWrap/>
            <w:hideMark/>
          </w:tcPr>
          <w:p w14:paraId="64FB1B9B"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$2.1</w:t>
            </w:r>
          </w:p>
        </w:tc>
        <w:tc>
          <w:tcPr>
            <w:tcW w:w="1203" w:type="pct"/>
            <w:tcBorders>
              <w:top w:val="single" w:sz="8" w:space="0" w:color="A6A6A6" w:themeColor="background1" w:themeShade="A6"/>
              <w:bottom w:val="single" w:sz="8" w:space="0" w:color="A6A6A6" w:themeColor="background1" w:themeShade="A6"/>
            </w:tcBorders>
            <w:noWrap/>
            <w:hideMark/>
          </w:tcPr>
          <w:p w14:paraId="105F0265"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$1.4</w:t>
            </w:r>
          </w:p>
        </w:tc>
      </w:tr>
      <w:tr w:rsidR="00FC77C7" w:rsidRPr="00134DAF" w14:paraId="2C6B232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1614701F" w14:textId="77777777" w:rsidR="00FC77C7" w:rsidRPr="00134DAF" w:rsidRDefault="00FC77C7" w:rsidP="0093011F">
            <w:pPr>
              <w:pStyle w:val="TableText"/>
              <w:rPr>
                <w:lang w:eastAsia="en-NZ"/>
              </w:rPr>
            </w:pPr>
            <w:r w:rsidRPr="00134DAF">
              <w:rPr>
                <w:lang w:eastAsia="en-NZ"/>
              </w:rPr>
              <w:t xml:space="preserve">Taranaki </w:t>
            </w:r>
          </w:p>
        </w:tc>
        <w:tc>
          <w:tcPr>
            <w:tcW w:w="1203" w:type="pct"/>
            <w:tcBorders>
              <w:top w:val="single" w:sz="8" w:space="0" w:color="A6A6A6" w:themeColor="background1" w:themeShade="A6"/>
              <w:bottom w:val="single" w:sz="8" w:space="0" w:color="A6A6A6" w:themeColor="background1" w:themeShade="A6"/>
            </w:tcBorders>
            <w:noWrap/>
            <w:hideMark/>
          </w:tcPr>
          <w:p w14:paraId="291DFFE6"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$2.9</w:t>
            </w:r>
          </w:p>
        </w:tc>
        <w:tc>
          <w:tcPr>
            <w:tcW w:w="1203" w:type="pct"/>
            <w:tcBorders>
              <w:top w:val="single" w:sz="8" w:space="0" w:color="A6A6A6" w:themeColor="background1" w:themeShade="A6"/>
              <w:bottom w:val="single" w:sz="8" w:space="0" w:color="A6A6A6" w:themeColor="background1" w:themeShade="A6"/>
            </w:tcBorders>
            <w:noWrap/>
            <w:hideMark/>
          </w:tcPr>
          <w:p w14:paraId="7EEEDB97"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$2.0</w:t>
            </w:r>
          </w:p>
        </w:tc>
      </w:tr>
      <w:tr w:rsidR="00FC77C7" w:rsidRPr="00134DAF" w14:paraId="04C830AF"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25311771" w14:textId="77777777" w:rsidR="00FC77C7" w:rsidRPr="00134DAF" w:rsidRDefault="00FC77C7" w:rsidP="0093011F">
            <w:pPr>
              <w:pStyle w:val="TableText"/>
              <w:rPr>
                <w:lang w:eastAsia="en-NZ"/>
              </w:rPr>
            </w:pPr>
            <w:r w:rsidRPr="00134DAF">
              <w:rPr>
                <w:lang w:eastAsia="en-NZ"/>
              </w:rPr>
              <w:t xml:space="preserve">Tasman/Nelson </w:t>
            </w:r>
          </w:p>
        </w:tc>
        <w:tc>
          <w:tcPr>
            <w:tcW w:w="1203" w:type="pct"/>
            <w:tcBorders>
              <w:top w:val="single" w:sz="8" w:space="0" w:color="A6A6A6" w:themeColor="background1" w:themeShade="A6"/>
              <w:bottom w:val="single" w:sz="8" w:space="0" w:color="A6A6A6" w:themeColor="background1" w:themeShade="A6"/>
            </w:tcBorders>
            <w:noWrap/>
            <w:hideMark/>
          </w:tcPr>
          <w:p w14:paraId="675D1653"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$0.1</w:t>
            </w:r>
          </w:p>
        </w:tc>
        <w:tc>
          <w:tcPr>
            <w:tcW w:w="1203" w:type="pct"/>
            <w:tcBorders>
              <w:top w:val="single" w:sz="8" w:space="0" w:color="A6A6A6" w:themeColor="background1" w:themeShade="A6"/>
              <w:bottom w:val="single" w:sz="8" w:space="0" w:color="A6A6A6" w:themeColor="background1" w:themeShade="A6"/>
            </w:tcBorders>
            <w:noWrap/>
            <w:hideMark/>
          </w:tcPr>
          <w:p w14:paraId="792E6AE8"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$0.0</w:t>
            </w:r>
          </w:p>
        </w:tc>
      </w:tr>
      <w:tr w:rsidR="00FC77C7" w:rsidRPr="00134DAF" w14:paraId="40DCED8E"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0F005A5B" w14:textId="77777777" w:rsidR="00FC77C7" w:rsidRPr="00134DAF" w:rsidRDefault="00FC77C7" w:rsidP="0093011F">
            <w:pPr>
              <w:pStyle w:val="TableText"/>
              <w:rPr>
                <w:lang w:eastAsia="en-NZ"/>
              </w:rPr>
            </w:pPr>
            <w:r w:rsidRPr="00134DAF">
              <w:rPr>
                <w:lang w:eastAsia="en-NZ"/>
              </w:rPr>
              <w:t xml:space="preserve">Waikato </w:t>
            </w:r>
          </w:p>
        </w:tc>
        <w:tc>
          <w:tcPr>
            <w:tcW w:w="1203" w:type="pct"/>
            <w:tcBorders>
              <w:top w:val="single" w:sz="8" w:space="0" w:color="A6A6A6" w:themeColor="background1" w:themeShade="A6"/>
              <w:bottom w:val="single" w:sz="8" w:space="0" w:color="A6A6A6" w:themeColor="background1" w:themeShade="A6"/>
            </w:tcBorders>
            <w:noWrap/>
            <w:hideMark/>
          </w:tcPr>
          <w:p w14:paraId="1B97120E"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$98.0</w:t>
            </w:r>
          </w:p>
        </w:tc>
        <w:tc>
          <w:tcPr>
            <w:tcW w:w="1203" w:type="pct"/>
            <w:tcBorders>
              <w:top w:val="single" w:sz="8" w:space="0" w:color="A6A6A6" w:themeColor="background1" w:themeShade="A6"/>
              <w:bottom w:val="single" w:sz="8" w:space="0" w:color="A6A6A6" w:themeColor="background1" w:themeShade="A6"/>
            </w:tcBorders>
            <w:noWrap/>
            <w:hideMark/>
          </w:tcPr>
          <w:p w14:paraId="0D9C5105"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$64.9</w:t>
            </w:r>
          </w:p>
        </w:tc>
      </w:tr>
      <w:tr w:rsidR="00FC77C7" w:rsidRPr="00134DAF" w14:paraId="3F0040FB"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76923806" w14:textId="77777777" w:rsidR="00FC77C7" w:rsidRPr="00134DAF" w:rsidRDefault="00FC77C7" w:rsidP="0093011F">
            <w:pPr>
              <w:pStyle w:val="TableText"/>
              <w:rPr>
                <w:lang w:eastAsia="en-NZ"/>
              </w:rPr>
            </w:pPr>
            <w:r w:rsidRPr="00134DAF">
              <w:rPr>
                <w:lang w:eastAsia="en-NZ"/>
              </w:rPr>
              <w:t xml:space="preserve">Wellington </w:t>
            </w:r>
          </w:p>
        </w:tc>
        <w:tc>
          <w:tcPr>
            <w:tcW w:w="1203" w:type="pct"/>
            <w:tcBorders>
              <w:top w:val="single" w:sz="8" w:space="0" w:color="A6A6A6" w:themeColor="background1" w:themeShade="A6"/>
              <w:bottom w:val="single" w:sz="8" w:space="0" w:color="A6A6A6" w:themeColor="background1" w:themeShade="A6"/>
            </w:tcBorders>
            <w:noWrap/>
            <w:hideMark/>
          </w:tcPr>
          <w:p w14:paraId="627C3D68"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$165.8</w:t>
            </w:r>
          </w:p>
        </w:tc>
        <w:tc>
          <w:tcPr>
            <w:tcW w:w="1203" w:type="pct"/>
            <w:tcBorders>
              <w:top w:val="single" w:sz="8" w:space="0" w:color="A6A6A6" w:themeColor="background1" w:themeShade="A6"/>
              <w:bottom w:val="single" w:sz="8" w:space="0" w:color="A6A6A6" w:themeColor="background1" w:themeShade="A6"/>
            </w:tcBorders>
            <w:noWrap/>
            <w:hideMark/>
          </w:tcPr>
          <w:p w14:paraId="534CA91B"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$110.8</w:t>
            </w:r>
          </w:p>
        </w:tc>
      </w:tr>
      <w:tr w:rsidR="00FC77C7" w:rsidRPr="00134DAF" w14:paraId="0E4D83A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594" w:type="pct"/>
            <w:tcBorders>
              <w:top w:val="single" w:sz="8" w:space="0" w:color="A6A6A6" w:themeColor="background1" w:themeShade="A6"/>
              <w:bottom w:val="single" w:sz="8" w:space="0" w:color="A6A6A6" w:themeColor="background1" w:themeShade="A6"/>
            </w:tcBorders>
            <w:noWrap/>
            <w:hideMark/>
          </w:tcPr>
          <w:p w14:paraId="07C9C4AA" w14:textId="77777777" w:rsidR="00FC77C7" w:rsidRPr="00134DAF" w:rsidRDefault="00FC77C7" w:rsidP="0093011F">
            <w:pPr>
              <w:pStyle w:val="TableText"/>
              <w:rPr>
                <w:lang w:eastAsia="en-NZ"/>
              </w:rPr>
            </w:pPr>
            <w:r w:rsidRPr="00134DAF">
              <w:rPr>
                <w:lang w:eastAsia="en-NZ"/>
              </w:rPr>
              <w:t xml:space="preserve">West Coast </w:t>
            </w:r>
          </w:p>
        </w:tc>
        <w:tc>
          <w:tcPr>
            <w:tcW w:w="1203" w:type="pct"/>
            <w:tcBorders>
              <w:top w:val="single" w:sz="8" w:space="0" w:color="A6A6A6" w:themeColor="background1" w:themeShade="A6"/>
              <w:bottom w:val="single" w:sz="8" w:space="0" w:color="A6A6A6" w:themeColor="background1" w:themeShade="A6"/>
            </w:tcBorders>
            <w:noWrap/>
            <w:hideMark/>
          </w:tcPr>
          <w:p w14:paraId="628A5B50"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$0.2</w:t>
            </w:r>
          </w:p>
        </w:tc>
        <w:tc>
          <w:tcPr>
            <w:tcW w:w="1203" w:type="pct"/>
            <w:tcBorders>
              <w:top w:val="single" w:sz="8" w:space="0" w:color="A6A6A6" w:themeColor="background1" w:themeShade="A6"/>
              <w:bottom w:val="single" w:sz="8" w:space="0" w:color="A6A6A6" w:themeColor="background1" w:themeShade="A6"/>
            </w:tcBorders>
            <w:noWrap/>
            <w:hideMark/>
          </w:tcPr>
          <w:p w14:paraId="70DDF6AF" w14:textId="77777777" w:rsidR="00FC77C7" w:rsidRPr="00134DA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34DAF">
              <w:rPr>
                <w:lang w:eastAsia="en-NZ"/>
              </w:rPr>
              <w:t>$0.1</w:t>
            </w:r>
          </w:p>
        </w:tc>
      </w:tr>
      <w:tr w:rsidR="00FC77C7" w:rsidRPr="00134DAF" w14:paraId="19B49B50"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2594" w:type="pct"/>
            <w:tcBorders>
              <w:top w:val="single" w:sz="8" w:space="0" w:color="A6A6A6" w:themeColor="background1" w:themeShade="A6"/>
            </w:tcBorders>
            <w:noWrap/>
            <w:hideMark/>
          </w:tcPr>
          <w:p w14:paraId="4EBF41E7" w14:textId="77777777" w:rsidR="00FC77C7" w:rsidRPr="00134DAF" w:rsidRDefault="00FC77C7" w:rsidP="0093011F">
            <w:pPr>
              <w:pStyle w:val="TableText"/>
              <w:rPr>
                <w:lang w:eastAsia="en-NZ"/>
              </w:rPr>
            </w:pPr>
            <w:r w:rsidRPr="00134DAF">
              <w:rPr>
                <w:lang w:eastAsia="en-NZ"/>
              </w:rPr>
              <w:t xml:space="preserve">Total </w:t>
            </w:r>
          </w:p>
        </w:tc>
        <w:tc>
          <w:tcPr>
            <w:tcW w:w="1203" w:type="pct"/>
            <w:tcBorders>
              <w:top w:val="single" w:sz="8" w:space="0" w:color="A6A6A6" w:themeColor="background1" w:themeShade="A6"/>
            </w:tcBorders>
            <w:noWrap/>
            <w:hideMark/>
          </w:tcPr>
          <w:p w14:paraId="1A501E47" w14:textId="77777777" w:rsidR="00FC77C7" w:rsidRPr="00134DA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34DAF">
              <w:rPr>
                <w:lang w:eastAsia="en-NZ"/>
              </w:rPr>
              <w:t>$504.2</w:t>
            </w:r>
          </w:p>
        </w:tc>
        <w:tc>
          <w:tcPr>
            <w:tcW w:w="1203" w:type="pct"/>
            <w:tcBorders>
              <w:top w:val="single" w:sz="8" w:space="0" w:color="A6A6A6" w:themeColor="background1" w:themeShade="A6"/>
            </w:tcBorders>
            <w:noWrap/>
            <w:hideMark/>
          </w:tcPr>
          <w:p w14:paraId="0EA637BA" w14:textId="77777777" w:rsidR="00FC77C7" w:rsidRPr="00134DA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34DAF">
              <w:rPr>
                <w:lang w:eastAsia="en-NZ"/>
              </w:rPr>
              <w:t>$334.9</w:t>
            </w:r>
          </w:p>
        </w:tc>
      </w:tr>
    </w:tbl>
    <w:p w14:paraId="40B6FD24" w14:textId="77777777" w:rsidR="00FC77C7" w:rsidRPr="00C3424D" w:rsidRDefault="00FC77C7" w:rsidP="00FC77C7">
      <w:pPr>
        <w:rPr>
          <w:sz w:val="18"/>
          <w:szCs w:val="18"/>
        </w:rPr>
      </w:pPr>
      <w:r w:rsidRPr="00C3424D">
        <w:rPr>
          <w:sz w:val="18"/>
          <w:szCs w:val="18"/>
        </w:rPr>
        <w:t xml:space="preserve">Source: </w:t>
      </w:r>
      <w:proofErr w:type="spellStart"/>
      <w:r w:rsidRPr="00C3424D">
        <w:rPr>
          <w:sz w:val="18"/>
          <w:szCs w:val="18"/>
        </w:rPr>
        <w:t>Neverman</w:t>
      </w:r>
      <w:proofErr w:type="spellEnd"/>
      <w:r w:rsidRPr="00C3424D">
        <w:rPr>
          <w:sz w:val="18"/>
          <w:szCs w:val="18"/>
        </w:rPr>
        <w:t xml:space="preserve"> </w:t>
      </w:r>
      <w:r w:rsidRPr="00C3424D">
        <w:rPr>
          <w:i/>
          <w:iCs/>
          <w:sz w:val="18"/>
          <w:szCs w:val="18"/>
        </w:rPr>
        <w:t>et al</w:t>
      </w:r>
      <w:r w:rsidRPr="00C3424D">
        <w:rPr>
          <w:sz w:val="18"/>
          <w:szCs w:val="18"/>
        </w:rPr>
        <w:t xml:space="preserve"> (2019)</w:t>
      </w:r>
    </w:p>
    <w:p w14:paraId="471A26F1" w14:textId="77777777" w:rsidR="00FC77C7" w:rsidRDefault="00FC77C7" w:rsidP="00FC77C7"/>
    <w:p w14:paraId="5154D5B9" w14:textId="401B113A" w:rsidR="00FC77C7" w:rsidRDefault="00FC77C7" w:rsidP="00FC77C7">
      <w:r>
        <w:t>The large value for Wellington reflects the 5.4 percentage point increase in waterways meeting limits (</w:t>
      </w:r>
      <w:r>
        <w:fldChar w:fldCharType="begin"/>
      </w:r>
      <w:r>
        <w:instrText xml:space="preserve"> REF _Ref32591860 \h </w:instrText>
      </w:r>
      <w:r>
        <w:fldChar w:fldCharType="separate"/>
      </w:r>
      <w:r w:rsidR="00024EB5">
        <w:t xml:space="preserve">Table </w:t>
      </w:r>
      <w:r w:rsidR="00024EB5">
        <w:rPr>
          <w:noProof/>
        </w:rPr>
        <w:t>8</w:t>
      </w:r>
      <w:r>
        <w:fldChar w:fldCharType="end"/>
      </w:r>
      <w:r>
        <w:t xml:space="preserve">), combined with a relatively large population. </w:t>
      </w:r>
    </w:p>
    <w:p w14:paraId="3E9802CF" w14:textId="77777777" w:rsidR="00FC77C7" w:rsidRDefault="00FC77C7" w:rsidP="00FC77C7"/>
    <w:p w14:paraId="68B0888D" w14:textId="77777777" w:rsidR="00FC77C7" w:rsidRDefault="00FC77C7" w:rsidP="00FC77C7">
      <w:r>
        <w:t xml:space="preserve">As with the analysis of stock exclusion policy, this analysis was possible because the physical modelling could produce a relationship between the policy changes and changes in a water quality indicator for which values had been measured, </w:t>
      </w:r>
      <w:proofErr w:type="spellStart"/>
      <w:r>
        <w:t>ie</w:t>
      </w:r>
      <w:proofErr w:type="spellEnd"/>
      <w:r>
        <w:t xml:space="preserve"> visual clarity.</w:t>
      </w:r>
    </w:p>
    <w:p w14:paraId="577382C1" w14:textId="77777777" w:rsidR="00FC77C7" w:rsidRDefault="00FC77C7" w:rsidP="00FC77C7"/>
    <w:p w14:paraId="056C17C9" w14:textId="77777777" w:rsidR="00FC77C7" w:rsidRDefault="00FC77C7" w:rsidP="00FC77C7">
      <w:r>
        <w:t xml:space="preserve">There are some assumptions adopted by </w:t>
      </w:r>
      <w:proofErr w:type="spellStart"/>
      <w:r>
        <w:t>Landcare</w:t>
      </w:r>
      <w:proofErr w:type="spellEnd"/>
      <w:r>
        <w:t xml:space="preserve"> which we do not adopt in using the Tait </w:t>
      </w:r>
      <w:r>
        <w:rPr>
          <w:i/>
          <w:iCs/>
        </w:rPr>
        <w:t>et al</w:t>
      </w:r>
      <w:r>
        <w:t xml:space="preserve"> values.</w:t>
      </w:r>
    </w:p>
    <w:p w14:paraId="1ED91C30" w14:textId="77777777" w:rsidR="00FC77C7" w:rsidRDefault="00FC77C7" w:rsidP="00FC77C7"/>
    <w:p w14:paraId="0A1B30B0" w14:textId="77777777" w:rsidR="00FC77C7" w:rsidRDefault="00FC77C7" w:rsidP="008355BD">
      <w:pPr>
        <w:pStyle w:val="ListParagraph"/>
        <w:numPr>
          <w:ilvl w:val="0"/>
          <w:numId w:val="21"/>
        </w:numPr>
      </w:pPr>
      <w:proofErr w:type="spellStart"/>
      <w:r>
        <w:t>Landcare</w:t>
      </w:r>
      <w:proofErr w:type="spellEnd"/>
      <w:r>
        <w:t xml:space="preserve"> scaled up the water clarity values to the regional level using household numbers, rather than the adult (18+) population as originally used by Tait </w:t>
      </w:r>
      <w:r>
        <w:rPr>
          <w:i/>
          <w:iCs/>
        </w:rPr>
        <w:t>et al</w:t>
      </w:r>
      <w:r>
        <w:t xml:space="preserve"> and in the NSES CBA.</w:t>
      </w:r>
      <w:r>
        <w:rPr>
          <w:rStyle w:val="FootnoteReference"/>
        </w:rPr>
        <w:footnoteReference w:id="38"/>
      </w:r>
      <w:r>
        <w:br/>
      </w:r>
    </w:p>
    <w:p w14:paraId="50277BD8" w14:textId="77777777" w:rsidR="00FC77C7" w:rsidRDefault="00FC77C7" w:rsidP="008355BD">
      <w:pPr>
        <w:pStyle w:val="ListParagraph"/>
        <w:numPr>
          <w:ilvl w:val="0"/>
          <w:numId w:val="21"/>
        </w:numPr>
      </w:pPr>
      <w:proofErr w:type="spellStart"/>
      <w:r>
        <w:t>Landcare</w:t>
      </w:r>
      <w:proofErr w:type="spellEnd"/>
      <w:r>
        <w:t xml:space="preserve"> adjusted the regional </w:t>
      </w:r>
      <w:r w:rsidRPr="003D79B8">
        <w:t>estimates of WTP by regional median household income, which assumes that WTP for freshwater quality increases with income. However, there is a strong argument for adjusting values in the other direction, with the marginal benefit to low income households being valued more highly.</w:t>
      </w:r>
      <w:r w:rsidRPr="003D79B8">
        <w:rPr>
          <w:rStyle w:val="FootnoteReference"/>
        </w:rPr>
        <w:footnoteReference w:id="39"/>
      </w:r>
      <w:r w:rsidRPr="003D79B8">
        <w:t xml:space="preserve"> This latter approach assumes “</w:t>
      </w:r>
      <w:r w:rsidRPr="003D79B8">
        <w:rPr>
          <w:i/>
          <w:iCs/>
        </w:rPr>
        <w:t>the benefit that a poor person derives from another dollar of income, and therefore from another dollar of expenditure, may be higher than the benefit derived by a rich person</w:t>
      </w:r>
      <w:r w:rsidRPr="003D79B8">
        <w:t>”;</w:t>
      </w:r>
      <w:r w:rsidRPr="003D79B8">
        <w:rPr>
          <w:rStyle w:val="FootnoteReference"/>
        </w:rPr>
        <w:footnoteReference w:id="40"/>
      </w:r>
      <w:r w:rsidRPr="003D79B8">
        <w:t xml:space="preserve"> and the same would be assumed to apply to a dollar’s worth of wellbeing derived from an improvement in water quality. However, in the absence of data on appropriate weightings and because of our interest largely in national level </w:t>
      </w:r>
      <w:r>
        <w:t>impacts</w:t>
      </w:r>
      <w:r w:rsidRPr="003D79B8">
        <w:t xml:space="preserve">, we do not make any </w:t>
      </w:r>
      <w:r>
        <w:t xml:space="preserve">regional </w:t>
      </w:r>
      <w:r w:rsidRPr="003D79B8">
        <w:t>adjustment</w:t>
      </w:r>
      <w:r>
        <w:t>s</w:t>
      </w:r>
      <w:r w:rsidRPr="003D79B8">
        <w:t xml:space="preserve"> </w:t>
      </w:r>
      <w:r>
        <w:t xml:space="preserve">to WTP </w:t>
      </w:r>
      <w:r w:rsidRPr="003D79B8">
        <w:t>in this study.</w:t>
      </w:r>
      <w:r>
        <w:t xml:space="preserve"> </w:t>
      </w:r>
      <w:r>
        <w:br/>
      </w:r>
    </w:p>
    <w:p w14:paraId="15C6F83F" w14:textId="450B0DCD" w:rsidR="00FC77C7" w:rsidRPr="00397098" w:rsidRDefault="00FC77C7" w:rsidP="008355BD">
      <w:pPr>
        <w:pStyle w:val="ListParagraph"/>
        <w:numPr>
          <w:ilvl w:val="0"/>
          <w:numId w:val="21"/>
        </w:numPr>
      </w:pPr>
      <w:r>
        <w:t xml:space="preserve">We use a different rate of assumed policy implementation (see Section </w:t>
      </w:r>
      <w:r>
        <w:fldChar w:fldCharType="begin"/>
      </w:r>
      <w:r>
        <w:instrText xml:space="preserve"> REF _Ref34340048 \r \h </w:instrText>
      </w:r>
      <w:r>
        <w:fldChar w:fldCharType="separate"/>
      </w:r>
      <w:r w:rsidR="00024EB5">
        <w:t>1.6</w:t>
      </w:r>
      <w:r>
        <w:fldChar w:fldCharType="end"/>
      </w:r>
      <w:r>
        <w:t xml:space="preserve"> rather than </w:t>
      </w:r>
      <w:r>
        <w:fldChar w:fldCharType="begin"/>
      </w:r>
      <w:r>
        <w:instrText xml:space="preserve"> REF _Ref32590468 \h </w:instrText>
      </w:r>
      <w:r>
        <w:fldChar w:fldCharType="separate"/>
      </w:r>
      <w:r w:rsidR="00024EB5">
        <w:t xml:space="preserve">Figure </w:t>
      </w:r>
      <w:r w:rsidR="00024EB5">
        <w:rPr>
          <w:noProof/>
        </w:rPr>
        <w:t>6</w:t>
      </w:r>
      <w:r>
        <w:fldChar w:fldCharType="end"/>
      </w:r>
      <w:r>
        <w:t>.</w:t>
      </w:r>
    </w:p>
    <w:p w14:paraId="0D2E3626" w14:textId="77777777" w:rsidR="00FC77C7" w:rsidRDefault="00FC77C7" w:rsidP="00FC77C7">
      <w:r>
        <w:br w:type="page"/>
      </w:r>
    </w:p>
    <w:p w14:paraId="40DFF831" w14:textId="77777777" w:rsidR="00FC77C7" w:rsidRDefault="00FC77C7" w:rsidP="00FC77C7">
      <w:pPr>
        <w:pStyle w:val="Heading1"/>
      </w:pPr>
      <w:bookmarkStart w:id="56" w:name="_Ref34375204"/>
      <w:bookmarkStart w:id="57" w:name="_Toc35593992"/>
      <w:bookmarkStart w:id="58" w:name="_Toc35599753"/>
      <w:r>
        <w:lastRenderedPageBreak/>
        <w:t>Non-Market Values</w:t>
      </w:r>
      <w:bookmarkEnd w:id="56"/>
      <w:bookmarkEnd w:id="57"/>
      <w:bookmarkEnd w:id="58"/>
    </w:p>
    <w:p w14:paraId="6B4145F7" w14:textId="77777777" w:rsidR="00FC77C7" w:rsidRPr="00C3424D" w:rsidRDefault="00FC77C7" w:rsidP="00FC77C7">
      <w:bookmarkStart w:id="59" w:name="_Toc35593993"/>
      <w:bookmarkStart w:id="60" w:name="_Ref32334385"/>
      <w:bookmarkStart w:id="61" w:name="_Ref429122271"/>
      <w:bookmarkStart w:id="62" w:name="_Toc431827521"/>
      <w:r>
        <w:t xml:space="preserve">In this section we review non-market values in the literature and the reasons for using the values from Tait </w:t>
      </w:r>
      <w:r>
        <w:rPr>
          <w:i/>
          <w:iCs/>
        </w:rPr>
        <w:t>et al</w:t>
      </w:r>
      <w:r>
        <w:t xml:space="preserve"> (2016). We then use these values to estimate the benefits of improvements in human health, water clarity and ecological health.</w:t>
      </w:r>
    </w:p>
    <w:p w14:paraId="42261096" w14:textId="77777777" w:rsidR="00FC77C7" w:rsidRDefault="00FC77C7" w:rsidP="00FC77C7">
      <w:pPr>
        <w:pStyle w:val="Heading2"/>
      </w:pPr>
      <w:bookmarkStart w:id="63" w:name="_Toc35599754"/>
      <w:r>
        <w:t>Methodology Issues – Benefit Transfer</w:t>
      </w:r>
      <w:bookmarkEnd w:id="59"/>
      <w:bookmarkEnd w:id="63"/>
    </w:p>
    <w:p w14:paraId="49572E12" w14:textId="77777777" w:rsidR="00FC77C7" w:rsidRDefault="00FC77C7" w:rsidP="00FC77C7">
      <w:r>
        <w:t xml:space="preserve">The benefits of environmental improvement are often highly site-specific, reflecting ecological factors and proximity to human populations. Studies which provide values may be of individual sites, </w:t>
      </w:r>
      <w:proofErr w:type="spellStart"/>
      <w:r>
        <w:t>eg</w:t>
      </w:r>
      <w:proofErr w:type="spellEnd"/>
      <w:r>
        <w:t xml:space="preserve"> the recreational values of a specific river.</w:t>
      </w:r>
      <w:r>
        <w:rPr>
          <w:rStyle w:val="FootnoteReference"/>
        </w:rPr>
        <w:footnoteReference w:id="41"/>
      </w:r>
      <w:r>
        <w:t xml:space="preserve"> Using benefit estimates from other locations (benefit transfer) can provide values in the right order of magnitude.</w:t>
      </w:r>
      <w:r>
        <w:rPr>
          <w:rStyle w:val="FootnoteReference"/>
        </w:rPr>
        <w:footnoteReference w:id="42"/>
      </w:r>
      <w:r>
        <w:t xml:space="preserve"> </w:t>
      </w:r>
    </w:p>
    <w:p w14:paraId="308F51BD" w14:textId="77777777" w:rsidR="00FC77C7" w:rsidRDefault="00FC77C7" w:rsidP="00FC77C7"/>
    <w:p w14:paraId="053F9A67" w14:textId="77777777" w:rsidR="00FC77C7" w:rsidRDefault="00FC77C7" w:rsidP="00FC77C7">
      <w:r>
        <w:t>Benefit transfer methods vary in their complexity, with the simplest approaches using values from elsewhere (direct transfer), and others adjusting the transferred values to take account of local factors (</w:t>
      </w:r>
      <w:proofErr w:type="spellStart"/>
      <w:r>
        <w:t>eg</w:t>
      </w:r>
      <w:proofErr w:type="spellEnd"/>
      <w:r>
        <w:t xml:space="preserve"> benefit function transfer).</w:t>
      </w:r>
      <w:r>
        <w:rPr>
          <w:rStyle w:val="FootnoteReference"/>
        </w:rPr>
        <w:footnoteReference w:id="43"/>
      </w:r>
      <w:r>
        <w:t xml:space="preserve"> But despite increasing sophistication of approaches, the values are still approximate and there are large potential errors or inaccuracies.</w:t>
      </w:r>
      <w:r>
        <w:rPr>
          <w:rStyle w:val="FootnoteReference"/>
        </w:rPr>
        <w:footnoteReference w:id="44"/>
      </w:r>
      <w:r>
        <w:t xml:space="preserve"> </w:t>
      </w:r>
    </w:p>
    <w:p w14:paraId="7413139E" w14:textId="77777777" w:rsidR="00FC77C7" w:rsidRDefault="00FC77C7" w:rsidP="00FC77C7"/>
    <w:p w14:paraId="1AE48910" w14:textId="77777777" w:rsidR="00FC77C7" w:rsidRDefault="00FC77C7" w:rsidP="00FC77C7">
      <w:r>
        <w:t>The potential for errors is of obvious concern to this and other studies that are seeking to use benefit transfer as the basis for values. However, relevant to this current work and many other economic analyses, the expectation is that decisions will be made anyway, regardless of whether benefit values have been derived using a valid methodology. There is therefore a question over whether decisions are better made with no benefit data or with data derived using a poor methodology.</w:t>
      </w:r>
    </w:p>
    <w:p w14:paraId="4C6AFD9C" w14:textId="77777777" w:rsidR="00FC77C7" w:rsidRDefault="00FC77C7" w:rsidP="00FC77C7">
      <w:pPr>
        <w:pStyle w:val="Heading2"/>
      </w:pPr>
      <w:bookmarkStart w:id="64" w:name="_Toc35593994"/>
      <w:bookmarkStart w:id="65" w:name="_Toc35599755"/>
      <w:bookmarkEnd w:id="60"/>
      <w:bookmarkEnd w:id="61"/>
      <w:bookmarkEnd w:id="62"/>
      <w:r>
        <w:t>Valuation Data</w:t>
      </w:r>
      <w:bookmarkEnd w:id="64"/>
      <w:bookmarkEnd w:id="65"/>
    </w:p>
    <w:p w14:paraId="3F90187F" w14:textId="77777777" w:rsidR="00FC77C7" w:rsidRDefault="00FC77C7" w:rsidP="00FC77C7">
      <w:r>
        <w:t>There are a large number of studies which have identified monetary values for recreational use (active and passive) of specific waterways. Usually these will combine estimates of the value of a recreational day with estimates of numbers of recreational trips (or changes in trip numbers). These values are difficult to use in the absence of data on recreational activity levels using freshwater (see Annex A for a summary of available data) and changes in visitor numbers (if any) expected to result from improved quality.</w:t>
      </w:r>
    </w:p>
    <w:p w14:paraId="16089D47" w14:textId="77777777" w:rsidR="00FC77C7" w:rsidRDefault="00FC77C7" w:rsidP="00FC77C7"/>
    <w:p w14:paraId="638657CD" w14:textId="77777777" w:rsidR="00FC77C7" w:rsidRDefault="00FC77C7" w:rsidP="00FC77C7">
      <w:r>
        <w:t>A few NZ studies have summarised the benefit valuation literature relating to freshwater quality and we do not repeat this here. An initial literature review and gap analysis for the Ministry for the Environment (</w:t>
      </w:r>
      <w:proofErr w:type="spellStart"/>
      <w:r>
        <w:t>MfE</w:t>
      </w:r>
      <w:proofErr w:type="spellEnd"/>
      <w:r>
        <w:t>)</w:t>
      </w:r>
      <w:r>
        <w:rPr>
          <w:rStyle w:val="FootnoteReference"/>
        </w:rPr>
        <w:footnoteReference w:id="45"/>
      </w:r>
      <w:r>
        <w:t xml:space="preserve"> </w:t>
      </w:r>
      <w:r w:rsidRPr="00BB28C2">
        <w:t>identified</w:t>
      </w:r>
      <w:r>
        <w:t xml:space="preserve"> exiting values that were used in a subsequent analysis of the benefits of water quality improvements in Southland.</w:t>
      </w:r>
      <w:r>
        <w:rPr>
          <w:rStyle w:val="FootnoteReference"/>
        </w:rPr>
        <w:footnoteReference w:id="46"/>
      </w:r>
      <w:r>
        <w:t xml:space="preserve"> </w:t>
      </w:r>
      <w:r w:rsidRPr="00903BB5">
        <w:t>In contrast, and reflecting the potential for errors, a review to provide inputs to a CBA of improvements in water quality for the Waikato River, suggested that the available values were site-specific and could not be used elsewhere.</w:t>
      </w:r>
      <w:r>
        <w:rPr>
          <w:rStyle w:val="FootnoteReference"/>
        </w:rPr>
        <w:footnoteReference w:id="47"/>
      </w:r>
      <w:r w:rsidRPr="00903BB5">
        <w:t xml:space="preserve">  </w:t>
      </w:r>
    </w:p>
    <w:p w14:paraId="33E3375A" w14:textId="77777777" w:rsidR="00FC77C7" w:rsidRDefault="00FC77C7" w:rsidP="00FC77C7"/>
    <w:p w14:paraId="2ECF5668" w14:textId="77777777" w:rsidR="00FC77C7" w:rsidRPr="00903BB5" w:rsidRDefault="00FC77C7" w:rsidP="00FC77C7">
      <w:r>
        <w:t xml:space="preserve">The Southland study transferred values directly from other parts of New Zealand without adjustment either for location or to take account of the impacts of increased supply on total consumption, while noting the problem of substitution (improvements in one river may lead simply to a shift in </w:t>
      </w:r>
      <w:r>
        <w:lastRenderedPageBreak/>
        <w:t xml:space="preserve">recreational activity from another). The assumption was that direct transfer would provide results that were in the right order of magnitude, and therefore would assist decision-making. </w:t>
      </w:r>
    </w:p>
    <w:p w14:paraId="63329E09" w14:textId="77777777" w:rsidR="00FC77C7" w:rsidRDefault="00FC77C7" w:rsidP="00FC77C7"/>
    <w:p w14:paraId="27E59956" w14:textId="77777777" w:rsidR="00FC77C7" w:rsidRDefault="00FC77C7" w:rsidP="00FC77C7">
      <w:r>
        <w:t xml:space="preserve">Harris </w:t>
      </w:r>
      <w:r>
        <w:rPr>
          <w:i/>
          <w:iCs/>
        </w:rPr>
        <w:t>et al</w:t>
      </w:r>
      <w:r>
        <w:t xml:space="preserve"> (2016) criticised this approach, for its failure to take account of the shape of the demand curve (</w:t>
      </w:r>
      <w:proofErr w:type="spellStart"/>
      <w:r>
        <w:t>eg</w:t>
      </w:r>
      <w:proofErr w:type="spellEnd"/>
      <w:r>
        <w:t xml:space="preserve"> assuming demand is proportional to supply and that value for existing users does not change with total supply), using the same value for new and existing users, and the transfer of values from single sites elsewhere.</w:t>
      </w:r>
    </w:p>
    <w:p w14:paraId="2E383875" w14:textId="77777777" w:rsidR="00FC77C7" w:rsidRPr="00F57EDD" w:rsidRDefault="00FC77C7" w:rsidP="00FC77C7"/>
    <w:p w14:paraId="3DDAAD88" w14:textId="77777777" w:rsidR="00FC77C7" w:rsidRDefault="00FC77C7" w:rsidP="00FC77C7">
      <w:r>
        <w:t xml:space="preserve">The question of whether to use benefit transfer (as per Denne </w:t>
      </w:r>
      <w:r w:rsidRPr="00903BB5">
        <w:rPr>
          <w:i/>
          <w:iCs/>
        </w:rPr>
        <w:t>et al</w:t>
      </w:r>
      <w:r>
        <w:t xml:space="preserve"> 2013) or not (as per Marsh and </w:t>
      </w:r>
      <w:proofErr w:type="spellStart"/>
      <w:r>
        <w:t>Mkwara</w:t>
      </w:r>
      <w:proofErr w:type="spellEnd"/>
      <w:r>
        <w:t xml:space="preserve"> 2013) is solved to a considerable extent by three more recent studies which provide more readily usable valuation data by analysing the WTP for water quality improvements of larger populations and over a wider area. These studies by Phillips (2014), Miller </w:t>
      </w:r>
      <w:r>
        <w:rPr>
          <w:i/>
          <w:iCs/>
        </w:rPr>
        <w:t>et al</w:t>
      </w:r>
      <w:r>
        <w:t xml:space="preserve"> (2015) and particularly Tait </w:t>
      </w:r>
      <w:r>
        <w:rPr>
          <w:i/>
          <w:iCs/>
        </w:rPr>
        <w:t>et al</w:t>
      </w:r>
      <w:r>
        <w:t xml:space="preserve"> (2016) are discussed below.</w:t>
      </w:r>
    </w:p>
    <w:p w14:paraId="094009C2" w14:textId="77777777" w:rsidR="00FC77C7" w:rsidRDefault="00FC77C7" w:rsidP="00FC77C7">
      <w:pPr>
        <w:pStyle w:val="Heading2"/>
      </w:pPr>
      <w:bookmarkStart w:id="66" w:name="_Toc35593995"/>
      <w:bookmarkStart w:id="67" w:name="_Toc35599756"/>
      <w:r>
        <w:t>Review of Recent Studies</w:t>
      </w:r>
      <w:bookmarkEnd w:id="66"/>
      <w:bookmarkEnd w:id="67"/>
    </w:p>
    <w:p w14:paraId="78C318A9" w14:textId="77777777" w:rsidR="00FC77C7" w:rsidRDefault="00FC77C7" w:rsidP="00FC77C7">
      <w:r>
        <w:t xml:space="preserve">The three studies summarised below are based on surveys of relatively wide samples of the general public, including those who use a freshwater site, or a set of sites, in different ways, and those who do not visit freshwater sites but who might value quality improvements. </w:t>
      </w:r>
    </w:p>
    <w:p w14:paraId="6F960CA5" w14:textId="77777777" w:rsidR="00FC77C7" w:rsidRDefault="00FC77C7" w:rsidP="00FC77C7"/>
    <w:p w14:paraId="6A6FFC84" w14:textId="77777777" w:rsidR="00FC77C7" w:rsidRDefault="00FC77C7" w:rsidP="00FC77C7">
      <w:r>
        <w:t xml:space="preserve">Non-market valuation is typically done by estimating the value of, for example, a swimming trip to a river (and potentially at different water quality levels) and then estimating the change in the number of trips which might result from an improvement in river quality. Three new studies, described below, survey a sample of the regional or national population and estimate the value that they place on water quality improvements that would increase the value and/or number of trips to specific sites, or that would be valued for its own sake.  </w:t>
      </w:r>
    </w:p>
    <w:p w14:paraId="6537476A" w14:textId="77777777" w:rsidR="00FC77C7" w:rsidRDefault="00FC77C7" w:rsidP="00FC77C7"/>
    <w:p w14:paraId="14BBAA31" w14:textId="77777777" w:rsidR="00FC77C7" w:rsidRDefault="00FC77C7" w:rsidP="00FC77C7">
      <w:r>
        <w:t xml:space="preserve">The advantage of these studies is that that the results can be used to value quality improvements without having to estimate changes in activity levels. For example, for valuing </w:t>
      </w:r>
      <w:proofErr w:type="spellStart"/>
      <w:r>
        <w:t>swimmability</w:t>
      </w:r>
      <w:proofErr w:type="spellEnd"/>
      <w:r>
        <w:t xml:space="preserve"> the values include those expressed by people who currently swim, those that might swim if water quality improved and those that place a value on water quality improvement to swimmable levels without swimming themselves. Provided the surveys are representative of the population, this provides a useful basis for estimating values that would apply to people in all of these categories, assuming the proportion of swimmers and non-swimmers in the sample is the same as in the general population.</w:t>
      </w:r>
    </w:p>
    <w:p w14:paraId="7E7CD6DD" w14:textId="77777777" w:rsidR="00FC77C7" w:rsidRDefault="00FC77C7" w:rsidP="00FC77C7"/>
    <w:p w14:paraId="164BDDEA" w14:textId="77777777" w:rsidR="00FC77C7" w:rsidRDefault="00FC77C7" w:rsidP="00FC77C7">
      <w:r>
        <w:t>The studies apply to widespread national or regional improvements in water quality.</w:t>
      </w:r>
    </w:p>
    <w:p w14:paraId="778D16C6" w14:textId="77777777" w:rsidR="00FC77C7" w:rsidRDefault="00FC77C7" w:rsidP="00FC77C7">
      <w:pPr>
        <w:pStyle w:val="Heading3"/>
      </w:pPr>
      <w:r>
        <w:t>Phillips (2014)</w:t>
      </w:r>
    </w:p>
    <w:p w14:paraId="7AAF8FAE" w14:textId="77777777" w:rsidR="00FC77C7" w:rsidRDefault="00FC77C7" w:rsidP="00FC77C7">
      <w:r>
        <w:t xml:space="preserve">Phillips (2014) analysed the </w:t>
      </w:r>
      <w:r w:rsidRPr="00C56120">
        <w:t>impacts of setting freshwater objectives and limits in the Waikato River Catchment</w:t>
      </w:r>
      <w:r>
        <w:t xml:space="preserve">. The study included the results of: </w:t>
      </w:r>
    </w:p>
    <w:p w14:paraId="3C27F9D3" w14:textId="77777777" w:rsidR="00FC77C7" w:rsidRDefault="00FC77C7" w:rsidP="00FC77C7"/>
    <w:p w14:paraId="64A7F7FB" w14:textId="77777777" w:rsidR="00FC77C7" w:rsidRDefault="00FC77C7" w:rsidP="008355BD">
      <w:pPr>
        <w:pStyle w:val="ListParagraph"/>
        <w:numPr>
          <w:ilvl w:val="0"/>
          <w:numId w:val="10"/>
        </w:numPr>
      </w:pPr>
      <w:r>
        <w:t xml:space="preserve">a </w:t>
      </w:r>
      <w:r w:rsidRPr="00C56120">
        <w:t xml:space="preserve">revealed preference </w:t>
      </w:r>
      <w:r>
        <w:t xml:space="preserve">(RP) analysis using analysis of travel costs and trip counts to estimate preferences for different levels of water quality based on the range of existing quality levels; and </w:t>
      </w:r>
      <w:r>
        <w:br/>
      </w:r>
    </w:p>
    <w:p w14:paraId="1AE13A58" w14:textId="77777777" w:rsidR="00FC77C7" w:rsidRDefault="00FC77C7" w:rsidP="008355BD">
      <w:pPr>
        <w:pStyle w:val="ListParagraph"/>
        <w:numPr>
          <w:ilvl w:val="0"/>
          <w:numId w:val="10"/>
        </w:numPr>
      </w:pPr>
      <w:proofErr w:type="gramStart"/>
      <w:r w:rsidRPr="00C56120">
        <w:t>a</w:t>
      </w:r>
      <w:proofErr w:type="gramEnd"/>
      <w:r w:rsidRPr="00C56120">
        <w:t xml:space="preserve"> </w:t>
      </w:r>
      <w:r>
        <w:t xml:space="preserve">stated preference (SP) analysis using a </w:t>
      </w:r>
      <w:r w:rsidRPr="00C56120">
        <w:t>choice experiment to estimate willingness to pay for water quality improvement.</w:t>
      </w:r>
      <w:r>
        <w:t xml:space="preserve"> The SP study was based on a February 2014 survey</w:t>
      </w:r>
      <w:r w:rsidRPr="0049046E">
        <w:t xml:space="preserve"> </w:t>
      </w:r>
      <w:r>
        <w:t xml:space="preserve">of a wide population; it included respondents from Auckland, the Bay of Plenty and the Waikato </w:t>
      </w:r>
      <w:r>
        <w:lastRenderedPageBreak/>
        <w:t xml:space="preserve">region, all of whom might use the Waikato River for recreational purposes or value its water quality. </w:t>
      </w:r>
    </w:p>
    <w:p w14:paraId="4D87F37F" w14:textId="77777777" w:rsidR="00FC77C7" w:rsidRDefault="00FC77C7" w:rsidP="00FC77C7"/>
    <w:p w14:paraId="73952B72" w14:textId="26A11FC0" w:rsidR="00FC77C7" w:rsidRDefault="00FC77C7" w:rsidP="00FC77C7">
      <w:r>
        <w:t xml:space="preserve">The results of the SP analysis are shown in </w:t>
      </w:r>
      <w:r>
        <w:fldChar w:fldCharType="begin"/>
      </w:r>
      <w:r>
        <w:instrText xml:space="preserve"> REF _Ref29897082 \h </w:instrText>
      </w:r>
      <w:r>
        <w:fldChar w:fldCharType="separate"/>
      </w:r>
      <w:r w:rsidR="00024EB5">
        <w:t xml:space="preserve">Table </w:t>
      </w:r>
      <w:r w:rsidR="00024EB5">
        <w:rPr>
          <w:noProof/>
        </w:rPr>
        <w:t>10</w:t>
      </w:r>
      <w:r>
        <w:fldChar w:fldCharType="end"/>
      </w:r>
      <w:r>
        <w:t xml:space="preserve">, updated to 2019 dollar values. The values are for improvement from (or staying at) the lowest level of water quality. The results were separated into values expressed by people who had visited </w:t>
      </w:r>
      <w:r w:rsidRPr="00D91663">
        <w:t>a river, stream, lake or wetland</w:t>
      </w:r>
      <w:r>
        <w:t xml:space="preserve"> </w:t>
      </w:r>
      <w:r w:rsidRPr="00D91663">
        <w:t>in the Waikato region</w:t>
      </w:r>
      <w:r>
        <w:t xml:space="preserve"> (users) and those who had not (non-users).</w:t>
      </w:r>
    </w:p>
    <w:p w14:paraId="3CB0AC3A" w14:textId="6D2447A0" w:rsidR="00FC77C7" w:rsidRDefault="00FC77C7" w:rsidP="0093011F">
      <w:pPr>
        <w:pStyle w:val="Caption"/>
      </w:pPr>
      <w:bookmarkStart w:id="68" w:name="_Ref29897082"/>
      <w:r>
        <w:t xml:space="preserve">Table </w:t>
      </w:r>
      <w:r w:rsidR="00313617">
        <w:fldChar w:fldCharType="begin"/>
      </w:r>
      <w:r w:rsidR="00313617">
        <w:instrText xml:space="preserve"> SEQ Table \* ARABIC </w:instrText>
      </w:r>
      <w:r w:rsidR="00313617">
        <w:fldChar w:fldCharType="separate"/>
      </w:r>
      <w:r w:rsidR="00024EB5">
        <w:rPr>
          <w:noProof/>
        </w:rPr>
        <w:t>10</w:t>
      </w:r>
      <w:r w:rsidR="00313617">
        <w:rPr>
          <w:noProof/>
        </w:rPr>
        <w:fldChar w:fldCharType="end"/>
      </w:r>
      <w:bookmarkEnd w:id="68"/>
      <w:r>
        <w:t xml:space="preserve"> Value of water quality improvements in the Waikato ($per household per year)</w:t>
      </w:r>
    </w:p>
    <w:tbl>
      <w:tblPr>
        <w:tblStyle w:val="CovecTables"/>
        <w:tblW w:w="5000" w:type="pct"/>
        <w:tblInd w:w="0" w:type="dxa"/>
        <w:tblLayout w:type="fixed"/>
        <w:tblLook w:val="04E0" w:firstRow="1" w:lastRow="1" w:firstColumn="1" w:lastColumn="0" w:noHBand="0" w:noVBand="1"/>
      </w:tblPr>
      <w:tblGrid>
        <w:gridCol w:w="1843"/>
        <w:gridCol w:w="1164"/>
        <w:gridCol w:w="1304"/>
        <w:gridCol w:w="1302"/>
        <w:gridCol w:w="1304"/>
        <w:gridCol w:w="1304"/>
      </w:tblGrid>
      <w:tr w:rsidR="00FC77C7" w:rsidRPr="00A15021" w14:paraId="1D64D923"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1" w:type="pct"/>
            <w:hideMark/>
          </w:tcPr>
          <w:p w14:paraId="60CBF1A1" w14:textId="77777777" w:rsidR="00FC77C7" w:rsidRPr="00A15021" w:rsidRDefault="00FC77C7" w:rsidP="0093011F">
            <w:pPr>
              <w:pStyle w:val="TableText"/>
              <w:jc w:val="left"/>
              <w:rPr>
                <w:lang w:eastAsia="en-NZ"/>
              </w:rPr>
            </w:pPr>
            <w:r w:rsidRPr="00A15021">
              <w:rPr>
                <w:lang w:eastAsia="en-NZ"/>
              </w:rPr>
              <w:t>Attribute</w:t>
            </w:r>
          </w:p>
        </w:tc>
        <w:tc>
          <w:tcPr>
            <w:tcW w:w="708" w:type="pct"/>
            <w:hideMark/>
          </w:tcPr>
          <w:p w14:paraId="0B018F0C" w14:textId="77777777" w:rsidR="00FC77C7" w:rsidRPr="00A1502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A15021">
              <w:rPr>
                <w:lang w:eastAsia="en-NZ"/>
              </w:rPr>
              <w:t>Level</w:t>
            </w:r>
          </w:p>
        </w:tc>
        <w:tc>
          <w:tcPr>
            <w:tcW w:w="793" w:type="pct"/>
            <w:hideMark/>
          </w:tcPr>
          <w:p w14:paraId="55D985DE" w14:textId="77777777" w:rsidR="00FC77C7" w:rsidRPr="00A1502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A15021">
              <w:rPr>
                <w:lang w:eastAsia="en-NZ"/>
              </w:rPr>
              <w:t>User (2014$)</w:t>
            </w:r>
          </w:p>
        </w:tc>
        <w:tc>
          <w:tcPr>
            <w:tcW w:w="792" w:type="pct"/>
            <w:hideMark/>
          </w:tcPr>
          <w:p w14:paraId="14F16C91" w14:textId="77777777" w:rsidR="00FC77C7" w:rsidRPr="00A1502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A15021">
              <w:rPr>
                <w:lang w:eastAsia="en-NZ"/>
              </w:rPr>
              <w:t>Non-user (2014$)</w:t>
            </w:r>
          </w:p>
        </w:tc>
        <w:tc>
          <w:tcPr>
            <w:tcW w:w="793" w:type="pct"/>
            <w:hideMark/>
          </w:tcPr>
          <w:p w14:paraId="0CDEC521" w14:textId="77777777" w:rsidR="00FC77C7" w:rsidRPr="00A1502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A15021">
              <w:rPr>
                <w:lang w:eastAsia="en-NZ"/>
              </w:rPr>
              <w:t>User (2019$)</w:t>
            </w:r>
          </w:p>
        </w:tc>
        <w:tc>
          <w:tcPr>
            <w:tcW w:w="793" w:type="pct"/>
            <w:hideMark/>
          </w:tcPr>
          <w:p w14:paraId="593D3D48" w14:textId="77777777" w:rsidR="00FC77C7" w:rsidRPr="00A1502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A15021">
              <w:rPr>
                <w:lang w:eastAsia="en-NZ"/>
              </w:rPr>
              <w:t>Non-user (2019$)</w:t>
            </w:r>
          </w:p>
        </w:tc>
      </w:tr>
      <w:tr w:rsidR="00FC77C7" w:rsidRPr="00A15021" w14:paraId="34E31CF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noWrap/>
            <w:hideMark/>
          </w:tcPr>
          <w:p w14:paraId="40EACF5C" w14:textId="77777777" w:rsidR="00FC77C7" w:rsidRPr="00A15021" w:rsidRDefault="00FC77C7" w:rsidP="0093011F">
            <w:pPr>
              <w:pStyle w:val="TableText"/>
              <w:rPr>
                <w:lang w:eastAsia="en-NZ"/>
              </w:rPr>
            </w:pPr>
            <w:r w:rsidRPr="00A15021">
              <w:rPr>
                <w:lang w:eastAsia="en-NZ"/>
              </w:rPr>
              <w:t xml:space="preserve">Water Clarity </w:t>
            </w:r>
          </w:p>
        </w:tc>
        <w:tc>
          <w:tcPr>
            <w:tcW w:w="708" w:type="pct"/>
            <w:noWrap/>
            <w:hideMark/>
          </w:tcPr>
          <w:p w14:paraId="0B21C661"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0.2</w:t>
            </w:r>
          </w:p>
        </w:tc>
        <w:tc>
          <w:tcPr>
            <w:tcW w:w="793" w:type="pct"/>
            <w:noWrap/>
            <w:vAlign w:val="top"/>
            <w:hideMark/>
          </w:tcPr>
          <w:p w14:paraId="29C4356E"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$3.98</w:t>
            </w:r>
          </w:p>
        </w:tc>
        <w:tc>
          <w:tcPr>
            <w:tcW w:w="792" w:type="pct"/>
            <w:noWrap/>
            <w:vAlign w:val="top"/>
            <w:hideMark/>
          </w:tcPr>
          <w:p w14:paraId="67428DA8"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$2.86</w:t>
            </w:r>
          </w:p>
        </w:tc>
        <w:tc>
          <w:tcPr>
            <w:tcW w:w="793" w:type="pct"/>
            <w:noWrap/>
            <w:vAlign w:val="top"/>
            <w:hideMark/>
          </w:tcPr>
          <w:p w14:paraId="7F4157EB"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$4.27</w:t>
            </w:r>
          </w:p>
        </w:tc>
        <w:tc>
          <w:tcPr>
            <w:tcW w:w="793" w:type="pct"/>
            <w:noWrap/>
            <w:vAlign w:val="top"/>
            <w:hideMark/>
          </w:tcPr>
          <w:p w14:paraId="08D6D62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$3.07</w:t>
            </w:r>
          </w:p>
        </w:tc>
      </w:tr>
      <w:tr w:rsidR="00FC77C7" w:rsidRPr="00A15021" w14:paraId="09DF48C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val="restart"/>
            <w:noWrap/>
            <w:hideMark/>
          </w:tcPr>
          <w:p w14:paraId="07DA23EB" w14:textId="77777777" w:rsidR="00FC77C7" w:rsidRDefault="00FC77C7" w:rsidP="0093011F">
            <w:pPr>
              <w:pStyle w:val="TableText"/>
              <w:rPr>
                <w:lang w:eastAsia="en-NZ"/>
              </w:rPr>
            </w:pPr>
            <w:r w:rsidRPr="00A15021">
              <w:rPr>
                <w:lang w:eastAsia="en-NZ"/>
              </w:rPr>
              <w:t> </w:t>
            </w:r>
            <w:r>
              <w:rPr>
                <w:lang w:eastAsia="en-NZ"/>
              </w:rPr>
              <w:t xml:space="preserve">Visible metres </w:t>
            </w:r>
          </w:p>
          <w:p w14:paraId="56A0A418" w14:textId="77777777" w:rsidR="00FC77C7" w:rsidRPr="00A15021" w:rsidRDefault="00FC77C7" w:rsidP="0093011F">
            <w:pPr>
              <w:pStyle w:val="TableText"/>
              <w:rPr>
                <w:lang w:eastAsia="en-NZ"/>
              </w:rPr>
            </w:pPr>
            <w:r>
              <w:rPr>
                <w:lang w:eastAsia="en-NZ"/>
              </w:rPr>
              <w:t xml:space="preserve"> (black disc)</w:t>
            </w:r>
          </w:p>
          <w:p w14:paraId="6BC40F9F" w14:textId="77777777" w:rsidR="00FC77C7" w:rsidRPr="00A15021" w:rsidRDefault="00FC77C7" w:rsidP="0093011F">
            <w:pPr>
              <w:pStyle w:val="TableText"/>
              <w:rPr>
                <w:lang w:eastAsia="en-NZ"/>
              </w:rPr>
            </w:pPr>
            <w:r w:rsidRPr="00A15021">
              <w:rPr>
                <w:lang w:eastAsia="en-NZ"/>
              </w:rPr>
              <w:t> </w:t>
            </w:r>
          </w:p>
          <w:p w14:paraId="5B983DF9" w14:textId="77777777" w:rsidR="00FC77C7" w:rsidRPr="00A15021" w:rsidRDefault="00FC77C7" w:rsidP="0093011F">
            <w:pPr>
              <w:pStyle w:val="TableText"/>
              <w:rPr>
                <w:lang w:eastAsia="en-NZ"/>
              </w:rPr>
            </w:pPr>
            <w:r w:rsidRPr="00A15021">
              <w:rPr>
                <w:lang w:eastAsia="en-NZ"/>
              </w:rPr>
              <w:t> </w:t>
            </w:r>
          </w:p>
          <w:p w14:paraId="7A8E52FE" w14:textId="77777777" w:rsidR="00FC77C7" w:rsidRPr="00A15021" w:rsidRDefault="00FC77C7" w:rsidP="0093011F">
            <w:pPr>
              <w:pStyle w:val="TableText"/>
              <w:rPr>
                <w:lang w:eastAsia="en-NZ"/>
              </w:rPr>
            </w:pPr>
            <w:r w:rsidRPr="00A15021">
              <w:rPr>
                <w:lang w:eastAsia="en-NZ"/>
              </w:rPr>
              <w:t> </w:t>
            </w:r>
          </w:p>
          <w:p w14:paraId="4112DCCC" w14:textId="77777777" w:rsidR="00FC77C7" w:rsidRPr="00A15021" w:rsidRDefault="00FC77C7" w:rsidP="0093011F">
            <w:pPr>
              <w:pStyle w:val="TableText"/>
              <w:rPr>
                <w:lang w:eastAsia="en-NZ"/>
              </w:rPr>
            </w:pPr>
            <w:r w:rsidRPr="00A15021">
              <w:rPr>
                <w:lang w:eastAsia="en-NZ"/>
              </w:rPr>
              <w:t> </w:t>
            </w:r>
          </w:p>
        </w:tc>
        <w:tc>
          <w:tcPr>
            <w:tcW w:w="708" w:type="pct"/>
            <w:noWrap/>
            <w:hideMark/>
          </w:tcPr>
          <w:p w14:paraId="0BAD6823"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0.6</w:t>
            </w:r>
          </w:p>
        </w:tc>
        <w:tc>
          <w:tcPr>
            <w:tcW w:w="793" w:type="pct"/>
            <w:noWrap/>
            <w:vAlign w:val="top"/>
            <w:hideMark/>
          </w:tcPr>
          <w:p w14:paraId="1680BB0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$14.18</w:t>
            </w:r>
          </w:p>
        </w:tc>
        <w:tc>
          <w:tcPr>
            <w:tcW w:w="792" w:type="pct"/>
            <w:noWrap/>
            <w:vAlign w:val="top"/>
            <w:hideMark/>
          </w:tcPr>
          <w:p w14:paraId="63935A0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$10.19</w:t>
            </w:r>
          </w:p>
        </w:tc>
        <w:tc>
          <w:tcPr>
            <w:tcW w:w="793" w:type="pct"/>
            <w:noWrap/>
            <w:vAlign w:val="top"/>
            <w:hideMark/>
          </w:tcPr>
          <w:p w14:paraId="26F2772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$15.23</w:t>
            </w:r>
          </w:p>
        </w:tc>
        <w:tc>
          <w:tcPr>
            <w:tcW w:w="793" w:type="pct"/>
            <w:noWrap/>
            <w:vAlign w:val="top"/>
            <w:hideMark/>
          </w:tcPr>
          <w:p w14:paraId="3ED198CA"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$10.94</w:t>
            </w:r>
          </w:p>
        </w:tc>
      </w:tr>
      <w:tr w:rsidR="00FC77C7" w:rsidRPr="00A15021" w14:paraId="3BDB8DE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55F73056" w14:textId="77777777" w:rsidR="00FC77C7" w:rsidRPr="00A15021" w:rsidRDefault="00FC77C7" w:rsidP="0093011F">
            <w:pPr>
              <w:pStyle w:val="TableText"/>
              <w:rPr>
                <w:lang w:eastAsia="en-NZ"/>
              </w:rPr>
            </w:pPr>
          </w:p>
        </w:tc>
        <w:tc>
          <w:tcPr>
            <w:tcW w:w="708" w:type="pct"/>
            <w:noWrap/>
            <w:hideMark/>
          </w:tcPr>
          <w:p w14:paraId="070648B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1.1</w:t>
            </w:r>
          </w:p>
        </w:tc>
        <w:tc>
          <w:tcPr>
            <w:tcW w:w="793" w:type="pct"/>
            <w:noWrap/>
            <w:vAlign w:val="top"/>
            <w:hideMark/>
          </w:tcPr>
          <w:p w14:paraId="1721009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$31.12</w:t>
            </w:r>
          </w:p>
        </w:tc>
        <w:tc>
          <w:tcPr>
            <w:tcW w:w="792" w:type="pct"/>
            <w:noWrap/>
            <w:vAlign w:val="top"/>
            <w:hideMark/>
          </w:tcPr>
          <w:p w14:paraId="68201504"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$22.37</w:t>
            </w:r>
          </w:p>
        </w:tc>
        <w:tc>
          <w:tcPr>
            <w:tcW w:w="793" w:type="pct"/>
            <w:noWrap/>
            <w:vAlign w:val="top"/>
            <w:hideMark/>
          </w:tcPr>
          <w:p w14:paraId="31D31FD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$33.42</w:t>
            </w:r>
          </w:p>
        </w:tc>
        <w:tc>
          <w:tcPr>
            <w:tcW w:w="793" w:type="pct"/>
            <w:noWrap/>
            <w:vAlign w:val="top"/>
            <w:hideMark/>
          </w:tcPr>
          <w:p w14:paraId="0B78FF01"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$24.02</w:t>
            </w:r>
          </w:p>
        </w:tc>
      </w:tr>
      <w:tr w:rsidR="00FC77C7" w:rsidRPr="00A15021" w14:paraId="3CDAEE1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70E0784A" w14:textId="77777777" w:rsidR="00FC77C7" w:rsidRPr="00A15021" w:rsidRDefault="00FC77C7" w:rsidP="0093011F">
            <w:pPr>
              <w:pStyle w:val="TableText"/>
              <w:rPr>
                <w:lang w:eastAsia="en-NZ"/>
              </w:rPr>
            </w:pPr>
          </w:p>
        </w:tc>
        <w:tc>
          <w:tcPr>
            <w:tcW w:w="708" w:type="pct"/>
            <w:noWrap/>
            <w:hideMark/>
          </w:tcPr>
          <w:p w14:paraId="6E739BC0"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1.6</w:t>
            </w:r>
          </w:p>
        </w:tc>
        <w:tc>
          <w:tcPr>
            <w:tcW w:w="793" w:type="pct"/>
            <w:noWrap/>
            <w:vAlign w:val="top"/>
            <w:hideMark/>
          </w:tcPr>
          <w:p w14:paraId="642B121A"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$52.73</w:t>
            </w:r>
          </w:p>
        </w:tc>
        <w:tc>
          <w:tcPr>
            <w:tcW w:w="792" w:type="pct"/>
            <w:noWrap/>
            <w:vAlign w:val="top"/>
            <w:hideMark/>
          </w:tcPr>
          <w:p w14:paraId="63626B4D"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$37.90</w:t>
            </w:r>
          </w:p>
        </w:tc>
        <w:tc>
          <w:tcPr>
            <w:tcW w:w="793" w:type="pct"/>
            <w:noWrap/>
            <w:vAlign w:val="top"/>
            <w:hideMark/>
          </w:tcPr>
          <w:p w14:paraId="51BB4C7A"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$56.62</w:t>
            </w:r>
          </w:p>
        </w:tc>
        <w:tc>
          <w:tcPr>
            <w:tcW w:w="793" w:type="pct"/>
            <w:noWrap/>
            <w:vAlign w:val="top"/>
            <w:hideMark/>
          </w:tcPr>
          <w:p w14:paraId="1971C68E"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$40.70</w:t>
            </w:r>
          </w:p>
        </w:tc>
      </w:tr>
      <w:tr w:rsidR="00FC77C7" w:rsidRPr="00A15021" w14:paraId="22EB7D9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35EC73D2" w14:textId="77777777" w:rsidR="00FC77C7" w:rsidRPr="00A15021" w:rsidRDefault="00FC77C7" w:rsidP="0093011F">
            <w:pPr>
              <w:pStyle w:val="TableText"/>
              <w:rPr>
                <w:lang w:eastAsia="en-NZ"/>
              </w:rPr>
            </w:pPr>
          </w:p>
        </w:tc>
        <w:tc>
          <w:tcPr>
            <w:tcW w:w="708" w:type="pct"/>
            <w:noWrap/>
            <w:hideMark/>
          </w:tcPr>
          <w:p w14:paraId="4B24111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2.5</w:t>
            </w:r>
          </w:p>
        </w:tc>
        <w:tc>
          <w:tcPr>
            <w:tcW w:w="793" w:type="pct"/>
            <w:noWrap/>
            <w:vAlign w:val="top"/>
            <w:hideMark/>
          </w:tcPr>
          <w:p w14:paraId="41B14680"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$103.36</w:t>
            </w:r>
          </w:p>
        </w:tc>
        <w:tc>
          <w:tcPr>
            <w:tcW w:w="792" w:type="pct"/>
            <w:noWrap/>
            <w:vAlign w:val="top"/>
            <w:hideMark/>
          </w:tcPr>
          <w:p w14:paraId="48EA627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$74.29</w:t>
            </w:r>
          </w:p>
        </w:tc>
        <w:tc>
          <w:tcPr>
            <w:tcW w:w="793" w:type="pct"/>
            <w:noWrap/>
            <w:vAlign w:val="top"/>
            <w:hideMark/>
          </w:tcPr>
          <w:p w14:paraId="62D0FB8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$110.99</w:t>
            </w:r>
          </w:p>
        </w:tc>
        <w:tc>
          <w:tcPr>
            <w:tcW w:w="793" w:type="pct"/>
            <w:noWrap/>
            <w:vAlign w:val="top"/>
            <w:hideMark/>
          </w:tcPr>
          <w:p w14:paraId="064F1529"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$79.77</w:t>
            </w:r>
          </w:p>
        </w:tc>
      </w:tr>
      <w:tr w:rsidR="00FC77C7" w:rsidRPr="00A15021" w14:paraId="33A346E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tcBorders>
              <w:bottom w:val="single" w:sz="8" w:space="0" w:color="A6A6A6" w:themeColor="background1" w:themeShade="A6"/>
            </w:tcBorders>
            <w:noWrap/>
            <w:hideMark/>
          </w:tcPr>
          <w:p w14:paraId="3F3CFBF1" w14:textId="77777777" w:rsidR="00FC77C7" w:rsidRPr="00A15021" w:rsidRDefault="00FC77C7" w:rsidP="0093011F">
            <w:pPr>
              <w:pStyle w:val="TableText"/>
              <w:rPr>
                <w:lang w:eastAsia="en-NZ"/>
              </w:rPr>
            </w:pPr>
          </w:p>
        </w:tc>
        <w:tc>
          <w:tcPr>
            <w:tcW w:w="708" w:type="pct"/>
            <w:tcBorders>
              <w:bottom w:val="single" w:sz="8" w:space="0" w:color="A6A6A6" w:themeColor="background1" w:themeShade="A6"/>
            </w:tcBorders>
            <w:noWrap/>
            <w:hideMark/>
          </w:tcPr>
          <w:p w14:paraId="219A2558"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3.5</w:t>
            </w:r>
          </w:p>
        </w:tc>
        <w:tc>
          <w:tcPr>
            <w:tcW w:w="793" w:type="pct"/>
            <w:tcBorders>
              <w:bottom w:val="single" w:sz="8" w:space="0" w:color="A6A6A6" w:themeColor="background1" w:themeShade="A6"/>
            </w:tcBorders>
            <w:noWrap/>
            <w:vAlign w:val="top"/>
            <w:hideMark/>
          </w:tcPr>
          <w:p w14:paraId="31975DD0"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$177.33</w:t>
            </w:r>
          </w:p>
        </w:tc>
        <w:tc>
          <w:tcPr>
            <w:tcW w:w="792" w:type="pct"/>
            <w:tcBorders>
              <w:bottom w:val="single" w:sz="8" w:space="0" w:color="A6A6A6" w:themeColor="background1" w:themeShade="A6"/>
            </w:tcBorders>
            <w:noWrap/>
            <w:vAlign w:val="top"/>
            <w:hideMark/>
          </w:tcPr>
          <w:p w14:paraId="16F6BAE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$127.45</w:t>
            </w:r>
          </w:p>
        </w:tc>
        <w:tc>
          <w:tcPr>
            <w:tcW w:w="793" w:type="pct"/>
            <w:tcBorders>
              <w:bottom w:val="single" w:sz="8" w:space="0" w:color="A6A6A6" w:themeColor="background1" w:themeShade="A6"/>
            </w:tcBorders>
            <w:noWrap/>
            <w:vAlign w:val="top"/>
            <w:hideMark/>
          </w:tcPr>
          <w:p w14:paraId="126DB8B8"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$190.41</w:t>
            </w:r>
          </w:p>
        </w:tc>
        <w:tc>
          <w:tcPr>
            <w:tcW w:w="793" w:type="pct"/>
            <w:tcBorders>
              <w:bottom w:val="single" w:sz="8" w:space="0" w:color="A6A6A6" w:themeColor="background1" w:themeShade="A6"/>
            </w:tcBorders>
            <w:noWrap/>
            <w:vAlign w:val="top"/>
            <w:hideMark/>
          </w:tcPr>
          <w:p w14:paraId="16541B2D"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$136.85</w:t>
            </w:r>
          </w:p>
        </w:tc>
      </w:tr>
      <w:tr w:rsidR="00FC77C7" w:rsidRPr="00A15021" w14:paraId="6BCB527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tcBorders>
              <w:top w:val="single" w:sz="8" w:space="0" w:color="A6A6A6" w:themeColor="background1" w:themeShade="A6"/>
            </w:tcBorders>
            <w:noWrap/>
            <w:hideMark/>
          </w:tcPr>
          <w:p w14:paraId="19E385DA" w14:textId="77777777" w:rsidR="00FC77C7" w:rsidRPr="00A15021" w:rsidRDefault="00FC77C7" w:rsidP="0093011F">
            <w:pPr>
              <w:pStyle w:val="TableText"/>
              <w:rPr>
                <w:lang w:eastAsia="en-NZ"/>
              </w:rPr>
            </w:pPr>
            <w:r w:rsidRPr="00A15021">
              <w:rPr>
                <w:lang w:eastAsia="en-NZ"/>
              </w:rPr>
              <w:t>Infections</w:t>
            </w:r>
          </w:p>
        </w:tc>
        <w:tc>
          <w:tcPr>
            <w:tcW w:w="708" w:type="pct"/>
            <w:tcBorders>
              <w:top w:val="single" w:sz="8" w:space="0" w:color="A6A6A6" w:themeColor="background1" w:themeShade="A6"/>
            </w:tcBorders>
            <w:noWrap/>
            <w:hideMark/>
          </w:tcPr>
          <w:p w14:paraId="4892BAAF"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1</w:t>
            </w:r>
          </w:p>
        </w:tc>
        <w:tc>
          <w:tcPr>
            <w:tcW w:w="793" w:type="pct"/>
            <w:tcBorders>
              <w:top w:val="single" w:sz="8" w:space="0" w:color="A6A6A6" w:themeColor="background1" w:themeShade="A6"/>
            </w:tcBorders>
            <w:noWrap/>
            <w:vAlign w:val="top"/>
            <w:hideMark/>
          </w:tcPr>
          <w:p w14:paraId="4010B82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$172.94</w:t>
            </w:r>
          </w:p>
        </w:tc>
        <w:tc>
          <w:tcPr>
            <w:tcW w:w="792" w:type="pct"/>
            <w:tcBorders>
              <w:top w:val="single" w:sz="8" w:space="0" w:color="A6A6A6" w:themeColor="background1" w:themeShade="A6"/>
            </w:tcBorders>
            <w:noWrap/>
            <w:vAlign w:val="top"/>
            <w:hideMark/>
          </w:tcPr>
          <w:p w14:paraId="5C7544D9"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$124.30</w:t>
            </w:r>
          </w:p>
        </w:tc>
        <w:tc>
          <w:tcPr>
            <w:tcW w:w="793" w:type="pct"/>
            <w:tcBorders>
              <w:top w:val="single" w:sz="8" w:space="0" w:color="A6A6A6" w:themeColor="background1" w:themeShade="A6"/>
            </w:tcBorders>
            <w:noWrap/>
            <w:vAlign w:val="top"/>
            <w:hideMark/>
          </w:tcPr>
          <w:p w14:paraId="19DF17C5"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$185.70</w:t>
            </w:r>
          </w:p>
        </w:tc>
        <w:tc>
          <w:tcPr>
            <w:tcW w:w="793" w:type="pct"/>
            <w:tcBorders>
              <w:top w:val="single" w:sz="8" w:space="0" w:color="A6A6A6" w:themeColor="background1" w:themeShade="A6"/>
            </w:tcBorders>
            <w:noWrap/>
            <w:vAlign w:val="top"/>
            <w:hideMark/>
          </w:tcPr>
          <w:p w14:paraId="1E9F995D"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$133.47</w:t>
            </w:r>
          </w:p>
        </w:tc>
      </w:tr>
      <w:tr w:rsidR="00FC77C7" w:rsidRPr="00A15021" w14:paraId="6A87BA5B"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val="restart"/>
            <w:noWrap/>
            <w:vAlign w:val="top"/>
            <w:hideMark/>
          </w:tcPr>
          <w:p w14:paraId="722846BF" w14:textId="77777777" w:rsidR="00FC77C7" w:rsidRPr="00A15021" w:rsidRDefault="00FC77C7" w:rsidP="0093011F">
            <w:pPr>
              <w:pStyle w:val="TableText"/>
              <w:rPr>
                <w:lang w:eastAsia="en-NZ"/>
              </w:rPr>
            </w:pPr>
            <w:r>
              <w:rPr>
                <w:lang w:eastAsia="en-NZ"/>
              </w:rPr>
              <w:t>(</w:t>
            </w:r>
            <w:r w:rsidRPr="00A15021">
              <w:rPr>
                <w:lang w:eastAsia="en-NZ"/>
              </w:rPr>
              <w:t>number of people who will get sick per 1,000 swimmers</w:t>
            </w:r>
            <w:r>
              <w:rPr>
                <w:lang w:eastAsia="en-NZ"/>
              </w:rPr>
              <w:t>)</w:t>
            </w:r>
            <w:r w:rsidRPr="00A15021">
              <w:rPr>
                <w:lang w:eastAsia="en-NZ"/>
              </w:rPr>
              <w:t> </w:t>
            </w:r>
          </w:p>
        </w:tc>
        <w:tc>
          <w:tcPr>
            <w:tcW w:w="708" w:type="pct"/>
            <w:noWrap/>
            <w:hideMark/>
          </w:tcPr>
          <w:p w14:paraId="0E2EF637"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10</w:t>
            </w:r>
          </w:p>
        </w:tc>
        <w:tc>
          <w:tcPr>
            <w:tcW w:w="793" w:type="pct"/>
            <w:noWrap/>
            <w:vAlign w:val="top"/>
            <w:hideMark/>
          </w:tcPr>
          <w:p w14:paraId="3AA853F4"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$152.72</w:t>
            </w:r>
          </w:p>
        </w:tc>
        <w:tc>
          <w:tcPr>
            <w:tcW w:w="792" w:type="pct"/>
            <w:noWrap/>
            <w:vAlign w:val="top"/>
            <w:hideMark/>
          </w:tcPr>
          <w:p w14:paraId="66A9856A"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$109.77</w:t>
            </w:r>
          </w:p>
        </w:tc>
        <w:tc>
          <w:tcPr>
            <w:tcW w:w="793" w:type="pct"/>
            <w:noWrap/>
            <w:vAlign w:val="top"/>
            <w:hideMark/>
          </w:tcPr>
          <w:p w14:paraId="1070222E"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$163.99</w:t>
            </w:r>
          </w:p>
        </w:tc>
        <w:tc>
          <w:tcPr>
            <w:tcW w:w="793" w:type="pct"/>
            <w:noWrap/>
            <w:vAlign w:val="top"/>
            <w:hideMark/>
          </w:tcPr>
          <w:p w14:paraId="38DBFD0D"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$117.87</w:t>
            </w:r>
          </w:p>
        </w:tc>
      </w:tr>
      <w:tr w:rsidR="00FC77C7" w:rsidRPr="00A15021" w14:paraId="1AA594AB"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74051EB4" w14:textId="77777777" w:rsidR="00FC77C7" w:rsidRPr="00A15021" w:rsidRDefault="00FC77C7" w:rsidP="0093011F">
            <w:pPr>
              <w:pStyle w:val="TableText"/>
              <w:rPr>
                <w:lang w:eastAsia="en-NZ"/>
              </w:rPr>
            </w:pPr>
          </w:p>
        </w:tc>
        <w:tc>
          <w:tcPr>
            <w:tcW w:w="708" w:type="pct"/>
            <w:noWrap/>
            <w:hideMark/>
          </w:tcPr>
          <w:p w14:paraId="0377E3F1"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50</w:t>
            </w:r>
          </w:p>
        </w:tc>
        <w:tc>
          <w:tcPr>
            <w:tcW w:w="793" w:type="pct"/>
            <w:noWrap/>
            <w:vAlign w:val="top"/>
            <w:hideMark/>
          </w:tcPr>
          <w:p w14:paraId="29705477"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$88.25</w:t>
            </w:r>
          </w:p>
        </w:tc>
        <w:tc>
          <w:tcPr>
            <w:tcW w:w="792" w:type="pct"/>
            <w:noWrap/>
            <w:vAlign w:val="top"/>
            <w:hideMark/>
          </w:tcPr>
          <w:p w14:paraId="556530BF"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$63.43</w:t>
            </w:r>
          </w:p>
        </w:tc>
        <w:tc>
          <w:tcPr>
            <w:tcW w:w="793" w:type="pct"/>
            <w:noWrap/>
            <w:vAlign w:val="top"/>
            <w:hideMark/>
          </w:tcPr>
          <w:p w14:paraId="260BEF39"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$94.76</w:t>
            </w:r>
          </w:p>
        </w:tc>
        <w:tc>
          <w:tcPr>
            <w:tcW w:w="793" w:type="pct"/>
            <w:noWrap/>
            <w:vAlign w:val="top"/>
            <w:hideMark/>
          </w:tcPr>
          <w:p w14:paraId="32E51D66"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$68.11</w:t>
            </w:r>
          </w:p>
        </w:tc>
      </w:tr>
      <w:tr w:rsidR="00FC77C7" w:rsidRPr="00A15021" w14:paraId="64178C0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5D4529F4" w14:textId="77777777" w:rsidR="00FC77C7" w:rsidRPr="00A15021" w:rsidRDefault="00FC77C7" w:rsidP="0093011F">
            <w:pPr>
              <w:pStyle w:val="TableText"/>
              <w:rPr>
                <w:lang w:eastAsia="en-NZ"/>
              </w:rPr>
            </w:pPr>
          </w:p>
        </w:tc>
        <w:tc>
          <w:tcPr>
            <w:tcW w:w="708" w:type="pct"/>
            <w:noWrap/>
            <w:hideMark/>
          </w:tcPr>
          <w:p w14:paraId="41675A92"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100</w:t>
            </w:r>
          </w:p>
        </w:tc>
        <w:tc>
          <w:tcPr>
            <w:tcW w:w="793" w:type="pct"/>
            <w:noWrap/>
            <w:vAlign w:val="top"/>
            <w:hideMark/>
          </w:tcPr>
          <w:p w14:paraId="350A6037"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$19.55</w:t>
            </w:r>
          </w:p>
        </w:tc>
        <w:tc>
          <w:tcPr>
            <w:tcW w:w="792" w:type="pct"/>
            <w:noWrap/>
            <w:vAlign w:val="top"/>
            <w:hideMark/>
          </w:tcPr>
          <w:p w14:paraId="6A19FB44"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$14.05</w:t>
            </w:r>
          </w:p>
        </w:tc>
        <w:tc>
          <w:tcPr>
            <w:tcW w:w="793" w:type="pct"/>
            <w:noWrap/>
            <w:vAlign w:val="top"/>
            <w:hideMark/>
          </w:tcPr>
          <w:p w14:paraId="01C93F04"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$20.99</w:t>
            </w:r>
          </w:p>
        </w:tc>
        <w:tc>
          <w:tcPr>
            <w:tcW w:w="793" w:type="pct"/>
            <w:noWrap/>
            <w:vAlign w:val="top"/>
            <w:hideMark/>
          </w:tcPr>
          <w:p w14:paraId="208331BB"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$15.09</w:t>
            </w:r>
          </w:p>
        </w:tc>
      </w:tr>
      <w:tr w:rsidR="00FC77C7" w:rsidRPr="00A15021" w14:paraId="793FDB3D"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tcBorders>
              <w:bottom w:val="single" w:sz="8" w:space="0" w:color="A6A6A6" w:themeColor="background1" w:themeShade="A6"/>
            </w:tcBorders>
            <w:noWrap/>
            <w:hideMark/>
          </w:tcPr>
          <w:p w14:paraId="7663E91E" w14:textId="77777777" w:rsidR="00FC77C7" w:rsidRPr="00A15021" w:rsidRDefault="00FC77C7" w:rsidP="0093011F">
            <w:pPr>
              <w:pStyle w:val="TableText"/>
              <w:rPr>
                <w:lang w:eastAsia="en-NZ"/>
              </w:rPr>
            </w:pPr>
          </w:p>
        </w:tc>
        <w:tc>
          <w:tcPr>
            <w:tcW w:w="708" w:type="pct"/>
            <w:tcBorders>
              <w:bottom w:val="single" w:sz="8" w:space="0" w:color="A6A6A6" w:themeColor="background1" w:themeShade="A6"/>
            </w:tcBorders>
            <w:noWrap/>
            <w:hideMark/>
          </w:tcPr>
          <w:p w14:paraId="71F31869"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300</w:t>
            </w:r>
          </w:p>
        </w:tc>
        <w:tc>
          <w:tcPr>
            <w:tcW w:w="793" w:type="pct"/>
            <w:tcBorders>
              <w:bottom w:val="single" w:sz="8" w:space="0" w:color="A6A6A6" w:themeColor="background1" w:themeShade="A6"/>
            </w:tcBorders>
            <w:noWrap/>
            <w:vAlign w:val="top"/>
            <w:hideMark/>
          </w:tcPr>
          <w:p w14:paraId="15FC5F5F"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$2.00</w:t>
            </w:r>
          </w:p>
        </w:tc>
        <w:tc>
          <w:tcPr>
            <w:tcW w:w="792" w:type="pct"/>
            <w:tcBorders>
              <w:bottom w:val="single" w:sz="8" w:space="0" w:color="A6A6A6" w:themeColor="background1" w:themeShade="A6"/>
            </w:tcBorders>
            <w:noWrap/>
            <w:vAlign w:val="top"/>
            <w:hideMark/>
          </w:tcPr>
          <w:p w14:paraId="0DE3704B"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$1.44</w:t>
            </w:r>
          </w:p>
        </w:tc>
        <w:tc>
          <w:tcPr>
            <w:tcW w:w="793" w:type="pct"/>
            <w:tcBorders>
              <w:bottom w:val="single" w:sz="8" w:space="0" w:color="A6A6A6" w:themeColor="background1" w:themeShade="A6"/>
            </w:tcBorders>
            <w:noWrap/>
            <w:vAlign w:val="top"/>
            <w:hideMark/>
          </w:tcPr>
          <w:p w14:paraId="6957AA3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$2.15</w:t>
            </w:r>
          </w:p>
        </w:tc>
        <w:tc>
          <w:tcPr>
            <w:tcW w:w="793" w:type="pct"/>
            <w:tcBorders>
              <w:bottom w:val="single" w:sz="8" w:space="0" w:color="A6A6A6" w:themeColor="background1" w:themeShade="A6"/>
            </w:tcBorders>
            <w:noWrap/>
            <w:vAlign w:val="top"/>
            <w:hideMark/>
          </w:tcPr>
          <w:p w14:paraId="632ABA74"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$1.55</w:t>
            </w:r>
          </w:p>
        </w:tc>
      </w:tr>
      <w:tr w:rsidR="00FC77C7" w:rsidRPr="00A15021" w14:paraId="66CB6863"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val="restart"/>
            <w:tcBorders>
              <w:top w:val="single" w:sz="8" w:space="0" w:color="A6A6A6" w:themeColor="background1" w:themeShade="A6"/>
            </w:tcBorders>
            <w:noWrap/>
            <w:hideMark/>
          </w:tcPr>
          <w:p w14:paraId="21CAB0F8" w14:textId="77777777" w:rsidR="00FC77C7" w:rsidRPr="00A15021" w:rsidRDefault="00FC77C7" w:rsidP="0093011F">
            <w:pPr>
              <w:pStyle w:val="TableText"/>
              <w:rPr>
                <w:lang w:eastAsia="en-NZ"/>
              </w:rPr>
            </w:pPr>
            <w:r w:rsidRPr="00A15021">
              <w:rPr>
                <w:lang w:eastAsia="en-NZ"/>
              </w:rPr>
              <w:t>Eco</w:t>
            </w:r>
            <w:r>
              <w:rPr>
                <w:lang w:eastAsia="en-NZ"/>
              </w:rPr>
              <w:t>system</w:t>
            </w:r>
            <w:r w:rsidRPr="00A15021">
              <w:rPr>
                <w:lang w:eastAsia="en-NZ"/>
              </w:rPr>
              <w:t xml:space="preserve"> health</w:t>
            </w:r>
          </w:p>
          <w:p w14:paraId="77F3CCAB" w14:textId="77777777" w:rsidR="00FC77C7" w:rsidRPr="00A15021" w:rsidRDefault="00FC77C7" w:rsidP="0093011F">
            <w:pPr>
              <w:pStyle w:val="TableText"/>
              <w:rPr>
                <w:lang w:eastAsia="en-NZ"/>
              </w:rPr>
            </w:pPr>
            <w:r w:rsidRPr="00A15021">
              <w:rPr>
                <w:lang w:eastAsia="en-NZ"/>
              </w:rPr>
              <w:t> </w:t>
            </w:r>
            <w:r>
              <w:rPr>
                <w:lang w:eastAsia="en-NZ"/>
              </w:rPr>
              <w:t>(level of nutrients &amp; algae + suitability for sensitive species)</w:t>
            </w:r>
          </w:p>
        </w:tc>
        <w:tc>
          <w:tcPr>
            <w:tcW w:w="708" w:type="pct"/>
            <w:tcBorders>
              <w:top w:val="single" w:sz="8" w:space="0" w:color="A6A6A6" w:themeColor="background1" w:themeShade="A6"/>
            </w:tcBorders>
            <w:noWrap/>
            <w:hideMark/>
          </w:tcPr>
          <w:p w14:paraId="5EFFAD43"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Poor</w:t>
            </w:r>
          </w:p>
        </w:tc>
        <w:tc>
          <w:tcPr>
            <w:tcW w:w="793" w:type="pct"/>
            <w:tcBorders>
              <w:top w:val="single" w:sz="8" w:space="0" w:color="A6A6A6" w:themeColor="background1" w:themeShade="A6"/>
            </w:tcBorders>
            <w:noWrap/>
            <w:vAlign w:val="top"/>
            <w:hideMark/>
          </w:tcPr>
          <w:p w14:paraId="11A6C7F9"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$56.90</w:t>
            </w:r>
          </w:p>
        </w:tc>
        <w:tc>
          <w:tcPr>
            <w:tcW w:w="792" w:type="pct"/>
            <w:tcBorders>
              <w:top w:val="single" w:sz="8" w:space="0" w:color="A6A6A6" w:themeColor="background1" w:themeShade="A6"/>
            </w:tcBorders>
            <w:noWrap/>
            <w:vAlign w:val="top"/>
            <w:hideMark/>
          </w:tcPr>
          <w:p w14:paraId="46524CC3"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$40.89</w:t>
            </w:r>
          </w:p>
        </w:tc>
        <w:tc>
          <w:tcPr>
            <w:tcW w:w="793" w:type="pct"/>
            <w:tcBorders>
              <w:top w:val="single" w:sz="8" w:space="0" w:color="A6A6A6" w:themeColor="background1" w:themeShade="A6"/>
            </w:tcBorders>
            <w:noWrap/>
            <w:vAlign w:val="top"/>
            <w:hideMark/>
          </w:tcPr>
          <w:p w14:paraId="5E579C3F"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$61.10</w:t>
            </w:r>
          </w:p>
        </w:tc>
        <w:tc>
          <w:tcPr>
            <w:tcW w:w="793" w:type="pct"/>
            <w:tcBorders>
              <w:top w:val="single" w:sz="8" w:space="0" w:color="A6A6A6" w:themeColor="background1" w:themeShade="A6"/>
            </w:tcBorders>
            <w:noWrap/>
            <w:vAlign w:val="top"/>
            <w:hideMark/>
          </w:tcPr>
          <w:p w14:paraId="6211FAB2"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$43.91</w:t>
            </w:r>
          </w:p>
        </w:tc>
      </w:tr>
      <w:tr w:rsidR="00FC77C7" w:rsidRPr="00A15021" w14:paraId="09AFDC94"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1" w:type="pct"/>
            <w:vMerge/>
            <w:noWrap/>
            <w:hideMark/>
          </w:tcPr>
          <w:p w14:paraId="2470831F" w14:textId="77777777" w:rsidR="00FC77C7" w:rsidRPr="00A15021" w:rsidRDefault="00FC77C7" w:rsidP="0093011F">
            <w:pPr>
              <w:pStyle w:val="TableText"/>
              <w:rPr>
                <w:lang w:eastAsia="en-NZ"/>
              </w:rPr>
            </w:pPr>
          </w:p>
        </w:tc>
        <w:tc>
          <w:tcPr>
            <w:tcW w:w="708" w:type="pct"/>
            <w:noWrap/>
            <w:hideMark/>
          </w:tcPr>
          <w:p w14:paraId="0B62F7F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15021">
              <w:rPr>
                <w:lang w:eastAsia="en-NZ"/>
              </w:rPr>
              <w:t>Fair</w:t>
            </w:r>
          </w:p>
        </w:tc>
        <w:tc>
          <w:tcPr>
            <w:tcW w:w="793" w:type="pct"/>
            <w:noWrap/>
            <w:vAlign w:val="top"/>
            <w:hideMark/>
          </w:tcPr>
          <w:p w14:paraId="6ED0291B"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$155.35</w:t>
            </w:r>
          </w:p>
        </w:tc>
        <w:tc>
          <w:tcPr>
            <w:tcW w:w="792" w:type="pct"/>
            <w:noWrap/>
            <w:vAlign w:val="top"/>
            <w:hideMark/>
          </w:tcPr>
          <w:p w14:paraId="42C5D13E"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$111.65</w:t>
            </w:r>
          </w:p>
        </w:tc>
        <w:tc>
          <w:tcPr>
            <w:tcW w:w="793" w:type="pct"/>
            <w:noWrap/>
            <w:vAlign w:val="top"/>
            <w:hideMark/>
          </w:tcPr>
          <w:p w14:paraId="39F908AC"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$166.81</w:t>
            </w:r>
          </w:p>
        </w:tc>
        <w:tc>
          <w:tcPr>
            <w:tcW w:w="793" w:type="pct"/>
            <w:noWrap/>
            <w:vAlign w:val="top"/>
            <w:hideMark/>
          </w:tcPr>
          <w:p w14:paraId="21CE7D76" w14:textId="77777777" w:rsidR="00FC77C7" w:rsidRPr="00A15021"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500E41">
              <w:t>$119.89</w:t>
            </w:r>
          </w:p>
        </w:tc>
      </w:tr>
      <w:tr w:rsidR="00FC77C7" w:rsidRPr="00A15021" w14:paraId="19315FF1"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121" w:type="pct"/>
            <w:vMerge/>
            <w:noWrap/>
            <w:hideMark/>
          </w:tcPr>
          <w:p w14:paraId="3AADE2E5" w14:textId="77777777" w:rsidR="00FC77C7" w:rsidRPr="00A15021" w:rsidRDefault="00FC77C7" w:rsidP="0093011F">
            <w:pPr>
              <w:pStyle w:val="TableText"/>
              <w:rPr>
                <w:lang w:eastAsia="en-NZ"/>
              </w:rPr>
            </w:pPr>
          </w:p>
        </w:tc>
        <w:tc>
          <w:tcPr>
            <w:tcW w:w="708" w:type="pct"/>
            <w:noWrap/>
            <w:hideMark/>
          </w:tcPr>
          <w:p w14:paraId="3BE64FD2" w14:textId="77777777" w:rsidR="00FC77C7" w:rsidRPr="00A15021"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A15021">
              <w:rPr>
                <w:lang w:eastAsia="en-NZ"/>
              </w:rPr>
              <w:t>Good</w:t>
            </w:r>
          </w:p>
        </w:tc>
        <w:tc>
          <w:tcPr>
            <w:tcW w:w="793" w:type="pct"/>
            <w:noWrap/>
            <w:vAlign w:val="top"/>
            <w:hideMark/>
          </w:tcPr>
          <w:p w14:paraId="0D9102F5" w14:textId="77777777" w:rsidR="00FC77C7" w:rsidRPr="00A15021"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00E41">
              <w:t>$182.30</w:t>
            </w:r>
          </w:p>
        </w:tc>
        <w:tc>
          <w:tcPr>
            <w:tcW w:w="792" w:type="pct"/>
            <w:noWrap/>
            <w:vAlign w:val="top"/>
            <w:hideMark/>
          </w:tcPr>
          <w:p w14:paraId="0F2B386A" w14:textId="77777777" w:rsidR="00FC77C7" w:rsidRPr="00A15021"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00E41">
              <w:t>$131.02</w:t>
            </w:r>
          </w:p>
        </w:tc>
        <w:tc>
          <w:tcPr>
            <w:tcW w:w="793" w:type="pct"/>
            <w:noWrap/>
            <w:vAlign w:val="top"/>
            <w:hideMark/>
          </w:tcPr>
          <w:p w14:paraId="081FF1F5" w14:textId="77777777" w:rsidR="00FC77C7" w:rsidRPr="00A15021"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00E41">
              <w:t>$195.75</w:t>
            </w:r>
          </w:p>
        </w:tc>
        <w:tc>
          <w:tcPr>
            <w:tcW w:w="793" w:type="pct"/>
            <w:noWrap/>
            <w:vAlign w:val="top"/>
            <w:hideMark/>
          </w:tcPr>
          <w:p w14:paraId="4C92075D" w14:textId="77777777" w:rsidR="00FC77C7" w:rsidRPr="00A15021"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500E41">
              <w:t>$140.69</w:t>
            </w:r>
          </w:p>
        </w:tc>
      </w:tr>
    </w:tbl>
    <w:p w14:paraId="163A5C46" w14:textId="77777777" w:rsidR="00FC77C7" w:rsidRPr="00C3424D" w:rsidRDefault="00FC77C7" w:rsidP="00FC77C7">
      <w:pPr>
        <w:spacing w:line="240" w:lineRule="auto"/>
        <w:rPr>
          <w:sz w:val="18"/>
          <w:szCs w:val="18"/>
        </w:rPr>
      </w:pPr>
      <w:r w:rsidRPr="00C3424D">
        <w:rPr>
          <w:sz w:val="18"/>
          <w:szCs w:val="18"/>
        </w:rPr>
        <w:t xml:space="preserve">Note: All values inflated to Q4 2019 from Q1 2014 values (survey in February 2014) using CPI: Statistics New Zealand, </w:t>
      </w:r>
      <w:proofErr w:type="spellStart"/>
      <w:r w:rsidRPr="00C3424D">
        <w:rPr>
          <w:sz w:val="18"/>
          <w:szCs w:val="18"/>
        </w:rPr>
        <w:t>Infoshare</w:t>
      </w:r>
      <w:proofErr w:type="spellEnd"/>
      <w:r w:rsidRPr="00C3424D">
        <w:rPr>
          <w:sz w:val="18"/>
          <w:szCs w:val="18"/>
        </w:rPr>
        <w:t xml:space="preserve"> Database: CPI Index All Groups for New Zealand: Q1 2014 = 972; Q4 2019 = 1044</w:t>
      </w:r>
    </w:p>
    <w:p w14:paraId="57F293FD" w14:textId="77777777" w:rsidR="00FC77C7" w:rsidRPr="00C3424D" w:rsidRDefault="00FC77C7" w:rsidP="00FC77C7">
      <w:pPr>
        <w:spacing w:line="240" w:lineRule="auto"/>
        <w:rPr>
          <w:sz w:val="18"/>
          <w:szCs w:val="18"/>
        </w:rPr>
      </w:pPr>
      <w:r w:rsidRPr="00C3424D">
        <w:rPr>
          <w:sz w:val="18"/>
          <w:szCs w:val="18"/>
        </w:rPr>
        <w:t>Source: 2014 values from Phillips (2014)</w:t>
      </w:r>
    </w:p>
    <w:p w14:paraId="10243159" w14:textId="77777777" w:rsidR="00FC77C7" w:rsidRDefault="00FC77C7" w:rsidP="00FC77C7"/>
    <w:p w14:paraId="5785CE0A" w14:textId="77777777" w:rsidR="00FC77C7" w:rsidRDefault="00FC77C7" w:rsidP="00FC77C7">
      <w:r>
        <w:t xml:space="preserve">The Phillips study is for a single river catchment, but the results (at least using the non-user values, which are a significant proportion of total benefits) are likely to be a minimum for </w:t>
      </w:r>
      <w:proofErr w:type="gramStart"/>
      <w:r>
        <w:t>the per</w:t>
      </w:r>
      <w:proofErr w:type="gramEnd"/>
      <w:r>
        <w:t xml:space="preserve"> household benefits of quality improvements across all freshwater bodies, as relevant to this current impact analysis. Tait </w:t>
      </w:r>
      <w:r>
        <w:rPr>
          <w:i/>
          <w:iCs/>
        </w:rPr>
        <w:t>et al</w:t>
      </w:r>
      <w:r>
        <w:t xml:space="preserve"> (2016), who conducted a national study, suggest the Phillips (2014) values are consistent with their results (see below).</w:t>
      </w:r>
    </w:p>
    <w:p w14:paraId="433E4401" w14:textId="77777777" w:rsidR="00FC77C7" w:rsidRDefault="00FC77C7" w:rsidP="00FC77C7"/>
    <w:p w14:paraId="46C3A332" w14:textId="77777777" w:rsidR="00FC77C7" w:rsidRPr="00DD1091" w:rsidRDefault="00FC77C7" w:rsidP="00FC77C7">
      <w:r>
        <w:t xml:space="preserve">Phillips produced values for water clarity, reduced infections (from </w:t>
      </w:r>
      <w:r>
        <w:rPr>
          <w:i/>
          <w:iCs/>
        </w:rPr>
        <w:t>E coli</w:t>
      </w:r>
      <w:r>
        <w:t xml:space="preserve">) and ecosystem health. </w:t>
      </w:r>
    </w:p>
    <w:p w14:paraId="5A587DEB" w14:textId="77777777" w:rsidR="00FC77C7" w:rsidRDefault="00FC77C7" w:rsidP="00FC77C7">
      <w:pPr>
        <w:pStyle w:val="Heading4"/>
      </w:pPr>
      <w:r>
        <w:t>Water Clarity</w:t>
      </w:r>
    </w:p>
    <w:p w14:paraId="0FE38886" w14:textId="52399404" w:rsidR="00FC77C7" w:rsidRDefault="00FC77C7" w:rsidP="00FC77C7">
      <w:r>
        <w:t xml:space="preserve">Water clarity is valued by those who use waterways for recreation and other direct uses, and as a general indicator of quality, </w:t>
      </w:r>
      <w:proofErr w:type="spellStart"/>
      <w:r>
        <w:t>eg</w:t>
      </w:r>
      <w:proofErr w:type="spellEnd"/>
      <w:r>
        <w:t xml:space="preserve"> as an element of existence value for non-users. The water clarity attribute is measured as the distance (in metres) that a dark object (a black disc) can be seen from. This is the same basis for values as used in other studies of the value of water clarity.</w:t>
      </w:r>
      <w:r>
        <w:rPr>
          <w:rStyle w:val="FootnoteReference"/>
        </w:rPr>
        <w:footnoteReference w:id="48"/>
      </w:r>
      <w:r>
        <w:t xml:space="preserve"> To make use of these values would require a projection of the impacts of proposed changes in water quality on water clarity, as </w:t>
      </w:r>
      <w:proofErr w:type="spellStart"/>
      <w:r>
        <w:t>Landcare</w:t>
      </w:r>
      <w:proofErr w:type="spellEnd"/>
      <w:r>
        <w:t xml:space="preserve"> did with the water clarity benefits from Tait </w:t>
      </w:r>
      <w:r>
        <w:rPr>
          <w:i/>
          <w:iCs/>
        </w:rPr>
        <w:t>et al</w:t>
      </w:r>
      <w:r>
        <w:t xml:space="preserve"> (2016) (see Section </w:t>
      </w:r>
      <w:r>
        <w:fldChar w:fldCharType="begin"/>
      </w:r>
      <w:r>
        <w:instrText xml:space="preserve"> REF _Ref34316044 \r \h </w:instrText>
      </w:r>
      <w:r>
        <w:fldChar w:fldCharType="separate"/>
      </w:r>
      <w:r w:rsidR="00024EB5">
        <w:t>3.3.3</w:t>
      </w:r>
      <w:r>
        <w:fldChar w:fldCharType="end"/>
      </w:r>
      <w:r>
        <w:t xml:space="preserve">).  We discuss this in Section </w:t>
      </w:r>
      <w:r>
        <w:fldChar w:fldCharType="begin"/>
      </w:r>
      <w:r>
        <w:instrText xml:space="preserve"> REF _Ref31127223 \r \h </w:instrText>
      </w:r>
      <w:r>
        <w:fldChar w:fldCharType="separate"/>
      </w:r>
      <w:r w:rsidR="00024EB5">
        <w:t>3.4</w:t>
      </w:r>
      <w:r>
        <w:fldChar w:fldCharType="end"/>
      </w:r>
      <w:r>
        <w:t>.</w:t>
      </w:r>
    </w:p>
    <w:p w14:paraId="26F94297" w14:textId="77777777" w:rsidR="00FC77C7" w:rsidRDefault="00FC77C7" w:rsidP="00FC77C7">
      <w:pPr>
        <w:pStyle w:val="Heading4"/>
      </w:pPr>
      <w:r>
        <w:lastRenderedPageBreak/>
        <w:t>Infections</w:t>
      </w:r>
    </w:p>
    <w:p w14:paraId="437C6064" w14:textId="103B8ED1" w:rsidR="00FC77C7" w:rsidRDefault="00FC77C7" w:rsidP="00FC77C7">
      <w:r>
        <w:t>The risk of infections is an indicator of how suitable the water body is for swimming, but this quality is also valued by non-users. The categories used (</w:t>
      </w:r>
      <w:r>
        <w:fldChar w:fldCharType="begin"/>
      </w:r>
      <w:r>
        <w:instrText xml:space="preserve"> REF _Ref29897082 \h </w:instrText>
      </w:r>
      <w:r>
        <w:fldChar w:fldCharType="separate"/>
      </w:r>
      <w:r w:rsidR="00024EB5">
        <w:t xml:space="preserve">Table </w:t>
      </w:r>
      <w:r w:rsidR="00024EB5">
        <w:rPr>
          <w:noProof/>
        </w:rPr>
        <w:t>10</w:t>
      </w:r>
      <w:r>
        <w:fldChar w:fldCharType="end"/>
      </w:r>
      <w:r>
        <w:t xml:space="preserve">), risk of infections per 1,000 swimmers, can be related to the levels of </w:t>
      </w:r>
      <w:r>
        <w:rPr>
          <w:i/>
          <w:iCs/>
        </w:rPr>
        <w:t>E coli</w:t>
      </w:r>
      <w:r>
        <w:t xml:space="preserve"> in the water, using categories developed by </w:t>
      </w:r>
      <w:proofErr w:type="spellStart"/>
      <w:r>
        <w:t>MfE</w:t>
      </w:r>
      <w:proofErr w:type="spellEnd"/>
      <w:r>
        <w:rPr>
          <w:rStyle w:val="FootnoteReference"/>
        </w:rPr>
        <w:footnoteReference w:id="49"/>
      </w:r>
      <w:r>
        <w:t xml:space="preserve"> (see discussion in Section </w:t>
      </w:r>
      <w:r>
        <w:fldChar w:fldCharType="begin"/>
      </w:r>
      <w:r>
        <w:instrText xml:space="preserve"> REF _Ref31127223 \r \h </w:instrText>
      </w:r>
      <w:r>
        <w:fldChar w:fldCharType="separate"/>
      </w:r>
      <w:r w:rsidR="00024EB5">
        <w:t>3.4</w:t>
      </w:r>
      <w:r>
        <w:fldChar w:fldCharType="end"/>
      </w:r>
      <w:r>
        <w:t>).</w:t>
      </w:r>
    </w:p>
    <w:p w14:paraId="158AA563" w14:textId="77777777" w:rsidR="00FC77C7" w:rsidRDefault="00FC77C7" w:rsidP="00FC77C7">
      <w:pPr>
        <w:pStyle w:val="Heading4"/>
      </w:pPr>
      <w:r>
        <w:t>Ecosystem Health</w:t>
      </w:r>
    </w:p>
    <w:p w14:paraId="02F77E44" w14:textId="2B314864" w:rsidR="00FC77C7" w:rsidRDefault="00FC77C7" w:rsidP="00FC77C7">
      <w:r>
        <w:t>The results for ecosystem health are based on broad categories that refer to levels of nutrients and algae and the suitability for sensitive species. The values (</w:t>
      </w:r>
      <w:r>
        <w:fldChar w:fldCharType="begin"/>
      </w:r>
      <w:r>
        <w:instrText xml:space="preserve"> REF _Ref29897082 \h </w:instrText>
      </w:r>
      <w:r>
        <w:fldChar w:fldCharType="separate"/>
      </w:r>
      <w:r w:rsidR="00024EB5">
        <w:t xml:space="preserve">Table </w:t>
      </w:r>
      <w:r w:rsidR="00024EB5">
        <w:rPr>
          <w:noProof/>
        </w:rPr>
        <w:t>10</w:t>
      </w:r>
      <w:r>
        <w:fldChar w:fldCharType="end"/>
      </w:r>
      <w:r>
        <w:t>) were for an improvement over very poor health</w:t>
      </w:r>
      <w:r w:rsidRPr="00C60133">
        <w:t>.</w:t>
      </w:r>
      <w:r>
        <w:rPr>
          <w:rStyle w:val="FootnoteReference"/>
        </w:rPr>
        <w:footnoteReference w:id="50"/>
      </w:r>
    </w:p>
    <w:p w14:paraId="6BB3AC20" w14:textId="77777777" w:rsidR="00FC77C7" w:rsidRDefault="00FC77C7" w:rsidP="00FC77C7">
      <w:pPr>
        <w:pStyle w:val="Heading3"/>
      </w:pPr>
      <w:r>
        <w:t>Miller et al (2015)</w:t>
      </w:r>
    </w:p>
    <w:p w14:paraId="66DF3505" w14:textId="77777777" w:rsidR="00FC77C7" w:rsidRDefault="00FC77C7" w:rsidP="00FC77C7">
      <w:r>
        <w:t xml:space="preserve">Miller </w:t>
      </w:r>
      <w:r>
        <w:rPr>
          <w:i/>
          <w:iCs/>
        </w:rPr>
        <w:t>et al</w:t>
      </w:r>
      <w:r>
        <w:t xml:space="preserve"> (2015) used a choice experiment of Canterbury residents in a 2012 survey which included environment, recreational and cultural attribute, plus an employment attribute (number of jobs that resulted from increased use of water for irrigation). The survey was aimed at the general public and sought to identify values for generalised improvements in water quality across the region as a whole. This would include the value for those who did and for those who did not visit the site for recreation. </w:t>
      </w:r>
    </w:p>
    <w:p w14:paraId="1C01F93B" w14:textId="77777777" w:rsidR="00FC77C7" w:rsidRDefault="00FC77C7" w:rsidP="00FC77C7"/>
    <w:p w14:paraId="12C2FBF1" w14:textId="1E1F9814" w:rsidR="00FC77C7" w:rsidRDefault="00FC77C7" w:rsidP="00FC77C7">
      <w:r>
        <w:t xml:space="preserve">The estimated values from the study are summarised in </w:t>
      </w:r>
      <w:r>
        <w:fldChar w:fldCharType="begin"/>
      </w:r>
      <w:r>
        <w:instrText xml:space="preserve"> REF _Ref30173949 \h </w:instrText>
      </w:r>
      <w:r>
        <w:fldChar w:fldCharType="separate"/>
      </w:r>
      <w:r w:rsidR="00024EB5">
        <w:t xml:space="preserve">Table </w:t>
      </w:r>
      <w:r w:rsidR="00024EB5">
        <w:rPr>
          <w:noProof/>
        </w:rPr>
        <w:t>11</w:t>
      </w:r>
      <w:r>
        <w:fldChar w:fldCharType="end"/>
      </w:r>
      <w:r>
        <w:t>.</w:t>
      </w:r>
    </w:p>
    <w:p w14:paraId="5D48062B" w14:textId="3DAECA71" w:rsidR="00FC77C7" w:rsidRDefault="00FC77C7" w:rsidP="0093011F">
      <w:pPr>
        <w:pStyle w:val="Caption"/>
      </w:pPr>
      <w:bookmarkStart w:id="69" w:name="_Ref30173949"/>
      <w:r>
        <w:t xml:space="preserve">Table </w:t>
      </w:r>
      <w:r w:rsidR="00313617">
        <w:fldChar w:fldCharType="begin"/>
      </w:r>
      <w:r w:rsidR="00313617">
        <w:instrText xml:space="preserve"> SEQ Table \* ARABIC </w:instrText>
      </w:r>
      <w:r w:rsidR="00313617">
        <w:fldChar w:fldCharType="separate"/>
      </w:r>
      <w:r w:rsidR="00024EB5">
        <w:rPr>
          <w:noProof/>
        </w:rPr>
        <w:t>11</w:t>
      </w:r>
      <w:r w:rsidR="00313617">
        <w:rPr>
          <w:noProof/>
        </w:rPr>
        <w:fldChar w:fldCharType="end"/>
      </w:r>
      <w:bookmarkEnd w:id="69"/>
      <w:r>
        <w:t xml:space="preserve"> Value of Canterbury river attributes ($per person per year)</w:t>
      </w:r>
    </w:p>
    <w:tbl>
      <w:tblPr>
        <w:tblStyle w:val="CovecTables"/>
        <w:tblW w:w="5000" w:type="pct"/>
        <w:tblInd w:w="0" w:type="dxa"/>
        <w:tblLayout w:type="fixed"/>
        <w:tblLook w:val="04E0" w:firstRow="1" w:lastRow="1" w:firstColumn="1" w:lastColumn="0" w:noHBand="0" w:noVBand="1"/>
      </w:tblPr>
      <w:tblGrid>
        <w:gridCol w:w="1416"/>
        <w:gridCol w:w="1417"/>
        <w:gridCol w:w="1136"/>
        <w:gridCol w:w="1559"/>
        <w:gridCol w:w="1136"/>
        <w:gridCol w:w="1557"/>
      </w:tblGrid>
      <w:tr w:rsidR="00FC77C7" w:rsidRPr="0003211E" w14:paraId="0B3EFF15"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1" w:type="pct"/>
            <w:noWrap/>
            <w:hideMark/>
          </w:tcPr>
          <w:p w14:paraId="2F21939D" w14:textId="5042FE19" w:rsidR="00FC77C7" w:rsidRPr="0003211E" w:rsidRDefault="00FC77C7" w:rsidP="0093011F">
            <w:pPr>
              <w:pStyle w:val="TableText"/>
              <w:jc w:val="center"/>
              <w:rPr>
                <w:lang w:eastAsia="en-NZ"/>
              </w:rPr>
            </w:pPr>
            <w:r>
              <w:rPr>
                <w:lang w:eastAsia="en-NZ"/>
              </w:rPr>
              <w:t>Attribute</w:t>
            </w:r>
          </w:p>
        </w:tc>
        <w:tc>
          <w:tcPr>
            <w:tcW w:w="862" w:type="pct"/>
            <w:noWrap/>
            <w:hideMark/>
          </w:tcPr>
          <w:p w14:paraId="3628A868" w14:textId="77777777" w:rsidR="00FC77C7" w:rsidRPr="0003211E" w:rsidRDefault="00FC77C7" w:rsidP="0093011F">
            <w:pPr>
              <w:pStyle w:val="TableText"/>
              <w:jc w:val="left"/>
              <w:cnfStyle w:val="100000000000" w:firstRow="1" w:lastRow="0" w:firstColumn="0" w:lastColumn="0" w:oddVBand="0" w:evenVBand="0" w:oddHBand="0" w:evenHBand="0" w:firstRowFirstColumn="0" w:firstRowLastColumn="0" w:lastRowFirstColumn="0" w:lastRowLastColumn="0"/>
              <w:rPr>
                <w:lang w:eastAsia="en-NZ"/>
              </w:rPr>
            </w:pPr>
            <w:r>
              <w:rPr>
                <w:lang w:eastAsia="en-NZ"/>
              </w:rPr>
              <w:t>Level/ category</w:t>
            </w:r>
            <w:r w:rsidRPr="0003211E">
              <w:rPr>
                <w:lang w:eastAsia="en-NZ"/>
              </w:rPr>
              <w:t> </w:t>
            </w:r>
          </w:p>
        </w:tc>
        <w:tc>
          <w:tcPr>
            <w:tcW w:w="691" w:type="pct"/>
            <w:noWrap/>
            <w:hideMark/>
          </w:tcPr>
          <w:p w14:paraId="50D1645D" w14:textId="77777777" w:rsidR="00FC77C7" w:rsidRPr="0003211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03211E">
              <w:rPr>
                <w:lang w:eastAsia="en-NZ"/>
              </w:rPr>
              <w:t>Median (2012$)</w:t>
            </w:r>
          </w:p>
        </w:tc>
        <w:tc>
          <w:tcPr>
            <w:tcW w:w="948" w:type="pct"/>
            <w:noWrap/>
            <w:hideMark/>
          </w:tcPr>
          <w:p w14:paraId="0C0421AC" w14:textId="351AEBBC"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lang w:eastAsia="en-NZ"/>
              </w:rPr>
            </w:pPr>
            <w:r w:rsidRPr="0003211E">
              <w:rPr>
                <w:lang w:eastAsia="en-NZ"/>
              </w:rPr>
              <w:t>Range</w:t>
            </w:r>
          </w:p>
          <w:p w14:paraId="158C8DD1" w14:textId="77777777" w:rsidR="00FC77C7" w:rsidRPr="0003211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03211E">
              <w:rPr>
                <w:lang w:eastAsia="en-NZ"/>
              </w:rPr>
              <w:t>($2012$)</w:t>
            </w:r>
          </w:p>
        </w:tc>
        <w:tc>
          <w:tcPr>
            <w:tcW w:w="691" w:type="pct"/>
            <w:noWrap/>
            <w:hideMark/>
          </w:tcPr>
          <w:p w14:paraId="4C294598" w14:textId="77777777" w:rsidR="00FC77C7" w:rsidRPr="0003211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03211E">
              <w:rPr>
                <w:lang w:eastAsia="en-NZ"/>
              </w:rPr>
              <w:t>Median (2019$)</w:t>
            </w:r>
          </w:p>
        </w:tc>
        <w:tc>
          <w:tcPr>
            <w:tcW w:w="947" w:type="pct"/>
            <w:noWrap/>
            <w:hideMark/>
          </w:tcPr>
          <w:p w14:paraId="665FBAAC" w14:textId="64D25F4A"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b w:val="0"/>
                <w:lang w:eastAsia="en-NZ"/>
              </w:rPr>
            </w:pPr>
            <w:r w:rsidRPr="0003211E">
              <w:rPr>
                <w:lang w:eastAsia="en-NZ"/>
              </w:rPr>
              <w:t>Range</w:t>
            </w:r>
          </w:p>
          <w:p w14:paraId="01894C41" w14:textId="77777777" w:rsidR="00FC77C7" w:rsidRPr="0003211E"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03211E">
              <w:rPr>
                <w:lang w:eastAsia="en-NZ"/>
              </w:rPr>
              <w:t>(2019$)</w:t>
            </w:r>
          </w:p>
        </w:tc>
      </w:tr>
      <w:tr w:rsidR="00FC77C7" w:rsidRPr="0003211E" w14:paraId="4C2A4EE9"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tcBorders>
              <w:top w:val="single" w:sz="8" w:space="0" w:color="A6A6A6" w:themeColor="background1" w:themeShade="A6"/>
              <w:bottom w:val="single" w:sz="8" w:space="0" w:color="A6A6A6" w:themeColor="background1" w:themeShade="A6"/>
            </w:tcBorders>
            <w:noWrap/>
            <w:vAlign w:val="top"/>
            <w:hideMark/>
          </w:tcPr>
          <w:p w14:paraId="0ACC7537" w14:textId="77777777" w:rsidR="00FC77C7" w:rsidRPr="0003211E" w:rsidRDefault="00FC77C7" w:rsidP="0093011F">
            <w:pPr>
              <w:pStyle w:val="TableText"/>
              <w:rPr>
                <w:lang w:eastAsia="en-NZ"/>
              </w:rPr>
            </w:pPr>
            <w:r w:rsidRPr="0003211E">
              <w:rPr>
                <w:lang w:eastAsia="en-NZ"/>
              </w:rPr>
              <w:t>Employment</w:t>
            </w:r>
          </w:p>
        </w:tc>
        <w:tc>
          <w:tcPr>
            <w:tcW w:w="862" w:type="pct"/>
            <w:tcBorders>
              <w:top w:val="single" w:sz="8" w:space="0" w:color="A6A6A6" w:themeColor="background1" w:themeShade="A6"/>
              <w:bottom w:val="single" w:sz="8" w:space="0" w:color="A6A6A6" w:themeColor="background1" w:themeShade="A6"/>
            </w:tcBorders>
            <w:noWrap/>
            <w:vAlign w:val="top"/>
            <w:hideMark/>
          </w:tcPr>
          <w:p w14:paraId="60B980E1"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1 new job</w:t>
            </w:r>
          </w:p>
        </w:tc>
        <w:tc>
          <w:tcPr>
            <w:tcW w:w="691" w:type="pct"/>
            <w:tcBorders>
              <w:top w:val="single" w:sz="8" w:space="0" w:color="A6A6A6" w:themeColor="background1" w:themeShade="A6"/>
              <w:bottom w:val="single" w:sz="8" w:space="0" w:color="A6A6A6" w:themeColor="background1" w:themeShade="A6"/>
            </w:tcBorders>
            <w:noWrap/>
            <w:vAlign w:val="top"/>
            <w:hideMark/>
          </w:tcPr>
          <w:p w14:paraId="47921B4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$0.16</w:t>
            </w:r>
          </w:p>
        </w:tc>
        <w:tc>
          <w:tcPr>
            <w:tcW w:w="948" w:type="pct"/>
            <w:tcBorders>
              <w:top w:val="single" w:sz="8" w:space="0" w:color="A6A6A6" w:themeColor="background1" w:themeShade="A6"/>
              <w:bottom w:val="single" w:sz="8" w:space="0" w:color="A6A6A6" w:themeColor="background1" w:themeShade="A6"/>
            </w:tcBorders>
            <w:noWrap/>
            <w:vAlign w:val="top"/>
            <w:hideMark/>
          </w:tcPr>
          <w:p w14:paraId="4B2D6BBA"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$-0.08 - $1.32</w:t>
            </w:r>
          </w:p>
        </w:tc>
        <w:tc>
          <w:tcPr>
            <w:tcW w:w="691" w:type="pct"/>
            <w:tcBorders>
              <w:top w:val="single" w:sz="8" w:space="0" w:color="A6A6A6" w:themeColor="background1" w:themeShade="A6"/>
              <w:bottom w:val="single" w:sz="8" w:space="0" w:color="A6A6A6" w:themeColor="background1" w:themeShade="A6"/>
            </w:tcBorders>
            <w:noWrap/>
            <w:vAlign w:val="top"/>
            <w:hideMark/>
          </w:tcPr>
          <w:p w14:paraId="288A9EDB"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$0.18</w:t>
            </w:r>
          </w:p>
        </w:tc>
        <w:tc>
          <w:tcPr>
            <w:tcW w:w="947" w:type="pct"/>
            <w:tcBorders>
              <w:top w:val="single" w:sz="8" w:space="0" w:color="A6A6A6" w:themeColor="background1" w:themeShade="A6"/>
              <w:bottom w:val="single" w:sz="8" w:space="0" w:color="A6A6A6" w:themeColor="background1" w:themeShade="A6"/>
            </w:tcBorders>
            <w:noWrap/>
            <w:vAlign w:val="top"/>
            <w:hideMark/>
          </w:tcPr>
          <w:p w14:paraId="68FCFAB1"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$-0.09 - $1.45</w:t>
            </w:r>
          </w:p>
        </w:tc>
      </w:tr>
      <w:tr w:rsidR="00FC77C7" w:rsidRPr="0003211E" w14:paraId="0C688893"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val="restart"/>
            <w:tcBorders>
              <w:top w:val="single" w:sz="8" w:space="0" w:color="A6A6A6" w:themeColor="background1" w:themeShade="A6"/>
            </w:tcBorders>
            <w:noWrap/>
            <w:vAlign w:val="top"/>
            <w:hideMark/>
          </w:tcPr>
          <w:p w14:paraId="0E222F18" w14:textId="77777777" w:rsidR="00FC77C7" w:rsidRPr="0003211E" w:rsidRDefault="00FC77C7" w:rsidP="0093011F">
            <w:pPr>
              <w:pStyle w:val="TableText"/>
              <w:rPr>
                <w:lang w:eastAsia="en-NZ"/>
              </w:rPr>
            </w:pPr>
            <w:r w:rsidRPr="0003211E">
              <w:rPr>
                <w:lang w:eastAsia="en-NZ"/>
              </w:rPr>
              <w:t>Environment (QMCI value)</w:t>
            </w:r>
          </w:p>
        </w:tc>
        <w:tc>
          <w:tcPr>
            <w:tcW w:w="862" w:type="pct"/>
            <w:tcBorders>
              <w:top w:val="single" w:sz="8" w:space="0" w:color="A6A6A6" w:themeColor="background1" w:themeShade="A6"/>
            </w:tcBorders>
            <w:noWrap/>
            <w:vAlign w:val="top"/>
            <w:hideMark/>
          </w:tcPr>
          <w:p w14:paraId="50755527"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poor to fair</w:t>
            </w:r>
          </w:p>
        </w:tc>
        <w:tc>
          <w:tcPr>
            <w:tcW w:w="691" w:type="pct"/>
            <w:tcBorders>
              <w:top w:val="single" w:sz="8" w:space="0" w:color="A6A6A6" w:themeColor="background1" w:themeShade="A6"/>
            </w:tcBorders>
            <w:noWrap/>
            <w:vAlign w:val="top"/>
            <w:hideMark/>
          </w:tcPr>
          <w:p w14:paraId="4050A42A"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-$11.78</w:t>
            </w:r>
          </w:p>
        </w:tc>
        <w:tc>
          <w:tcPr>
            <w:tcW w:w="948" w:type="pct"/>
            <w:tcBorders>
              <w:top w:val="single" w:sz="8" w:space="0" w:color="A6A6A6" w:themeColor="background1" w:themeShade="A6"/>
            </w:tcBorders>
            <w:noWrap/>
            <w:vAlign w:val="top"/>
            <w:hideMark/>
          </w:tcPr>
          <w:p w14:paraId="70B6C7C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$-25.43 - $48.31</w:t>
            </w:r>
          </w:p>
        </w:tc>
        <w:tc>
          <w:tcPr>
            <w:tcW w:w="691" w:type="pct"/>
            <w:tcBorders>
              <w:top w:val="single" w:sz="8" w:space="0" w:color="A6A6A6" w:themeColor="background1" w:themeShade="A6"/>
            </w:tcBorders>
            <w:noWrap/>
            <w:vAlign w:val="top"/>
            <w:hideMark/>
          </w:tcPr>
          <w:p w14:paraId="2F1B2C6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-$12.90</w:t>
            </w:r>
          </w:p>
        </w:tc>
        <w:tc>
          <w:tcPr>
            <w:tcW w:w="947" w:type="pct"/>
            <w:tcBorders>
              <w:top w:val="single" w:sz="8" w:space="0" w:color="A6A6A6" w:themeColor="background1" w:themeShade="A6"/>
            </w:tcBorders>
            <w:noWrap/>
            <w:vAlign w:val="top"/>
            <w:hideMark/>
          </w:tcPr>
          <w:p w14:paraId="40836939"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$-27.84 - $52.89</w:t>
            </w:r>
          </w:p>
        </w:tc>
      </w:tr>
      <w:tr w:rsidR="00FC77C7" w:rsidRPr="0003211E" w14:paraId="069C5A44"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noWrap/>
            <w:vAlign w:val="top"/>
          </w:tcPr>
          <w:p w14:paraId="214C3337" w14:textId="77777777" w:rsidR="00FC77C7" w:rsidRPr="0003211E" w:rsidRDefault="00FC77C7" w:rsidP="0093011F">
            <w:pPr>
              <w:pStyle w:val="TableText"/>
              <w:rPr>
                <w:lang w:eastAsia="en-NZ"/>
              </w:rPr>
            </w:pPr>
          </w:p>
        </w:tc>
        <w:tc>
          <w:tcPr>
            <w:tcW w:w="862" w:type="pct"/>
            <w:noWrap/>
            <w:vAlign w:val="top"/>
            <w:hideMark/>
          </w:tcPr>
          <w:p w14:paraId="03558739"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poor to good</w:t>
            </w:r>
          </w:p>
        </w:tc>
        <w:tc>
          <w:tcPr>
            <w:tcW w:w="691" w:type="pct"/>
            <w:noWrap/>
            <w:vAlign w:val="top"/>
            <w:hideMark/>
          </w:tcPr>
          <w:p w14:paraId="033138B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$30.21</w:t>
            </w:r>
          </w:p>
        </w:tc>
        <w:tc>
          <w:tcPr>
            <w:tcW w:w="948" w:type="pct"/>
            <w:noWrap/>
            <w:vAlign w:val="top"/>
            <w:hideMark/>
          </w:tcPr>
          <w:p w14:paraId="1258FE33"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$1.61 - $152.89</w:t>
            </w:r>
          </w:p>
        </w:tc>
        <w:tc>
          <w:tcPr>
            <w:tcW w:w="691" w:type="pct"/>
            <w:noWrap/>
            <w:vAlign w:val="top"/>
            <w:hideMark/>
          </w:tcPr>
          <w:p w14:paraId="7B1CB5D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$33.08</w:t>
            </w:r>
          </w:p>
        </w:tc>
        <w:tc>
          <w:tcPr>
            <w:tcW w:w="947" w:type="pct"/>
            <w:noWrap/>
            <w:vAlign w:val="top"/>
            <w:hideMark/>
          </w:tcPr>
          <w:p w14:paraId="17788BEA"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$1.76 - $167.4</w:t>
            </w:r>
          </w:p>
        </w:tc>
      </w:tr>
      <w:tr w:rsidR="00FC77C7" w:rsidRPr="0003211E" w14:paraId="5A325333"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tcBorders>
              <w:bottom w:val="single" w:sz="8" w:space="0" w:color="A6A6A6" w:themeColor="background1" w:themeShade="A6"/>
            </w:tcBorders>
            <w:noWrap/>
            <w:vAlign w:val="top"/>
          </w:tcPr>
          <w:p w14:paraId="373F9668" w14:textId="77777777" w:rsidR="00FC77C7" w:rsidRPr="0003211E" w:rsidRDefault="00FC77C7" w:rsidP="0093011F">
            <w:pPr>
              <w:pStyle w:val="TableText"/>
              <w:rPr>
                <w:lang w:eastAsia="en-NZ"/>
              </w:rPr>
            </w:pPr>
          </w:p>
        </w:tc>
        <w:tc>
          <w:tcPr>
            <w:tcW w:w="862" w:type="pct"/>
            <w:tcBorders>
              <w:bottom w:val="single" w:sz="8" w:space="0" w:color="A6A6A6" w:themeColor="background1" w:themeShade="A6"/>
            </w:tcBorders>
            <w:noWrap/>
            <w:vAlign w:val="top"/>
            <w:hideMark/>
          </w:tcPr>
          <w:p w14:paraId="1D79D3FF"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poor to excellent</w:t>
            </w:r>
          </w:p>
        </w:tc>
        <w:tc>
          <w:tcPr>
            <w:tcW w:w="691" w:type="pct"/>
            <w:tcBorders>
              <w:bottom w:val="single" w:sz="8" w:space="0" w:color="A6A6A6" w:themeColor="background1" w:themeShade="A6"/>
            </w:tcBorders>
            <w:noWrap/>
            <w:vAlign w:val="top"/>
            <w:hideMark/>
          </w:tcPr>
          <w:p w14:paraId="65C6AAA9"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$122.55</w:t>
            </w:r>
          </w:p>
        </w:tc>
        <w:tc>
          <w:tcPr>
            <w:tcW w:w="948" w:type="pct"/>
            <w:tcBorders>
              <w:bottom w:val="single" w:sz="8" w:space="0" w:color="A6A6A6" w:themeColor="background1" w:themeShade="A6"/>
            </w:tcBorders>
            <w:noWrap/>
            <w:vAlign w:val="top"/>
            <w:hideMark/>
          </w:tcPr>
          <w:p w14:paraId="118E0B1C"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$22.82 - $597.35</w:t>
            </w:r>
          </w:p>
        </w:tc>
        <w:tc>
          <w:tcPr>
            <w:tcW w:w="691" w:type="pct"/>
            <w:tcBorders>
              <w:bottom w:val="single" w:sz="8" w:space="0" w:color="A6A6A6" w:themeColor="background1" w:themeShade="A6"/>
            </w:tcBorders>
            <w:noWrap/>
            <w:vAlign w:val="top"/>
            <w:hideMark/>
          </w:tcPr>
          <w:p w14:paraId="114CF25D"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$134.18</w:t>
            </w:r>
          </w:p>
        </w:tc>
        <w:tc>
          <w:tcPr>
            <w:tcW w:w="947" w:type="pct"/>
            <w:tcBorders>
              <w:bottom w:val="single" w:sz="8" w:space="0" w:color="A6A6A6" w:themeColor="background1" w:themeShade="A6"/>
            </w:tcBorders>
            <w:noWrap/>
            <w:vAlign w:val="top"/>
            <w:hideMark/>
          </w:tcPr>
          <w:p w14:paraId="4FFA8E4F"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$24.99 - $654.04</w:t>
            </w:r>
          </w:p>
        </w:tc>
      </w:tr>
      <w:tr w:rsidR="00FC77C7" w:rsidRPr="0003211E" w14:paraId="302DB4BB"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val="restart"/>
            <w:tcBorders>
              <w:top w:val="single" w:sz="8" w:space="0" w:color="A6A6A6" w:themeColor="background1" w:themeShade="A6"/>
            </w:tcBorders>
            <w:noWrap/>
            <w:vAlign w:val="top"/>
            <w:hideMark/>
          </w:tcPr>
          <w:p w14:paraId="57AEB7F3" w14:textId="77777777" w:rsidR="00FC77C7" w:rsidRPr="0003211E" w:rsidRDefault="00FC77C7" w:rsidP="0093011F">
            <w:pPr>
              <w:pStyle w:val="TableText"/>
              <w:rPr>
                <w:lang w:eastAsia="en-NZ"/>
              </w:rPr>
            </w:pPr>
            <w:r w:rsidRPr="0003211E">
              <w:rPr>
                <w:lang w:eastAsia="en-NZ"/>
              </w:rPr>
              <w:t>Social/</w:t>
            </w:r>
            <w:proofErr w:type="spellStart"/>
            <w:r w:rsidRPr="0003211E">
              <w:rPr>
                <w:lang w:eastAsia="en-NZ"/>
              </w:rPr>
              <w:t>Recrea</w:t>
            </w:r>
            <w:r>
              <w:rPr>
                <w:lang w:eastAsia="en-NZ"/>
              </w:rPr>
              <w:t>-</w:t>
            </w:r>
            <w:r w:rsidRPr="0003211E">
              <w:rPr>
                <w:lang w:eastAsia="en-NZ"/>
              </w:rPr>
              <w:t>tional</w:t>
            </w:r>
            <w:proofErr w:type="spellEnd"/>
            <w:r w:rsidRPr="0003211E">
              <w:rPr>
                <w:lang w:eastAsia="en-NZ"/>
              </w:rPr>
              <w:t xml:space="preserve"> (% of sites suitable for swimming)</w:t>
            </w:r>
          </w:p>
        </w:tc>
        <w:tc>
          <w:tcPr>
            <w:tcW w:w="862" w:type="pct"/>
            <w:tcBorders>
              <w:top w:val="single" w:sz="8" w:space="0" w:color="A6A6A6" w:themeColor="background1" w:themeShade="A6"/>
            </w:tcBorders>
            <w:noWrap/>
            <w:vAlign w:val="top"/>
            <w:hideMark/>
          </w:tcPr>
          <w:p w14:paraId="64D3B8BF"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Pr>
                <w:lang w:eastAsia="en-NZ"/>
              </w:rPr>
              <w:t>20%</w:t>
            </w:r>
          </w:p>
        </w:tc>
        <w:tc>
          <w:tcPr>
            <w:tcW w:w="691" w:type="pct"/>
            <w:tcBorders>
              <w:top w:val="single" w:sz="8" w:space="0" w:color="A6A6A6" w:themeColor="background1" w:themeShade="A6"/>
            </w:tcBorders>
            <w:noWrap/>
            <w:vAlign w:val="top"/>
            <w:hideMark/>
          </w:tcPr>
          <w:p w14:paraId="29635E91"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$23.69</w:t>
            </w:r>
          </w:p>
        </w:tc>
        <w:tc>
          <w:tcPr>
            <w:tcW w:w="948" w:type="pct"/>
            <w:tcBorders>
              <w:top w:val="single" w:sz="8" w:space="0" w:color="A6A6A6" w:themeColor="background1" w:themeShade="A6"/>
            </w:tcBorders>
            <w:noWrap/>
            <w:vAlign w:val="top"/>
            <w:hideMark/>
          </w:tcPr>
          <w:p w14:paraId="642F98B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$-6.12 - $155.46</w:t>
            </w:r>
          </w:p>
        </w:tc>
        <w:tc>
          <w:tcPr>
            <w:tcW w:w="691" w:type="pct"/>
            <w:tcBorders>
              <w:top w:val="single" w:sz="8" w:space="0" w:color="A6A6A6" w:themeColor="background1" w:themeShade="A6"/>
            </w:tcBorders>
            <w:noWrap/>
            <w:vAlign w:val="top"/>
            <w:hideMark/>
          </w:tcPr>
          <w:p w14:paraId="1102C5F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$25.94</w:t>
            </w:r>
          </w:p>
        </w:tc>
        <w:tc>
          <w:tcPr>
            <w:tcW w:w="947" w:type="pct"/>
            <w:tcBorders>
              <w:top w:val="single" w:sz="8" w:space="0" w:color="A6A6A6" w:themeColor="background1" w:themeShade="A6"/>
            </w:tcBorders>
            <w:noWrap/>
            <w:vAlign w:val="top"/>
            <w:hideMark/>
          </w:tcPr>
          <w:p w14:paraId="3270E5D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$-6.7 - $170.21</w:t>
            </w:r>
          </w:p>
        </w:tc>
      </w:tr>
      <w:tr w:rsidR="00FC77C7" w:rsidRPr="0003211E" w14:paraId="3B7592F8"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noWrap/>
            <w:vAlign w:val="top"/>
          </w:tcPr>
          <w:p w14:paraId="647B450B" w14:textId="77777777" w:rsidR="00FC77C7" w:rsidRPr="0003211E" w:rsidRDefault="00FC77C7" w:rsidP="0093011F">
            <w:pPr>
              <w:pStyle w:val="TableText"/>
              <w:rPr>
                <w:lang w:eastAsia="en-NZ"/>
              </w:rPr>
            </w:pPr>
          </w:p>
        </w:tc>
        <w:tc>
          <w:tcPr>
            <w:tcW w:w="862" w:type="pct"/>
            <w:noWrap/>
            <w:vAlign w:val="top"/>
            <w:hideMark/>
          </w:tcPr>
          <w:p w14:paraId="6814B267"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Pr>
                <w:lang w:eastAsia="en-NZ"/>
              </w:rPr>
              <w:t>40%</w:t>
            </w:r>
          </w:p>
        </w:tc>
        <w:tc>
          <w:tcPr>
            <w:tcW w:w="691" w:type="pct"/>
            <w:noWrap/>
            <w:vAlign w:val="top"/>
            <w:hideMark/>
          </w:tcPr>
          <w:p w14:paraId="7D0CF979"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$29.53</w:t>
            </w:r>
          </w:p>
        </w:tc>
        <w:tc>
          <w:tcPr>
            <w:tcW w:w="948" w:type="pct"/>
            <w:noWrap/>
            <w:vAlign w:val="top"/>
            <w:hideMark/>
          </w:tcPr>
          <w:p w14:paraId="75CB91E9"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$9.96 - $110.49</w:t>
            </w:r>
          </w:p>
        </w:tc>
        <w:tc>
          <w:tcPr>
            <w:tcW w:w="691" w:type="pct"/>
            <w:noWrap/>
            <w:vAlign w:val="top"/>
            <w:hideMark/>
          </w:tcPr>
          <w:p w14:paraId="1DA99AB2"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$32.33</w:t>
            </w:r>
          </w:p>
        </w:tc>
        <w:tc>
          <w:tcPr>
            <w:tcW w:w="947" w:type="pct"/>
            <w:noWrap/>
            <w:vAlign w:val="top"/>
            <w:hideMark/>
          </w:tcPr>
          <w:p w14:paraId="0EA06CAB"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$10.91 - $120.98</w:t>
            </w:r>
          </w:p>
        </w:tc>
      </w:tr>
      <w:tr w:rsidR="00FC77C7" w:rsidRPr="0003211E" w14:paraId="012691A6"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tcBorders>
              <w:bottom w:val="single" w:sz="8" w:space="0" w:color="A6A6A6" w:themeColor="background1" w:themeShade="A6"/>
            </w:tcBorders>
            <w:noWrap/>
            <w:vAlign w:val="top"/>
          </w:tcPr>
          <w:p w14:paraId="28940C70" w14:textId="77777777" w:rsidR="00FC77C7" w:rsidRPr="0003211E" w:rsidRDefault="00FC77C7" w:rsidP="0093011F">
            <w:pPr>
              <w:pStyle w:val="TableText"/>
              <w:rPr>
                <w:lang w:eastAsia="en-NZ"/>
              </w:rPr>
            </w:pPr>
          </w:p>
        </w:tc>
        <w:tc>
          <w:tcPr>
            <w:tcW w:w="862" w:type="pct"/>
            <w:tcBorders>
              <w:bottom w:val="single" w:sz="8" w:space="0" w:color="A6A6A6" w:themeColor="background1" w:themeShade="A6"/>
            </w:tcBorders>
            <w:noWrap/>
            <w:vAlign w:val="top"/>
            <w:hideMark/>
          </w:tcPr>
          <w:p w14:paraId="52ADDE15"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Pr>
                <w:lang w:eastAsia="en-NZ"/>
              </w:rPr>
              <w:t>60%</w:t>
            </w:r>
          </w:p>
        </w:tc>
        <w:tc>
          <w:tcPr>
            <w:tcW w:w="691" w:type="pct"/>
            <w:tcBorders>
              <w:bottom w:val="single" w:sz="8" w:space="0" w:color="A6A6A6" w:themeColor="background1" w:themeShade="A6"/>
            </w:tcBorders>
            <w:noWrap/>
            <w:vAlign w:val="top"/>
            <w:hideMark/>
          </w:tcPr>
          <w:p w14:paraId="732DAAB6"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$35.88</w:t>
            </w:r>
          </w:p>
        </w:tc>
        <w:tc>
          <w:tcPr>
            <w:tcW w:w="948" w:type="pct"/>
            <w:tcBorders>
              <w:bottom w:val="single" w:sz="8" w:space="0" w:color="A6A6A6" w:themeColor="background1" w:themeShade="A6"/>
            </w:tcBorders>
            <w:noWrap/>
            <w:vAlign w:val="top"/>
            <w:hideMark/>
          </w:tcPr>
          <w:p w14:paraId="39FAF537"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$0.28 - $197.42</w:t>
            </w:r>
          </w:p>
        </w:tc>
        <w:tc>
          <w:tcPr>
            <w:tcW w:w="691" w:type="pct"/>
            <w:tcBorders>
              <w:bottom w:val="single" w:sz="8" w:space="0" w:color="A6A6A6" w:themeColor="background1" w:themeShade="A6"/>
            </w:tcBorders>
            <w:noWrap/>
            <w:vAlign w:val="top"/>
            <w:hideMark/>
          </w:tcPr>
          <w:p w14:paraId="6B9E0470"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$39.29</w:t>
            </w:r>
          </w:p>
        </w:tc>
        <w:tc>
          <w:tcPr>
            <w:tcW w:w="947" w:type="pct"/>
            <w:tcBorders>
              <w:bottom w:val="single" w:sz="8" w:space="0" w:color="A6A6A6" w:themeColor="background1" w:themeShade="A6"/>
            </w:tcBorders>
            <w:noWrap/>
            <w:vAlign w:val="top"/>
            <w:hideMark/>
          </w:tcPr>
          <w:p w14:paraId="281D252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$0.31 - $216.16</w:t>
            </w:r>
          </w:p>
        </w:tc>
      </w:tr>
      <w:tr w:rsidR="00FC77C7" w:rsidRPr="0003211E" w14:paraId="7C49F334"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val="restart"/>
            <w:tcBorders>
              <w:top w:val="single" w:sz="8" w:space="0" w:color="A6A6A6" w:themeColor="background1" w:themeShade="A6"/>
            </w:tcBorders>
            <w:noWrap/>
            <w:vAlign w:val="top"/>
            <w:hideMark/>
          </w:tcPr>
          <w:p w14:paraId="3FAE504A" w14:textId="77777777" w:rsidR="00FC77C7" w:rsidRPr="0003211E" w:rsidRDefault="00FC77C7" w:rsidP="0093011F">
            <w:pPr>
              <w:pStyle w:val="TableText"/>
              <w:rPr>
                <w:lang w:eastAsia="en-NZ"/>
              </w:rPr>
            </w:pPr>
            <w:r w:rsidRPr="0003211E">
              <w:rPr>
                <w:lang w:eastAsia="en-NZ"/>
              </w:rPr>
              <w:t xml:space="preserve">Cultural (abundance and range of </w:t>
            </w:r>
            <w:proofErr w:type="spellStart"/>
            <w:r w:rsidRPr="00CC5D4E">
              <w:rPr>
                <w:i/>
                <w:iCs/>
                <w:lang w:eastAsia="en-NZ"/>
              </w:rPr>
              <w:t>mahinga</w:t>
            </w:r>
            <w:proofErr w:type="spellEnd"/>
            <w:r w:rsidRPr="00CC5D4E">
              <w:rPr>
                <w:i/>
                <w:iCs/>
                <w:lang w:eastAsia="en-NZ"/>
              </w:rPr>
              <w:t xml:space="preserve"> kai</w:t>
            </w:r>
            <w:r w:rsidRPr="0003211E">
              <w:rPr>
                <w:lang w:eastAsia="en-NZ"/>
              </w:rPr>
              <w:t xml:space="preserve"> available)</w:t>
            </w:r>
          </w:p>
        </w:tc>
        <w:tc>
          <w:tcPr>
            <w:tcW w:w="862" w:type="pct"/>
            <w:tcBorders>
              <w:top w:val="single" w:sz="8" w:space="0" w:color="A6A6A6" w:themeColor="background1" w:themeShade="A6"/>
            </w:tcBorders>
            <w:noWrap/>
            <w:vAlign w:val="top"/>
            <w:hideMark/>
          </w:tcPr>
          <w:p w14:paraId="1D4B0F90"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below average</w:t>
            </w:r>
          </w:p>
        </w:tc>
        <w:tc>
          <w:tcPr>
            <w:tcW w:w="691" w:type="pct"/>
            <w:tcBorders>
              <w:top w:val="single" w:sz="8" w:space="0" w:color="A6A6A6" w:themeColor="background1" w:themeShade="A6"/>
            </w:tcBorders>
            <w:noWrap/>
            <w:vAlign w:val="top"/>
            <w:hideMark/>
          </w:tcPr>
          <w:p w14:paraId="63A0BCBC"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$28.53</w:t>
            </w:r>
          </w:p>
        </w:tc>
        <w:tc>
          <w:tcPr>
            <w:tcW w:w="948" w:type="pct"/>
            <w:tcBorders>
              <w:top w:val="single" w:sz="8" w:space="0" w:color="A6A6A6" w:themeColor="background1" w:themeShade="A6"/>
            </w:tcBorders>
            <w:noWrap/>
            <w:vAlign w:val="top"/>
            <w:hideMark/>
          </w:tcPr>
          <w:p w14:paraId="287565B2"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$-24.14 - $259.89</w:t>
            </w:r>
          </w:p>
        </w:tc>
        <w:tc>
          <w:tcPr>
            <w:tcW w:w="691" w:type="pct"/>
            <w:tcBorders>
              <w:top w:val="single" w:sz="8" w:space="0" w:color="A6A6A6" w:themeColor="background1" w:themeShade="A6"/>
            </w:tcBorders>
            <w:noWrap/>
            <w:vAlign w:val="top"/>
            <w:hideMark/>
          </w:tcPr>
          <w:p w14:paraId="3ACB18A2"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$31.24</w:t>
            </w:r>
          </w:p>
        </w:tc>
        <w:tc>
          <w:tcPr>
            <w:tcW w:w="947" w:type="pct"/>
            <w:tcBorders>
              <w:top w:val="single" w:sz="8" w:space="0" w:color="A6A6A6" w:themeColor="background1" w:themeShade="A6"/>
            </w:tcBorders>
            <w:noWrap/>
            <w:vAlign w:val="top"/>
            <w:hideMark/>
          </w:tcPr>
          <w:p w14:paraId="1C7CD6D2"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$-26.43 - $284.55</w:t>
            </w:r>
          </w:p>
        </w:tc>
      </w:tr>
      <w:tr w:rsidR="00FC77C7" w:rsidRPr="0003211E" w14:paraId="577D0FFF"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noWrap/>
            <w:vAlign w:val="top"/>
          </w:tcPr>
          <w:p w14:paraId="3C040595" w14:textId="77777777" w:rsidR="00FC77C7" w:rsidRPr="0003211E" w:rsidRDefault="00FC77C7" w:rsidP="0093011F">
            <w:pPr>
              <w:pStyle w:val="TableText"/>
              <w:rPr>
                <w:lang w:eastAsia="en-NZ"/>
              </w:rPr>
            </w:pPr>
          </w:p>
        </w:tc>
        <w:tc>
          <w:tcPr>
            <w:tcW w:w="862" w:type="pct"/>
            <w:noWrap/>
            <w:vAlign w:val="top"/>
            <w:hideMark/>
          </w:tcPr>
          <w:p w14:paraId="0156E9FE"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  </w:t>
            </w:r>
            <w:r w:rsidRPr="0003211E">
              <w:rPr>
                <w:lang w:eastAsia="en-NZ"/>
              </w:rPr>
              <w:t>for Maori</w:t>
            </w:r>
          </w:p>
        </w:tc>
        <w:tc>
          <w:tcPr>
            <w:tcW w:w="691" w:type="pct"/>
            <w:noWrap/>
            <w:vAlign w:val="top"/>
            <w:hideMark/>
          </w:tcPr>
          <w:p w14:paraId="7E5B65F9"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$38.96</w:t>
            </w:r>
          </w:p>
        </w:tc>
        <w:tc>
          <w:tcPr>
            <w:tcW w:w="948" w:type="pct"/>
            <w:noWrap/>
            <w:vAlign w:val="top"/>
            <w:hideMark/>
          </w:tcPr>
          <w:p w14:paraId="13640436"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$-18.25 - $294.68</w:t>
            </w:r>
          </w:p>
        </w:tc>
        <w:tc>
          <w:tcPr>
            <w:tcW w:w="691" w:type="pct"/>
            <w:noWrap/>
            <w:vAlign w:val="top"/>
            <w:hideMark/>
          </w:tcPr>
          <w:p w14:paraId="7F02494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$42.66</w:t>
            </w:r>
          </w:p>
        </w:tc>
        <w:tc>
          <w:tcPr>
            <w:tcW w:w="947" w:type="pct"/>
            <w:noWrap/>
            <w:vAlign w:val="top"/>
            <w:hideMark/>
          </w:tcPr>
          <w:p w14:paraId="15C23BCE"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$-19.98 - $322.65</w:t>
            </w:r>
          </w:p>
        </w:tc>
      </w:tr>
      <w:tr w:rsidR="00FC77C7" w:rsidRPr="0003211E" w14:paraId="113A3545"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861" w:type="pct"/>
            <w:vMerge/>
            <w:noWrap/>
            <w:vAlign w:val="top"/>
          </w:tcPr>
          <w:p w14:paraId="73DB9262" w14:textId="77777777" w:rsidR="00FC77C7" w:rsidRPr="0003211E" w:rsidRDefault="00FC77C7" w:rsidP="0093011F">
            <w:pPr>
              <w:pStyle w:val="TableText"/>
              <w:rPr>
                <w:lang w:eastAsia="en-NZ"/>
              </w:rPr>
            </w:pPr>
          </w:p>
        </w:tc>
        <w:tc>
          <w:tcPr>
            <w:tcW w:w="862" w:type="pct"/>
            <w:noWrap/>
            <w:vAlign w:val="top"/>
            <w:hideMark/>
          </w:tcPr>
          <w:p w14:paraId="498BB742" w14:textId="77777777" w:rsidR="00FC77C7" w:rsidRPr="0003211E"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rPr>
                <w:lang w:eastAsia="en-NZ"/>
              </w:rPr>
            </w:pPr>
            <w:r w:rsidRPr="0003211E">
              <w:rPr>
                <w:lang w:eastAsia="en-NZ"/>
              </w:rPr>
              <w:t>above average</w:t>
            </w:r>
          </w:p>
        </w:tc>
        <w:tc>
          <w:tcPr>
            <w:tcW w:w="691" w:type="pct"/>
            <w:noWrap/>
            <w:vAlign w:val="top"/>
            <w:hideMark/>
          </w:tcPr>
          <w:p w14:paraId="100229FC"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$28.10</w:t>
            </w:r>
          </w:p>
        </w:tc>
        <w:tc>
          <w:tcPr>
            <w:tcW w:w="948" w:type="pct"/>
            <w:noWrap/>
            <w:vAlign w:val="top"/>
            <w:hideMark/>
          </w:tcPr>
          <w:p w14:paraId="3E115534"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$-4.44 - $179.8</w:t>
            </w:r>
          </w:p>
        </w:tc>
        <w:tc>
          <w:tcPr>
            <w:tcW w:w="691" w:type="pct"/>
            <w:noWrap/>
            <w:vAlign w:val="top"/>
            <w:hideMark/>
          </w:tcPr>
          <w:p w14:paraId="39FE8F9F"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$30.77</w:t>
            </w:r>
          </w:p>
        </w:tc>
        <w:tc>
          <w:tcPr>
            <w:tcW w:w="947" w:type="pct"/>
            <w:noWrap/>
            <w:vAlign w:val="top"/>
            <w:hideMark/>
          </w:tcPr>
          <w:p w14:paraId="75D89788" w14:textId="77777777" w:rsidR="00FC77C7" w:rsidRPr="0003211E"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0A1AFF">
              <w:t>$-4.86 - $196.86</w:t>
            </w:r>
          </w:p>
        </w:tc>
      </w:tr>
      <w:tr w:rsidR="00FC77C7" w:rsidRPr="0003211E" w14:paraId="3E1BC6EB"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861" w:type="pct"/>
            <w:vMerge/>
            <w:noWrap/>
            <w:vAlign w:val="top"/>
            <w:hideMark/>
          </w:tcPr>
          <w:p w14:paraId="011A4B19" w14:textId="77777777" w:rsidR="00FC77C7" w:rsidRPr="0003211E" w:rsidRDefault="00FC77C7" w:rsidP="0093011F">
            <w:pPr>
              <w:pStyle w:val="TableText"/>
              <w:rPr>
                <w:lang w:eastAsia="en-NZ"/>
              </w:rPr>
            </w:pPr>
          </w:p>
        </w:tc>
        <w:tc>
          <w:tcPr>
            <w:tcW w:w="862" w:type="pct"/>
            <w:noWrap/>
            <w:vAlign w:val="top"/>
            <w:hideMark/>
          </w:tcPr>
          <w:p w14:paraId="68BFA5F1" w14:textId="77777777" w:rsidR="00FC77C7" w:rsidRPr="0003211E" w:rsidRDefault="00FC77C7" w:rsidP="0093011F">
            <w:pPr>
              <w:pStyle w:val="TableText"/>
              <w:jc w:val="left"/>
              <w:cnfStyle w:val="010000000000" w:firstRow="0" w:lastRow="1" w:firstColumn="0" w:lastColumn="0" w:oddVBand="0" w:evenVBand="0" w:oddHBand="0" w:evenHBand="0" w:firstRowFirstColumn="0" w:firstRowLastColumn="0" w:lastRowFirstColumn="0" w:lastRowLastColumn="0"/>
              <w:rPr>
                <w:lang w:eastAsia="en-NZ"/>
              </w:rPr>
            </w:pPr>
            <w:r>
              <w:rPr>
                <w:lang w:eastAsia="en-NZ"/>
              </w:rPr>
              <w:t xml:space="preserve">  </w:t>
            </w:r>
            <w:r w:rsidRPr="0003211E">
              <w:rPr>
                <w:lang w:eastAsia="en-NZ"/>
              </w:rPr>
              <w:t>for Maori</w:t>
            </w:r>
          </w:p>
        </w:tc>
        <w:tc>
          <w:tcPr>
            <w:tcW w:w="691" w:type="pct"/>
            <w:noWrap/>
            <w:vAlign w:val="top"/>
            <w:hideMark/>
          </w:tcPr>
          <w:p w14:paraId="1B4E00AC" w14:textId="77777777" w:rsidR="00FC77C7" w:rsidRPr="0003211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0A1AFF">
              <w:t>$40.69</w:t>
            </w:r>
          </w:p>
        </w:tc>
        <w:tc>
          <w:tcPr>
            <w:tcW w:w="948" w:type="pct"/>
            <w:noWrap/>
            <w:vAlign w:val="top"/>
            <w:hideMark/>
          </w:tcPr>
          <w:p w14:paraId="1A7C7791" w14:textId="77777777" w:rsidR="00FC77C7" w:rsidRPr="0003211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0A1AFF">
              <w:t>$1.39 - $215.45</w:t>
            </w:r>
          </w:p>
        </w:tc>
        <w:tc>
          <w:tcPr>
            <w:tcW w:w="691" w:type="pct"/>
            <w:noWrap/>
            <w:vAlign w:val="top"/>
            <w:hideMark/>
          </w:tcPr>
          <w:p w14:paraId="3403A82E" w14:textId="77777777" w:rsidR="00FC77C7" w:rsidRPr="0003211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0A1AFF">
              <w:t>$44.55</w:t>
            </w:r>
          </w:p>
        </w:tc>
        <w:tc>
          <w:tcPr>
            <w:tcW w:w="947" w:type="pct"/>
            <w:noWrap/>
            <w:vAlign w:val="top"/>
            <w:hideMark/>
          </w:tcPr>
          <w:p w14:paraId="0B57B086" w14:textId="77777777" w:rsidR="00FC77C7" w:rsidRPr="0003211E"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0A1AFF">
              <w:t>$1.52 - $235.9</w:t>
            </w:r>
          </w:p>
        </w:tc>
      </w:tr>
    </w:tbl>
    <w:p w14:paraId="4AAAEEBA" w14:textId="77777777" w:rsidR="00FC77C7" w:rsidRPr="00C3424D" w:rsidRDefault="00FC77C7" w:rsidP="00FC77C7">
      <w:pPr>
        <w:spacing w:line="240" w:lineRule="auto"/>
        <w:rPr>
          <w:sz w:val="18"/>
          <w:szCs w:val="18"/>
        </w:rPr>
      </w:pPr>
      <w:r w:rsidRPr="00C3424D">
        <w:rPr>
          <w:sz w:val="18"/>
          <w:szCs w:val="18"/>
        </w:rPr>
        <w:t xml:space="preserve">Note: All values inflated to Q4 2019 from Q4 2012 values using CPI: Statistics New Zealand, </w:t>
      </w:r>
      <w:proofErr w:type="spellStart"/>
      <w:r w:rsidRPr="00C3424D">
        <w:rPr>
          <w:sz w:val="18"/>
          <w:szCs w:val="18"/>
        </w:rPr>
        <w:t>Infoshare</w:t>
      </w:r>
      <w:proofErr w:type="spellEnd"/>
      <w:r w:rsidRPr="00C3424D">
        <w:rPr>
          <w:sz w:val="18"/>
          <w:szCs w:val="18"/>
        </w:rPr>
        <w:t xml:space="preserve"> Database: CPI Index All Groups for New Zealand: Q4 2012 = 954; Q4 2019 = 1044</w:t>
      </w:r>
    </w:p>
    <w:p w14:paraId="1A9528BE" w14:textId="77777777" w:rsidR="00FC77C7" w:rsidRPr="00C3424D" w:rsidRDefault="00FC77C7" w:rsidP="00FC77C7">
      <w:pPr>
        <w:spacing w:line="240" w:lineRule="auto"/>
        <w:rPr>
          <w:sz w:val="18"/>
          <w:szCs w:val="18"/>
        </w:rPr>
      </w:pPr>
      <w:r w:rsidRPr="00C3424D">
        <w:rPr>
          <w:sz w:val="18"/>
          <w:szCs w:val="18"/>
        </w:rPr>
        <w:t>Source: 2012 values from Miller et al (2015)</w:t>
      </w:r>
    </w:p>
    <w:p w14:paraId="6748CC53" w14:textId="77777777" w:rsidR="00FC77C7" w:rsidRDefault="00FC77C7" w:rsidP="00FC77C7">
      <w:pPr>
        <w:pStyle w:val="Heading4"/>
      </w:pPr>
      <w:r>
        <w:t>Employment</w:t>
      </w:r>
    </w:p>
    <w:p w14:paraId="6ED37B0B" w14:textId="77777777" w:rsidR="00FC77C7" w:rsidRDefault="00FC77C7" w:rsidP="00FC77C7">
      <w:r>
        <w:t xml:space="preserve">Additional jobs and the value of employment (associated with irrigation-based agriculture) is traded off against improvements in water quality in the Miller </w:t>
      </w:r>
      <w:r>
        <w:rPr>
          <w:i/>
          <w:iCs/>
        </w:rPr>
        <w:t>et al</w:t>
      </w:r>
      <w:r>
        <w:t xml:space="preserve"> (2015) study.</w:t>
      </w:r>
      <w:r>
        <w:rPr>
          <w:rStyle w:val="FootnoteReference"/>
        </w:rPr>
        <w:footnoteReference w:id="51"/>
      </w:r>
      <w:r>
        <w:t xml:space="preserve"> Additional employment is given a positive value by survey respondents.</w:t>
      </w:r>
    </w:p>
    <w:p w14:paraId="42244E9B" w14:textId="77777777" w:rsidR="00FC77C7" w:rsidRDefault="00FC77C7" w:rsidP="00FC77C7"/>
    <w:p w14:paraId="05E862A9" w14:textId="77777777" w:rsidR="00FC77C7" w:rsidRPr="00BD266E" w:rsidRDefault="00FC77C7" w:rsidP="00FC77C7">
      <w:r>
        <w:t xml:space="preserve">Typically, employment (or labour) is treated as a cost in a CBA. This is based on the assumption that, all other things equal, people would prefer not to work and only do so if they are compensated with </w:t>
      </w:r>
      <w:r>
        <w:lastRenderedPageBreak/>
        <w:t xml:space="preserve">wages. The level of wages reflects the opportunity cost of their labour as it is assumed to equal what they would be paid in some other productive activity. Including a positive value for employment is a community value, </w:t>
      </w:r>
      <w:proofErr w:type="spellStart"/>
      <w:r>
        <w:t>ie</w:t>
      </w:r>
      <w:proofErr w:type="spellEnd"/>
      <w:r>
        <w:t xml:space="preserve"> it is the value obtained by an individual for knowing there are more jobs in the community. Additional jobs are valued, presumably, because they would be expected to result in </w:t>
      </w:r>
      <w:proofErr w:type="spellStart"/>
      <w:r>
        <w:t>spillover</w:t>
      </w:r>
      <w:proofErr w:type="spellEnd"/>
      <w:r>
        <w:t xml:space="preserve"> effects reflecting a more vibrant local economy with more consumption opportunities, but there may also be altruistic reasons.</w:t>
      </w:r>
    </w:p>
    <w:p w14:paraId="3F1D9269" w14:textId="77777777" w:rsidR="00FC77C7" w:rsidRDefault="00FC77C7" w:rsidP="00FC77C7">
      <w:pPr>
        <w:pStyle w:val="Heading4"/>
      </w:pPr>
      <w:r>
        <w:t>Environment</w:t>
      </w:r>
    </w:p>
    <w:p w14:paraId="6C8695A4" w14:textId="09A7939D" w:rsidR="00FC77C7" w:rsidRDefault="00FC77C7" w:rsidP="00FC77C7">
      <w:r>
        <w:t xml:space="preserve">Miller’s environment category is measured using the quantified MCI (QMCI). It is </w:t>
      </w:r>
      <w:r w:rsidRPr="005E68C8">
        <w:t>a measure of stream “health”</w:t>
      </w:r>
      <w:r>
        <w:t>,</w:t>
      </w:r>
      <w:r w:rsidRPr="005E68C8">
        <w:t xml:space="preserve"> calculated </w:t>
      </w:r>
      <w:r>
        <w:t xml:space="preserve">from the </w:t>
      </w:r>
      <w:r w:rsidRPr="005E68C8">
        <w:t xml:space="preserve">presence of types of </w:t>
      </w:r>
      <w:r>
        <w:t>invertebrate expected in water of different levels of quality (</w:t>
      </w:r>
      <w:r>
        <w:fldChar w:fldCharType="begin"/>
      </w:r>
      <w:r>
        <w:instrText xml:space="preserve"> REF _Ref30407818 \h </w:instrText>
      </w:r>
      <w:r>
        <w:fldChar w:fldCharType="separate"/>
      </w:r>
      <w:r w:rsidR="00024EB5">
        <w:t xml:space="preserve">Box </w:t>
      </w:r>
      <w:r w:rsidR="00024EB5">
        <w:rPr>
          <w:noProof/>
        </w:rPr>
        <w:t>1</w:t>
      </w:r>
      <w:r>
        <w:fldChar w:fldCharType="end"/>
      </w:r>
      <w:r>
        <w:t>). The authors note a significant finding was that Māori have approximately 40 percent higher WTP for environmental quality improvements than the general population.</w:t>
      </w:r>
    </w:p>
    <w:p w14:paraId="0227AA12" w14:textId="77777777" w:rsidR="00FC77C7" w:rsidRDefault="00FC77C7" w:rsidP="00FC77C7">
      <w:pPr>
        <w:pStyle w:val="Heading4"/>
      </w:pPr>
      <w:r>
        <w:t>Social/Recreational</w:t>
      </w:r>
    </w:p>
    <w:p w14:paraId="46B420D2" w14:textId="77777777" w:rsidR="00FC77C7" w:rsidRDefault="00FC77C7" w:rsidP="00FC77C7">
      <w:r>
        <w:t xml:space="preserve">Suitability of sites for swimming was used as a recreational attribute. Miller et al use the percentage of popular sites in the region being suitable for swimming, </w:t>
      </w:r>
      <w:proofErr w:type="spellStart"/>
      <w:r>
        <w:t>ie</w:t>
      </w:r>
      <w:proofErr w:type="spellEnd"/>
      <w:r>
        <w:t xml:space="preserve"> that meet a safe swimming threshold based on an Environment Canterbury “Suitability for Recreation Grade assessment”.</w:t>
      </w:r>
      <w:r>
        <w:rPr>
          <w:rStyle w:val="FootnoteReference"/>
        </w:rPr>
        <w:footnoteReference w:id="52"/>
      </w:r>
      <w:r>
        <w:t xml:space="preserve"> Because the measurement is based on the proportion of popular sites, these values are less easily transferred for use with a more generalised increase in quality and where information on popularity is not readily available.</w:t>
      </w:r>
    </w:p>
    <w:p w14:paraId="075BFF8C" w14:textId="77777777" w:rsidR="00FC77C7" w:rsidRDefault="00FC77C7" w:rsidP="00FC77C7">
      <w:pPr>
        <w:pStyle w:val="Heading4"/>
      </w:pPr>
      <w:r>
        <w:t>Cultural</w:t>
      </w:r>
    </w:p>
    <w:p w14:paraId="6F674D83" w14:textId="77777777" w:rsidR="00FC77C7" w:rsidRPr="00FC74FB" w:rsidRDefault="00FC77C7" w:rsidP="00FC77C7">
      <w:r>
        <w:t xml:space="preserve">Miller </w:t>
      </w:r>
      <w:r>
        <w:rPr>
          <w:i/>
          <w:iCs/>
        </w:rPr>
        <w:t>et al</w:t>
      </w:r>
      <w:r>
        <w:t xml:space="preserve"> (2015) include a cultural value in the form of availability of </w:t>
      </w:r>
      <w:proofErr w:type="spellStart"/>
      <w:r w:rsidRPr="00FC74FB">
        <w:rPr>
          <w:i/>
          <w:iCs/>
        </w:rPr>
        <w:t>mahinga</w:t>
      </w:r>
      <w:proofErr w:type="spellEnd"/>
      <w:r w:rsidRPr="00FC74FB">
        <w:rPr>
          <w:i/>
          <w:iCs/>
        </w:rPr>
        <w:t xml:space="preserve"> kai</w:t>
      </w:r>
      <w:r>
        <w:t>.</w:t>
      </w:r>
      <w:r>
        <w:rPr>
          <w:rStyle w:val="FootnoteReference"/>
        </w:rPr>
        <w:footnoteReference w:id="53"/>
      </w:r>
      <w:r>
        <w:t xml:space="preserve"> This was based on the Cultural Health Index (CHI) developed with input from Māori communities.</w:t>
      </w:r>
      <w:r>
        <w:rPr>
          <w:rStyle w:val="FootnoteReference"/>
        </w:rPr>
        <w:footnoteReference w:id="54"/>
      </w:r>
      <w:r>
        <w:t xml:space="preserve"> Miller </w:t>
      </w:r>
      <w:r w:rsidRPr="00382C31">
        <w:rPr>
          <w:i/>
          <w:iCs/>
        </w:rPr>
        <w:t>et</w:t>
      </w:r>
      <w:r>
        <w:t xml:space="preserve"> </w:t>
      </w:r>
      <w:r w:rsidRPr="00382C31">
        <w:rPr>
          <w:i/>
          <w:iCs/>
        </w:rPr>
        <w:t>al</w:t>
      </w:r>
      <w:r>
        <w:rPr>
          <w:i/>
          <w:iCs/>
        </w:rPr>
        <w:t xml:space="preserve"> </w:t>
      </w:r>
      <w:r w:rsidRPr="00382C31">
        <w:t>note that CHI</w:t>
      </w:r>
      <w:r>
        <w:t xml:space="preserve"> takes account of species availability, ongoing abilities to harvest and access the sites, and perceptions of site use. Use of this attribute requires analysis at a level of disaggregation not possible in this current study.</w:t>
      </w:r>
    </w:p>
    <w:p w14:paraId="69158882" w14:textId="77777777" w:rsidR="00FC77C7" w:rsidRDefault="00FC77C7" w:rsidP="00FC77C7">
      <w:pPr>
        <w:pStyle w:val="Heading3"/>
      </w:pPr>
      <w:bookmarkStart w:id="70" w:name="_Ref34316044"/>
      <w:r>
        <w:t>Tait et al (2016)</w:t>
      </w:r>
      <w:bookmarkEnd w:id="70"/>
    </w:p>
    <w:p w14:paraId="7A22CF0C" w14:textId="3C36204D" w:rsidR="00FC77C7" w:rsidRDefault="00FC77C7" w:rsidP="00FC77C7">
      <w:r>
        <w:t xml:space="preserve">Tait </w:t>
      </w:r>
      <w:r>
        <w:rPr>
          <w:i/>
          <w:iCs/>
        </w:rPr>
        <w:t>et al</w:t>
      </w:r>
      <w:r>
        <w:t xml:space="preserve"> (2016) undertook a national survey of a representative sample of people to examine the benefits of </w:t>
      </w:r>
      <w:r w:rsidRPr="002F13AD">
        <w:t xml:space="preserve">a </w:t>
      </w:r>
      <w:r>
        <w:t xml:space="preserve">policy to exclude </w:t>
      </w:r>
      <w:r w:rsidRPr="002F13AD">
        <w:t>farm animal</w:t>
      </w:r>
      <w:r>
        <w:t>s</w:t>
      </w:r>
      <w:r w:rsidRPr="002F13AD">
        <w:t xml:space="preserve"> </w:t>
      </w:r>
      <w:r>
        <w:t xml:space="preserve">from waterways. The results are shown in </w:t>
      </w:r>
      <w:r>
        <w:fldChar w:fldCharType="begin"/>
      </w:r>
      <w:r>
        <w:instrText xml:space="preserve"> REF _Ref30413099 \h </w:instrText>
      </w:r>
      <w:r>
        <w:fldChar w:fldCharType="separate"/>
      </w:r>
      <w:r w:rsidR="00024EB5">
        <w:t xml:space="preserve">Table </w:t>
      </w:r>
      <w:r w:rsidR="00024EB5">
        <w:rPr>
          <w:noProof/>
        </w:rPr>
        <w:t>3</w:t>
      </w:r>
      <w:r>
        <w:fldChar w:fldCharType="end"/>
      </w:r>
      <w:r>
        <w:t xml:space="preserve"> above (Section </w:t>
      </w:r>
      <w:r>
        <w:fldChar w:fldCharType="begin"/>
      </w:r>
      <w:r>
        <w:instrText xml:space="preserve"> REF _Ref34316930 \r \h </w:instrText>
      </w:r>
      <w:r>
        <w:fldChar w:fldCharType="separate"/>
      </w:r>
      <w:r w:rsidR="00024EB5">
        <w:t>2.2</w:t>
      </w:r>
      <w:r>
        <w:fldChar w:fldCharType="end"/>
      </w:r>
      <w:r>
        <w:t>) as the benefits of a “</w:t>
      </w:r>
      <w:r w:rsidRPr="000E5C29">
        <w:t>percentage point increase in the proportion of waterbodies that achieve a particular water quality outcome</w:t>
      </w:r>
      <w:r>
        <w:t>.” It provides an excellent basis for the analysis required in this study because the results are based on a national survey of the general public.</w:t>
      </w:r>
    </w:p>
    <w:p w14:paraId="246DE7D0" w14:textId="77777777" w:rsidR="00FC77C7" w:rsidRDefault="00FC77C7" w:rsidP="00FC77C7"/>
    <w:p w14:paraId="2762D222" w14:textId="77777777" w:rsidR="00FC77C7" w:rsidRPr="004E6854" w:rsidRDefault="00FC77C7" w:rsidP="00FC77C7">
      <w:r w:rsidRPr="004E6854">
        <w:t xml:space="preserve">Tait </w:t>
      </w:r>
      <w:r w:rsidRPr="004E6854">
        <w:rPr>
          <w:i/>
          <w:iCs/>
        </w:rPr>
        <w:t xml:space="preserve">et </w:t>
      </w:r>
      <w:r w:rsidRPr="004E6854">
        <w:t xml:space="preserve">al (2016) provide the most recent set of data and in a format that is highly suitable for this study.  </w:t>
      </w:r>
    </w:p>
    <w:p w14:paraId="15242557" w14:textId="77777777" w:rsidR="00FC77C7" w:rsidRDefault="00FC77C7" w:rsidP="00FC77C7"/>
    <w:p w14:paraId="26B93CEB" w14:textId="77777777" w:rsidR="00FC77C7" w:rsidRDefault="00FC77C7" w:rsidP="00FC77C7">
      <w:r>
        <w:t>The different attributes are discussed briefly below.</w:t>
      </w:r>
    </w:p>
    <w:p w14:paraId="2B62D3B2" w14:textId="77777777" w:rsidR="00FC77C7" w:rsidRDefault="00FC77C7" w:rsidP="00FC77C7">
      <w:pPr>
        <w:pStyle w:val="Heading4"/>
      </w:pPr>
      <w:r>
        <w:t>Human health risk</w:t>
      </w:r>
    </w:p>
    <w:p w14:paraId="096022B8" w14:textId="793DF0A6" w:rsidR="00FC77C7" w:rsidRDefault="00FC77C7" w:rsidP="00FC77C7">
      <w:r>
        <w:t xml:space="preserve">Human health risk was measured as the number of people who have contact with a waterway and then become sick. They adopted the health risk categories used in the National Objectives Framework National Policy Statement for Freshwater Management (see </w:t>
      </w:r>
      <w:r>
        <w:fldChar w:fldCharType="begin"/>
      </w:r>
      <w:r>
        <w:instrText xml:space="preserve"> REF _Ref32579739 \h </w:instrText>
      </w:r>
      <w:r>
        <w:fldChar w:fldCharType="separate"/>
      </w:r>
      <w:r w:rsidR="00024EB5">
        <w:t xml:space="preserve">Table </w:t>
      </w:r>
      <w:r w:rsidR="00024EB5">
        <w:rPr>
          <w:noProof/>
        </w:rPr>
        <w:t>5</w:t>
      </w:r>
      <w:r>
        <w:fldChar w:fldCharType="end"/>
      </w:r>
      <w:r>
        <w:t xml:space="preserve">). </w:t>
      </w:r>
    </w:p>
    <w:p w14:paraId="48209228" w14:textId="77777777" w:rsidR="00FC77C7" w:rsidRDefault="00FC77C7" w:rsidP="00FC77C7">
      <w:pPr>
        <w:pStyle w:val="Heading4"/>
      </w:pPr>
      <w:r>
        <w:lastRenderedPageBreak/>
        <w:t>Ecological quality</w:t>
      </w:r>
    </w:p>
    <w:p w14:paraId="2493F3E8" w14:textId="0852B349" w:rsidR="00FC77C7" w:rsidRDefault="00FC77C7" w:rsidP="00FC77C7">
      <w:r>
        <w:t>Ecological quality was measured using MCI scores (</w:t>
      </w:r>
      <w:r>
        <w:fldChar w:fldCharType="begin"/>
      </w:r>
      <w:r>
        <w:instrText xml:space="preserve"> REF _Ref30407818 \h </w:instrText>
      </w:r>
      <w:r>
        <w:fldChar w:fldCharType="separate"/>
      </w:r>
      <w:r w:rsidR="00024EB5">
        <w:t xml:space="preserve">Box </w:t>
      </w:r>
      <w:r w:rsidR="00024EB5">
        <w:rPr>
          <w:noProof/>
        </w:rPr>
        <w:t>1</w:t>
      </w:r>
      <w:r>
        <w:fldChar w:fldCharType="end"/>
      </w:r>
      <w:r>
        <w:t>), based on the presence (or absence) of different kinds of indicator species.</w:t>
      </w:r>
    </w:p>
    <w:p w14:paraId="5B00C9EC" w14:textId="77777777" w:rsidR="00FC77C7" w:rsidRDefault="00FC77C7" w:rsidP="00FC77C7">
      <w:pPr>
        <w:pStyle w:val="Heading4"/>
      </w:pPr>
      <w:r>
        <w:t>Water clarity</w:t>
      </w:r>
    </w:p>
    <w:p w14:paraId="484F36E1" w14:textId="77777777" w:rsidR="00FC77C7" w:rsidRDefault="00FC77C7" w:rsidP="00FC77C7">
      <w:r>
        <w:t>Water clarity is measured using the black disc method (as with Philips 2014).</w:t>
      </w:r>
    </w:p>
    <w:p w14:paraId="21F92EE8" w14:textId="77777777" w:rsidR="00FC77C7" w:rsidRDefault="00FC77C7" w:rsidP="00FC77C7">
      <w:pPr>
        <w:pStyle w:val="Heading3"/>
      </w:pPr>
      <w:r>
        <w:t>Comparison of Values</w:t>
      </w:r>
    </w:p>
    <w:p w14:paraId="6F893399" w14:textId="77777777" w:rsidR="00FC77C7" w:rsidRDefault="00FC77C7" w:rsidP="00FC77C7">
      <w:r>
        <w:t xml:space="preserve">Tait </w:t>
      </w:r>
      <w:r>
        <w:rPr>
          <w:i/>
          <w:iCs/>
        </w:rPr>
        <w:t xml:space="preserve">et </w:t>
      </w:r>
      <w:r w:rsidRPr="00484688">
        <w:t>al</w:t>
      </w:r>
      <w:r>
        <w:t xml:space="preserve"> (2016) suggest their results are consistent with those obtained by Miller </w:t>
      </w:r>
      <w:r w:rsidRPr="00507708">
        <w:rPr>
          <w:i/>
          <w:iCs/>
        </w:rPr>
        <w:t>et al</w:t>
      </w:r>
      <w:r>
        <w:t xml:space="preserve"> (2015) and Phillips (2014)</w:t>
      </w:r>
      <w:r w:rsidRPr="00507708">
        <w:t>.</w:t>
      </w:r>
      <w:r>
        <w:t xml:space="preserve"> For example, they estimate a </w:t>
      </w:r>
      <w:r w:rsidRPr="00507708">
        <w:t xml:space="preserve">WTP </w:t>
      </w:r>
      <w:r>
        <w:t xml:space="preserve">of </w:t>
      </w:r>
      <w:r w:rsidRPr="00507708">
        <w:t xml:space="preserve">$0.60 per </w:t>
      </w:r>
      <w:r>
        <w:t xml:space="preserve">1% </w:t>
      </w:r>
      <w:r w:rsidRPr="00507708">
        <w:t xml:space="preserve">increase in the number of monitored sites suitable for swimming </w:t>
      </w:r>
      <w:r>
        <w:t xml:space="preserve">($35.88/60 = $0.60) from Miller </w:t>
      </w:r>
      <w:r>
        <w:rPr>
          <w:i/>
          <w:iCs/>
        </w:rPr>
        <w:t>et al</w:t>
      </w:r>
      <w:r>
        <w:t>, compared to $1.15 in a range of $0.65 to $1.65 for the 1</w:t>
      </w:r>
      <w:r w:rsidRPr="00507708">
        <w:t>:100 human health risk category</w:t>
      </w:r>
      <w:r>
        <w:t xml:space="preserve"> (the relevant level for Miller </w:t>
      </w:r>
      <w:r>
        <w:rPr>
          <w:i/>
          <w:iCs/>
        </w:rPr>
        <w:t xml:space="preserve">et </w:t>
      </w:r>
      <w:proofErr w:type="spellStart"/>
      <w:r>
        <w:rPr>
          <w:i/>
          <w:iCs/>
        </w:rPr>
        <w:t>al</w:t>
      </w:r>
      <w:r>
        <w:t>’s</w:t>
      </w:r>
      <w:proofErr w:type="spellEnd"/>
      <w:r>
        <w:t xml:space="preserve"> study)</w:t>
      </w:r>
      <w:r w:rsidRPr="00507708">
        <w:t>.</w:t>
      </w:r>
      <w:r>
        <w:t xml:space="preserve"> Tait </w:t>
      </w:r>
      <w:r>
        <w:rPr>
          <w:i/>
          <w:iCs/>
        </w:rPr>
        <w:t>et al</w:t>
      </w:r>
      <w:r>
        <w:t xml:space="preserve"> (2016) suggest their values are higher because of </w:t>
      </w:r>
      <w:r w:rsidRPr="00507708">
        <w:t xml:space="preserve">the difference in scale between regional and national outcomes employed across </w:t>
      </w:r>
      <w:r>
        <w:t xml:space="preserve">the </w:t>
      </w:r>
      <w:r w:rsidRPr="00507708">
        <w:t xml:space="preserve">studies </w:t>
      </w:r>
    </w:p>
    <w:p w14:paraId="7D8D730F" w14:textId="77777777" w:rsidR="00FC77C7" w:rsidRDefault="00FC77C7" w:rsidP="00FC77C7"/>
    <w:p w14:paraId="3683F7AB" w14:textId="77777777" w:rsidR="00FC77C7" w:rsidRPr="00373F6E" w:rsidRDefault="00FC77C7" w:rsidP="00FC77C7">
      <w:r>
        <w:t xml:space="preserve">If we compare the numbers to those of Phillips (2014), she suggests an average non-user benefit of $4.11 (and a user benefit of $5.72) for a 1% improvement in number of sites suitable for swimming (in 2014$ values), </w:t>
      </w:r>
      <w:proofErr w:type="spellStart"/>
      <w:r>
        <w:t>ie</w:t>
      </w:r>
      <w:proofErr w:type="spellEnd"/>
      <w:r>
        <w:t>:</w:t>
      </w:r>
      <w:r>
        <w:br/>
      </w:r>
    </w:p>
    <w:p w14:paraId="7FC12047" w14:textId="77777777" w:rsidR="00FC77C7" w:rsidRPr="00373F6E" w:rsidRDefault="00024EB5" w:rsidP="0093011F">
      <w:pPr>
        <w:pStyle w:val="FootnoteText"/>
      </w:pPr>
      <m:oMathPara>
        <m:oMathParaPr>
          <m:jc m:val="center"/>
        </m:oMathParaPr>
        <m:oMath>
          <m:f>
            <m:fPr>
              <m:ctrlPr>
                <w:rPr>
                  <w:rFonts w:ascii="Cambria Math" w:hAnsi="Cambria Math"/>
                </w:rPr>
              </m:ctrlPr>
            </m:fPr>
            <m:num>
              <m:r>
                <m:rPr>
                  <m:sty m:val="p"/>
                </m:rPr>
                <w:rPr>
                  <w:rFonts w:ascii="Cambria Math" w:hAnsi="Cambria Math"/>
                </w:rPr>
                <m:t>$124.30-$1.44</m:t>
              </m:r>
            </m:num>
            <m:den>
              <m:d>
                <m:dPr>
                  <m:ctrlPr>
                    <w:rPr>
                      <w:rFonts w:ascii="Cambria Math" w:hAnsi="Cambria Math"/>
                    </w:rPr>
                  </m:ctrlPr>
                </m:dPr>
                <m:e>
                  <m:f>
                    <m:fPr>
                      <m:ctrlPr>
                        <w:rPr>
                          <w:rFonts w:ascii="Cambria Math" w:hAnsi="Cambria Math"/>
                        </w:rPr>
                      </m:ctrlPr>
                    </m:fPr>
                    <m:num>
                      <m:r>
                        <m:rPr>
                          <m:sty m:val="p"/>
                        </m:rPr>
                        <w:rPr>
                          <w:rFonts w:ascii="Cambria Math" w:hAnsi="Cambria Math"/>
                        </w:rPr>
                        <m:t>300</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e>
              </m:d>
              <m:r>
                <m:rPr>
                  <m:sty m:val="p"/>
                </m:rPr>
                <w:rPr>
                  <w:rFonts w:ascii="Cambria Math" w:hAnsi="Cambria Math"/>
                </w:rPr>
                <m:t>×100</m:t>
              </m:r>
            </m:den>
          </m:f>
          <m:r>
            <m:rPr>
              <m:sty m:val="p"/>
            </m:rPr>
            <w:rPr>
              <w:rFonts w:ascii="Cambria Math" w:hAnsi="Cambria Math"/>
            </w:rPr>
            <m:t>=$4.11</m:t>
          </m:r>
        </m:oMath>
      </m:oMathPara>
    </w:p>
    <w:p w14:paraId="2F0036BC" w14:textId="77777777" w:rsidR="00FC77C7" w:rsidRPr="00373F6E" w:rsidRDefault="00FC77C7" w:rsidP="00FC77C7"/>
    <w:p w14:paraId="3640965A" w14:textId="77777777" w:rsidR="00FC77C7" w:rsidRDefault="00FC77C7" w:rsidP="00FC77C7">
      <w:r>
        <w:t>The value is even higher ($16 per 1% improvement) if examining the marginal improvement from 10/1000 to 1/1000 risk of an infection).</w:t>
      </w:r>
    </w:p>
    <w:p w14:paraId="66D4BC2E" w14:textId="77777777" w:rsidR="00FC77C7" w:rsidRDefault="00FC77C7" w:rsidP="00FC77C7">
      <w:pPr>
        <w:pStyle w:val="Heading3"/>
      </w:pPr>
      <w:r>
        <w:t>Decreasing or Increasing Marginal Benefits</w:t>
      </w:r>
    </w:p>
    <w:p w14:paraId="0A44277A" w14:textId="77777777" w:rsidR="00FC77C7" w:rsidRDefault="00FC77C7" w:rsidP="00FC77C7">
      <w:r>
        <w:t xml:space="preserve">Tait </w:t>
      </w:r>
      <w:r>
        <w:rPr>
          <w:i/>
          <w:iCs/>
        </w:rPr>
        <w:t>et al</w:t>
      </w:r>
      <w:r>
        <w:t xml:space="preserve"> (2016) show increasing marginal benefits of water quality improvement, </w:t>
      </w:r>
      <w:proofErr w:type="spellStart"/>
      <w:r>
        <w:t>ie</w:t>
      </w:r>
      <w:proofErr w:type="spellEnd"/>
      <w:r>
        <w:t xml:space="preserve"> as water quality improves there is a greater benefit from further improvements in quality.  </w:t>
      </w:r>
    </w:p>
    <w:p w14:paraId="73AB22F9" w14:textId="77777777" w:rsidR="00FC77C7" w:rsidRDefault="00FC77C7" w:rsidP="00FC77C7"/>
    <w:p w14:paraId="07699861" w14:textId="77777777" w:rsidR="00FC77C7" w:rsidRDefault="00FC77C7" w:rsidP="00FC77C7">
      <w:r>
        <w:t xml:space="preserve">Miller </w:t>
      </w:r>
      <w:r>
        <w:rPr>
          <w:i/>
          <w:iCs/>
        </w:rPr>
        <w:t>et al</w:t>
      </w:r>
      <w:r>
        <w:t xml:space="preserve"> (2015) </w:t>
      </w:r>
      <w:r w:rsidRPr="00B80FDE">
        <w:t xml:space="preserve">similarly find increasing marginal benefits of water quality improvements measured as QMCI, but find their swimming results suggest a </w:t>
      </w:r>
      <w:proofErr w:type="spellStart"/>
      <w:r w:rsidRPr="00B80FDE">
        <w:t>a</w:t>
      </w:r>
      <w:proofErr w:type="spellEnd"/>
      <w:r w:rsidRPr="00B80FDE">
        <w:t xml:space="preserve"> declining marginal benefit: the average value of improving sites such that 20% are suitable for swimming is $1.28 per 1% improvement, but the average value of increasing the number from 40% to 60% of sites is only $0.34 per 1% improvement. </w:t>
      </w:r>
    </w:p>
    <w:p w14:paraId="790786B2" w14:textId="77777777" w:rsidR="00FC77C7" w:rsidRDefault="00FC77C7" w:rsidP="00FC77C7"/>
    <w:p w14:paraId="30C7431E" w14:textId="77777777" w:rsidR="00FC77C7" w:rsidRDefault="00FC77C7" w:rsidP="00FC77C7">
      <w:r>
        <w:t>Phillips (2014) finds increasing marginal benefits of both reducing infection risk and of increasing water clarity.</w:t>
      </w:r>
    </w:p>
    <w:p w14:paraId="67669177" w14:textId="77777777" w:rsidR="00FC77C7" w:rsidRDefault="00FC77C7" w:rsidP="00FC77C7">
      <w:pPr>
        <w:pStyle w:val="Heading2"/>
      </w:pPr>
      <w:bookmarkStart w:id="71" w:name="_Toc35593996"/>
      <w:bookmarkStart w:id="72" w:name="_Toc35599757"/>
      <w:bookmarkStart w:id="73" w:name="_Ref31127223"/>
      <w:r>
        <w:t>Quantification of Quality Improvements</w:t>
      </w:r>
      <w:bookmarkEnd w:id="71"/>
      <w:bookmarkEnd w:id="72"/>
    </w:p>
    <w:p w14:paraId="64E76B94" w14:textId="77777777" w:rsidR="00FC77C7" w:rsidRDefault="00FC77C7" w:rsidP="00FC77C7">
      <w:r>
        <w:t xml:space="preserve">In this section we bring together the analysis of the benefits of the individual components of the EF package to quantify the benefits of improvements in human health, water clarity and ecological health. </w:t>
      </w:r>
    </w:p>
    <w:p w14:paraId="1D16F571" w14:textId="77777777" w:rsidR="00FC77C7" w:rsidRDefault="00FC77C7" w:rsidP="00FC77C7"/>
    <w:p w14:paraId="14D2C060" w14:textId="3AC82005" w:rsidR="00FC77C7" w:rsidRDefault="00FC77C7" w:rsidP="00FC77C7">
      <w:r>
        <w:t xml:space="preserve">It has not been possible to estimate the benefits of the N and P Bottom Lines. To value these improvements requires that changes in N &amp; P concentrations can be used to estimate changes in factors that are valued by people. An analysis of the 2013-17 monitoring data held by </w:t>
      </w:r>
      <w:proofErr w:type="spellStart"/>
      <w:r>
        <w:t>MfE</w:t>
      </w:r>
      <w:proofErr w:type="spellEnd"/>
      <w:r>
        <w:t xml:space="preserve"> suggests that there is a significant relationship between concentrations of N and P with both MCI and water </w:t>
      </w:r>
      <w:r>
        <w:lastRenderedPageBreak/>
        <w:t xml:space="preserve">clarity, but that there are many other factors affecting these outcomes such that we are unable to predict the effects from the limited data available (see Annex B). We have therefore not placed a monetary benefit value on the N &amp; P bottom lines, despite the fact that they will lead to improvements in several valued outcomes. That said, some of these will be measured through the benefits estimated of other policies, including the MCI bottom lines which aim to improve ecosystem health. We analyse the benefits of these improvements in Section </w:t>
      </w:r>
      <w:r>
        <w:fldChar w:fldCharType="begin"/>
      </w:r>
      <w:r>
        <w:instrText xml:space="preserve"> REF _Ref35591343 \r \h </w:instrText>
      </w:r>
      <w:r>
        <w:fldChar w:fldCharType="separate"/>
      </w:r>
      <w:r w:rsidR="00024EB5">
        <w:t>0</w:t>
      </w:r>
      <w:r>
        <w:fldChar w:fldCharType="end"/>
      </w:r>
      <w:r>
        <w:t xml:space="preserve"> below.</w:t>
      </w:r>
    </w:p>
    <w:p w14:paraId="742AF1EC" w14:textId="77777777" w:rsidR="00FC77C7" w:rsidRDefault="00FC77C7" w:rsidP="00FC77C7">
      <w:pPr>
        <w:pStyle w:val="Heading3"/>
      </w:pPr>
      <w:r>
        <w:t>Human Health</w:t>
      </w:r>
    </w:p>
    <w:p w14:paraId="2E8FDCC7" w14:textId="77777777" w:rsidR="00FC77C7" w:rsidRDefault="00FC77C7" w:rsidP="00FC77C7">
      <w:r>
        <w:t xml:space="preserve">For the human health benefits, we analyse the effects of the stock exclusion policy on </w:t>
      </w:r>
      <w:r>
        <w:rPr>
          <w:i/>
          <w:iCs/>
        </w:rPr>
        <w:t>E coli</w:t>
      </w:r>
      <w:r>
        <w:t xml:space="preserve"> contamination of waterways, which reduces the probability of infection when swimming.</w:t>
      </w:r>
    </w:p>
    <w:p w14:paraId="60158373" w14:textId="77777777" w:rsidR="00FC77C7" w:rsidRDefault="00FC77C7" w:rsidP="00FC77C7"/>
    <w:p w14:paraId="3460C5B8" w14:textId="3A2ED7F9" w:rsidR="00FC77C7" w:rsidRDefault="00FC77C7" w:rsidP="00FC77C7">
      <w:r>
        <w:t xml:space="preserve">The WTP values derive from a national survey, as discussed in Section </w:t>
      </w:r>
      <w:r>
        <w:fldChar w:fldCharType="begin"/>
      </w:r>
      <w:r>
        <w:instrText xml:space="preserve"> REF _Ref34341037 \r \h </w:instrText>
      </w:r>
      <w:r>
        <w:fldChar w:fldCharType="separate"/>
      </w:r>
      <w:r w:rsidR="00024EB5">
        <w:t>2.2</w:t>
      </w:r>
      <w:r>
        <w:fldChar w:fldCharType="end"/>
      </w:r>
      <w:r>
        <w:t xml:space="preserve">. It obtained values from the general population for improvements in the </w:t>
      </w:r>
      <w:proofErr w:type="spellStart"/>
      <w:r>
        <w:t>swimmability</w:t>
      </w:r>
      <w:proofErr w:type="spellEnd"/>
      <w:r>
        <w:t xml:space="preserve"> of rivers which they may or may not visit. The values are for percentage improvements in the number of streams falling into different risk categories (1:1,000, 1:100 and 1:20), representing the risk of getting sick if swimming. </w:t>
      </w:r>
    </w:p>
    <w:p w14:paraId="7F8DEFBE" w14:textId="77777777" w:rsidR="00FC77C7" w:rsidRDefault="00FC77C7" w:rsidP="00FC77C7"/>
    <w:p w14:paraId="03334C4E" w14:textId="017EC02C" w:rsidR="00FC77C7" w:rsidRPr="00263644" w:rsidRDefault="00FC77C7" w:rsidP="00FC77C7">
      <w:r>
        <w:t>Using risk categories from the Draft National Policy Statement for Freshwater Management (</w:t>
      </w:r>
      <w:r>
        <w:fldChar w:fldCharType="begin"/>
      </w:r>
      <w:r>
        <w:instrText xml:space="preserve"> REF _Ref35531133 \h </w:instrText>
      </w:r>
      <w:r>
        <w:fldChar w:fldCharType="separate"/>
      </w:r>
      <w:r w:rsidR="00024EB5">
        <w:t xml:space="preserve">Table </w:t>
      </w:r>
      <w:r w:rsidR="00024EB5">
        <w:rPr>
          <w:noProof/>
        </w:rPr>
        <w:t>12</w:t>
      </w:r>
      <w:r>
        <w:fldChar w:fldCharType="end"/>
      </w:r>
      <w:r>
        <w:t xml:space="preserve">), NIWA analysed the impacts of the stock exclusion policy on the length of streams under different categories. In </w:t>
      </w:r>
      <w:r>
        <w:fldChar w:fldCharType="begin"/>
      </w:r>
      <w:r>
        <w:instrText xml:space="preserve"> REF _Ref35531154 \h </w:instrText>
      </w:r>
      <w:r>
        <w:fldChar w:fldCharType="separate"/>
      </w:r>
      <w:r w:rsidR="00024EB5">
        <w:t xml:space="preserve">Table </w:t>
      </w:r>
      <w:r w:rsidR="00024EB5">
        <w:rPr>
          <w:noProof/>
        </w:rPr>
        <w:t>13</w:t>
      </w:r>
      <w:r>
        <w:fldChar w:fldCharType="end"/>
      </w:r>
      <w:r>
        <w:t xml:space="preserve"> we show the results for one of the scenarios (Scenario 3b) and the baseline; Scenario 3b is regarded by </w:t>
      </w:r>
      <w:proofErr w:type="spellStart"/>
      <w:r>
        <w:t>MfE</w:t>
      </w:r>
      <w:proofErr w:type="spellEnd"/>
      <w:r>
        <w:t xml:space="preserve"> as being closest to the policy proposals. The risk categories can be associated with those used by Tait </w:t>
      </w:r>
      <w:r>
        <w:rPr>
          <w:i/>
          <w:iCs/>
        </w:rPr>
        <w:t>et al</w:t>
      </w:r>
      <w:r>
        <w:t xml:space="preserve"> (2016) to estimate the monetary value of the water quality improvements relating to human health.</w:t>
      </w:r>
    </w:p>
    <w:p w14:paraId="6202FE9C" w14:textId="205715A0" w:rsidR="00FC77C7" w:rsidRDefault="00FC77C7" w:rsidP="0093011F">
      <w:pPr>
        <w:pStyle w:val="Caption"/>
      </w:pPr>
      <w:bookmarkStart w:id="74" w:name="_Ref35531133"/>
      <w:r>
        <w:t xml:space="preserve">Table </w:t>
      </w:r>
      <w:r w:rsidR="00313617">
        <w:fldChar w:fldCharType="begin"/>
      </w:r>
      <w:r w:rsidR="00313617">
        <w:instrText xml:space="preserve"> SEQ Table \* ARABIC </w:instrText>
      </w:r>
      <w:r w:rsidR="00313617">
        <w:fldChar w:fldCharType="separate"/>
      </w:r>
      <w:r w:rsidR="00024EB5">
        <w:rPr>
          <w:noProof/>
        </w:rPr>
        <w:t>12</w:t>
      </w:r>
      <w:r w:rsidR="00313617">
        <w:rPr>
          <w:noProof/>
        </w:rPr>
        <w:fldChar w:fldCharType="end"/>
      </w:r>
      <w:bookmarkEnd w:id="74"/>
      <w:r>
        <w:t xml:space="preserve"> Risk categories</w:t>
      </w:r>
    </w:p>
    <w:tbl>
      <w:tblPr>
        <w:tblStyle w:val="CovecTables"/>
        <w:tblW w:w="4900" w:type="dxa"/>
        <w:tblLook w:val="04E0" w:firstRow="1" w:lastRow="1" w:firstColumn="1" w:lastColumn="0" w:noHBand="0" w:noVBand="1"/>
      </w:tblPr>
      <w:tblGrid>
        <w:gridCol w:w="960"/>
        <w:gridCol w:w="960"/>
        <w:gridCol w:w="960"/>
        <w:gridCol w:w="960"/>
        <w:gridCol w:w="1060"/>
      </w:tblGrid>
      <w:tr w:rsidR="00FC77C7" w14:paraId="16A3071D"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0" w:type="dxa"/>
            <w:hideMark/>
          </w:tcPr>
          <w:p w14:paraId="27EEA24F" w14:textId="77777777" w:rsidR="00FC77C7" w:rsidRDefault="00FC77C7" w:rsidP="0093011F">
            <w:pPr>
              <w:pStyle w:val="TableText"/>
              <w:jc w:val="left"/>
              <w:rPr>
                <w:rFonts w:ascii="Calibri" w:hAnsi="Calibri"/>
                <w:szCs w:val="22"/>
                <w:lang w:eastAsia="en-NZ"/>
              </w:rPr>
            </w:pPr>
            <w:r>
              <w:rPr>
                <w:lang w:eastAsia="en-NZ"/>
              </w:rPr>
              <w:t>Band</w:t>
            </w:r>
          </w:p>
        </w:tc>
        <w:tc>
          <w:tcPr>
            <w:tcW w:w="960" w:type="dxa"/>
            <w:hideMark/>
          </w:tcPr>
          <w:p w14:paraId="08D56FF1"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Average risk</w:t>
            </w:r>
          </w:p>
        </w:tc>
        <w:tc>
          <w:tcPr>
            <w:tcW w:w="960" w:type="dxa"/>
            <w:hideMark/>
          </w:tcPr>
          <w:p w14:paraId="7F342FB6"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Assume</w:t>
            </w:r>
          </w:p>
        </w:tc>
        <w:tc>
          <w:tcPr>
            <w:tcW w:w="960" w:type="dxa"/>
            <w:hideMark/>
          </w:tcPr>
          <w:p w14:paraId="10175E0B"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1 in:</w:t>
            </w:r>
          </w:p>
        </w:tc>
        <w:tc>
          <w:tcPr>
            <w:tcW w:w="1060" w:type="dxa"/>
            <w:hideMark/>
          </w:tcPr>
          <w:p w14:paraId="6B7F8876"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Tait categories</w:t>
            </w:r>
          </w:p>
        </w:tc>
      </w:tr>
      <w:tr w:rsidR="00FC77C7" w14:paraId="61618DEA"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549AE9" w14:textId="77777777" w:rsidR="00FC77C7" w:rsidRDefault="00FC77C7" w:rsidP="0093011F">
            <w:pPr>
              <w:pStyle w:val="TableText"/>
              <w:rPr>
                <w:lang w:eastAsia="en-NZ"/>
              </w:rPr>
            </w:pPr>
            <w:r>
              <w:rPr>
                <w:lang w:eastAsia="en-NZ"/>
              </w:rPr>
              <w:t>A</w:t>
            </w:r>
          </w:p>
        </w:tc>
        <w:tc>
          <w:tcPr>
            <w:tcW w:w="960" w:type="dxa"/>
            <w:noWrap/>
            <w:hideMark/>
          </w:tcPr>
          <w:p w14:paraId="53C79909"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w:t>
            </w:r>
          </w:p>
        </w:tc>
        <w:tc>
          <w:tcPr>
            <w:tcW w:w="960" w:type="dxa"/>
            <w:noWrap/>
            <w:hideMark/>
          </w:tcPr>
          <w:p w14:paraId="2B46D78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w:t>
            </w:r>
          </w:p>
        </w:tc>
        <w:tc>
          <w:tcPr>
            <w:tcW w:w="960" w:type="dxa"/>
            <w:noWrap/>
            <w:hideMark/>
          </w:tcPr>
          <w:p w14:paraId="57C7D13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100</w:t>
            </w:r>
          </w:p>
        </w:tc>
        <w:tc>
          <w:tcPr>
            <w:tcW w:w="1060" w:type="dxa"/>
            <w:noWrap/>
            <w:hideMark/>
          </w:tcPr>
          <w:p w14:paraId="27B18C5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1:100</w:t>
            </w:r>
          </w:p>
        </w:tc>
      </w:tr>
      <w:tr w:rsidR="00FC77C7" w14:paraId="1B913449"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8E3F91" w14:textId="77777777" w:rsidR="00FC77C7" w:rsidRDefault="00FC77C7" w:rsidP="0093011F">
            <w:pPr>
              <w:pStyle w:val="TableText"/>
              <w:rPr>
                <w:lang w:eastAsia="en-NZ"/>
              </w:rPr>
            </w:pPr>
            <w:r>
              <w:rPr>
                <w:lang w:eastAsia="en-NZ"/>
              </w:rPr>
              <w:t>B</w:t>
            </w:r>
          </w:p>
        </w:tc>
        <w:tc>
          <w:tcPr>
            <w:tcW w:w="960" w:type="dxa"/>
            <w:noWrap/>
            <w:hideMark/>
          </w:tcPr>
          <w:p w14:paraId="4A299DA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w:t>
            </w:r>
          </w:p>
        </w:tc>
        <w:tc>
          <w:tcPr>
            <w:tcW w:w="960" w:type="dxa"/>
            <w:noWrap/>
            <w:hideMark/>
          </w:tcPr>
          <w:p w14:paraId="3991F2C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w:t>
            </w:r>
          </w:p>
        </w:tc>
        <w:tc>
          <w:tcPr>
            <w:tcW w:w="960" w:type="dxa"/>
            <w:noWrap/>
            <w:hideMark/>
          </w:tcPr>
          <w:p w14:paraId="2F1C61DD"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50</w:t>
            </w:r>
          </w:p>
        </w:tc>
        <w:tc>
          <w:tcPr>
            <w:tcW w:w="1060" w:type="dxa"/>
            <w:noWrap/>
            <w:hideMark/>
          </w:tcPr>
          <w:p w14:paraId="6EE3286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1:20</w:t>
            </w:r>
          </w:p>
        </w:tc>
      </w:tr>
      <w:tr w:rsidR="00FC77C7" w14:paraId="678F941A"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8F9196" w14:textId="77777777" w:rsidR="00FC77C7" w:rsidRDefault="00FC77C7" w:rsidP="0093011F">
            <w:pPr>
              <w:pStyle w:val="TableText"/>
              <w:rPr>
                <w:lang w:eastAsia="en-NZ"/>
              </w:rPr>
            </w:pPr>
            <w:r>
              <w:rPr>
                <w:lang w:eastAsia="en-NZ"/>
              </w:rPr>
              <w:t>C</w:t>
            </w:r>
          </w:p>
        </w:tc>
        <w:tc>
          <w:tcPr>
            <w:tcW w:w="960" w:type="dxa"/>
            <w:noWrap/>
            <w:hideMark/>
          </w:tcPr>
          <w:p w14:paraId="1AD102C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p>
        </w:tc>
        <w:tc>
          <w:tcPr>
            <w:tcW w:w="960" w:type="dxa"/>
            <w:noWrap/>
            <w:hideMark/>
          </w:tcPr>
          <w:p w14:paraId="5F638918"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p>
        </w:tc>
        <w:tc>
          <w:tcPr>
            <w:tcW w:w="960" w:type="dxa"/>
            <w:noWrap/>
            <w:hideMark/>
          </w:tcPr>
          <w:p w14:paraId="088F358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33</w:t>
            </w:r>
          </w:p>
        </w:tc>
        <w:tc>
          <w:tcPr>
            <w:tcW w:w="1060" w:type="dxa"/>
            <w:noWrap/>
            <w:hideMark/>
          </w:tcPr>
          <w:p w14:paraId="79059E1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1:20</w:t>
            </w:r>
          </w:p>
        </w:tc>
      </w:tr>
      <w:tr w:rsidR="00FC77C7" w14:paraId="47B4A6A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319412" w14:textId="77777777" w:rsidR="00FC77C7" w:rsidRDefault="00FC77C7" w:rsidP="0093011F">
            <w:pPr>
              <w:pStyle w:val="TableText"/>
              <w:rPr>
                <w:lang w:eastAsia="en-NZ"/>
              </w:rPr>
            </w:pPr>
            <w:r>
              <w:rPr>
                <w:lang w:eastAsia="en-NZ"/>
              </w:rPr>
              <w:t>D</w:t>
            </w:r>
          </w:p>
        </w:tc>
        <w:tc>
          <w:tcPr>
            <w:tcW w:w="960" w:type="dxa"/>
            <w:noWrap/>
            <w:hideMark/>
          </w:tcPr>
          <w:p w14:paraId="2B0A3C39"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&gt;3%</w:t>
            </w:r>
          </w:p>
        </w:tc>
        <w:tc>
          <w:tcPr>
            <w:tcW w:w="960" w:type="dxa"/>
            <w:noWrap/>
            <w:hideMark/>
          </w:tcPr>
          <w:p w14:paraId="42B52DB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w:t>
            </w:r>
          </w:p>
        </w:tc>
        <w:tc>
          <w:tcPr>
            <w:tcW w:w="960" w:type="dxa"/>
            <w:noWrap/>
            <w:hideMark/>
          </w:tcPr>
          <w:p w14:paraId="3BA7017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20</w:t>
            </w:r>
          </w:p>
        </w:tc>
        <w:tc>
          <w:tcPr>
            <w:tcW w:w="1060" w:type="dxa"/>
            <w:noWrap/>
            <w:hideMark/>
          </w:tcPr>
          <w:p w14:paraId="10EF4EF4"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1:20</w:t>
            </w:r>
          </w:p>
        </w:tc>
      </w:tr>
      <w:tr w:rsidR="00FC77C7" w14:paraId="1C1438DD"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960" w:type="dxa"/>
            <w:noWrap/>
            <w:hideMark/>
          </w:tcPr>
          <w:p w14:paraId="78694CF8" w14:textId="77777777" w:rsidR="00FC77C7" w:rsidRDefault="00FC77C7" w:rsidP="0093011F">
            <w:pPr>
              <w:pStyle w:val="TableText"/>
              <w:rPr>
                <w:lang w:eastAsia="en-NZ"/>
              </w:rPr>
            </w:pPr>
            <w:r>
              <w:rPr>
                <w:lang w:eastAsia="en-NZ"/>
              </w:rPr>
              <w:t>E</w:t>
            </w:r>
          </w:p>
        </w:tc>
        <w:tc>
          <w:tcPr>
            <w:tcW w:w="960" w:type="dxa"/>
            <w:noWrap/>
            <w:hideMark/>
          </w:tcPr>
          <w:p w14:paraId="7ABAC82A"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&gt;7%</w:t>
            </w:r>
          </w:p>
        </w:tc>
        <w:tc>
          <w:tcPr>
            <w:tcW w:w="960" w:type="dxa"/>
            <w:noWrap/>
            <w:hideMark/>
          </w:tcPr>
          <w:p w14:paraId="6A9E000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10%</w:t>
            </w:r>
          </w:p>
        </w:tc>
        <w:tc>
          <w:tcPr>
            <w:tcW w:w="960" w:type="dxa"/>
            <w:noWrap/>
            <w:hideMark/>
          </w:tcPr>
          <w:p w14:paraId="4A74B1E3"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10</w:t>
            </w:r>
          </w:p>
        </w:tc>
        <w:tc>
          <w:tcPr>
            <w:tcW w:w="1060" w:type="dxa"/>
            <w:noWrap/>
            <w:hideMark/>
          </w:tcPr>
          <w:p w14:paraId="79D93005"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&gt;1:20</w:t>
            </w:r>
          </w:p>
        </w:tc>
      </w:tr>
    </w:tbl>
    <w:p w14:paraId="4ED6324D" w14:textId="77777777" w:rsidR="00FC77C7" w:rsidRPr="00C3424D" w:rsidRDefault="00FC77C7" w:rsidP="00FC77C7">
      <w:pPr>
        <w:spacing w:line="240" w:lineRule="auto"/>
        <w:rPr>
          <w:sz w:val="18"/>
          <w:szCs w:val="18"/>
        </w:rPr>
      </w:pPr>
      <w:r w:rsidRPr="00C3424D">
        <w:rPr>
          <w:sz w:val="18"/>
          <w:szCs w:val="18"/>
        </w:rPr>
        <w:t>Note: The predicted average infection risk is the overall average infection to swimmers based on a random exposure on a random day, ignoring any possibility of not swimming during high flows or when a surveillance advisory is in place.</w:t>
      </w:r>
    </w:p>
    <w:p w14:paraId="0A54A0C6" w14:textId="759E8B79" w:rsidR="00FC77C7" w:rsidRDefault="00FC77C7" w:rsidP="00FC77C7">
      <w:pPr>
        <w:spacing w:line="240" w:lineRule="auto"/>
        <w:rPr>
          <w:sz w:val="18"/>
          <w:szCs w:val="18"/>
        </w:rPr>
      </w:pPr>
      <w:r w:rsidRPr="00C3424D">
        <w:rPr>
          <w:sz w:val="18"/>
          <w:szCs w:val="18"/>
        </w:rPr>
        <w:t>Source: Risk bands and average risk from Ministry for the Environment (2019e)</w:t>
      </w:r>
    </w:p>
    <w:p w14:paraId="5E5988E2" w14:textId="60C26DA4" w:rsidR="0093011F" w:rsidRDefault="0093011F" w:rsidP="00FC77C7">
      <w:pPr>
        <w:spacing w:line="240" w:lineRule="auto"/>
        <w:rPr>
          <w:sz w:val="18"/>
          <w:szCs w:val="18"/>
        </w:rPr>
      </w:pPr>
    </w:p>
    <w:p w14:paraId="6BA87583" w14:textId="0210FD6A" w:rsidR="00FC77C7" w:rsidRPr="00D00CDF" w:rsidRDefault="00FC77C7" w:rsidP="0093011F">
      <w:pPr>
        <w:pStyle w:val="Caption"/>
      </w:pPr>
      <w:bookmarkStart w:id="75" w:name="_Ref35531154"/>
      <w:r>
        <w:t xml:space="preserve">Table </w:t>
      </w:r>
      <w:r w:rsidR="00313617">
        <w:fldChar w:fldCharType="begin"/>
      </w:r>
      <w:r w:rsidR="00313617">
        <w:instrText xml:space="preserve"> SEQ Table \* ARABIC </w:instrText>
      </w:r>
      <w:r w:rsidR="00313617">
        <w:fldChar w:fldCharType="separate"/>
      </w:r>
      <w:r w:rsidR="00024EB5">
        <w:rPr>
          <w:noProof/>
        </w:rPr>
        <w:t>13</w:t>
      </w:r>
      <w:r w:rsidR="00313617">
        <w:rPr>
          <w:noProof/>
        </w:rPr>
        <w:fldChar w:fldCharType="end"/>
      </w:r>
      <w:bookmarkEnd w:id="75"/>
      <w:r>
        <w:t xml:space="preserve"> Stream length under different risk categories</w:t>
      </w:r>
    </w:p>
    <w:tbl>
      <w:tblPr>
        <w:tblStyle w:val="CovecTables"/>
        <w:tblW w:w="5960" w:type="dxa"/>
        <w:tblLook w:val="04E0" w:firstRow="1" w:lastRow="1" w:firstColumn="1" w:lastColumn="0" w:noHBand="0" w:noVBand="1"/>
      </w:tblPr>
      <w:tblGrid>
        <w:gridCol w:w="1160"/>
        <w:gridCol w:w="960"/>
        <w:gridCol w:w="960"/>
        <w:gridCol w:w="960"/>
        <w:gridCol w:w="960"/>
        <w:gridCol w:w="960"/>
      </w:tblGrid>
      <w:tr w:rsidR="00FC77C7" w:rsidRPr="004434BF" w14:paraId="6D63B561"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8B11B86" w14:textId="77777777" w:rsidR="00FC77C7" w:rsidRPr="004434BF" w:rsidRDefault="00FC77C7" w:rsidP="0093011F">
            <w:pPr>
              <w:pStyle w:val="TableText"/>
            </w:pPr>
          </w:p>
        </w:tc>
        <w:tc>
          <w:tcPr>
            <w:tcW w:w="960" w:type="dxa"/>
            <w:noWrap/>
            <w:hideMark/>
          </w:tcPr>
          <w:p w14:paraId="7D79C41C" w14:textId="77777777" w:rsidR="00FC77C7" w:rsidRPr="004434B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4434BF">
              <w:t>A</w:t>
            </w:r>
          </w:p>
        </w:tc>
        <w:tc>
          <w:tcPr>
            <w:tcW w:w="960" w:type="dxa"/>
            <w:noWrap/>
            <w:hideMark/>
          </w:tcPr>
          <w:p w14:paraId="43655D9C" w14:textId="77777777" w:rsidR="00FC77C7" w:rsidRPr="004434B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4434BF">
              <w:t>B</w:t>
            </w:r>
          </w:p>
        </w:tc>
        <w:tc>
          <w:tcPr>
            <w:tcW w:w="960" w:type="dxa"/>
            <w:noWrap/>
            <w:hideMark/>
          </w:tcPr>
          <w:p w14:paraId="22C4F1D4" w14:textId="77777777" w:rsidR="00FC77C7" w:rsidRPr="004434B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4434BF">
              <w:t>C</w:t>
            </w:r>
          </w:p>
        </w:tc>
        <w:tc>
          <w:tcPr>
            <w:tcW w:w="960" w:type="dxa"/>
            <w:noWrap/>
            <w:hideMark/>
          </w:tcPr>
          <w:p w14:paraId="787E28C8" w14:textId="77777777" w:rsidR="00FC77C7" w:rsidRPr="004434B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4434BF">
              <w:t>D</w:t>
            </w:r>
          </w:p>
        </w:tc>
        <w:tc>
          <w:tcPr>
            <w:tcW w:w="960" w:type="dxa"/>
            <w:noWrap/>
            <w:hideMark/>
          </w:tcPr>
          <w:p w14:paraId="1AEF6789" w14:textId="77777777" w:rsidR="00FC77C7" w:rsidRPr="004434B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4434BF">
              <w:t>E</w:t>
            </w:r>
          </w:p>
        </w:tc>
      </w:tr>
      <w:tr w:rsidR="00FC77C7" w:rsidRPr="004434BF" w14:paraId="0448B41F"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5323670" w14:textId="77777777" w:rsidR="00FC77C7" w:rsidRPr="004434BF" w:rsidRDefault="00FC77C7" w:rsidP="0093011F">
            <w:pPr>
              <w:pStyle w:val="TableText"/>
            </w:pPr>
            <w:r w:rsidRPr="004434BF">
              <w:t>Baseline</w:t>
            </w:r>
          </w:p>
        </w:tc>
        <w:tc>
          <w:tcPr>
            <w:tcW w:w="960" w:type="dxa"/>
            <w:noWrap/>
            <w:hideMark/>
          </w:tcPr>
          <w:p w14:paraId="125F2541"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107.2</w:t>
            </w:r>
          </w:p>
        </w:tc>
        <w:tc>
          <w:tcPr>
            <w:tcW w:w="960" w:type="dxa"/>
            <w:noWrap/>
            <w:hideMark/>
          </w:tcPr>
          <w:p w14:paraId="6724FBCA"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92.4</w:t>
            </w:r>
          </w:p>
        </w:tc>
        <w:tc>
          <w:tcPr>
            <w:tcW w:w="960" w:type="dxa"/>
            <w:noWrap/>
            <w:hideMark/>
          </w:tcPr>
          <w:p w14:paraId="10DC51AC"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50.5</w:t>
            </w:r>
          </w:p>
        </w:tc>
        <w:tc>
          <w:tcPr>
            <w:tcW w:w="960" w:type="dxa"/>
            <w:noWrap/>
            <w:hideMark/>
          </w:tcPr>
          <w:p w14:paraId="6F35EC6D"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83.4</w:t>
            </w:r>
          </w:p>
        </w:tc>
        <w:tc>
          <w:tcPr>
            <w:tcW w:w="960" w:type="dxa"/>
            <w:noWrap/>
            <w:hideMark/>
          </w:tcPr>
          <w:p w14:paraId="02BC139A"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66.5</w:t>
            </w:r>
          </w:p>
        </w:tc>
      </w:tr>
      <w:tr w:rsidR="00FC77C7" w:rsidRPr="004434BF" w14:paraId="00BBF85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432AD14" w14:textId="77777777" w:rsidR="00FC77C7" w:rsidRPr="004434BF" w:rsidRDefault="00FC77C7" w:rsidP="0093011F">
            <w:pPr>
              <w:pStyle w:val="TableText"/>
            </w:pPr>
            <w:r w:rsidRPr="004434BF">
              <w:t>Scenario 3b</w:t>
            </w:r>
          </w:p>
        </w:tc>
        <w:tc>
          <w:tcPr>
            <w:tcW w:w="960" w:type="dxa"/>
            <w:noWrap/>
            <w:hideMark/>
          </w:tcPr>
          <w:p w14:paraId="5726C25B"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135.9</w:t>
            </w:r>
          </w:p>
        </w:tc>
        <w:tc>
          <w:tcPr>
            <w:tcW w:w="960" w:type="dxa"/>
            <w:noWrap/>
            <w:hideMark/>
          </w:tcPr>
          <w:p w14:paraId="04FAEF8F"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102.6</w:t>
            </w:r>
          </w:p>
        </w:tc>
        <w:tc>
          <w:tcPr>
            <w:tcW w:w="960" w:type="dxa"/>
            <w:noWrap/>
            <w:hideMark/>
          </w:tcPr>
          <w:p w14:paraId="29C4F3E7"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65</w:t>
            </w:r>
          </w:p>
        </w:tc>
        <w:tc>
          <w:tcPr>
            <w:tcW w:w="960" w:type="dxa"/>
            <w:noWrap/>
            <w:hideMark/>
          </w:tcPr>
          <w:p w14:paraId="03CDAC2E"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70.5</w:t>
            </w:r>
          </w:p>
        </w:tc>
        <w:tc>
          <w:tcPr>
            <w:tcW w:w="960" w:type="dxa"/>
            <w:noWrap/>
            <w:hideMark/>
          </w:tcPr>
          <w:p w14:paraId="04530A3A" w14:textId="77777777" w:rsidR="00FC77C7" w:rsidRPr="004434BF"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4434BF">
              <w:t>26.1</w:t>
            </w:r>
          </w:p>
        </w:tc>
      </w:tr>
      <w:tr w:rsidR="00FC77C7" w:rsidRPr="004434BF" w14:paraId="49F5943A"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1160" w:type="dxa"/>
            <w:noWrap/>
            <w:hideMark/>
          </w:tcPr>
          <w:p w14:paraId="4631D31A" w14:textId="77777777" w:rsidR="00FC77C7" w:rsidRPr="004434BF" w:rsidRDefault="00FC77C7" w:rsidP="0093011F">
            <w:pPr>
              <w:pStyle w:val="TableText"/>
            </w:pPr>
            <w:r w:rsidRPr="004434BF">
              <w:t>Change</w:t>
            </w:r>
          </w:p>
        </w:tc>
        <w:tc>
          <w:tcPr>
            <w:tcW w:w="960" w:type="dxa"/>
            <w:noWrap/>
            <w:hideMark/>
          </w:tcPr>
          <w:p w14:paraId="007C7593" w14:textId="77777777" w:rsidR="00FC77C7" w:rsidRPr="004434B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4434BF">
              <w:t>28.7</w:t>
            </w:r>
          </w:p>
        </w:tc>
        <w:tc>
          <w:tcPr>
            <w:tcW w:w="960" w:type="dxa"/>
            <w:noWrap/>
            <w:hideMark/>
          </w:tcPr>
          <w:p w14:paraId="41B74146" w14:textId="77777777" w:rsidR="00FC77C7" w:rsidRPr="004434B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4434BF">
              <w:t>10.2</w:t>
            </w:r>
          </w:p>
        </w:tc>
        <w:tc>
          <w:tcPr>
            <w:tcW w:w="960" w:type="dxa"/>
            <w:noWrap/>
            <w:hideMark/>
          </w:tcPr>
          <w:p w14:paraId="2E4FEF1A" w14:textId="77777777" w:rsidR="00FC77C7" w:rsidRPr="004434B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4434BF">
              <w:t>14.5</w:t>
            </w:r>
          </w:p>
        </w:tc>
        <w:tc>
          <w:tcPr>
            <w:tcW w:w="960" w:type="dxa"/>
            <w:noWrap/>
            <w:hideMark/>
          </w:tcPr>
          <w:p w14:paraId="4B948120" w14:textId="77777777" w:rsidR="00FC77C7" w:rsidRPr="004434B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4434BF">
              <w:t>-12.9</w:t>
            </w:r>
          </w:p>
        </w:tc>
        <w:tc>
          <w:tcPr>
            <w:tcW w:w="960" w:type="dxa"/>
            <w:noWrap/>
            <w:hideMark/>
          </w:tcPr>
          <w:p w14:paraId="1B2A89CF" w14:textId="77777777" w:rsidR="00FC77C7" w:rsidRPr="004434BF"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4434BF">
              <w:t>-40.4</w:t>
            </w:r>
          </w:p>
        </w:tc>
      </w:tr>
    </w:tbl>
    <w:p w14:paraId="6D446097" w14:textId="77777777" w:rsidR="00FC77C7" w:rsidRPr="00C3424D" w:rsidRDefault="00FC77C7" w:rsidP="00FC77C7">
      <w:pPr>
        <w:rPr>
          <w:sz w:val="18"/>
          <w:szCs w:val="18"/>
        </w:rPr>
      </w:pPr>
      <w:r w:rsidRPr="00C3424D">
        <w:rPr>
          <w:sz w:val="18"/>
          <w:szCs w:val="18"/>
        </w:rPr>
        <w:t xml:space="preserve">Source: </w:t>
      </w:r>
      <w:proofErr w:type="spellStart"/>
      <w:r w:rsidRPr="00C3424D">
        <w:rPr>
          <w:sz w:val="18"/>
          <w:szCs w:val="18"/>
        </w:rPr>
        <w:t>Semadeni</w:t>
      </w:r>
      <w:proofErr w:type="spellEnd"/>
      <w:r w:rsidRPr="00C3424D">
        <w:rPr>
          <w:sz w:val="18"/>
          <w:szCs w:val="18"/>
        </w:rPr>
        <w:t>-Davies et al (2020)</w:t>
      </w:r>
    </w:p>
    <w:p w14:paraId="733A73CB" w14:textId="77777777" w:rsidR="00FC77C7" w:rsidRDefault="00FC77C7" w:rsidP="00FC77C7"/>
    <w:p w14:paraId="2479252A" w14:textId="01A8DD03" w:rsidR="00FC77C7" w:rsidRDefault="00FC77C7" w:rsidP="00FC77C7">
      <w:r>
        <w:t xml:space="preserve">The percentage </w:t>
      </w:r>
      <w:r w:rsidR="00D235A5">
        <w:t xml:space="preserve">point </w:t>
      </w:r>
      <w:r>
        <w:t xml:space="preserve">improvements are shown in </w:t>
      </w:r>
      <w:r>
        <w:fldChar w:fldCharType="begin"/>
      </w:r>
      <w:r>
        <w:instrText xml:space="preserve"> REF _Ref35531383 \h </w:instrText>
      </w:r>
      <w:r>
        <w:fldChar w:fldCharType="separate"/>
      </w:r>
      <w:r w:rsidR="00024EB5">
        <w:t xml:space="preserve">Table </w:t>
      </w:r>
      <w:r w:rsidR="00024EB5">
        <w:rPr>
          <w:noProof/>
        </w:rPr>
        <w:t>14</w:t>
      </w:r>
      <w:r>
        <w:fldChar w:fldCharType="end"/>
      </w:r>
      <w:r w:rsidR="00D235A5">
        <w:t>, along with the corresponding estimates of value (median, low and high)</w:t>
      </w:r>
      <w:r>
        <w:t xml:space="preserve">. Unlike the original study, which used percentage change in the number of streams in the different categories, this uses percentage change in stream length. We use this as a proxy for percentage improvement in number of streams (or assume that people will value this improvement equally). </w:t>
      </w:r>
    </w:p>
    <w:p w14:paraId="56937DD2" w14:textId="45BF0E98" w:rsidR="00FC77C7" w:rsidRDefault="00FC77C7" w:rsidP="0093011F">
      <w:pPr>
        <w:pStyle w:val="Caption"/>
      </w:pPr>
      <w:bookmarkStart w:id="76" w:name="_Ref35531383"/>
      <w:r>
        <w:lastRenderedPageBreak/>
        <w:t xml:space="preserve">Table </w:t>
      </w:r>
      <w:r w:rsidR="00313617">
        <w:fldChar w:fldCharType="begin"/>
      </w:r>
      <w:r w:rsidR="00313617">
        <w:instrText xml:space="preserve"> SEQ Table \* ARABIC </w:instrText>
      </w:r>
      <w:r w:rsidR="00313617">
        <w:fldChar w:fldCharType="separate"/>
      </w:r>
      <w:r w:rsidR="00024EB5">
        <w:rPr>
          <w:noProof/>
        </w:rPr>
        <w:t>14</w:t>
      </w:r>
      <w:r w:rsidR="00313617">
        <w:rPr>
          <w:noProof/>
        </w:rPr>
        <w:fldChar w:fldCharType="end"/>
      </w:r>
      <w:bookmarkEnd w:id="76"/>
      <w:r>
        <w:t xml:space="preserve"> Average impacts per person of improvements in </w:t>
      </w:r>
      <w:proofErr w:type="spellStart"/>
      <w:r>
        <w:t>swimmability</w:t>
      </w:r>
      <w:proofErr w:type="spellEnd"/>
    </w:p>
    <w:tbl>
      <w:tblPr>
        <w:tblStyle w:val="CovecTables"/>
        <w:tblW w:w="8108" w:type="dxa"/>
        <w:tblLook w:val="04E0" w:firstRow="1" w:lastRow="1" w:firstColumn="1" w:lastColumn="0" w:noHBand="0" w:noVBand="1"/>
      </w:tblPr>
      <w:tblGrid>
        <w:gridCol w:w="732"/>
        <w:gridCol w:w="1278"/>
        <w:gridCol w:w="854"/>
        <w:gridCol w:w="1418"/>
        <w:gridCol w:w="1684"/>
        <w:gridCol w:w="1071"/>
        <w:gridCol w:w="1071"/>
      </w:tblGrid>
      <w:tr w:rsidR="00D235A5" w:rsidRPr="00263644" w14:paraId="2E371EEC" w14:textId="2DE5FC19" w:rsidTr="00D235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2" w:type="dxa"/>
            <w:noWrap/>
            <w:hideMark/>
          </w:tcPr>
          <w:p w14:paraId="734EB8A7" w14:textId="77777777" w:rsidR="00D235A5" w:rsidRPr="00263644" w:rsidRDefault="00D235A5" w:rsidP="0093011F">
            <w:pPr>
              <w:pStyle w:val="TableText"/>
              <w:jc w:val="left"/>
              <w:rPr>
                <w:lang w:eastAsia="en-NZ"/>
              </w:rPr>
            </w:pPr>
            <w:r w:rsidRPr="00263644">
              <w:rPr>
                <w:lang w:eastAsia="en-NZ"/>
              </w:rPr>
              <w:t>Band</w:t>
            </w:r>
          </w:p>
        </w:tc>
        <w:tc>
          <w:tcPr>
            <w:tcW w:w="1278" w:type="dxa"/>
            <w:noWrap/>
            <w:hideMark/>
          </w:tcPr>
          <w:p w14:paraId="2E0ED6EE" w14:textId="77777777"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263644">
              <w:rPr>
                <w:lang w:eastAsia="en-NZ"/>
              </w:rPr>
              <w:t>% improvement</w:t>
            </w:r>
          </w:p>
        </w:tc>
        <w:tc>
          <w:tcPr>
            <w:tcW w:w="854" w:type="dxa"/>
            <w:noWrap/>
            <w:hideMark/>
          </w:tcPr>
          <w:p w14:paraId="0A583078" w14:textId="77777777"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263644">
              <w:rPr>
                <w:lang w:eastAsia="en-NZ"/>
              </w:rPr>
              <w:t>% points</w:t>
            </w:r>
          </w:p>
        </w:tc>
        <w:tc>
          <w:tcPr>
            <w:tcW w:w="1418" w:type="dxa"/>
            <w:noWrap/>
            <w:hideMark/>
          </w:tcPr>
          <w:p w14:paraId="7448346C" w14:textId="38775379"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xml:space="preserve">Median </w:t>
            </w:r>
            <w:r w:rsidRPr="00263644">
              <w:rPr>
                <w:lang w:eastAsia="en-NZ"/>
              </w:rPr>
              <w:t>Value</w:t>
            </w:r>
            <w:r>
              <w:rPr>
                <w:lang w:eastAsia="en-NZ"/>
              </w:rPr>
              <w:t xml:space="preserve"> (range)</w:t>
            </w:r>
          </w:p>
        </w:tc>
        <w:tc>
          <w:tcPr>
            <w:tcW w:w="1684" w:type="dxa"/>
            <w:noWrap/>
            <w:hideMark/>
          </w:tcPr>
          <w:p w14:paraId="1110025B" w14:textId="65030313"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263644">
              <w:rPr>
                <w:lang w:eastAsia="en-NZ"/>
              </w:rPr>
              <w:t xml:space="preserve">Total </w:t>
            </w:r>
            <w:r>
              <w:rPr>
                <w:lang w:eastAsia="en-NZ"/>
              </w:rPr>
              <w:t xml:space="preserve">– Median value </w:t>
            </w:r>
            <w:r w:rsidRPr="00263644">
              <w:rPr>
                <w:lang w:eastAsia="en-NZ"/>
              </w:rPr>
              <w:t>($/person)</w:t>
            </w:r>
          </w:p>
        </w:tc>
        <w:tc>
          <w:tcPr>
            <w:tcW w:w="1071" w:type="dxa"/>
          </w:tcPr>
          <w:p w14:paraId="5C15E9A0" w14:textId="77777777" w:rsidR="00D235A5"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b w:val="0"/>
                <w:lang w:eastAsia="en-NZ"/>
              </w:rPr>
            </w:pPr>
            <w:r>
              <w:rPr>
                <w:lang w:eastAsia="en-NZ"/>
              </w:rPr>
              <w:t>Low</w:t>
            </w:r>
          </w:p>
          <w:p w14:paraId="1FC885B7" w14:textId="4FB0887A"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263644">
              <w:rPr>
                <w:lang w:eastAsia="en-NZ"/>
              </w:rPr>
              <w:t>($/person)</w:t>
            </w:r>
          </w:p>
        </w:tc>
        <w:tc>
          <w:tcPr>
            <w:tcW w:w="1071" w:type="dxa"/>
          </w:tcPr>
          <w:p w14:paraId="725CF978" w14:textId="77777777" w:rsidR="00D235A5"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b w:val="0"/>
                <w:lang w:eastAsia="en-NZ"/>
              </w:rPr>
            </w:pPr>
            <w:r>
              <w:rPr>
                <w:lang w:eastAsia="en-NZ"/>
              </w:rPr>
              <w:t>High</w:t>
            </w:r>
          </w:p>
          <w:p w14:paraId="6B0507D9" w14:textId="73DB66D4" w:rsidR="00D235A5" w:rsidRPr="00263644" w:rsidRDefault="00D235A5"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263644">
              <w:rPr>
                <w:lang w:eastAsia="en-NZ"/>
              </w:rPr>
              <w:t>($/person)</w:t>
            </w:r>
          </w:p>
        </w:tc>
      </w:tr>
      <w:tr w:rsidR="00D235A5" w:rsidRPr="00263644" w14:paraId="7F601347" w14:textId="3B0AF596" w:rsidTr="00D235A5">
        <w:trPr>
          <w:trHeight w:val="288"/>
        </w:trPr>
        <w:tc>
          <w:tcPr>
            <w:cnfStyle w:val="001000000000" w:firstRow="0" w:lastRow="0" w:firstColumn="1" w:lastColumn="0" w:oddVBand="0" w:evenVBand="0" w:oddHBand="0" w:evenHBand="0" w:firstRowFirstColumn="0" w:firstRowLastColumn="0" w:lastRowFirstColumn="0" w:lastRowLastColumn="0"/>
            <w:tcW w:w="732" w:type="dxa"/>
            <w:noWrap/>
            <w:hideMark/>
          </w:tcPr>
          <w:p w14:paraId="13AA109D" w14:textId="77777777" w:rsidR="00D235A5" w:rsidRPr="00263644" w:rsidRDefault="00D235A5" w:rsidP="00D235A5">
            <w:pPr>
              <w:pStyle w:val="TableText"/>
              <w:rPr>
                <w:lang w:eastAsia="en-NZ"/>
              </w:rPr>
            </w:pPr>
            <w:r w:rsidRPr="00263644">
              <w:rPr>
                <w:lang w:eastAsia="en-NZ"/>
              </w:rPr>
              <w:t>1:100</w:t>
            </w:r>
          </w:p>
        </w:tc>
        <w:tc>
          <w:tcPr>
            <w:tcW w:w="1278" w:type="dxa"/>
            <w:noWrap/>
            <w:hideMark/>
          </w:tcPr>
          <w:p w14:paraId="7E4C1872"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27%</w:t>
            </w:r>
          </w:p>
        </w:tc>
        <w:tc>
          <w:tcPr>
            <w:tcW w:w="854" w:type="dxa"/>
            <w:noWrap/>
            <w:hideMark/>
          </w:tcPr>
          <w:p w14:paraId="4852BD35"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26.8</w:t>
            </w:r>
          </w:p>
        </w:tc>
        <w:tc>
          <w:tcPr>
            <w:tcW w:w="1418" w:type="dxa"/>
            <w:noWrap/>
            <w:hideMark/>
          </w:tcPr>
          <w:p w14:paraId="650FD814" w14:textId="77777777"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$1.22</w:t>
            </w:r>
            <w:r>
              <w:rPr>
                <w:lang w:eastAsia="en-NZ"/>
              </w:rPr>
              <w:t xml:space="preserve"> </w:t>
            </w:r>
          </w:p>
          <w:p w14:paraId="29317465" w14:textId="064BFECC"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($0.69 - $1.75)</w:t>
            </w:r>
          </w:p>
        </w:tc>
        <w:tc>
          <w:tcPr>
            <w:tcW w:w="1684" w:type="dxa"/>
            <w:noWrap/>
            <w:hideMark/>
          </w:tcPr>
          <w:p w14:paraId="694B0DDF"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$32.73</w:t>
            </w:r>
          </w:p>
        </w:tc>
        <w:tc>
          <w:tcPr>
            <w:tcW w:w="1071" w:type="dxa"/>
          </w:tcPr>
          <w:p w14:paraId="2C109E5A" w14:textId="7C8B333E"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B2EF7">
              <w:t>$18.47</w:t>
            </w:r>
          </w:p>
        </w:tc>
        <w:tc>
          <w:tcPr>
            <w:tcW w:w="1071" w:type="dxa"/>
          </w:tcPr>
          <w:p w14:paraId="2E7C48BF" w14:textId="0339C152"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B2EF7">
              <w:t>$46.85</w:t>
            </w:r>
          </w:p>
        </w:tc>
      </w:tr>
      <w:tr w:rsidR="00D235A5" w:rsidRPr="00263644" w14:paraId="35E77E95" w14:textId="70FF8546" w:rsidTr="00D235A5">
        <w:trPr>
          <w:trHeight w:val="288"/>
        </w:trPr>
        <w:tc>
          <w:tcPr>
            <w:cnfStyle w:val="001000000000" w:firstRow="0" w:lastRow="0" w:firstColumn="1" w:lastColumn="0" w:oddVBand="0" w:evenVBand="0" w:oddHBand="0" w:evenHBand="0" w:firstRowFirstColumn="0" w:firstRowLastColumn="0" w:lastRowFirstColumn="0" w:lastRowLastColumn="0"/>
            <w:tcW w:w="732" w:type="dxa"/>
            <w:tcBorders>
              <w:bottom w:val="single" w:sz="8" w:space="0" w:color="A6A6A6" w:themeColor="background1" w:themeShade="A6"/>
            </w:tcBorders>
            <w:noWrap/>
            <w:hideMark/>
          </w:tcPr>
          <w:p w14:paraId="23D080E2" w14:textId="77777777" w:rsidR="00D235A5" w:rsidRPr="00263644" w:rsidRDefault="00D235A5" w:rsidP="00D235A5">
            <w:pPr>
              <w:pStyle w:val="TableText"/>
              <w:rPr>
                <w:lang w:eastAsia="en-NZ"/>
              </w:rPr>
            </w:pPr>
            <w:r w:rsidRPr="00263644">
              <w:rPr>
                <w:lang w:eastAsia="en-NZ"/>
              </w:rPr>
              <w:t>1:20</w:t>
            </w:r>
          </w:p>
        </w:tc>
        <w:tc>
          <w:tcPr>
            <w:tcW w:w="1278" w:type="dxa"/>
            <w:tcBorders>
              <w:bottom w:val="single" w:sz="8" w:space="0" w:color="A6A6A6" w:themeColor="background1" w:themeShade="A6"/>
            </w:tcBorders>
            <w:noWrap/>
            <w:hideMark/>
          </w:tcPr>
          <w:p w14:paraId="10ED1BC5"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5%</w:t>
            </w:r>
          </w:p>
        </w:tc>
        <w:tc>
          <w:tcPr>
            <w:tcW w:w="854" w:type="dxa"/>
            <w:tcBorders>
              <w:bottom w:val="single" w:sz="8" w:space="0" w:color="A6A6A6" w:themeColor="background1" w:themeShade="A6"/>
            </w:tcBorders>
            <w:noWrap/>
            <w:hideMark/>
          </w:tcPr>
          <w:p w14:paraId="734F1AD9"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5.2</w:t>
            </w:r>
          </w:p>
        </w:tc>
        <w:tc>
          <w:tcPr>
            <w:tcW w:w="1418" w:type="dxa"/>
            <w:tcBorders>
              <w:bottom w:val="single" w:sz="8" w:space="0" w:color="A6A6A6" w:themeColor="background1" w:themeShade="A6"/>
            </w:tcBorders>
            <w:noWrap/>
            <w:hideMark/>
          </w:tcPr>
          <w:p w14:paraId="0C6690F1" w14:textId="77777777"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$0.74</w:t>
            </w:r>
          </w:p>
          <w:p w14:paraId="3CC5DF35" w14:textId="55D330D6"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($0.23 - $1.36)</w:t>
            </w:r>
          </w:p>
        </w:tc>
        <w:tc>
          <w:tcPr>
            <w:tcW w:w="1684" w:type="dxa"/>
            <w:tcBorders>
              <w:bottom w:val="single" w:sz="8" w:space="0" w:color="A6A6A6" w:themeColor="background1" w:themeShade="A6"/>
            </w:tcBorders>
            <w:noWrap/>
            <w:hideMark/>
          </w:tcPr>
          <w:p w14:paraId="0E10CF25" w14:textId="77777777"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263644">
              <w:rPr>
                <w:lang w:eastAsia="en-NZ"/>
              </w:rPr>
              <w:t>$3.88</w:t>
            </w:r>
          </w:p>
        </w:tc>
        <w:tc>
          <w:tcPr>
            <w:tcW w:w="1071" w:type="dxa"/>
            <w:tcBorders>
              <w:bottom w:val="single" w:sz="8" w:space="0" w:color="A6A6A6" w:themeColor="background1" w:themeShade="A6"/>
            </w:tcBorders>
          </w:tcPr>
          <w:p w14:paraId="198523D6" w14:textId="59BA1A90"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B2EF7">
              <w:t>$1.20</w:t>
            </w:r>
          </w:p>
        </w:tc>
        <w:tc>
          <w:tcPr>
            <w:tcW w:w="1071" w:type="dxa"/>
            <w:tcBorders>
              <w:bottom w:val="single" w:sz="8" w:space="0" w:color="A6A6A6" w:themeColor="background1" w:themeShade="A6"/>
            </w:tcBorders>
          </w:tcPr>
          <w:p w14:paraId="15A8CFFC" w14:textId="5399F3DC" w:rsidR="00D235A5" w:rsidRPr="00263644"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B2EF7">
              <w:t>$7.09</w:t>
            </w:r>
          </w:p>
        </w:tc>
      </w:tr>
      <w:tr w:rsidR="00D235A5" w:rsidRPr="00263644" w14:paraId="2FC5F24D" w14:textId="083FAC46" w:rsidTr="00D235A5">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732" w:type="dxa"/>
            <w:tcBorders>
              <w:top w:val="single" w:sz="8" w:space="0" w:color="A6A6A6" w:themeColor="background1" w:themeShade="A6"/>
            </w:tcBorders>
            <w:noWrap/>
            <w:hideMark/>
          </w:tcPr>
          <w:p w14:paraId="0CEFE031" w14:textId="77777777" w:rsidR="00D235A5" w:rsidRPr="00263644" w:rsidRDefault="00D235A5" w:rsidP="00D235A5">
            <w:pPr>
              <w:pStyle w:val="TableText"/>
              <w:rPr>
                <w:lang w:eastAsia="en-NZ"/>
              </w:rPr>
            </w:pPr>
            <w:r w:rsidRPr="00263644">
              <w:rPr>
                <w:lang w:eastAsia="en-NZ"/>
              </w:rPr>
              <w:t>Total</w:t>
            </w:r>
          </w:p>
        </w:tc>
        <w:tc>
          <w:tcPr>
            <w:tcW w:w="1278" w:type="dxa"/>
            <w:tcBorders>
              <w:top w:val="single" w:sz="8" w:space="0" w:color="A6A6A6" w:themeColor="background1" w:themeShade="A6"/>
            </w:tcBorders>
            <w:noWrap/>
            <w:hideMark/>
          </w:tcPr>
          <w:p w14:paraId="697864E8" w14:textId="77777777"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854" w:type="dxa"/>
            <w:tcBorders>
              <w:top w:val="single" w:sz="8" w:space="0" w:color="A6A6A6" w:themeColor="background1" w:themeShade="A6"/>
            </w:tcBorders>
            <w:noWrap/>
            <w:hideMark/>
          </w:tcPr>
          <w:p w14:paraId="4AC3FF75" w14:textId="77777777"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1418" w:type="dxa"/>
            <w:tcBorders>
              <w:top w:val="single" w:sz="8" w:space="0" w:color="A6A6A6" w:themeColor="background1" w:themeShade="A6"/>
            </w:tcBorders>
            <w:noWrap/>
            <w:hideMark/>
          </w:tcPr>
          <w:p w14:paraId="5C2C09EA" w14:textId="77777777"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1684" w:type="dxa"/>
            <w:tcBorders>
              <w:top w:val="single" w:sz="8" w:space="0" w:color="A6A6A6" w:themeColor="background1" w:themeShade="A6"/>
            </w:tcBorders>
            <w:noWrap/>
            <w:hideMark/>
          </w:tcPr>
          <w:p w14:paraId="20852AC1" w14:textId="77777777"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263644">
              <w:rPr>
                <w:lang w:eastAsia="en-NZ"/>
              </w:rPr>
              <w:t>$36.61</w:t>
            </w:r>
          </w:p>
        </w:tc>
        <w:tc>
          <w:tcPr>
            <w:tcW w:w="1071" w:type="dxa"/>
            <w:tcBorders>
              <w:top w:val="single" w:sz="8" w:space="0" w:color="A6A6A6" w:themeColor="background1" w:themeShade="A6"/>
            </w:tcBorders>
          </w:tcPr>
          <w:p w14:paraId="124C52A1" w14:textId="542D1ED4"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BB2EF7">
              <w:t>$19.67</w:t>
            </w:r>
          </w:p>
        </w:tc>
        <w:tc>
          <w:tcPr>
            <w:tcW w:w="1071" w:type="dxa"/>
            <w:tcBorders>
              <w:top w:val="single" w:sz="8" w:space="0" w:color="A6A6A6" w:themeColor="background1" w:themeShade="A6"/>
            </w:tcBorders>
          </w:tcPr>
          <w:p w14:paraId="0DC0B5FA" w14:textId="62049809" w:rsidR="00D235A5" w:rsidRPr="00263644"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BB2EF7">
              <w:t>$53.94</w:t>
            </w:r>
          </w:p>
        </w:tc>
      </w:tr>
    </w:tbl>
    <w:p w14:paraId="57ED32B0" w14:textId="77777777" w:rsidR="00FC77C7" w:rsidRDefault="00FC77C7" w:rsidP="00FC77C7"/>
    <w:p w14:paraId="41BE650D" w14:textId="3D80C51E" w:rsidR="00FC77C7" w:rsidRDefault="00FC77C7" w:rsidP="00FC77C7">
      <w:r>
        <w:t xml:space="preserve">The value per person in </w:t>
      </w:r>
      <w:r>
        <w:fldChar w:fldCharType="begin"/>
      </w:r>
      <w:r>
        <w:instrText xml:space="preserve"> REF _Ref35531383 \h </w:instrText>
      </w:r>
      <w:r>
        <w:fldChar w:fldCharType="separate"/>
      </w:r>
      <w:r w:rsidR="00024EB5">
        <w:t xml:space="preserve">Table </w:t>
      </w:r>
      <w:r w:rsidR="00024EB5">
        <w:rPr>
          <w:noProof/>
        </w:rPr>
        <w:t>14</w:t>
      </w:r>
      <w:r>
        <w:fldChar w:fldCharType="end"/>
      </w:r>
      <w:r>
        <w:t xml:space="preserve"> needs to be aggregated to a national level using the adult (18+) population. We use </w:t>
      </w:r>
      <w:proofErr w:type="spellStart"/>
      <w:r>
        <w:t>StatisticsNZ</w:t>
      </w:r>
      <w:proofErr w:type="spellEnd"/>
      <w:r>
        <w:t xml:space="preserve"> population projections</w:t>
      </w:r>
      <w:r>
        <w:rPr>
          <w:rStyle w:val="FootnoteReference"/>
        </w:rPr>
        <w:footnoteReference w:id="55"/>
      </w:r>
      <w:r>
        <w:t xml:space="preserve"> to estimate current and future values; consistent with Tait </w:t>
      </w:r>
      <w:r>
        <w:rPr>
          <w:i/>
          <w:iCs/>
        </w:rPr>
        <w:t>et al</w:t>
      </w:r>
      <w:r>
        <w:t xml:space="preserve"> (2016), these are multiplied by 0.79 to account for the proportion of people (0.21) who stated a zero WTP for water quality improvements. The adjusted numbers are combined with an estimate of the rate at which the stock exclusion policy is introduced (see Section </w:t>
      </w:r>
      <w:r>
        <w:fldChar w:fldCharType="begin"/>
      </w:r>
      <w:r>
        <w:instrText xml:space="preserve"> REF _Ref34340048 \r \h </w:instrText>
      </w:r>
      <w:r>
        <w:fldChar w:fldCharType="separate"/>
      </w:r>
      <w:r w:rsidR="00024EB5">
        <w:t>1.6</w:t>
      </w:r>
      <w:r>
        <w:fldChar w:fldCharType="end"/>
      </w:r>
      <w:r>
        <w:t>) and combined with the value per person.</w:t>
      </w:r>
    </w:p>
    <w:p w14:paraId="403778C4" w14:textId="77777777" w:rsidR="00FC77C7" w:rsidRDefault="00FC77C7" w:rsidP="00FC77C7"/>
    <w:p w14:paraId="2B20D743" w14:textId="64D62C43" w:rsidR="00FC77C7" w:rsidRDefault="00A307DB" w:rsidP="00FC77C7">
      <w:r>
        <w:fldChar w:fldCharType="begin"/>
      </w:r>
      <w:r>
        <w:instrText xml:space="preserve"> REF _Ref39230300 \h </w:instrText>
      </w:r>
      <w:r>
        <w:fldChar w:fldCharType="separate"/>
      </w:r>
      <w:r w:rsidR="00024EB5">
        <w:t xml:space="preserve">Table </w:t>
      </w:r>
      <w:r w:rsidR="00024EB5">
        <w:rPr>
          <w:noProof/>
        </w:rPr>
        <w:t>15</w:t>
      </w:r>
      <w:r>
        <w:fldChar w:fldCharType="end"/>
      </w:r>
      <w:r>
        <w:t xml:space="preserve"> shows the estimated benefits in years 2030, 2040 and 2050 (undiscounted) and </w:t>
      </w:r>
      <w:r>
        <w:fldChar w:fldCharType="begin"/>
      </w:r>
      <w:r>
        <w:instrText xml:space="preserve"> REF _Ref34369481 \h </w:instrText>
      </w:r>
      <w:r>
        <w:fldChar w:fldCharType="separate"/>
      </w:r>
      <w:r w:rsidR="00024EB5">
        <w:t xml:space="preserve">Table </w:t>
      </w:r>
      <w:r w:rsidR="00024EB5">
        <w:rPr>
          <w:noProof/>
        </w:rPr>
        <w:t>16</w:t>
      </w:r>
      <w:r>
        <w:fldChar w:fldCharType="end"/>
      </w:r>
      <w:r>
        <w:t xml:space="preserve"> shows the present value of benefits from 2020 </w:t>
      </w:r>
      <w:r w:rsidR="00FC77C7">
        <w:t>to 2050</w:t>
      </w:r>
      <w:r>
        <w:t xml:space="preserve">; they </w:t>
      </w:r>
      <w:r w:rsidR="00FC77C7">
        <w:t>are estimated at $</w:t>
      </w:r>
      <w:r w:rsidR="001F2A04">
        <w:t>2.4</w:t>
      </w:r>
      <w:r w:rsidR="00FC77C7">
        <w:t xml:space="preserve"> billion </w:t>
      </w:r>
      <w:r>
        <w:t xml:space="preserve">(in the range of </w:t>
      </w:r>
      <w:r w:rsidR="00AB6572">
        <w:t xml:space="preserve">$1.3 to 3.5 billion) </w:t>
      </w:r>
      <w:r w:rsidR="00FC77C7">
        <w:t>at a 3% discount rate.</w:t>
      </w:r>
    </w:p>
    <w:p w14:paraId="053A539A" w14:textId="71B36A8E" w:rsidR="00D235A5" w:rsidRDefault="00A307DB" w:rsidP="00D235A5">
      <w:pPr>
        <w:pStyle w:val="Caption"/>
      </w:pPr>
      <w:bookmarkStart w:id="77" w:name="_Ref39230300"/>
      <w:r>
        <w:t xml:space="preserve">Table </w:t>
      </w:r>
      <w:r>
        <w:fldChar w:fldCharType="begin"/>
      </w:r>
      <w:r>
        <w:instrText xml:space="preserve"> SEQ Table \* ARABIC </w:instrText>
      </w:r>
      <w:r>
        <w:fldChar w:fldCharType="separate"/>
      </w:r>
      <w:r w:rsidR="00024EB5">
        <w:rPr>
          <w:noProof/>
        </w:rPr>
        <w:t>15</w:t>
      </w:r>
      <w:r>
        <w:rPr>
          <w:noProof/>
        </w:rPr>
        <w:fldChar w:fldCharType="end"/>
      </w:r>
      <w:bookmarkEnd w:id="77"/>
      <w:r>
        <w:t xml:space="preserve"> </w:t>
      </w:r>
      <w:r w:rsidRPr="003D1005">
        <w:t>Estimated annual value</w:t>
      </w:r>
      <w:r w:rsidR="00AB6572">
        <w:t>s</w:t>
      </w:r>
      <w:r w:rsidRPr="003D1005">
        <w:t xml:space="preserve"> of human health benefits </w:t>
      </w:r>
      <w:r w:rsidR="00AB6572">
        <w:t>($ million)</w:t>
      </w:r>
    </w:p>
    <w:tbl>
      <w:tblPr>
        <w:tblStyle w:val="CovecTables"/>
        <w:tblW w:w="0" w:type="auto"/>
        <w:tblLook w:val="04E0" w:firstRow="1" w:lastRow="1" w:firstColumn="1" w:lastColumn="0" w:noHBand="0" w:noVBand="1"/>
      </w:tblPr>
      <w:tblGrid>
        <w:gridCol w:w="1021"/>
        <w:gridCol w:w="1465"/>
        <w:gridCol w:w="1465"/>
        <w:gridCol w:w="1465"/>
      </w:tblGrid>
      <w:tr w:rsidR="00D235A5" w14:paraId="62B2CDD4" w14:textId="77777777" w:rsidTr="00D2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Pr>
          <w:p w14:paraId="29A5E26F" w14:textId="77777777" w:rsidR="00D235A5" w:rsidRDefault="00D235A5" w:rsidP="00D235A5">
            <w:pPr>
              <w:pStyle w:val="TableText"/>
              <w:jc w:val="left"/>
            </w:pPr>
            <w:r>
              <w:t>Year</w:t>
            </w:r>
          </w:p>
        </w:tc>
        <w:tc>
          <w:tcPr>
            <w:tcW w:w="1465" w:type="dxa"/>
          </w:tcPr>
          <w:p w14:paraId="5BEC8B99"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Median value</w:t>
            </w:r>
          </w:p>
        </w:tc>
        <w:tc>
          <w:tcPr>
            <w:tcW w:w="1465" w:type="dxa"/>
          </w:tcPr>
          <w:p w14:paraId="1CB44D2B"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Low</w:t>
            </w:r>
          </w:p>
        </w:tc>
        <w:tc>
          <w:tcPr>
            <w:tcW w:w="1465" w:type="dxa"/>
          </w:tcPr>
          <w:p w14:paraId="4C012344"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High</w:t>
            </w:r>
          </w:p>
        </w:tc>
      </w:tr>
      <w:tr w:rsidR="00D235A5" w14:paraId="3DB14F7E" w14:textId="77777777" w:rsidTr="00D235A5">
        <w:tc>
          <w:tcPr>
            <w:cnfStyle w:val="001000000000" w:firstRow="0" w:lastRow="0" w:firstColumn="1" w:lastColumn="0" w:oddVBand="0" w:evenVBand="0" w:oddHBand="0" w:evenHBand="0" w:firstRowFirstColumn="0" w:firstRowLastColumn="0" w:lastRowFirstColumn="0" w:lastRowLastColumn="0"/>
            <w:tcW w:w="1021" w:type="dxa"/>
          </w:tcPr>
          <w:p w14:paraId="008F2DF6" w14:textId="77777777" w:rsidR="00D235A5" w:rsidRDefault="00D235A5" w:rsidP="00D235A5">
            <w:pPr>
              <w:pStyle w:val="TableText"/>
            </w:pPr>
            <w:r w:rsidRPr="00703BDF">
              <w:t>2030</w:t>
            </w:r>
          </w:p>
        </w:tc>
        <w:tc>
          <w:tcPr>
            <w:tcW w:w="1465" w:type="dxa"/>
          </w:tcPr>
          <w:p w14:paraId="0FE2F815" w14:textId="3505B4BE"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2E6E97">
              <w:t>$124.1</w:t>
            </w:r>
          </w:p>
        </w:tc>
        <w:tc>
          <w:tcPr>
            <w:tcW w:w="1465" w:type="dxa"/>
          </w:tcPr>
          <w:p w14:paraId="1153FC93" w14:textId="3B93524C"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300007">
              <w:t>$66.7</w:t>
            </w:r>
          </w:p>
        </w:tc>
        <w:tc>
          <w:tcPr>
            <w:tcW w:w="1465" w:type="dxa"/>
          </w:tcPr>
          <w:p w14:paraId="5E0D4232" w14:textId="452F6CF0"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300007">
              <w:t>$182.8</w:t>
            </w:r>
          </w:p>
        </w:tc>
      </w:tr>
      <w:tr w:rsidR="00D235A5" w14:paraId="33B96EE2" w14:textId="77777777" w:rsidTr="00D235A5">
        <w:tc>
          <w:tcPr>
            <w:cnfStyle w:val="001000000000" w:firstRow="0" w:lastRow="0" w:firstColumn="1" w:lastColumn="0" w:oddVBand="0" w:evenVBand="0" w:oddHBand="0" w:evenHBand="0" w:firstRowFirstColumn="0" w:firstRowLastColumn="0" w:lastRowFirstColumn="0" w:lastRowLastColumn="0"/>
            <w:tcW w:w="1021" w:type="dxa"/>
          </w:tcPr>
          <w:p w14:paraId="56437654" w14:textId="77777777" w:rsidR="00D235A5" w:rsidRDefault="00D235A5" w:rsidP="00D235A5">
            <w:pPr>
              <w:pStyle w:val="TableText"/>
            </w:pPr>
            <w:r w:rsidRPr="00703BDF">
              <w:t>2040</w:t>
            </w:r>
          </w:p>
        </w:tc>
        <w:tc>
          <w:tcPr>
            <w:tcW w:w="1465" w:type="dxa"/>
          </w:tcPr>
          <w:p w14:paraId="751F6162" w14:textId="263D1AE5"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2E6E97">
              <w:t>$133.7</w:t>
            </w:r>
          </w:p>
        </w:tc>
        <w:tc>
          <w:tcPr>
            <w:tcW w:w="1465" w:type="dxa"/>
          </w:tcPr>
          <w:p w14:paraId="4FE7E9E2" w14:textId="00A79126"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300007">
              <w:t>$71.9</w:t>
            </w:r>
          </w:p>
        </w:tc>
        <w:tc>
          <w:tcPr>
            <w:tcW w:w="1465" w:type="dxa"/>
          </w:tcPr>
          <w:p w14:paraId="0F04518E" w14:textId="11AD6500"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300007">
              <w:t>$197.1</w:t>
            </w:r>
          </w:p>
        </w:tc>
      </w:tr>
      <w:tr w:rsidR="00D235A5" w14:paraId="6FA9B42C" w14:textId="77777777" w:rsidTr="00D235A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21" w:type="dxa"/>
          </w:tcPr>
          <w:p w14:paraId="6BDF93B7" w14:textId="77777777" w:rsidR="00D235A5" w:rsidRDefault="00D235A5" w:rsidP="00D235A5">
            <w:pPr>
              <w:pStyle w:val="TableText"/>
            </w:pPr>
            <w:r w:rsidRPr="00703BDF">
              <w:t>2050</w:t>
            </w:r>
          </w:p>
        </w:tc>
        <w:tc>
          <w:tcPr>
            <w:tcW w:w="1465" w:type="dxa"/>
          </w:tcPr>
          <w:p w14:paraId="7B32B57C" w14:textId="1206225B"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2E6E97">
              <w:t>$137.7</w:t>
            </w:r>
          </w:p>
        </w:tc>
        <w:tc>
          <w:tcPr>
            <w:tcW w:w="1465" w:type="dxa"/>
          </w:tcPr>
          <w:p w14:paraId="6369465D" w14:textId="6A38B43B"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300007">
              <w:t>$74.0</w:t>
            </w:r>
          </w:p>
        </w:tc>
        <w:tc>
          <w:tcPr>
            <w:tcW w:w="1465" w:type="dxa"/>
          </w:tcPr>
          <w:p w14:paraId="58BD426A" w14:textId="3BCA1788"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300007">
              <w:t>$202.8</w:t>
            </w:r>
          </w:p>
        </w:tc>
      </w:tr>
    </w:tbl>
    <w:p w14:paraId="39CB7C65" w14:textId="59CE0473" w:rsidR="000E05B3" w:rsidRPr="00A307DB" w:rsidRDefault="00A307DB" w:rsidP="00FC77C7">
      <w:pPr>
        <w:rPr>
          <w:sz w:val="18"/>
          <w:szCs w:val="18"/>
        </w:rPr>
      </w:pPr>
      <w:r>
        <w:rPr>
          <w:sz w:val="18"/>
          <w:szCs w:val="18"/>
        </w:rPr>
        <w:t>Note: Low and High values are based on the 5</w:t>
      </w:r>
      <w:r w:rsidRPr="00A307DB">
        <w:rPr>
          <w:sz w:val="18"/>
          <w:szCs w:val="18"/>
          <w:vertAlign w:val="superscript"/>
        </w:rPr>
        <w:t>th</w:t>
      </w:r>
      <w:r>
        <w:rPr>
          <w:sz w:val="18"/>
          <w:szCs w:val="18"/>
        </w:rPr>
        <w:t xml:space="preserve"> and 95</w:t>
      </w:r>
      <w:r w:rsidRPr="00A307DB">
        <w:rPr>
          <w:sz w:val="18"/>
          <w:szCs w:val="18"/>
          <w:vertAlign w:val="superscript"/>
        </w:rPr>
        <w:t>th</w:t>
      </w:r>
      <w:r>
        <w:rPr>
          <w:sz w:val="18"/>
          <w:szCs w:val="18"/>
        </w:rPr>
        <w:t xml:space="preserve"> percentile values from Tait et al (s</w:t>
      </w:r>
      <w:r w:rsidRPr="00A307DB">
        <w:rPr>
          <w:sz w:val="18"/>
          <w:szCs w:val="18"/>
        </w:rPr>
        <w:t xml:space="preserve">ee </w:t>
      </w:r>
      <w:r w:rsidRPr="00A307DB">
        <w:rPr>
          <w:sz w:val="18"/>
          <w:szCs w:val="18"/>
        </w:rPr>
        <w:fldChar w:fldCharType="begin"/>
      </w:r>
      <w:r w:rsidRPr="00A307DB">
        <w:rPr>
          <w:sz w:val="18"/>
          <w:szCs w:val="18"/>
        </w:rPr>
        <w:instrText xml:space="preserve"> REF _Ref30413099 \h </w:instrText>
      </w:r>
      <w:r>
        <w:rPr>
          <w:sz w:val="18"/>
          <w:szCs w:val="18"/>
        </w:rPr>
        <w:instrText xml:space="preserve"> \* MERGEFORMAT </w:instrText>
      </w:r>
      <w:r w:rsidRPr="00A307DB">
        <w:rPr>
          <w:sz w:val="18"/>
          <w:szCs w:val="18"/>
        </w:rPr>
      </w:r>
      <w:r w:rsidRPr="00A307DB">
        <w:rPr>
          <w:sz w:val="18"/>
          <w:szCs w:val="18"/>
        </w:rPr>
        <w:fldChar w:fldCharType="separate"/>
      </w:r>
      <w:r w:rsidR="00024EB5" w:rsidRPr="00024EB5">
        <w:rPr>
          <w:sz w:val="18"/>
          <w:szCs w:val="18"/>
        </w:rPr>
        <w:t xml:space="preserve">Table </w:t>
      </w:r>
      <w:r w:rsidR="00024EB5" w:rsidRPr="00024EB5">
        <w:rPr>
          <w:noProof/>
          <w:sz w:val="18"/>
          <w:szCs w:val="18"/>
        </w:rPr>
        <w:t>3</w:t>
      </w:r>
      <w:r w:rsidRPr="00A307DB">
        <w:rPr>
          <w:sz w:val="18"/>
          <w:szCs w:val="18"/>
        </w:rPr>
        <w:fldChar w:fldCharType="end"/>
      </w:r>
      <w:r w:rsidRPr="00A307DB">
        <w:rPr>
          <w:sz w:val="18"/>
          <w:szCs w:val="18"/>
        </w:rPr>
        <w:t>)</w:t>
      </w:r>
    </w:p>
    <w:p w14:paraId="25EEF9F0" w14:textId="78B2FBE4" w:rsidR="00FC77C7" w:rsidRDefault="00FC77C7" w:rsidP="0093011F">
      <w:pPr>
        <w:pStyle w:val="Caption"/>
      </w:pPr>
      <w:bookmarkStart w:id="78" w:name="_Ref34369481"/>
      <w:r>
        <w:t xml:space="preserve">Table </w:t>
      </w:r>
      <w:r w:rsidR="00313617">
        <w:fldChar w:fldCharType="begin"/>
      </w:r>
      <w:r w:rsidR="00313617">
        <w:instrText xml:space="preserve"> SEQ Table \* ARABIC </w:instrText>
      </w:r>
      <w:r w:rsidR="00313617">
        <w:fldChar w:fldCharType="separate"/>
      </w:r>
      <w:r w:rsidR="00024EB5">
        <w:rPr>
          <w:noProof/>
        </w:rPr>
        <w:t>16</w:t>
      </w:r>
      <w:r w:rsidR="00313617">
        <w:rPr>
          <w:noProof/>
        </w:rPr>
        <w:fldChar w:fldCharType="end"/>
      </w:r>
      <w:bookmarkEnd w:id="78"/>
      <w:r>
        <w:t xml:space="preserve"> </w:t>
      </w:r>
      <w:r w:rsidRPr="003D1005">
        <w:t xml:space="preserve">Estimated present value </w:t>
      </w:r>
      <w:r>
        <w:t xml:space="preserve">(to 2050) </w:t>
      </w:r>
      <w:r w:rsidRPr="003D1005">
        <w:t>of human health benefits at different discount rates</w:t>
      </w:r>
      <w:r>
        <w:t xml:space="preserve"> ($ million)</w:t>
      </w:r>
    </w:p>
    <w:tbl>
      <w:tblPr>
        <w:tblStyle w:val="CovecTables"/>
        <w:tblW w:w="4800" w:type="dxa"/>
        <w:tblLook w:val="04E0" w:firstRow="1" w:lastRow="1" w:firstColumn="1" w:lastColumn="0" w:noHBand="0" w:noVBand="1"/>
      </w:tblPr>
      <w:tblGrid>
        <w:gridCol w:w="960"/>
        <w:gridCol w:w="960"/>
        <w:gridCol w:w="960"/>
        <w:gridCol w:w="960"/>
        <w:gridCol w:w="960"/>
      </w:tblGrid>
      <w:tr w:rsidR="00FC77C7" w:rsidRPr="00703BDF" w14:paraId="22B8C8EE"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F7226F" w14:textId="112BAEF5" w:rsidR="00FC77C7" w:rsidRPr="00703BDF" w:rsidRDefault="00FC77C7" w:rsidP="0093011F">
            <w:pPr>
              <w:pStyle w:val="TableText"/>
              <w:jc w:val="left"/>
            </w:pPr>
          </w:p>
        </w:tc>
        <w:tc>
          <w:tcPr>
            <w:tcW w:w="960" w:type="dxa"/>
            <w:noWrap/>
            <w:hideMark/>
          </w:tcPr>
          <w:p w14:paraId="32F0E9A5" w14:textId="77777777" w:rsidR="00FC77C7" w:rsidRPr="00703BD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703BDF">
              <w:t>0%</w:t>
            </w:r>
          </w:p>
        </w:tc>
        <w:tc>
          <w:tcPr>
            <w:tcW w:w="960" w:type="dxa"/>
            <w:noWrap/>
            <w:hideMark/>
          </w:tcPr>
          <w:p w14:paraId="5F40394E" w14:textId="77777777" w:rsidR="00FC77C7" w:rsidRPr="00703BD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703BDF">
              <w:t>1%</w:t>
            </w:r>
          </w:p>
        </w:tc>
        <w:tc>
          <w:tcPr>
            <w:tcW w:w="960" w:type="dxa"/>
            <w:noWrap/>
            <w:hideMark/>
          </w:tcPr>
          <w:p w14:paraId="3DE3416C" w14:textId="77777777" w:rsidR="00FC77C7" w:rsidRPr="00703BD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703BDF">
              <w:t>3%</w:t>
            </w:r>
          </w:p>
        </w:tc>
        <w:tc>
          <w:tcPr>
            <w:tcW w:w="960" w:type="dxa"/>
            <w:noWrap/>
            <w:hideMark/>
          </w:tcPr>
          <w:p w14:paraId="5251AF24" w14:textId="77777777" w:rsidR="00FC77C7" w:rsidRPr="00703BDF"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703BDF">
              <w:t>6%</w:t>
            </w:r>
          </w:p>
        </w:tc>
      </w:tr>
      <w:tr w:rsidR="00EF4764" w:rsidRPr="00703BDF" w14:paraId="0B6E716A" w14:textId="77777777" w:rsidTr="00AB6572">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bottom w:val="single" w:sz="8" w:space="0" w:color="A6A6A6" w:themeColor="background1" w:themeShade="A6"/>
            </w:tcBorders>
            <w:noWrap/>
            <w:hideMark/>
          </w:tcPr>
          <w:p w14:paraId="6F1A2F9F" w14:textId="58925EA0" w:rsidR="00EF4764" w:rsidRPr="00703BDF" w:rsidRDefault="00A307DB" w:rsidP="00EF4764">
            <w:pPr>
              <w:pStyle w:val="TableText"/>
            </w:pPr>
            <w:r>
              <w:t>Median</w:t>
            </w:r>
          </w:p>
        </w:tc>
        <w:tc>
          <w:tcPr>
            <w:tcW w:w="960" w:type="dxa"/>
            <w:tcBorders>
              <w:top w:val="single" w:sz="8" w:space="0" w:color="A6A6A6" w:themeColor="background1" w:themeShade="A6"/>
              <w:bottom w:val="single" w:sz="8" w:space="0" w:color="A6A6A6" w:themeColor="background1" w:themeShade="A6"/>
            </w:tcBorders>
            <w:noWrap/>
            <w:vAlign w:val="top"/>
            <w:hideMark/>
          </w:tcPr>
          <w:p w14:paraId="5AA1C672" w14:textId="24FD3107" w:rsidR="00EF4764" w:rsidRPr="00703BDF" w:rsidRDefault="00EF4764" w:rsidP="00EF4764">
            <w:pPr>
              <w:pStyle w:val="TableText"/>
              <w:jc w:val="center"/>
              <w:cnfStyle w:val="000000000000" w:firstRow="0" w:lastRow="0" w:firstColumn="0" w:lastColumn="0" w:oddVBand="0" w:evenVBand="0" w:oddHBand="0" w:evenHBand="0" w:firstRowFirstColumn="0" w:firstRowLastColumn="0" w:lastRowFirstColumn="0" w:lastRowLastColumn="0"/>
            </w:pPr>
            <w:r w:rsidRPr="002E6E97">
              <w:t>$3,732</w:t>
            </w:r>
          </w:p>
        </w:tc>
        <w:tc>
          <w:tcPr>
            <w:tcW w:w="960" w:type="dxa"/>
            <w:tcBorders>
              <w:top w:val="single" w:sz="8" w:space="0" w:color="A6A6A6" w:themeColor="background1" w:themeShade="A6"/>
              <w:bottom w:val="single" w:sz="8" w:space="0" w:color="A6A6A6" w:themeColor="background1" w:themeShade="A6"/>
            </w:tcBorders>
            <w:noWrap/>
            <w:vAlign w:val="top"/>
            <w:hideMark/>
          </w:tcPr>
          <w:p w14:paraId="0B46DB9C" w14:textId="05AC2F22" w:rsidR="00EF4764" w:rsidRPr="00703BDF" w:rsidRDefault="00EF4764" w:rsidP="00EF4764">
            <w:pPr>
              <w:pStyle w:val="TableText"/>
              <w:jc w:val="center"/>
              <w:cnfStyle w:val="000000000000" w:firstRow="0" w:lastRow="0" w:firstColumn="0" w:lastColumn="0" w:oddVBand="0" w:evenVBand="0" w:oddHBand="0" w:evenHBand="0" w:firstRowFirstColumn="0" w:firstRowLastColumn="0" w:lastRowFirstColumn="0" w:lastRowLastColumn="0"/>
            </w:pPr>
            <w:r w:rsidRPr="002E6E97">
              <w:t>$3,180</w:t>
            </w:r>
          </w:p>
        </w:tc>
        <w:tc>
          <w:tcPr>
            <w:tcW w:w="960" w:type="dxa"/>
            <w:tcBorders>
              <w:top w:val="single" w:sz="8" w:space="0" w:color="A6A6A6" w:themeColor="background1" w:themeShade="A6"/>
              <w:bottom w:val="single" w:sz="8" w:space="0" w:color="A6A6A6" w:themeColor="background1" w:themeShade="A6"/>
            </w:tcBorders>
            <w:noWrap/>
            <w:vAlign w:val="top"/>
            <w:hideMark/>
          </w:tcPr>
          <w:p w14:paraId="38639B22" w14:textId="36D4B1C5" w:rsidR="00EF4764" w:rsidRPr="00703BDF" w:rsidRDefault="00EF4764" w:rsidP="00EF4764">
            <w:pPr>
              <w:pStyle w:val="TableText"/>
              <w:jc w:val="center"/>
              <w:cnfStyle w:val="000000000000" w:firstRow="0" w:lastRow="0" w:firstColumn="0" w:lastColumn="0" w:oddVBand="0" w:evenVBand="0" w:oddHBand="0" w:evenHBand="0" w:firstRowFirstColumn="0" w:firstRowLastColumn="0" w:lastRowFirstColumn="0" w:lastRowLastColumn="0"/>
            </w:pPr>
            <w:r w:rsidRPr="002E6E97">
              <w:t>$2,366</w:t>
            </w:r>
          </w:p>
        </w:tc>
        <w:tc>
          <w:tcPr>
            <w:tcW w:w="960" w:type="dxa"/>
            <w:tcBorders>
              <w:top w:val="single" w:sz="8" w:space="0" w:color="A6A6A6" w:themeColor="background1" w:themeShade="A6"/>
              <w:bottom w:val="single" w:sz="8" w:space="0" w:color="A6A6A6" w:themeColor="background1" w:themeShade="A6"/>
            </w:tcBorders>
            <w:noWrap/>
            <w:vAlign w:val="top"/>
            <w:hideMark/>
          </w:tcPr>
          <w:p w14:paraId="60432850" w14:textId="636424B0" w:rsidR="00EF4764" w:rsidRPr="00703BDF" w:rsidRDefault="00EF4764" w:rsidP="00EF4764">
            <w:pPr>
              <w:pStyle w:val="TableText"/>
              <w:jc w:val="center"/>
              <w:cnfStyle w:val="000000000000" w:firstRow="0" w:lastRow="0" w:firstColumn="0" w:lastColumn="0" w:oddVBand="0" w:evenVBand="0" w:oddHBand="0" w:evenHBand="0" w:firstRowFirstColumn="0" w:firstRowLastColumn="0" w:lastRowFirstColumn="0" w:lastRowLastColumn="0"/>
            </w:pPr>
            <w:r w:rsidRPr="002E6E97">
              <w:t>$1,609</w:t>
            </w:r>
          </w:p>
        </w:tc>
      </w:tr>
      <w:tr w:rsidR="00AB6572" w:rsidRPr="00703BDF" w14:paraId="1AC58605" w14:textId="77777777" w:rsidTr="00AB6572">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tcBorders>
            <w:noWrap/>
          </w:tcPr>
          <w:p w14:paraId="7942157C" w14:textId="5A50BCB3" w:rsidR="00AB6572" w:rsidRPr="00703BDF" w:rsidRDefault="00AB6572" w:rsidP="00AB6572">
            <w:pPr>
              <w:pStyle w:val="TableText"/>
            </w:pPr>
            <w:r>
              <w:t>Low</w:t>
            </w:r>
          </w:p>
        </w:tc>
        <w:tc>
          <w:tcPr>
            <w:tcW w:w="960" w:type="dxa"/>
            <w:tcBorders>
              <w:top w:val="single" w:sz="8" w:space="0" w:color="A6A6A6" w:themeColor="background1" w:themeShade="A6"/>
            </w:tcBorders>
            <w:noWrap/>
            <w:vAlign w:val="top"/>
          </w:tcPr>
          <w:p w14:paraId="773F38B8" w14:textId="7F3B39B8"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072C28">
              <w:t>$2,006</w:t>
            </w:r>
          </w:p>
        </w:tc>
        <w:tc>
          <w:tcPr>
            <w:tcW w:w="960" w:type="dxa"/>
            <w:tcBorders>
              <w:top w:val="single" w:sz="8" w:space="0" w:color="A6A6A6" w:themeColor="background1" w:themeShade="A6"/>
            </w:tcBorders>
            <w:noWrap/>
            <w:vAlign w:val="top"/>
          </w:tcPr>
          <w:p w14:paraId="4F6FE2A7" w14:textId="1E224055"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072C28">
              <w:t>$1,709</w:t>
            </w:r>
          </w:p>
        </w:tc>
        <w:tc>
          <w:tcPr>
            <w:tcW w:w="960" w:type="dxa"/>
            <w:tcBorders>
              <w:top w:val="single" w:sz="8" w:space="0" w:color="A6A6A6" w:themeColor="background1" w:themeShade="A6"/>
            </w:tcBorders>
            <w:noWrap/>
            <w:vAlign w:val="top"/>
          </w:tcPr>
          <w:p w14:paraId="12570B98" w14:textId="230AB35B"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072C28">
              <w:t>$1,272</w:t>
            </w:r>
          </w:p>
        </w:tc>
        <w:tc>
          <w:tcPr>
            <w:tcW w:w="960" w:type="dxa"/>
            <w:tcBorders>
              <w:top w:val="single" w:sz="8" w:space="0" w:color="A6A6A6" w:themeColor="background1" w:themeShade="A6"/>
            </w:tcBorders>
            <w:noWrap/>
            <w:vAlign w:val="top"/>
          </w:tcPr>
          <w:p w14:paraId="3064816A" w14:textId="6C8F5F8E"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072C28">
              <w:t>$865</w:t>
            </w:r>
          </w:p>
        </w:tc>
      </w:tr>
      <w:tr w:rsidR="00AB6572" w:rsidRPr="00703BDF" w14:paraId="70EC5729" w14:textId="77777777" w:rsidTr="00AB6572">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960" w:type="dxa"/>
            <w:noWrap/>
          </w:tcPr>
          <w:p w14:paraId="620D8A08" w14:textId="7BEA0F4A" w:rsidR="00AB6572" w:rsidRPr="00703BDF" w:rsidRDefault="00AB6572" w:rsidP="00AB6572">
            <w:pPr>
              <w:pStyle w:val="TableText"/>
            </w:pPr>
            <w:r>
              <w:t>High</w:t>
            </w:r>
          </w:p>
        </w:tc>
        <w:tc>
          <w:tcPr>
            <w:tcW w:w="960" w:type="dxa"/>
            <w:noWrap/>
            <w:vAlign w:val="top"/>
          </w:tcPr>
          <w:p w14:paraId="3C753C4F" w14:textId="5351BEF3"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072C28">
              <w:t>$5,499</w:t>
            </w:r>
          </w:p>
        </w:tc>
        <w:tc>
          <w:tcPr>
            <w:tcW w:w="960" w:type="dxa"/>
            <w:noWrap/>
            <w:vAlign w:val="top"/>
          </w:tcPr>
          <w:p w14:paraId="78976FA6" w14:textId="02174D91"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072C28">
              <w:t>$4,685</w:t>
            </w:r>
          </w:p>
        </w:tc>
        <w:tc>
          <w:tcPr>
            <w:tcW w:w="960" w:type="dxa"/>
            <w:noWrap/>
            <w:vAlign w:val="top"/>
          </w:tcPr>
          <w:p w14:paraId="64A3220C" w14:textId="53076C9F"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072C28">
              <w:t>$3,487</w:t>
            </w:r>
          </w:p>
        </w:tc>
        <w:tc>
          <w:tcPr>
            <w:tcW w:w="960" w:type="dxa"/>
            <w:noWrap/>
            <w:vAlign w:val="top"/>
          </w:tcPr>
          <w:p w14:paraId="615E122E" w14:textId="5EDEEB66"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072C28">
              <w:t>$2,371</w:t>
            </w:r>
          </w:p>
        </w:tc>
      </w:tr>
    </w:tbl>
    <w:p w14:paraId="270195A6" w14:textId="49E094A6" w:rsidR="00FC77C7" w:rsidRDefault="00FC77C7" w:rsidP="00FC77C7">
      <w:pPr>
        <w:pStyle w:val="Heading3"/>
      </w:pPr>
      <w:r>
        <w:t>Water Clarity</w:t>
      </w:r>
    </w:p>
    <w:p w14:paraId="02D6C63E" w14:textId="52F9DBE4" w:rsidR="00FC77C7" w:rsidRDefault="00FC77C7" w:rsidP="00FC77C7">
      <w:r>
        <w:t xml:space="preserve">The stock exclusion policy is estimated to have an impact on water clarity, in addition to human health benefits. To examine these benefits we use the values from Tait </w:t>
      </w:r>
      <w:r>
        <w:rPr>
          <w:i/>
          <w:iCs/>
        </w:rPr>
        <w:t>et al</w:t>
      </w:r>
      <w:r>
        <w:t xml:space="preserve"> (2016), scaled to current dollar values (see </w:t>
      </w:r>
      <w:r>
        <w:fldChar w:fldCharType="begin"/>
      </w:r>
      <w:r>
        <w:instrText xml:space="preserve"> REF _Ref30413099 \h </w:instrText>
      </w:r>
      <w:r>
        <w:fldChar w:fldCharType="separate"/>
      </w:r>
      <w:r w:rsidR="00024EB5">
        <w:t xml:space="preserve">Table </w:t>
      </w:r>
      <w:r w:rsidR="00024EB5">
        <w:rPr>
          <w:noProof/>
        </w:rPr>
        <w:t>3</w:t>
      </w:r>
      <w:r>
        <w:fldChar w:fldCharType="end"/>
      </w:r>
      <w:r>
        <w:t xml:space="preserve"> on p</w:t>
      </w:r>
      <w:r>
        <w:fldChar w:fldCharType="begin"/>
      </w:r>
      <w:r>
        <w:instrText xml:space="preserve"> PAGEREF _Ref35579068 \h </w:instrText>
      </w:r>
      <w:r>
        <w:fldChar w:fldCharType="separate"/>
      </w:r>
      <w:r w:rsidR="00024EB5">
        <w:rPr>
          <w:noProof/>
        </w:rPr>
        <w:t>10</w:t>
      </w:r>
      <w:r>
        <w:fldChar w:fldCharType="end"/>
      </w:r>
      <w:r>
        <w:t>) and to the national level based on the adult (18+) population multiplied by 0.79 (as with the human health analysis) to take account of those with a zero WTP.</w:t>
      </w:r>
      <w:r>
        <w:rPr>
          <w:rStyle w:val="FootnoteReference"/>
        </w:rPr>
        <w:footnoteReference w:id="56"/>
      </w:r>
      <w:r>
        <w:t xml:space="preserve"> To derive a present value of future benefits, we use the assumptions on implementation rates as discussed in Section </w:t>
      </w:r>
      <w:r>
        <w:fldChar w:fldCharType="begin"/>
      </w:r>
      <w:r>
        <w:instrText xml:space="preserve"> REF _Ref34340048 \r \h </w:instrText>
      </w:r>
      <w:r>
        <w:fldChar w:fldCharType="separate"/>
      </w:r>
      <w:r w:rsidR="00024EB5">
        <w:t>1.6</w:t>
      </w:r>
      <w:r>
        <w:fldChar w:fldCharType="end"/>
      </w:r>
    </w:p>
    <w:p w14:paraId="047FF033" w14:textId="77777777" w:rsidR="00FC77C7" w:rsidRPr="00B200BB" w:rsidRDefault="00FC77C7" w:rsidP="00FC77C7"/>
    <w:p w14:paraId="3B2E866F" w14:textId="763FD3E4" w:rsidR="00FC77C7" w:rsidRDefault="00FC77C7" w:rsidP="00FC77C7">
      <w:r>
        <w:t xml:space="preserve">There are also expected to be water clarity benefits from sediment bottom lines, as examined by </w:t>
      </w:r>
      <w:proofErr w:type="spellStart"/>
      <w:r>
        <w:t>Landcare</w:t>
      </w:r>
      <w:proofErr w:type="spellEnd"/>
      <w:r>
        <w:t xml:space="preserve"> (see Section </w:t>
      </w:r>
      <w:r>
        <w:fldChar w:fldCharType="begin"/>
      </w:r>
      <w:r>
        <w:instrText xml:space="preserve"> REF _Ref34369594 \r \h </w:instrText>
      </w:r>
      <w:r>
        <w:fldChar w:fldCharType="separate"/>
      </w:r>
      <w:r w:rsidR="00024EB5">
        <w:t>2.4</w:t>
      </w:r>
      <w:r>
        <w:fldChar w:fldCharType="end"/>
      </w:r>
      <w:r>
        <w:t xml:space="preserve">). However, </w:t>
      </w:r>
      <w:proofErr w:type="spellStart"/>
      <w:r>
        <w:t>MfE</w:t>
      </w:r>
      <w:proofErr w:type="spellEnd"/>
      <w:r>
        <w:t xml:space="preserve"> suggests these benefits (and the associated costs) cannot be unambiguously attributed to the sediment policy because climate policy, consistent with the </w:t>
      </w:r>
      <w:r w:rsidRPr="00F44F32">
        <w:t>Climate Change Response (Zero Carbon) Amendment Act 2019</w:t>
      </w:r>
      <w:r>
        <w:t xml:space="preserve">, is likely to produce many of the same outcomes, particularly because of the scale of associated afforestation. Nevertheless, for </w:t>
      </w:r>
      <w:r>
        <w:lastRenderedPageBreak/>
        <w:t xml:space="preserve">completeness we include the analysis here. The assumptions used in our analysis are different from those adopted by </w:t>
      </w:r>
      <w:proofErr w:type="spellStart"/>
      <w:r>
        <w:t>Landcare</w:t>
      </w:r>
      <w:proofErr w:type="spellEnd"/>
      <w:r>
        <w:t xml:space="preserve">, as discussed in Section </w:t>
      </w:r>
      <w:r>
        <w:fldChar w:fldCharType="begin"/>
      </w:r>
      <w:r>
        <w:instrText xml:space="preserve"> REF _Ref34369594 \r \h </w:instrText>
      </w:r>
      <w:r>
        <w:fldChar w:fldCharType="separate"/>
      </w:r>
      <w:r w:rsidR="00024EB5">
        <w:t>2.4</w:t>
      </w:r>
      <w:r>
        <w:fldChar w:fldCharType="end"/>
      </w:r>
      <w:r>
        <w:t>.</w:t>
      </w:r>
    </w:p>
    <w:p w14:paraId="02E819C0" w14:textId="77777777" w:rsidR="00FC77C7" w:rsidRDefault="00FC77C7" w:rsidP="00FC77C7">
      <w:pPr>
        <w:pStyle w:val="Heading4"/>
      </w:pPr>
      <w:r>
        <w:t>Stock Exclusion</w:t>
      </w:r>
    </w:p>
    <w:p w14:paraId="1D307F3E" w14:textId="77777777" w:rsidR="00FC77C7" w:rsidRDefault="00FC77C7" w:rsidP="00FC77C7">
      <w:r>
        <w:t>The impacts of stock exclusion policy on water clarity was estimated by NIWA. They estimated how in-stream sediment reductions associated with stock exclusion Scenario 3b will affect water clarity across the national river network. Specific outputs were estimates of:</w:t>
      </w:r>
    </w:p>
    <w:p w14:paraId="32386749" w14:textId="77777777" w:rsidR="00FC77C7" w:rsidRDefault="00FC77C7" w:rsidP="008355BD">
      <w:pPr>
        <w:pStyle w:val="ListParagraph"/>
        <w:numPr>
          <w:ilvl w:val="0"/>
          <w:numId w:val="24"/>
        </w:numPr>
      </w:pPr>
      <w:r>
        <w:t>the percent of the river network that meets the water clarity bottom lines,</w:t>
      </w:r>
      <w:r>
        <w:rPr>
          <w:rStyle w:val="FootnoteReference"/>
        </w:rPr>
        <w:footnoteReference w:id="57"/>
      </w:r>
      <w:r>
        <w:t xml:space="preserve"> nationally and by region, before and after the stock exclusion proposals are implemented; and</w:t>
      </w:r>
      <w:r>
        <w:br/>
      </w:r>
    </w:p>
    <w:p w14:paraId="38DF227A" w14:textId="77777777" w:rsidR="00FC77C7" w:rsidRDefault="00FC77C7" w:rsidP="008355BD">
      <w:pPr>
        <w:pStyle w:val="ListParagraph"/>
        <w:numPr>
          <w:ilvl w:val="0"/>
          <w:numId w:val="24"/>
        </w:numPr>
      </w:pPr>
      <w:proofErr w:type="gramStart"/>
      <w:r>
        <w:t>the</w:t>
      </w:r>
      <w:proofErr w:type="gramEnd"/>
      <w:r>
        <w:t xml:space="preserve"> percent of the river network in poor (clarity &lt; 1.2 m), moderate (clarity 1.2 – 2.4 m) and good (clarity &gt; 2.4 m) state before and after stock exclusion proposals are implemented.</w:t>
      </w:r>
    </w:p>
    <w:p w14:paraId="633A7CAF" w14:textId="77777777" w:rsidR="00FC77C7" w:rsidRDefault="00FC77C7" w:rsidP="00FC77C7"/>
    <w:p w14:paraId="55CE21A9" w14:textId="076F467A" w:rsidR="00FC77C7" w:rsidRDefault="00FC77C7" w:rsidP="00FC77C7">
      <w:r>
        <w:t xml:space="preserve">The outputs are reproduced in </w:t>
      </w:r>
      <w:r>
        <w:fldChar w:fldCharType="begin"/>
      </w:r>
      <w:r>
        <w:instrText xml:space="preserve"> REF _Ref35580172 \h </w:instrText>
      </w:r>
      <w:r>
        <w:fldChar w:fldCharType="separate"/>
      </w:r>
      <w:r w:rsidR="00024EB5">
        <w:t xml:space="preserve">Table </w:t>
      </w:r>
      <w:r w:rsidR="00024EB5">
        <w:rPr>
          <w:noProof/>
        </w:rPr>
        <w:t>17</w:t>
      </w:r>
      <w:r>
        <w:fldChar w:fldCharType="end"/>
      </w:r>
      <w:r>
        <w:t xml:space="preserve">, and are consistent with Tables 20 and 21 in </w:t>
      </w:r>
      <w:proofErr w:type="spellStart"/>
      <w:r>
        <w:t>Neverman</w:t>
      </w:r>
      <w:proofErr w:type="spellEnd"/>
      <w:r>
        <w:t xml:space="preserve"> </w:t>
      </w:r>
      <w:r>
        <w:rPr>
          <w:i/>
          <w:iCs/>
        </w:rPr>
        <w:t>et al</w:t>
      </w:r>
      <w:r>
        <w:t xml:space="preserve"> (2019)</w:t>
      </w:r>
      <w:r w:rsidR="0093011F">
        <w:t xml:space="preserve"> (See </w:t>
      </w:r>
      <w:r w:rsidR="0093011F">
        <w:fldChar w:fldCharType="begin"/>
      </w:r>
      <w:r w:rsidR="0093011F">
        <w:instrText xml:space="preserve"> REF _Ref32591860 \h </w:instrText>
      </w:r>
      <w:r w:rsidR="0093011F">
        <w:fldChar w:fldCharType="separate"/>
      </w:r>
      <w:r w:rsidR="00024EB5">
        <w:t xml:space="preserve">Table </w:t>
      </w:r>
      <w:r w:rsidR="00024EB5">
        <w:rPr>
          <w:noProof/>
        </w:rPr>
        <w:t>8</w:t>
      </w:r>
      <w:r w:rsidR="0093011F">
        <w:fldChar w:fldCharType="end"/>
      </w:r>
      <w:r w:rsidR="0093011F">
        <w:t xml:space="preserve"> above)</w:t>
      </w:r>
      <w:r>
        <w:t xml:space="preserve">. </w:t>
      </w:r>
    </w:p>
    <w:p w14:paraId="5FEE334C" w14:textId="36C0C50F" w:rsidR="00FC77C7" w:rsidRDefault="00FC77C7" w:rsidP="0093011F">
      <w:pPr>
        <w:pStyle w:val="Caption"/>
      </w:pPr>
      <w:bookmarkStart w:id="79" w:name="_Ref35580172"/>
      <w:r>
        <w:t xml:space="preserve">Table </w:t>
      </w:r>
      <w:r w:rsidR="00313617">
        <w:fldChar w:fldCharType="begin"/>
      </w:r>
      <w:r w:rsidR="00313617">
        <w:instrText xml:space="preserve"> SEQ Table \* ARABIC </w:instrText>
      </w:r>
      <w:r w:rsidR="00313617">
        <w:fldChar w:fldCharType="separate"/>
      </w:r>
      <w:r w:rsidR="00024EB5">
        <w:rPr>
          <w:noProof/>
        </w:rPr>
        <w:t>17</w:t>
      </w:r>
      <w:r w:rsidR="00313617">
        <w:rPr>
          <w:noProof/>
        </w:rPr>
        <w:fldChar w:fldCharType="end"/>
      </w:r>
      <w:bookmarkEnd w:id="79"/>
      <w:r>
        <w:t xml:space="preserve"> Impacts of Stock Exclusion Policy on Water Clarity Outcomes</w:t>
      </w:r>
    </w:p>
    <w:tbl>
      <w:tblPr>
        <w:tblStyle w:val="CovecTables"/>
        <w:tblW w:w="5000" w:type="pct"/>
        <w:tblInd w:w="0" w:type="dxa"/>
        <w:tblLayout w:type="fixed"/>
        <w:tblLook w:val="04E0" w:firstRow="1" w:lastRow="1" w:firstColumn="1" w:lastColumn="0" w:noHBand="0" w:noVBand="1"/>
      </w:tblPr>
      <w:tblGrid>
        <w:gridCol w:w="1303"/>
        <w:gridCol w:w="1371"/>
        <w:gridCol w:w="1437"/>
        <w:gridCol w:w="1276"/>
        <w:gridCol w:w="944"/>
        <w:gridCol w:w="945"/>
        <w:gridCol w:w="945"/>
      </w:tblGrid>
      <w:tr w:rsidR="00FC77C7" w:rsidRPr="00BF3285" w14:paraId="1B80FBBD"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92" w:type="pct"/>
            <w:vAlign w:val="bottom"/>
            <w:hideMark/>
          </w:tcPr>
          <w:p w14:paraId="5032E1D2" w14:textId="77777777" w:rsidR="00FC77C7" w:rsidRPr="00BF3285" w:rsidRDefault="00FC77C7" w:rsidP="0093011F">
            <w:pPr>
              <w:pStyle w:val="TableText"/>
              <w:jc w:val="left"/>
              <w:rPr>
                <w:lang w:eastAsia="en-NZ"/>
              </w:rPr>
            </w:pPr>
            <w:r w:rsidRPr="00BF3285">
              <w:rPr>
                <w:lang w:eastAsia="en-NZ"/>
              </w:rPr>
              <w:t xml:space="preserve">Region </w:t>
            </w:r>
          </w:p>
        </w:tc>
        <w:tc>
          <w:tcPr>
            <w:tcW w:w="834" w:type="pct"/>
            <w:vAlign w:val="bottom"/>
            <w:hideMark/>
          </w:tcPr>
          <w:p w14:paraId="4B0E0EC1"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b w:val="0"/>
                <w:lang w:eastAsia="en-NZ"/>
              </w:rPr>
              <w:t>%</w:t>
            </w:r>
            <w:r w:rsidRPr="00BF3285">
              <w:rPr>
                <w:lang w:eastAsia="en-NZ"/>
              </w:rPr>
              <w:t xml:space="preserve"> </w:t>
            </w:r>
            <w:r>
              <w:rPr>
                <w:lang w:eastAsia="en-NZ"/>
              </w:rPr>
              <w:t>compliance b</w:t>
            </w:r>
            <w:r w:rsidRPr="00BF3285">
              <w:rPr>
                <w:lang w:eastAsia="en-NZ"/>
              </w:rPr>
              <w:t xml:space="preserve">efore </w:t>
            </w:r>
            <w:r>
              <w:rPr>
                <w:lang w:eastAsia="en-NZ"/>
              </w:rPr>
              <w:t>m</w:t>
            </w:r>
            <w:r w:rsidRPr="00BF3285">
              <w:rPr>
                <w:lang w:eastAsia="en-NZ"/>
              </w:rPr>
              <w:t>itigation</w:t>
            </w:r>
          </w:p>
        </w:tc>
        <w:tc>
          <w:tcPr>
            <w:tcW w:w="874" w:type="pct"/>
            <w:vAlign w:val="bottom"/>
            <w:hideMark/>
          </w:tcPr>
          <w:p w14:paraId="7558D74E"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b w:val="0"/>
                <w:lang w:eastAsia="en-NZ"/>
              </w:rPr>
              <w:t>%</w:t>
            </w:r>
            <w:r w:rsidRPr="00BF3285">
              <w:rPr>
                <w:lang w:eastAsia="en-NZ"/>
              </w:rPr>
              <w:t xml:space="preserve"> </w:t>
            </w:r>
            <w:r>
              <w:rPr>
                <w:lang w:eastAsia="en-NZ"/>
              </w:rPr>
              <w:t>compliance a</w:t>
            </w:r>
            <w:r w:rsidRPr="00BF3285">
              <w:rPr>
                <w:lang w:eastAsia="en-NZ"/>
              </w:rPr>
              <w:t xml:space="preserve">fter </w:t>
            </w:r>
            <w:r>
              <w:rPr>
                <w:lang w:eastAsia="en-NZ"/>
              </w:rPr>
              <w:t>m</w:t>
            </w:r>
            <w:r w:rsidRPr="00BF3285">
              <w:rPr>
                <w:lang w:eastAsia="en-NZ"/>
              </w:rPr>
              <w:t>itigation</w:t>
            </w:r>
          </w:p>
        </w:tc>
        <w:tc>
          <w:tcPr>
            <w:tcW w:w="776" w:type="pct"/>
            <w:vAlign w:val="bottom"/>
            <w:hideMark/>
          </w:tcPr>
          <w:p w14:paraId="6C48B954"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w:t>
            </w:r>
            <w:r w:rsidRPr="00BF3285">
              <w:rPr>
                <w:lang w:eastAsia="en-NZ"/>
              </w:rPr>
              <w:t xml:space="preserve"> point improvement</w:t>
            </w:r>
          </w:p>
        </w:tc>
        <w:tc>
          <w:tcPr>
            <w:tcW w:w="574" w:type="pct"/>
            <w:vAlign w:val="bottom"/>
          </w:tcPr>
          <w:p w14:paraId="3CFABE3B" w14:textId="29977624" w:rsidR="00FC77C7" w:rsidRPr="00BF3285" w:rsidRDefault="0093011F"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xml:space="preserve">% </w:t>
            </w:r>
            <w:r w:rsidR="00FC77C7" w:rsidRPr="00145A36">
              <w:rPr>
                <w:lang w:eastAsia="en-NZ"/>
              </w:rPr>
              <w:t>Good</w:t>
            </w:r>
          </w:p>
        </w:tc>
        <w:tc>
          <w:tcPr>
            <w:tcW w:w="575" w:type="pct"/>
            <w:vAlign w:val="bottom"/>
          </w:tcPr>
          <w:p w14:paraId="7A60BADE" w14:textId="26D81A08" w:rsidR="00FC77C7" w:rsidRPr="00BF3285" w:rsidRDefault="0093011F"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xml:space="preserve">% </w:t>
            </w:r>
            <w:r w:rsidR="00FC77C7" w:rsidRPr="00145A36">
              <w:rPr>
                <w:lang w:eastAsia="en-NZ"/>
              </w:rPr>
              <w:t>Moderate</w:t>
            </w:r>
          </w:p>
        </w:tc>
        <w:tc>
          <w:tcPr>
            <w:tcW w:w="575" w:type="pct"/>
            <w:vAlign w:val="bottom"/>
          </w:tcPr>
          <w:p w14:paraId="6BEDC3E4" w14:textId="7440CA32" w:rsidR="00FC77C7" w:rsidRPr="00BF3285" w:rsidRDefault="0093011F"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xml:space="preserve">% </w:t>
            </w:r>
            <w:r w:rsidR="00FC77C7" w:rsidRPr="00145A36">
              <w:rPr>
                <w:lang w:eastAsia="en-NZ"/>
              </w:rPr>
              <w:t>Poor</w:t>
            </w:r>
          </w:p>
        </w:tc>
      </w:tr>
      <w:tr w:rsidR="00FC77C7" w:rsidRPr="00BF3285" w14:paraId="0D40115E"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3E464984" w14:textId="77777777" w:rsidR="00FC77C7" w:rsidRPr="00BF3285" w:rsidRDefault="00FC77C7" w:rsidP="0093011F">
            <w:pPr>
              <w:pStyle w:val="TableText"/>
              <w:rPr>
                <w:lang w:eastAsia="en-NZ"/>
              </w:rPr>
            </w:pPr>
            <w:r w:rsidRPr="00BF3285">
              <w:rPr>
                <w:lang w:eastAsia="en-NZ"/>
              </w:rPr>
              <w:t>Auckland</w:t>
            </w:r>
          </w:p>
        </w:tc>
        <w:tc>
          <w:tcPr>
            <w:tcW w:w="834" w:type="pct"/>
            <w:hideMark/>
          </w:tcPr>
          <w:p w14:paraId="297F2E3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87.07</w:t>
            </w:r>
          </w:p>
        </w:tc>
        <w:tc>
          <w:tcPr>
            <w:tcW w:w="874" w:type="pct"/>
            <w:hideMark/>
          </w:tcPr>
          <w:p w14:paraId="0F1C9E9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87.64</w:t>
            </w:r>
          </w:p>
        </w:tc>
        <w:tc>
          <w:tcPr>
            <w:tcW w:w="776" w:type="pct"/>
            <w:noWrap/>
            <w:hideMark/>
          </w:tcPr>
          <w:p w14:paraId="57FDD46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0.57</w:t>
            </w:r>
          </w:p>
        </w:tc>
        <w:tc>
          <w:tcPr>
            <w:tcW w:w="574" w:type="pct"/>
            <w:vAlign w:val="top"/>
          </w:tcPr>
          <w:p w14:paraId="3FCB99A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00D1F0F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4.7</w:t>
            </w:r>
          </w:p>
        </w:tc>
        <w:tc>
          <w:tcPr>
            <w:tcW w:w="575" w:type="pct"/>
            <w:vAlign w:val="top"/>
          </w:tcPr>
          <w:p w14:paraId="1115D2A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95.31</w:t>
            </w:r>
          </w:p>
        </w:tc>
      </w:tr>
      <w:tr w:rsidR="00FC77C7" w:rsidRPr="00BF3285" w14:paraId="2FF7288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6DE6EBF2" w14:textId="77777777" w:rsidR="00FC77C7" w:rsidRPr="00BF3285" w:rsidRDefault="00FC77C7" w:rsidP="0093011F">
            <w:pPr>
              <w:pStyle w:val="TableText"/>
              <w:rPr>
                <w:lang w:eastAsia="en-NZ"/>
              </w:rPr>
            </w:pPr>
            <w:r w:rsidRPr="00BF3285">
              <w:rPr>
                <w:lang w:eastAsia="en-NZ"/>
              </w:rPr>
              <w:t>Bay of Plenty</w:t>
            </w:r>
          </w:p>
        </w:tc>
        <w:tc>
          <w:tcPr>
            <w:tcW w:w="834" w:type="pct"/>
            <w:hideMark/>
          </w:tcPr>
          <w:p w14:paraId="4EF68C3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97.83</w:t>
            </w:r>
          </w:p>
        </w:tc>
        <w:tc>
          <w:tcPr>
            <w:tcW w:w="874" w:type="pct"/>
            <w:hideMark/>
          </w:tcPr>
          <w:p w14:paraId="636E5F1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97.92</w:t>
            </w:r>
          </w:p>
        </w:tc>
        <w:tc>
          <w:tcPr>
            <w:tcW w:w="776" w:type="pct"/>
            <w:noWrap/>
            <w:hideMark/>
          </w:tcPr>
          <w:p w14:paraId="1C43D7C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0.09</w:t>
            </w:r>
          </w:p>
        </w:tc>
        <w:tc>
          <w:tcPr>
            <w:tcW w:w="574" w:type="pct"/>
            <w:vAlign w:val="top"/>
          </w:tcPr>
          <w:p w14:paraId="71B95A2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6EC5B11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96.3</w:t>
            </w:r>
          </w:p>
        </w:tc>
        <w:tc>
          <w:tcPr>
            <w:tcW w:w="575" w:type="pct"/>
            <w:vAlign w:val="top"/>
          </w:tcPr>
          <w:p w14:paraId="3126938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3.7</w:t>
            </w:r>
          </w:p>
        </w:tc>
      </w:tr>
      <w:tr w:rsidR="00FC77C7" w:rsidRPr="00BF3285" w14:paraId="443E6BA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37DA34CF" w14:textId="77777777" w:rsidR="00FC77C7" w:rsidRPr="00BF3285" w:rsidRDefault="00FC77C7" w:rsidP="0093011F">
            <w:pPr>
              <w:pStyle w:val="TableText"/>
              <w:rPr>
                <w:lang w:eastAsia="en-NZ"/>
              </w:rPr>
            </w:pPr>
            <w:r w:rsidRPr="00BF3285">
              <w:rPr>
                <w:lang w:eastAsia="en-NZ"/>
              </w:rPr>
              <w:t>Canterbury</w:t>
            </w:r>
          </w:p>
        </w:tc>
        <w:tc>
          <w:tcPr>
            <w:tcW w:w="834" w:type="pct"/>
            <w:hideMark/>
          </w:tcPr>
          <w:p w14:paraId="4928AF6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93.03</w:t>
            </w:r>
          </w:p>
        </w:tc>
        <w:tc>
          <w:tcPr>
            <w:tcW w:w="874" w:type="pct"/>
            <w:hideMark/>
          </w:tcPr>
          <w:p w14:paraId="38DE0A3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95.65</w:t>
            </w:r>
          </w:p>
        </w:tc>
        <w:tc>
          <w:tcPr>
            <w:tcW w:w="776" w:type="pct"/>
            <w:noWrap/>
            <w:hideMark/>
          </w:tcPr>
          <w:p w14:paraId="3939B25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2.62</w:t>
            </w:r>
          </w:p>
        </w:tc>
        <w:tc>
          <w:tcPr>
            <w:tcW w:w="574" w:type="pct"/>
            <w:vAlign w:val="top"/>
          </w:tcPr>
          <w:p w14:paraId="757CC5A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4EB8252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99.96</w:t>
            </w:r>
          </w:p>
        </w:tc>
        <w:tc>
          <w:tcPr>
            <w:tcW w:w="575" w:type="pct"/>
            <w:vAlign w:val="top"/>
          </w:tcPr>
          <w:p w14:paraId="097763D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0.04</w:t>
            </w:r>
          </w:p>
        </w:tc>
      </w:tr>
      <w:tr w:rsidR="00FC77C7" w:rsidRPr="00BF3285" w14:paraId="77479FBA"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29B3B344" w14:textId="77777777" w:rsidR="00FC77C7" w:rsidRPr="00BF3285" w:rsidRDefault="00FC77C7" w:rsidP="0093011F">
            <w:pPr>
              <w:pStyle w:val="TableText"/>
              <w:rPr>
                <w:lang w:eastAsia="en-NZ"/>
              </w:rPr>
            </w:pPr>
            <w:r w:rsidRPr="00BF3285">
              <w:rPr>
                <w:lang w:eastAsia="en-NZ"/>
              </w:rPr>
              <w:t>Gisborne</w:t>
            </w:r>
          </w:p>
        </w:tc>
        <w:tc>
          <w:tcPr>
            <w:tcW w:w="834" w:type="pct"/>
            <w:hideMark/>
          </w:tcPr>
          <w:p w14:paraId="6DF0FEE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94.4</w:t>
            </w:r>
          </w:p>
        </w:tc>
        <w:tc>
          <w:tcPr>
            <w:tcW w:w="874" w:type="pct"/>
            <w:hideMark/>
          </w:tcPr>
          <w:p w14:paraId="516F135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94.42</w:t>
            </w:r>
          </w:p>
        </w:tc>
        <w:tc>
          <w:tcPr>
            <w:tcW w:w="776" w:type="pct"/>
            <w:noWrap/>
            <w:hideMark/>
          </w:tcPr>
          <w:p w14:paraId="2D46F35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0.02</w:t>
            </w:r>
          </w:p>
        </w:tc>
        <w:tc>
          <w:tcPr>
            <w:tcW w:w="574" w:type="pct"/>
            <w:vAlign w:val="top"/>
          </w:tcPr>
          <w:p w14:paraId="15F108B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5AE77D3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100</w:t>
            </w:r>
          </w:p>
        </w:tc>
        <w:tc>
          <w:tcPr>
            <w:tcW w:w="575" w:type="pct"/>
            <w:vAlign w:val="top"/>
          </w:tcPr>
          <w:p w14:paraId="7DBA832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r>
      <w:tr w:rsidR="00FC77C7" w:rsidRPr="00BF3285" w14:paraId="4D0D76CF"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11C793F1" w14:textId="77777777" w:rsidR="00FC77C7" w:rsidRPr="00BF3285" w:rsidRDefault="00FC77C7" w:rsidP="0093011F">
            <w:pPr>
              <w:pStyle w:val="TableText"/>
              <w:rPr>
                <w:lang w:eastAsia="en-NZ"/>
              </w:rPr>
            </w:pPr>
            <w:r w:rsidRPr="00BF3285">
              <w:rPr>
                <w:lang w:eastAsia="en-NZ"/>
              </w:rPr>
              <w:t>Hawke's Bay</w:t>
            </w:r>
          </w:p>
        </w:tc>
        <w:tc>
          <w:tcPr>
            <w:tcW w:w="834" w:type="pct"/>
            <w:hideMark/>
          </w:tcPr>
          <w:p w14:paraId="3083314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96.47</w:t>
            </w:r>
          </w:p>
        </w:tc>
        <w:tc>
          <w:tcPr>
            <w:tcW w:w="874" w:type="pct"/>
            <w:hideMark/>
          </w:tcPr>
          <w:p w14:paraId="340681D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97.47</w:t>
            </w:r>
          </w:p>
        </w:tc>
        <w:tc>
          <w:tcPr>
            <w:tcW w:w="776" w:type="pct"/>
            <w:noWrap/>
            <w:hideMark/>
          </w:tcPr>
          <w:p w14:paraId="78B07B3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1</w:t>
            </w:r>
          </w:p>
        </w:tc>
        <w:tc>
          <w:tcPr>
            <w:tcW w:w="574" w:type="pct"/>
            <w:vAlign w:val="top"/>
          </w:tcPr>
          <w:p w14:paraId="2573997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5ED4265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99.71</w:t>
            </w:r>
          </w:p>
        </w:tc>
        <w:tc>
          <w:tcPr>
            <w:tcW w:w="575" w:type="pct"/>
            <w:vAlign w:val="top"/>
          </w:tcPr>
          <w:p w14:paraId="0BD031A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0.29</w:t>
            </w:r>
          </w:p>
        </w:tc>
      </w:tr>
      <w:tr w:rsidR="00FC77C7" w:rsidRPr="00BF3285" w14:paraId="1296F98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1893C44F" w14:textId="77777777" w:rsidR="00FC77C7" w:rsidRPr="00BF3285" w:rsidRDefault="00FC77C7" w:rsidP="0093011F">
            <w:pPr>
              <w:pStyle w:val="TableText"/>
              <w:rPr>
                <w:lang w:eastAsia="en-NZ"/>
              </w:rPr>
            </w:pPr>
            <w:proofErr w:type="spellStart"/>
            <w:r w:rsidRPr="00BF3285">
              <w:rPr>
                <w:lang w:eastAsia="en-NZ"/>
              </w:rPr>
              <w:t>Manawatu</w:t>
            </w:r>
            <w:proofErr w:type="spellEnd"/>
            <w:r w:rsidRPr="00BF3285">
              <w:rPr>
                <w:lang w:eastAsia="en-NZ"/>
              </w:rPr>
              <w:t xml:space="preserve"> Whanganui</w:t>
            </w:r>
          </w:p>
        </w:tc>
        <w:tc>
          <w:tcPr>
            <w:tcW w:w="834" w:type="pct"/>
            <w:hideMark/>
          </w:tcPr>
          <w:p w14:paraId="77DECDC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76.16</w:t>
            </w:r>
          </w:p>
        </w:tc>
        <w:tc>
          <w:tcPr>
            <w:tcW w:w="874" w:type="pct"/>
            <w:hideMark/>
          </w:tcPr>
          <w:p w14:paraId="39887B1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77.63</w:t>
            </w:r>
          </w:p>
        </w:tc>
        <w:tc>
          <w:tcPr>
            <w:tcW w:w="776" w:type="pct"/>
            <w:noWrap/>
            <w:hideMark/>
          </w:tcPr>
          <w:p w14:paraId="43E8209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1.47</w:t>
            </w:r>
          </w:p>
        </w:tc>
        <w:tc>
          <w:tcPr>
            <w:tcW w:w="574" w:type="pct"/>
            <w:vAlign w:val="top"/>
          </w:tcPr>
          <w:p w14:paraId="3B38046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6F0D7CF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67.93</w:t>
            </w:r>
          </w:p>
        </w:tc>
        <w:tc>
          <w:tcPr>
            <w:tcW w:w="575" w:type="pct"/>
            <w:vAlign w:val="top"/>
          </w:tcPr>
          <w:p w14:paraId="73800D9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32.07</w:t>
            </w:r>
          </w:p>
        </w:tc>
      </w:tr>
      <w:tr w:rsidR="00FC77C7" w:rsidRPr="00BF3285" w14:paraId="6A12EE8F"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44EEAFFE" w14:textId="77777777" w:rsidR="00FC77C7" w:rsidRPr="00BF3285" w:rsidRDefault="00FC77C7" w:rsidP="0093011F">
            <w:pPr>
              <w:pStyle w:val="TableText"/>
              <w:rPr>
                <w:lang w:eastAsia="en-NZ"/>
              </w:rPr>
            </w:pPr>
            <w:r w:rsidRPr="00BF3285">
              <w:rPr>
                <w:lang w:eastAsia="en-NZ"/>
              </w:rPr>
              <w:t>Marlborough</w:t>
            </w:r>
          </w:p>
        </w:tc>
        <w:tc>
          <w:tcPr>
            <w:tcW w:w="834" w:type="pct"/>
            <w:hideMark/>
          </w:tcPr>
          <w:p w14:paraId="13E26CD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97.14</w:t>
            </w:r>
          </w:p>
        </w:tc>
        <w:tc>
          <w:tcPr>
            <w:tcW w:w="874" w:type="pct"/>
            <w:hideMark/>
          </w:tcPr>
          <w:p w14:paraId="7076CF4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97.23</w:t>
            </w:r>
          </w:p>
        </w:tc>
        <w:tc>
          <w:tcPr>
            <w:tcW w:w="776" w:type="pct"/>
            <w:noWrap/>
            <w:hideMark/>
          </w:tcPr>
          <w:p w14:paraId="18FA6F5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0.09</w:t>
            </w:r>
          </w:p>
        </w:tc>
        <w:tc>
          <w:tcPr>
            <w:tcW w:w="574" w:type="pct"/>
            <w:vAlign w:val="top"/>
          </w:tcPr>
          <w:p w14:paraId="5A8F592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485C8F4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100</w:t>
            </w:r>
          </w:p>
        </w:tc>
        <w:tc>
          <w:tcPr>
            <w:tcW w:w="575" w:type="pct"/>
            <w:vAlign w:val="top"/>
          </w:tcPr>
          <w:p w14:paraId="21F25E2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r>
      <w:tr w:rsidR="00FC77C7" w:rsidRPr="00BF3285" w14:paraId="16DF04A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7356CF78" w14:textId="77777777" w:rsidR="00FC77C7" w:rsidRPr="00BF3285" w:rsidRDefault="00FC77C7" w:rsidP="0093011F">
            <w:pPr>
              <w:pStyle w:val="TableText"/>
              <w:rPr>
                <w:lang w:eastAsia="en-NZ"/>
              </w:rPr>
            </w:pPr>
            <w:r w:rsidRPr="00BF3285">
              <w:rPr>
                <w:lang w:eastAsia="en-NZ"/>
              </w:rPr>
              <w:t>Northland</w:t>
            </w:r>
          </w:p>
        </w:tc>
        <w:tc>
          <w:tcPr>
            <w:tcW w:w="834" w:type="pct"/>
            <w:hideMark/>
          </w:tcPr>
          <w:p w14:paraId="6462218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87.83</w:t>
            </w:r>
          </w:p>
        </w:tc>
        <w:tc>
          <w:tcPr>
            <w:tcW w:w="874" w:type="pct"/>
            <w:hideMark/>
          </w:tcPr>
          <w:p w14:paraId="23AD50D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90.69</w:t>
            </w:r>
          </w:p>
        </w:tc>
        <w:tc>
          <w:tcPr>
            <w:tcW w:w="776" w:type="pct"/>
            <w:noWrap/>
            <w:hideMark/>
          </w:tcPr>
          <w:p w14:paraId="4B02702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2.86</w:t>
            </w:r>
          </w:p>
        </w:tc>
        <w:tc>
          <w:tcPr>
            <w:tcW w:w="574" w:type="pct"/>
            <w:vAlign w:val="top"/>
          </w:tcPr>
          <w:p w14:paraId="3794E57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66344F5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23.91</w:t>
            </w:r>
          </w:p>
        </w:tc>
        <w:tc>
          <w:tcPr>
            <w:tcW w:w="575" w:type="pct"/>
            <w:vAlign w:val="top"/>
          </w:tcPr>
          <w:p w14:paraId="7FD4842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76.09</w:t>
            </w:r>
          </w:p>
        </w:tc>
      </w:tr>
      <w:tr w:rsidR="00FC77C7" w:rsidRPr="00BF3285" w14:paraId="6945F04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04C1E937" w14:textId="77777777" w:rsidR="00FC77C7" w:rsidRPr="00BF3285" w:rsidRDefault="00FC77C7" w:rsidP="0093011F">
            <w:pPr>
              <w:pStyle w:val="TableText"/>
              <w:rPr>
                <w:lang w:eastAsia="en-NZ"/>
              </w:rPr>
            </w:pPr>
            <w:r w:rsidRPr="00BF3285">
              <w:rPr>
                <w:lang w:eastAsia="en-NZ"/>
              </w:rPr>
              <w:t>Otago</w:t>
            </w:r>
          </w:p>
        </w:tc>
        <w:tc>
          <w:tcPr>
            <w:tcW w:w="834" w:type="pct"/>
            <w:hideMark/>
          </w:tcPr>
          <w:p w14:paraId="1E1C8A1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81.96</w:t>
            </w:r>
          </w:p>
        </w:tc>
        <w:tc>
          <w:tcPr>
            <w:tcW w:w="874" w:type="pct"/>
            <w:hideMark/>
          </w:tcPr>
          <w:p w14:paraId="47EA8D8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83.9</w:t>
            </w:r>
          </w:p>
        </w:tc>
        <w:tc>
          <w:tcPr>
            <w:tcW w:w="776" w:type="pct"/>
            <w:noWrap/>
            <w:hideMark/>
          </w:tcPr>
          <w:p w14:paraId="0C43CFC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1.94</w:t>
            </w:r>
          </w:p>
        </w:tc>
        <w:tc>
          <w:tcPr>
            <w:tcW w:w="574" w:type="pct"/>
            <w:vAlign w:val="top"/>
          </w:tcPr>
          <w:p w14:paraId="2086E26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71A9675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72.06</w:t>
            </w:r>
          </w:p>
        </w:tc>
        <w:tc>
          <w:tcPr>
            <w:tcW w:w="575" w:type="pct"/>
            <w:vAlign w:val="top"/>
          </w:tcPr>
          <w:p w14:paraId="0AEE0BC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27.94</w:t>
            </w:r>
          </w:p>
        </w:tc>
      </w:tr>
      <w:tr w:rsidR="00FC77C7" w:rsidRPr="00BF3285" w14:paraId="07AC5907"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3B1F0B90" w14:textId="77777777" w:rsidR="00FC77C7" w:rsidRPr="00BF3285" w:rsidRDefault="00FC77C7" w:rsidP="0093011F">
            <w:pPr>
              <w:pStyle w:val="TableText"/>
              <w:rPr>
                <w:lang w:eastAsia="en-NZ"/>
              </w:rPr>
            </w:pPr>
            <w:r w:rsidRPr="00BF3285">
              <w:rPr>
                <w:lang w:eastAsia="en-NZ"/>
              </w:rPr>
              <w:t>Southland</w:t>
            </w:r>
          </w:p>
        </w:tc>
        <w:tc>
          <w:tcPr>
            <w:tcW w:w="834" w:type="pct"/>
            <w:hideMark/>
          </w:tcPr>
          <w:p w14:paraId="310B694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74.4</w:t>
            </w:r>
          </w:p>
        </w:tc>
        <w:tc>
          <w:tcPr>
            <w:tcW w:w="874" w:type="pct"/>
            <w:hideMark/>
          </w:tcPr>
          <w:p w14:paraId="1DD1C99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77.44</w:t>
            </w:r>
          </w:p>
        </w:tc>
        <w:tc>
          <w:tcPr>
            <w:tcW w:w="776" w:type="pct"/>
            <w:noWrap/>
            <w:hideMark/>
          </w:tcPr>
          <w:p w14:paraId="142E892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3.04</w:t>
            </w:r>
          </w:p>
        </w:tc>
        <w:tc>
          <w:tcPr>
            <w:tcW w:w="574" w:type="pct"/>
            <w:vAlign w:val="top"/>
          </w:tcPr>
          <w:p w14:paraId="58518AD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4B475D5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37.05</w:t>
            </w:r>
          </w:p>
        </w:tc>
        <w:tc>
          <w:tcPr>
            <w:tcW w:w="575" w:type="pct"/>
            <w:vAlign w:val="top"/>
          </w:tcPr>
          <w:p w14:paraId="0BD50EF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62.95</w:t>
            </w:r>
          </w:p>
        </w:tc>
      </w:tr>
      <w:tr w:rsidR="00FC77C7" w:rsidRPr="00BF3285" w14:paraId="5631D069"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79E00A9A" w14:textId="77777777" w:rsidR="00FC77C7" w:rsidRPr="00BF3285" w:rsidRDefault="00FC77C7" w:rsidP="0093011F">
            <w:pPr>
              <w:pStyle w:val="TableText"/>
              <w:rPr>
                <w:lang w:eastAsia="en-NZ"/>
              </w:rPr>
            </w:pPr>
            <w:r w:rsidRPr="00BF3285">
              <w:rPr>
                <w:lang w:eastAsia="en-NZ"/>
              </w:rPr>
              <w:t>Taranaki</w:t>
            </w:r>
          </w:p>
        </w:tc>
        <w:tc>
          <w:tcPr>
            <w:tcW w:w="834" w:type="pct"/>
            <w:hideMark/>
          </w:tcPr>
          <w:p w14:paraId="2303A47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94.95</w:t>
            </w:r>
          </w:p>
        </w:tc>
        <w:tc>
          <w:tcPr>
            <w:tcW w:w="874" w:type="pct"/>
            <w:hideMark/>
          </w:tcPr>
          <w:p w14:paraId="5DC9401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96.71</w:t>
            </w:r>
          </w:p>
        </w:tc>
        <w:tc>
          <w:tcPr>
            <w:tcW w:w="776" w:type="pct"/>
            <w:noWrap/>
            <w:hideMark/>
          </w:tcPr>
          <w:p w14:paraId="0CABE06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1.76</w:t>
            </w:r>
          </w:p>
        </w:tc>
        <w:tc>
          <w:tcPr>
            <w:tcW w:w="574" w:type="pct"/>
            <w:vAlign w:val="top"/>
          </w:tcPr>
          <w:p w14:paraId="38CBF46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036B12D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3DBEA7A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r>
      <w:tr w:rsidR="00FC77C7" w:rsidRPr="00BF3285" w14:paraId="6C3D2426"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50152ED3" w14:textId="77777777" w:rsidR="00FC77C7" w:rsidRPr="00BF3285" w:rsidRDefault="00FC77C7" w:rsidP="0093011F">
            <w:pPr>
              <w:pStyle w:val="TableText"/>
              <w:rPr>
                <w:lang w:eastAsia="en-NZ"/>
              </w:rPr>
            </w:pPr>
            <w:r w:rsidRPr="00BF3285">
              <w:rPr>
                <w:lang w:eastAsia="en-NZ"/>
              </w:rPr>
              <w:t>Tasman/Nelson</w:t>
            </w:r>
          </w:p>
        </w:tc>
        <w:tc>
          <w:tcPr>
            <w:tcW w:w="834" w:type="pct"/>
            <w:hideMark/>
          </w:tcPr>
          <w:p w14:paraId="57B236F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99.33</w:t>
            </w:r>
          </w:p>
        </w:tc>
        <w:tc>
          <w:tcPr>
            <w:tcW w:w="874" w:type="pct"/>
            <w:hideMark/>
          </w:tcPr>
          <w:p w14:paraId="6AF33AD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99.38</w:t>
            </w:r>
          </w:p>
        </w:tc>
        <w:tc>
          <w:tcPr>
            <w:tcW w:w="776" w:type="pct"/>
            <w:noWrap/>
            <w:hideMark/>
          </w:tcPr>
          <w:p w14:paraId="1024D17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0.05</w:t>
            </w:r>
          </w:p>
        </w:tc>
        <w:tc>
          <w:tcPr>
            <w:tcW w:w="574" w:type="pct"/>
            <w:vAlign w:val="top"/>
          </w:tcPr>
          <w:p w14:paraId="6F83FB1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3545C60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70.89</w:t>
            </w:r>
          </w:p>
        </w:tc>
        <w:tc>
          <w:tcPr>
            <w:tcW w:w="575" w:type="pct"/>
            <w:vAlign w:val="top"/>
          </w:tcPr>
          <w:p w14:paraId="50C9E40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29.11</w:t>
            </w:r>
          </w:p>
        </w:tc>
      </w:tr>
      <w:tr w:rsidR="00FC77C7" w:rsidRPr="00BF3285" w14:paraId="65281696"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00A0B693" w14:textId="77777777" w:rsidR="00FC77C7" w:rsidRPr="00BF3285" w:rsidRDefault="00FC77C7" w:rsidP="0093011F">
            <w:pPr>
              <w:pStyle w:val="TableText"/>
              <w:rPr>
                <w:lang w:eastAsia="en-NZ"/>
              </w:rPr>
            </w:pPr>
            <w:r w:rsidRPr="00BF3285">
              <w:rPr>
                <w:lang w:eastAsia="en-NZ"/>
              </w:rPr>
              <w:t>Waikato</w:t>
            </w:r>
          </w:p>
        </w:tc>
        <w:tc>
          <w:tcPr>
            <w:tcW w:w="834" w:type="pct"/>
            <w:hideMark/>
          </w:tcPr>
          <w:p w14:paraId="3088E71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64.39</w:t>
            </w:r>
          </w:p>
        </w:tc>
        <w:tc>
          <w:tcPr>
            <w:tcW w:w="874" w:type="pct"/>
            <w:hideMark/>
          </w:tcPr>
          <w:p w14:paraId="0F1728D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66.81</w:t>
            </w:r>
          </w:p>
        </w:tc>
        <w:tc>
          <w:tcPr>
            <w:tcW w:w="776" w:type="pct"/>
            <w:noWrap/>
            <w:hideMark/>
          </w:tcPr>
          <w:p w14:paraId="0686954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2.42</w:t>
            </w:r>
          </w:p>
        </w:tc>
        <w:tc>
          <w:tcPr>
            <w:tcW w:w="574" w:type="pct"/>
            <w:vAlign w:val="top"/>
          </w:tcPr>
          <w:p w14:paraId="741902A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7E883BB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100</w:t>
            </w:r>
          </w:p>
        </w:tc>
        <w:tc>
          <w:tcPr>
            <w:tcW w:w="575" w:type="pct"/>
            <w:vAlign w:val="top"/>
          </w:tcPr>
          <w:p w14:paraId="4B67B8C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r>
      <w:tr w:rsidR="00FC77C7" w:rsidRPr="00BF3285" w14:paraId="274C3162"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hideMark/>
          </w:tcPr>
          <w:p w14:paraId="4DF75B19" w14:textId="77777777" w:rsidR="00FC77C7" w:rsidRPr="00BF3285" w:rsidRDefault="00FC77C7" w:rsidP="0093011F">
            <w:pPr>
              <w:pStyle w:val="TableText"/>
              <w:rPr>
                <w:lang w:eastAsia="en-NZ"/>
              </w:rPr>
            </w:pPr>
            <w:r w:rsidRPr="00BF3285">
              <w:rPr>
                <w:lang w:eastAsia="en-NZ"/>
              </w:rPr>
              <w:t>Wellington</w:t>
            </w:r>
          </w:p>
        </w:tc>
        <w:tc>
          <w:tcPr>
            <w:tcW w:w="834" w:type="pct"/>
            <w:hideMark/>
          </w:tcPr>
          <w:p w14:paraId="256EA96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89.64</w:t>
            </w:r>
          </w:p>
        </w:tc>
        <w:tc>
          <w:tcPr>
            <w:tcW w:w="874" w:type="pct"/>
            <w:hideMark/>
          </w:tcPr>
          <w:p w14:paraId="216657D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90.01</w:t>
            </w:r>
          </w:p>
        </w:tc>
        <w:tc>
          <w:tcPr>
            <w:tcW w:w="776" w:type="pct"/>
            <w:noWrap/>
            <w:hideMark/>
          </w:tcPr>
          <w:p w14:paraId="6E43E6F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0.37</w:t>
            </w:r>
          </w:p>
        </w:tc>
        <w:tc>
          <w:tcPr>
            <w:tcW w:w="574" w:type="pct"/>
            <w:vAlign w:val="top"/>
          </w:tcPr>
          <w:p w14:paraId="3E01274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vAlign w:val="top"/>
          </w:tcPr>
          <w:p w14:paraId="4D4C2DC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40.11</w:t>
            </w:r>
          </w:p>
        </w:tc>
        <w:tc>
          <w:tcPr>
            <w:tcW w:w="575" w:type="pct"/>
            <w:vAlign w:val="top"/>
          </w:tcPr>
          <w:p w14:paraId="7E83F49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59.89</w:t>
            </w:r>
          </w:p>
        </w:tc>
      </w:tr>
      <w:tr w:rsidR="00FC77C7" w:rsidRPr="00BF3285" w14:paraId="6D73B62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792" w:type="pct"/>
            <w:tcBorders>
              <w:bottom w:val="single" w:sz="8" w:space="0" w:color="A6A6A6" w:themeColor="background1" w:themeShade="A6"/>
            </w:tcBorders>
            <w:hideMark/>
          </w:tcPr>
          <w:p w14:paraId="310F4A4E" w14:textId="77777777" w:rsidR="00FC77C7" w:rsidRPr="00BF3285" w:rsidRDefault="00FC77C7" w:rsidP="0093011F">
            <w:pPr>
              <w:pStyle w:val="TableText"/>
              <w:rPr>
                <w:lang w:eastAsia="en-NZ"/>
              </w:rPr>
            </w:pPr>
            <w:r w:rsidRPr="00BF3285">
              <w:rPr>
                <w:lang w:eastAsia="en-NZ"/>
              </w:rPr>
              <w:t>West Coast</w:t>
            </w:r>
          </w:p>
        </w:tc>
        <w:tc>
          <w:tcPr>
            <w:tcW w:w="834" w:type="pct"/>
            <w:tcBorders>
              <w:bottom w:val="single" w:sz="8" w:space="0" w:color="A6A6A6" w:themeColor="background1" w:themeShade="A6"/>
            </w:tcBorders>
            <w:hideMark/>
          </w:tcPr>
          <w:p w14:paraId="32A253A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95.24</w:t>
            </w:r>
          </w:p>
        </w:tc>
        <w:tc>
          <w:tcPr>
            <w:tcW w:w="874" w:type="pct"/>
            <w:tcBorders>
              <w:bottom w:val="single" w:sz="8" w:space="0" w:color="A6A6A6" w:themeColor="background1" w:themeShade="A6"/>
            </w:tcBorders>
            <w:hideMark/>
          </w:tcPr>
          <w:p w14:paraId="1870D650"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95.46</w:t>
            </w:r>
          </w:p>
        </w:tc>
        <w:tc>
          <w:tcPr>
            <w:tcW w:w="776" w:type="pct"/>
            <w:tcBorders>
              <w:bottom w:val="single" w:sz="8" w:space="0" w:color="A6A6A6" w:themeColor="background1" w:themeShade="A6"/>
            </w:tcBorders>
            <w:hideMark/>
          </w:tcPr>
          <w:p w14:paraId="3BDA72F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BF3285">
              <w:rPr>
                <w:lang w:eastAsia="en-NZ"/>
              </w:rPr>
              <w:t>0.22</w:t>
            </w:r>
          </w:p>
        </w:tc>
        <w:tc>
          <w:tcPr>
            <w:tcW w:w="574" w:type="pct"/>
            <w:tcBorders>
              <w:bottom w:val="single" w:sz="8" w:space="0" w:color="A6A6A6" w:themeColor="background1" w:themeShade="A6"/>
            </w:tcBorders>
            <w:vAlign w:val="top"/>
          </w:tcPr>
          <w:p w14:paraId="46790E2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0</w:t>
            </w:r>
          </w:p>
        </w:tc>
        <w:tc>
          <w:tcPr>
            <w:tcW w:w="575" w:type="pct"/>
            <w:tcBorders>
              <w:bottom w:val="single" w:sz="8" w:space="0" w:color="A6A6A6" w:themeColor="background1" w:themeShade="A6"/>
            </w:tcBorders>
            <w:vAlign w:val="top"/>
          </w:tcPr>
          <w:p w14:paraId="2D21A0C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91.43</w:t>
            </w:r>
          </w:p>
        </w:tc>
        <w:tc>
          <w:tcPr>
            <w:tcW w:w="575" w:type="pct"/>
            <w:tcBorders>
              <w:bottom w:val="single" w:sz="8" w:space="0" w:color="A6A6A6" w:themeColor="background1" w:themeShade="A6"/>
            </w:tcBorders>
            <w:vAlign w:val="top"/>
          </w:tcPr>
          <w:p w14:paraId="7E21B04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145A36">
              <w:t>8.57</w:t>
            </w:r>
          </w:p>
        </w:tc>
      </w:tr>
      <w:tr w:rsidR="00FC77C7" w:rsidRPr="00BF3285" w14:paraId="3C982A6D"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792" w:type="pct"/>
            <w:tcBorders>
              <w:top w:val="single" w:sz="8" w:space="0" w:color="A6A6A6" w:themeColor="background1" w:themeShade="A6"/>
            </w:tcBorders>
          </w:tcPr>
          <w:p w14:paraId="0B1F0E65" w14:textId="77777777" w:rsidR="00FC77C7" w:rsidRPr="00BF3285" w:rsidRDefault="00FC77C7" w:rsidP="0093011F">
            <w:pPr>
              <w:pStyle w:val="TableText"/>
              <w:rPr>
                <w:lang w:eastAsia="en-NZ"/>
              </w:rPr>
            </w:pPr>
            <w:r>
              <w:rPr>
                <w:lang w:eastAsia="en-NZ"/>
              </w:rPr>
              <w:t>NZ</w:t>
            </w:r>
          </w:p>
        </w:tc>
        <w:tc>
          <w:tcPr>
            <w:tcW w:w="834" w:type="pct"/>
            <w:tcBorders>
              <w:top w:val="single" w:sz="8" w:space="0" w:color="A6A6A6" w:themeColor="background1" w:themeShade="A6"/>
            </w:tcBorders>
          </w:tcPr>
          <w:p w14:paraId="4177FCA7"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86.2</w:t>
            </w:r>
          </w:p>
        </w:tc>
        <w:tc>
          <w:tcPr>
            <w:tcW w:w="874" w:type="pct"/>
            <w:tcBorders>
              <w:top w:val="single" w:sz="8" w:space="0" w:color="A6A6A6" w:themeColor="background1" w:themeShade="A6"/>
            </w:tcBorders>
          </w:tcPr>
          <w:p w14:paraId="332462D8"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87.81</w:t>
            </w:r>
          </w:p>
        </w:tc>
        <w:tc>
          <w:tcPr>
            <w:tcW w:w="776" w:type="pct"/>
            <w:tcBorders>
              <w:top w:val="single" w:sz="8" w:space="0" w:color="A6A6A6" w:themeColor="background1" w:themeShade="A6"/>
            </w:tcBorders>
          </w:tcPr>
          <w:p w14:paraId="15F0B996"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1.61</w:t>
            </w:r>
          </w:p>
        </w:tc>
        <w:tc>
          <w:tcPr>
            <w:tcW w:w="574" w:type="pct"/>
            <w:tcBorders>
              <w:top w:val="single" w:sz="8" w:space="0" w:color="A6A6A6" w:themeColor="background1" w:themeShade="A6"/>
            </w:tcBorders>
          </w:tcPr>
          <w:p w14:paraId="4F0C5D0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575" w:type="pct"/>
            <w:tcBorders>
              <w:top w:val="single" w:sz="8" w:space="0" w:color="A6A6A6" w:themeColor="background1" w:themeShade="A6"/>
            </w:tcBorders>
          </w:tcPr>
          <w:p w14:paraId="285A7FF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575" w:type="pct"/>
            <w:tcBorders>
              <w:top w:val="single" w:sz="8" w:space="0" w:color="A6A6A6" w:themeColor="background1" w:themeShade="A6"/>
            </w:tcBorders>
          </w:tcPr>
          <w:p w14:paraId="32ECAC3B"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r>
    </w:tbl>
    <w:p w14:paraId="34A06D04" w14:textId="77777777" w:rsidR="00FC77C7" w:rsidRPr="00C3424D" w:rsidRDefault="00FC77C7" w:rsidP="00FC77C7">
      <w:pPr>
        <w:rPr>
          <w:sz w:val="18"/>
          <w:szCs w:val="18"/>
        </w:rPr>
      </w:pPr>
      <w:r w:rsidRPr="00C3424D">
        <w:rPr>
          <w:sz w:val="18"/>
          <w:szCs w:val="18"/>
        </w:rPr>
        <w:t>Source: Hicks (2020)</w:t>
      </w:r>
    </w:p>
    <w:p w14:paraId="09830EFE" w14:textId="77777777" w:rsidR="00FC77C7" w:rsidRDefault="00FC77C7" w:rsidP="00FC77C7"/>
    <w:p w14:paraId="03E3585E" w14:textId="15B57B33" w:rsidR="00FC77C7" w:rsidRDefault="00FC77C7" w:rsidP="00FC77C7">
      <w:r>
        <w:t>The first two columns show p</w:t>
      </w:r>
      <w:r w:rsidRPr="00C463BA">
        <w:t>ercentages of river network segments meeting the clarity bottom lines before and after stock exclusion</w:t>
      </w:r>
      <w:r>
        <w:t xml:space="preserve">, with the third column showing the difference as a percentage point improvement. The final three columns show the percentage of segments that are predicted to meet the bottom lines in terms of their starting levels of water clarity, </w:t>
      </w:r>
      <w:proofErr w:type="spellStart"/>
      <w:r>
        <w:t>ie</w:t>
      </w:r>
      <w:proofErr w:type="spellEnd"/>
      <w:r>
        <w:t xml:space="preserve"> in Auckland 4.7% of those that will change to meeting the bottom lines after the policy is introduced are starting from a position of moderate water clarity and 95.3% are starting from poor water clarity. To estimate the benefits of improvements we use an equation of the following form:</w:t>
      </w:r>
    </w:p>
    <w:p w14:paraId="6E4405CD" w14:textId="77777777" w:rsidR="00AB6572" w:rsidRPr="00A335EE" w:rsidRDefault="00AB6572" w:rsidP="00FC77C7"/>
    <w:p w14:paraId="7D10D311" w14:textId="77777777" w:rsidR="00FC77C7" w:rsidRDefault="00FC77C7" w:rsidP="00902582">
      <w:pPr>
        <w:ind w:left="357"/>
      </w:pPr>
      <w:r>
        <w:t>V</w:t>
      </w:r>
      <w:r>
        <w:rPr>
          <w:vertAlign w:val="subscript"/>
        </w:rPr>
        <w:t>WC</w:t>
      </w:r>
      <w:r>
        <w:t xml:space="preserve"> </w:t>
      </w:r>
      <w:r>
        <w:tab/>
        <w:t>=</w:t>
      </w:r>
      <w:r>
        <w:tab/>
        <w:t>P × Z × PPI × PSS × WTP</w:t>
      </w:r>
    </w:p>
    <w:p w14:paraId="492FA5DD" w14:textId="77777777" w:rsidR="00FC77C7" w:rsidRDefault="00FC77C7" w:rsidP="00FC77C7">
      <w:r>
        <w:lastRenderedPageBreak/>
        <w:t>Where:</w:t>
      </w:r>
      <w:r>
        <w:tab/>
        <w:t>V</w:t>
      </w:r>
      <w:r>
        <w:rPr>
          <w:vertAlign w:val="subscript"/>
        </w:rPr>
        <w:t>WC</w:t>
      </w:r>
      <w:r>
        <w:t xml:space="preserve"> </w:t>
      </w:r>
      <w:r>
        <w:tab/>
        <w:t xml:space="preserve"> =</w:t>
      </w:r>
      <w:r>
        <w:tab/>
        <w:t>value of water clarity improvement</w:t>
      </w:r>
    </w:p>
    <w:p w14:paraId="43FAF82F" w14:textId="77777777" w:rsidR="00FC77C7" w:rsidRDefault="00FC77C7" w:rsidP="00FC77C7">
      <w:r>
        <w:t>P</w:t>
      </w:r>
      <w:r>
        <w:tab/>
        <w:t xml:space="preserve"> =</w:t>
      </w:r>
      <w:r>
        <w:tab/>
        <w:t xml:space="preserve">Adult population in the region or NZ </w:t>
      </w:r>
    </w:p>
    <w:p w14:paraId="0E10084E" w14:textId="77777777" w:rsidR="00FC77C7" w:rsidRDefault="00FC77C7" w:rsidP="00FC77C7">
      <w:r>
        <w:t>Z</w:t>
      </w:r>
      <w:r>
        <w:tab/>
        <w:t xml:space="preserve"> =</w:t>
      </w:r>
      <w:r>
        <w:tab/>
        <w:t xml:space="preserve">Proportion of population with a zero WTP, </w:t>
      </w:r>
      <w:proofErr w:type="spellStart"/>
      <w:r>
        <w:t>ie</w:t>
      </w:r>
      <w:proofErr w:type="spellEnd"/>
      <w:r>
        <w:t xml:space="preserve"> 0.79 </w:t>
      </w:r>
    </w:p>
    <w:p w14:paraId="181B5B06" w14:textId="77777777" w:rsidR="00FC77C7" w:rsidRDefault="00FC77C7" w:rsidP="00FC77C7">
      <w:r>
        <w:t xml:space="preserve">PPI </w:t>
      </w:r>
      <w:r>
        <w:tab/>
        <w:t xml:space="preserve"> =</w:t>
      </w:r>
      <w:r>
        <w:tab/>
        <w:t>Percentage point improvement in segments that are compliant</w:t>
      </w:r>
    </w:p>
    <w:p w14:paraId="6C7FC1FB" w14:textId="77777777" w:rsidR="00FC77C7" w:rsidRDefault="00FC77C7" w:rsidP="00FC77C7">
      <w:r>
        <w:t>PSS</w:t>
      </w:r>
      <w:r>
        <w:tab/>
        <w:t xml:space="preserve"> = </w:t>
      </w:r>
      <w:r>
        <w:tab/>
        <w:t>Percentage of segments moving to compliance by starting state</w:t>
      </w:r>
    </w:p>
    <w:p w14:paraId="7C419AFD" w14:textId="77777777" w:rsidR="00FC77C7" w:rsidRDefault="00FC77C7" w:rsidP="00FC77C7">
      <w:r>
        <w:t>WTP =</w:t>
      </w:r>
      <w:r>
        <w:tab/>
        <w:t>willingness to pay for 1% improvement by starting condition</w:t>
      </w:r>
    </w:p>
    <w:p w14:paraId="6FCECB8A" w14:textId="77777777" w:rsidR="00AB6572" w:rsidRDefault="00AB6572" w:rsidP="00FC77C7"/>
    <w:p w14:paraId="6DA8AB7D" w14:textId="32A00F16" w:rsidR="00FC77C7" w:rsidRDefault="00FC77C7" w:rsidP="00FC77C7">
      <w:r>
        <w:t xml:space="preserve">The results are shown in </w:t>
      </w:r>
      <w:r>
        <w:fldChar w:fldCharType="begin"/>
      </w:r>
      <w:r>
        <w:instrText xml:space="preserve"> REF _Ref35587909 \h </w:instrText>
      </w:r>
      <w:r>
        <w:fldChar w:fldCharType="separate"/>
      </w:r>
      <w:r w:rsidR="00024EB5">
        <w:t xml:space="preserve">Table </w:t>
      </w:r>
      <w:r w:rsidR="00024EB5">
        <w:rPr>
          <w:noProof/>
        </w:rPr>
        <w:t>18</w:t>
      </w:r>
      <w:r>
        <w:fldChar w:fldCharType="end"/>
      </w:r>
      <w:r w:rsidR="00AB6572">
        <w:t xml:space="preserve"> (annual values) and </w:t>
      </w:r>
      <w:r w:rsidR="00AB6572">
        <w:fldChar w:fldCharType="begin"/>
      </w:r>
      <w:r w:rsidR="00AB6572">
        <w:instrText xml:space="preserve"> REF _Ref39230967 \h </w:instrText>
      </w:r>
      <w:r w:rsidR="00AB6572">
        <w:fldChar w:fldCharType="separate"/>
      </w:r>
      <w:r w:rsidR="00024EB5">
        <w:t xml:space="preserve">Table </w:t>
      </w:r>
      <w:r w:rsidR="00024EB5">
        <w:rPr>
          <w:noProof/>
        </w:rPr>
        <w:t>19</w:t>
      </w:r>
      <w:r w:rsidR="00AB6572">
        <w:fldChar w:fldCharType="end"/>
      </w:r>
      <w:r w:rsidR="00AB6572">
        <w:t xml:space="preserve"> (present value to 2050)</w:t>
      </w:r>
      <w:r>
        <w:t>.</w:t>
      </w:r>
      <w:r w:rsidR="00AB6572">
        <w:t xml:space="preserve"> AT a 3% discount rate the benefits to 2050 are estimated to total $221 million (in a range of $195 to $247 million)</w:t>
      </w:r>
    </w:p>
    <w:p w14:paraId="7AC7D284" w14:textId="5FDF7F2A" w:rsidR="00FC77C7" w:rsidRDefault="00FC77C7" w:rsidP="00902582">
      <w:pPr>
        <w:pStyle w:val="Caption"/>
        <w:spacing w:line="240" w:lineRule="auto"/>
      </w:pPr>
      <w:bookmarkStart w:id="80" w:name="_Ref35587909"/>
      <w:r>
        <w:t xml:space="preserve">Table </w:t>
      </w:r>
      <w:r w:rsidR="00313617">
        <w:fldChar w:fldCharType="begin"/>
      </w:r>
      <w:r w:rsidR="00313617">
        <w:instrText xml:space="preserve"> SEQ Table \* ARABIC </w:instrText>
      </w:r>
      <w:r w:rsidR="00313617">
        <w:fldChar w:fldCharType="separate"/>
      </w:r>
      <w:r w:rsidR="00024EB5">
        <w:rPr>
          <w:noProof/>
        </w:rPr>
        <w:t>18</w:t>
      </w:r>
      <w:r w:rsidR="00313617">
        <w:rPr>
          <w:noProof/>
        </w:rPr>
        <w:fldChar w:fldCharType="end"/>
      </w:r>
      <w:bookmarkEnd w:id="80"/>
      <w:r>
        <w:t xml:space="preserve"> </w:t>
      </w:r>
      <w:r w:rsidRPr="003D1005">
        <w:t xml:space="preserve">Estimated annual </w:t>
      </w:r>
      <w:r>
        <w:t>water clarity</w:t>
      </w:r>
      <w:r w:rsidRPr="003D1005">
        <w:t xml:space="preserve"> benefits </w:t>
      </w:r>
      <w:r>
        <w:t>of stock exclusion ($ million)</w:t>
      </w:r>
    </w:p>
    <w:tbl>
      <w:tblPr>
        <w:tblStyle w:val="CovecTables"/>
        <w:tblW w:w="0" w:type="auto"/>
        <w:tblLook w:val="04E0" w:firstRow="1" w:lastRow="1" w:firstColumn="1" w:lastColumn="0" w:noHBand="0" w:noVBand="1"/>
      </w:tblPr>
      <w:tblGrid>
        <w:gridCol w:w="1021"/>
        <w:gridCol w:w="1465"/>
        <w:gridCol w:w="1465"/>
        <w:gridCol w:w="1465"/>
      </w:tblGrid>
      <w:tr w:rsidR="00AB6572" w14:paraId="3B6E0007" w14:textId="77777777" w:rsidTr="00AB6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Pr>
          <w:p w14:paraId="42452EBB" w14:textId="77777777" w:rsidR="00AB6572" w:rsidRDefault="00AB6572" w:rsidP="00D235A5">
            <w:pPr>
              <w:pStyle w:val="TableText"/>
              <w:jc w:val="left"/>
            </w:pPr>
            <w:r>
              <w:t>Year</w:t>
            </w:r>
          </w:p>
        </w:tc>
        <w:tc>
          <w:tcPr>
            <w:tcW w:w="1465" w:type="dxa"/>
          </w:tcPr>
          <w:p w14:paraId="731EA475" w14:textId="77777777" w:rsidR="00AB6572"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t>Median value</w:t>
            </w:r>
          </w:p>
        </w:tc>
        <w:tc>
          <w:tcPr>
            <w:tcW w:w="1465" w:type="dxa"/>
          </w:tcPr>
          <w:p w14:paraId="79980540" w14:textId="77777777" w:rsidR="00AB6572"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t>Low</w:t>
            </w:r>
          </w:p>
        </w:tc>
        <w:tc>
          <w:tcPr>
            <w:tcW w:w="1465" w:type="dxa"/>
          </w:tcPr>
          <w:p w14:paraId="580E660E" w14:textId="77777777" w:rsidR="00AB6572"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t>High</w:t>
            </w:r>
          </w:p>
        </w:tc>
      </w:tr>
      <w:tr w:rsidR="00AB6572" w14:paraId="142BB98A" w14:textId="77777777" w:rsidTr="00AB6572">
        <w:tc>
          <w:tcPr>
            <w:cnfStyle w:val="001000000000" w:firstRow="0" w:lastRow="0" w:firstColumn="1" w:lastColumn="0" w:oddVBand="0" w:evenVBand="0" w:oddHBand="0" w:evenHBand="0" w:firstRowFirstColumn="0" w:firstRowLastColumn="0" w:lastRowFirstColumn="0" w:lastRowLastColumn="0"/>
            <w:tcW w:w="1021" w:type="dxa"/>
          </w:tcPr>
          <w:p w14:paraId="0603D753" w14:textId="77777777" w:rsidR="00AB6572" w:rsidRDefault="00AB6572" w:rsidP="00AB6572">
            <w:pPr>
              <w:pStyle w:val="TableText"/>
            </w:pPr>
            <w:r w:rsidRPr="00703BDF">
              <w:t>2030</w:t>
            </w:r>
          </w:p>
        </w:tc>
        <w:tc>
          <w:tcPr>
            <w:tcW w:w="1465" w:type="dxa"/>
            <w:vAlign w:val="top"/>
          </w:tcPr>
          <w:p w14:paraId="5C684944" w14:textId="35AC5EA2"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$11.7</w:t>
            </w:r>
          </w:p>
        </w:tc>
        <w:tc>
          <w:tcPr>
            <w:tcW w:w="1465" w:type="dxa"/>
            <w:vAlign w:val="top"/>
          </w:tcPr>
          <w:p w14:paraId="27CFA5CC" w14:textId="022B4576"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$10.3</w:t>
            </w:r>
          </w:p>
        </w:tc>
        <w:tc>
          <w:tcPr>
            <w:tcW w:w="1465" w:type="dxa"/>
            <w:vAlign w:val="top"/>
          </w:tcPr>
          <w:p w14:paraId="641852C2" w14:textId="161025E0"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$13.0</w:t>
            </w:r>
          </w:p>
        </w:tc>
      </w:tr>
      <w:tr w:rsidR="00AB6572" w14:paraId="48F276F9" w14:textId="77777777" w:rsidTr="00AB6572">
        <w:tc>
          <w:tcPr>
            <w:cnfStyle w:val="001000000000" w:firstRow="0" w:lastRow="0" w:firstColumn="1" w:lastColumn="0" w:oddVBand="0" w:evenVBand="0" w:oddHBand="0" w:evenHBand="0" w:firstRowFirstColumn="0" w:firstRowLastColumn="0" w:lastRowFirstColumn="0" w:lastRowLastColumn="0"/>
            <w:tcW w:w="1021" w:type="dxa"/>
          </w:tcPr>
          <w:p w14:paraId="6C79AD89" w14:textId="77777777" w:rsidR="00AB6572" w:rsidRDefault="00AB6572" w:rsidP="00AB6572">
            <w:pPr>
              <w:pStyle w:val="TableText"/>
            </w:pPr>
            <w:r w:rsidRPr="00703BDF">
              <w:t>2040</w:t>
            </w:r>
          </w:p>
        </w:tc>
        <w:tc>
          <w:tcPr>
            <w:tcW w:w="1465" w:type="dxa"/>
            <w:vAlign w:val="top"/>
          </w:tcPr>
          <w:p w14:paraId="130348C6" w14:textId="314BE6CB"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$12.4</w:t>
            </w:r>
          </w:p>
        </w:tc>
        <w:tc>
          <w:tcPr>
            <w:tcW w:w="1465" w:type="dxa"/>
            <w:vAlign w:val="top"/>
          </w:tcPr>
          <w:p w14:paraId="000B8BE8" w14:textId="3A0C7ADE"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$10.9</w:t>
            </w:r>
          </w:p>
        </w:tc>
        <w:tc>
          <w:tcPr>
            <w:tcW w:w="1465" w:type="dxa"/>
            <w:vAlign w:val="top"/>
          </w:tcPr>
          <w:p w14:paraId="5602EAB1" w14:textId="23015F48" w:rsidR="00AB6572"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3A3A60">
              <w:t>$13.8</w:t>
            </w:r>
          </w:p>
        </w:tc>
      </w:tr>
      <w:tr w:rsidR="00AB6572" w14:paraId="13B1057C" w14:textId="77777777" w:rsidTr="00AB657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21" w:type="dxa"/>
          </w:tcPr>
          <w:p w14:paraId="18CAFA70" w14:textId="77777777" w:rsidR="00AB6572" w:rsidRDefault="00AB6572" w:rsidP="00AB6572">
            <w:pPr>
              <w:pStyle w:val="TableText"/>
            </w:pPr>
            <w:r w:rsidRPr="00703BDF">
              <w:t>2050</w:t>
            </w:r>
          </w:p>
        </w:tc>
        <w:tc>
          <w:tcPr>
            <w:tcW w:w="1465" w:type="dxa"/>
            <w:vAlign w:val="top"/>
          </w:tcPr>
          <w:p w14:paraId="3DF65535" w14:textId="5420C298" w:rsidR="00AB6572"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3A3A60">
              <w:t>$12.5</w:t>
            </w:r>
          </w:p>
        </w:tc>
        <w:tc>
          <w:tcPr>
            <w:tcW w:w="1465" w:type="dxa"/>
            <w:vAlign w:val="top"/>
          </w:tcPr>
          <w:p w14:paraId="2E2FA6C6" w14:textId="3CF57351" w:rsidR="00AB6572"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3A3A60">
              <w:t>$11.0</w:t>
            </w:r>
          </w:p>
        </w:tc>
        <w:tc>
          <w:tcPr>
            <w:tcW w:w="1465" w:type="dxa"/>
            <w:vAlign w:val="top"/>
          </w:tcPr>
          <w:p w14:paraId="751DCF92" w14:textId="0A5F7EF8" w:rsidR="00AB6572"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3A3A60">
              <w:t>$14.0</w:t>
            </w:r>
          </w:p>
        </w:tc>
      </w:tr>
    </w:tbl>
    <w:p w14:paraId="092C19D3" w14:textId="138B8DD8" w:rsidR="00AB6572" w:rsidRPr="00A307DB" w:rsidRDefault="00AB6572" w:rsidP="00AB6572">
      <w:pPr>
        <w:rPr>
          <w:sz w:val="18"/>
          <w:szCs w:val="18"/>
        </w:rPr>
      </w:pPr>
      <w:r>
        <w:rPr>
          <w:sz w:val="18"/>
          <w:szCs w:val="18"/>
        </w:rPr>
        <w:t>Note: Low and High values are based on the 5</w:t>
      </w:r>
      <w:r w:rsidRPr="00A307DB">
        <w:rPr>
          <w:sz w:val="18"/>
          <w:szCs w:val="18"/>
          <w:vertAlign w:val="superscript"/>
        </w:rPr>
        <w:t>th</w:t>
      </w:r>
      <w:r>
        <w:rPr>
          <w:sz w:val="18"/>
          <w:szCs w:val="18"/>
        </w:rPr>
        <w:t xml:space="preserve"> and 95</w:t>
      </w:r>
      <w:r w:rsidRPr="00A307DB">
        <w:rPr>
          <w:sz w:val="18"/>
          <w:szCs w:val="18"/>
          <w:vertAlign w:val="superscript"/>
        </w:rPr>
        <w:t>th</w:t>
      </w:r>
      <w:r>
        <w:rPr>
          <w:sz w:val="18"/>
          <w:szCs w:val="18"/>
        </w:rPr>
        <w:t xml:space="preserve"> percentile values from Tait et al (s</w:t>
      </w:r>
      <w:r w:rsidRPr="00A307DB">
        <w:rPr>
          <w:sz w:val="18"/>
          <w:szCs w:val="18"/>
        </w:rPr>
        <w:t xml:space="preserve">ee </w:t>
      </w:r>
      <w:r w:rsidRPr="00A307DB">
        <w:rPr>
          <w:sz w:val="18"/>
          <w:szCs w:val="18"/>
        </w:rPr>
        <w:fldChar w:fldCharType="begin"/>
      </w:r>
      <w:r w:rsidRPr="00A307DB">
        <w:rPr>
          <w:sz w:val="18"/>
          <w:szCs w:val="18"/>
        </w:rPr>
        <w:instrText xml:space="preserve"> REF _Ref30413099 \h </w:instrText>
      </w:r>
      <w:r>
        <w:rPr>
          <w:sz w:val="18"/>
          <w:szCs w:val="18"/>
        </w:rPr>
        <w:instrText xml:space="preserve"> \* MERGEFORMAT </w:instrText>
      </w:r>
      <w:r w:rsidRPr="00A307DB">
        <w:rPr>
          <w:sz w:val="18"/>
          <w:szCs w:val="18"/>
        </w:rPr>
      </w:r>
      <w:r w:rsidRPr="00A307DB">
        <w:rPr>
          <w:sz w:val="18"/>
          <w:szCs w:val="18"/>
        </w:rPr>
        <w:fldChar w:fldCharType="separate"/>
      </w:r>
      <w:r w:rsidR="00024EB5" w:rsidRPr="00024EB5">
        <w:rPr>
          <w:sz w:val="18"/>
          <w:szCs w:val="18"/>
        </w:rPr>
        <w:t xml:space="preserve">Table </w:t>
      </w:r>
      <w:r w:rsidR="00024EB5" w:rsidRPr="00024EB5">
        <w:rPr>
          <w:noProof/>
          <w:sz w:val="18"/>
          <w:szCs w:val="18"/>
        </w:rPr>
        <w:t>3</w:t>
      </w:r>
      <w:r w:rsidRPr="00A307DB">
        <w:rPr>
          <w:sz w:val="18"/>
          <w:szCs w:val="18"/>
        </w:rPr>
        <w:fldChar w:fldCharType="end"/>
      </w:r>
      <w:r w:rsidRPr="00A307DB">
        <w:rPr>
          <w:sz w:val="18"/>
          <w:szCs w:val="18"/>
        </w:rPr>
        <w:t>)</w:t>
      </w:r>
    </w:p>
    <w:p w14:paraId="7BE77AD5" w14:textId="2908F7AA" w:rsidR="00AB6572" w:rsidRDefault="00AB6572" w:rsidP="00AB6572">
      <w:pPr>
        <w:pStyle w:val="Caption"/>
      </w:pPr>
      <w:bookmarkStart w:id="81" w:name="_Ref39230967"/>
      <w:r>
        <w:t xml:space="preserve">Table </w:t>
      </w:r>
      <w:r>
        <w:fldChar w:fldCharType="begin"/>
      </w:r>
      <w:r>
        <w:instrText xml:space="preserve"> SEQ Table \* ARABIC </w:instrText>
      </w:r>
      <w:r>
        <w:fldChar w:fldCharType="separate"/>
      </w:r>
      <w:r w:rsidR="00024EB5">
        <w:rPr>
          <w:noProof/>
        </w:rPr>
        <w:t>19</w:t>
      </w:r>
      <w:r>
        <w:rPr>
          <w:noProof/>
        </w:rPr>
        <w:fldChar w:fldCharType="end"/>
      </w:r>
      <w:bookmarkEnd w:id="81"/>
      <w:r>
        <w:t xml:space="preserve"> </w:t>
      </w:r>
      <w:r w:rsidRPr="003D1005">
        <w:t xml:space="preserve">Estimated present value </w:t>
      </w:r>
      <w:r>
        <w:t xml:space="preserve">(to 2050) </w:t>
      </w:r>
      <w:r w:rsidRPr="003D1005">
        <w:t xml:space="preserve">of </w:t>
      </w:r>
      <w:r>
        <w:t>water clarity</w:t>
      </w:r>
      <w:r w:rsidRPr="003D1005">
        <w:t xml:space="preserve"> benefits at different discount rates</w:t>
      </w:r>
      <w:r>
        <w:t xml:space="preserve"> ($ million)</w:t>
      </w:r>
    </w:p>
    <w:tbl>
      <w:tblPr>
        <w:tblStyle w:val="CovecTables"/>
        <w:tblW w:w="4800" w:type="dxa"/>
        <w:tblLook w:val="04E0" w:firstRow="1" w:lastRow="1" w:firstColumn="1" w:lastColumn="0" w:noHBand="0" w:noVBand="1"/>
      </w:tblPr>
      <w:tblGrid>
        <w:gridCol w:w="960"/>
        <w:gridCol w:w="960"/>
        <w:gridCol w:w="960"/>
        <w:gridCol w:w="960"/>
        <w:gridCol w:w="960"/>
      </w:tblGrid>
      <w:tr w:rsidR="00AB6572" w:rsidRPr="00703BDF" w14:paraId="259A7AAA" w14:textId="77777777" w:rsidTr="00D235A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602CA5" w14:textId="3024DC7F" w:rsidR="00AB6572" w:rsidRPr="00703BDF" w:rsidRDefault="00AB6572" w:rsidP="00D235A5">
            <w:pPr>
              <w:pStyle w:val="TableText"/>
              <w:jc w:val="left"/>
            </w:pPr>
          </w:p>
        </w:tc>
        <w:tc>
          <w:tcPr>
            <w:tcW w:w="960" w:type="dxa"/>
            <w:noWrap/>
            <w:hideMark/>
          </w:tcPr>
          <w:p w14:paraId="569DAC1A" w14:textId="77777777" w:rsidR="00AB6572" w:rsidRPr="00703BDF"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0%</w:t>
            </w:r>
          </w:p>
        </w:tc>
        <w:tc>
          <w:tcPr>
            <w:tcW w:w="960" w:type="dxa"/>
            <w:noWrap/>
            <w:hideMark/>
          </w:tcPr>
          <w:p w14:paraId="79E04C84" w14:textId="77777777" w:rsidR="00AB6572" w:rsidRPr="00703BDF"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1%</w:t>
            </w:r>
          </w:p>
        </w:tc>
        <w:tc>
          <w:tcPr>
            <w:tcW w:w="960" w:type="dxa"/>
            <w:noWrap/>
            <w:hideMark/>
          </w:tcPr>
          <w:p w14:paraId="2CE45373" w14:textId="77777777" w:rsidR="00AB6572" w:rsidRPr="00703BDF"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3%</w:t>
            </w:r>
          </w:p>
        </w:tc>
        <w:tc>
          <w:tcPr>
            <w:tcW w:w="960" w:type="dxa"/>
            <w:noWrap/>
            <w:hideMark/>
          </w:tcPr>
          <w:p w14:paraId="4E62210B" w14:textId="77777777" w:rsidR="00AB6572" w:rsidRPr="00703BDF" w:rsidRDefault="00AB6572"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6%</w:t>
            </w:r>
          </w:p>
        </w:tc>
      </w:tr>
      <w:tr w:rsidR="00AB6572" w:rsidRPr="00703BDF" w14:paraId="4F2B54AA" w14:textId="77777777" w:rsidTr="00D235A5">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bottom w:val="single" w:sz="8" w:space="0" w:color="A6A6A6" w:themeColor="background1" w:themeShade="A6"/>
            </w:tcBorders>
            <w:noWrap/>
            <w:hideMark/>
          </w:tcPr>
          <w:p w14:paraId="3260932A" w14:textId="77777777" w:rsidR="00AB6572" w:rsidRPr="00703BDF" w:rsidRDefault="00AB6572" w:rsidP="00AB6572">
            <w:pPr>
              <w:pStyle w:val="TableText"/>
            </w:pPr>
            <w:r>
              <w:t>Median</w:t>
            </w:r>
          </w:p>
        </w:tc>
        <w:tc>
          <w:tcPr>
            <w:tcW w:w="960" w:type="dxa"/>
            <w:tcBorders>
              <w:top w:val="single" w:sz="8" w:space="0" w:color="A6A6A6" w:themeColor="background1" w:themeShade="A6"/>
              <w:bottom w:val="single" w:sz="8" w:space="0" w:color="A6A6A6" w:themeColor="background1" w:themeShade="A6"/>
            </w:tcBorders>
            <w:noWrap/>
            <w:vAlign w:val="top"/>
            <w:hideMark/>
          </w:tcPr>
          <w:p w14:paraId="3DFA9012" w14:textId="73A71325" w:rsidR="00AB6572" w:rsidRPr="00703BDF"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503B64">
              <w:t>$347</w:t>
            </w:r>
          </w:p>
        </w:tc>
        <w:tc>
          <w:tcPr>
            <w:tcW w:w="960" w:type="dxa"/>
            <w:tcBorders>
              <w:top w:val="single" w:sz="8" w:space="0" w:color="A6A6A6" w:themeColor="background1" w:themeShade="A6"/>
              <w:bottom w:val="single" w:sz="8" w:space="0" w:color="A6A6A6" w:themeColor="background1" w:themeShade="A6"/>
            </w:tcBorders>
            <w:noWrap/>
            <w:vAlign w:val="top"/>
            <w:hideMark/>
          </w:tcPr>
          <w:p w14:paraId="5075C5E6" w14:textId="02467D52" w:rsidR="00AB6572" w:rsidRPr="00703BDF"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503B64">
              <w:t>$296</w:t>
            </w:r>
          </w:p>
        </w:tc>
        <w:tc>
          <w:tcPr>
            <w:tcW w:w="960" w:type="dxa"/>
            <w:tcBorders>
              <w:top w:val="single" w:sz="8" w:space="0" w:color="A6A6A6" w:themeColor="background1" w:themeShade="A6"/>
              <w:bottom w:val="single" w:sz="8" w:space="0" w:color="A6A6A6" w:themeColor="background1" w:themeShade="A6"/>
            </w:tcBorders>
            <w:noWrap/>
            <w:vAlign w:val="top"/>
            <w:hideMark/>
          </w:tcPr>
          <w:p w14:paraId="5135EDB5" w14:textId="3F2C1272" w:rsidR="00AB6572" w:rsidRPr="00703BDF"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503B64">
              <w:t>$221</w:t>
            </w:r>
          </w:p>
        </w:tc>
        <w:tc>
          <w:tcPr>
            <w:tcW w:w="960" w:type="dxa"/>
            <w:tcBorders>
              <w:top w:val="single" w:sz="8" w:space="0" w:color="A6A6A6" w:themeColor="background1" w:themeShade="A6"/>
              <w:bottom w:val="single" w:sz="8" w:space="0" w:color="A6A6A6" w:themeColor="background1" w:themeShade="A6"/>
            </w:tcBorders>
            <w:noWrap/>
            <w:vAlign w:val="top"/>
            <w:hideMark/>
          </w:tcPr>
          <w:p w14:paraId="1CED1AD6" w14:textId="7917CFFA" w:rsidR="00AB6572" w:rsidRPr="00703BDF"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503B64">
              <w:t>$150</w:t>
            </w:r>
          </w:p>
        </w:tc>
      </w:tr>
      <w:tr w:rsidR="00AB6572" w:rsidRPr="00703BDF" w14:paraId="3522534F" w14:textId="77777777" w:rsidTr="00D235A5">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tcBorders>
            <w:noWrap/>
          </w:tcPr>
          <w:p w14:paraId="4C5BDE31" w14:textId="77777777" w:rsidR="00AB6572" w:rsidRPr="00703BDF" w:rsidRDefault="00AB6572" w:rsidP="00AB6572">
            <w:pPr>
              <w:pStyle w:val="TableText"/>
            </w:pPr>
            <w:r>
              <w:t>Low</w:t>
            </w:r>
          </w:p>
        </w:tc>
        <w:tc>
          <w:tcPr>
            <w:tcW w:w="960" w:type="dxa"/>
            <w:tcBorders>
              <w:top w:val="single" w:sz="8" w:space="0" w:color="A6A6A6" w:themeColor="background1" w:themeShade="A6"/>
            </w:tcBorders>
            <w:noWrap/>
            <w:vAlign w:val="top"/>
          </w:tcPr>
          <w:p w14:paraId="7B67CEDF" w14:textId="7F8569E4"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C45BCC">
              <w:t>$306</w:t>
            </w:r>
          </w:p>
        </w:tc>
        <w:tc>
          <w:tcPr>
            <w:tcW w:w="960" w:type="dxa"/>
            <w:tcBorders>
              <w:top w:val="single" w:sz="8" w:space="0" w:color="A6A6A6" w:themeColor="background1" w:themeShade="A6"/>
            </w:tcBorders>
            <w:noWrap/>
            <w:vAlign w:val="top"/>
          </w:tcPr>
          <w:p w14:paraId="58782F61" w14:textId="72F37C56"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C45BCC">
              <w:t>$261</w:t>
            </w:r>
          </w:p>
        </w:tc>
        <w:tc>
          <w:tcPr>
            <w:tcW w:w="960" w:type="dxa"/>
            <w:tcBorders>
              <w:top w:val="single" w:sz="8" w:space="0" w:color="A6A6A6" w:themeColor="background1" w:themeShade="A6"/>
            </w:tcBorders>
            <w:noWrap/>
            <w:vAlign w:val="top"/>
          </w:tcPr>
          <w:p w14:paraId="15BE8B82" w14:textId="52CA5BEB"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C45BCC">
              <w:t>$195</w:t>
            </w:r>
          </w:p>
        </w:tc>
        <w:tc>
          <w:tcPr>
            <w:tcW w:w="960" w:type="dxa"/>
            <w:tcBorders>
              <w:top w:val="single" w:sz="8" w:space="0" w:color="A6A6A6" w:themeColor="background1" w:themeShade="A6"/>
            </w:tcBorders>
            <w:noWrap/>
            <w:vAlign w:val="top"/>
          </w:tcPr>
          <w:p w14:paraId="49FAC9F3" w14:textId="67AED0F9" w:rsidR="00AB6572" w:rsidRPr="002E6E97" w:rsidRDefault="00AB6572" w:rsidP="00AB6572">
            <w:pPr>
              <w:pStyle w:val="TableText"/>
              <w:jc w:val="center"/>
              <w:cnfStyle w:val="000000000000" w:firstRow="0" w:lastRow="0" w:firstColumn="0" w:lastColumn="0" w:oddVBand="0" w:evenVBand="0" w:oddHBand="0" w:evenHBand="0" w:firstRowFirstColumn="0" w:firstRowLastColumn="0" w:lastRowFirstColumn="0" w:lastRowLastColumn="0"/>
            </w:pPr>
            <w:r w:rsidRPr="00C45BCC">
              <w:t>$133</w:t>
            </w:r>
          </w:p>
        </w:tc>
      </w:tr>
      <w:tr w:rsidR="00AB6572" w:rsidRPr="00703BDF" w14:paraId="1E691F5D" w14:textId="77777777" w:rsidTr="00D235A5">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960" w:type="dxa"/>
            <w:noWrap/>
          </w:tcPr>
          <w:p w14:paraId="00E2C3FC" w14:textId="77777777" w:rsidR="00AB6572" w:rsidRPr="00703BDF" w:rsidRDefault="00AB6572" w:rsidP="00AB6572">
            <w:pPr>
              <w:pStyle w:val="TableText"/>
            </w:pPr>
            <w:r>
              <w:t>High</w:t>
            </w:r>
          </w:p>
        </w:tc>
        <w:tc>
          <w:tcPr>
            <w:tcW w:w="960" w:type="dxa"/>
            <w:noWrap/>
            <w:vAlign w:val="top"/>
          </w:tcPr>
          <w:p w14:paraId="16855C90" w14:textId="19DF9EEF"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C45BCC">
              <w:t>$388</w:t>
            </w:r>
          </w:p>
        </w:tc>
        <w:tc>
          <w:tcPr>
            <w:tcW w:w="960" w:type="dxa"/>
            <w:noWrap/>
            <w:vAlign w:val="top"/>
          </w:tcPr>
          <w:p w14:paraId="153CB4C4" w14:textId="7C40FE58"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C45BCC">
              <w:t>$331</w:t>
            </w:r>
          </w:p>
        </w:tc>
        <w:tc>
          <w:tcPr>
            <w:tcW w:w="960" w:type="dxa"/>
            <w:noWrap/>
            <w:vAlign w:val="top"/>
          </w:tcPr>
          <w:p w14:paraId="54EF87E0" w14:textId="6338C83F"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C45BCC">
              <w:t>$247</w:t>
            </w:r>
          </w:p>
        </w:tc>
        <w:tc>
          <w:tcPr>
            <w:tcW w:w="960" w:type="dxa"/>
            <w:noWrap/>
            <w:vAlign w:val="top"/>
          </w:tcPr>
          <w:p w14:paraId="043C7535" w14:textId="4FED138A" w:rsidR="00AB6572" w:rsidRPr="002E6E97" w:rsidRDefault="00AB6572" w:rsidP="00AB6572">
            <w:pPr>
              <w:pStyle w:val="TableText"/>
              <w:jc w:val="center"/>
              <w:cnfStyle w:val="010000000000" w:firstRow="0" w:lastRow="1" w:firstColumn="0" w:lastColumn="0" w:oddVBand="0" w:evenVBand="0" w:oddHBand="0" w:evenHBand="0" w:firstRowFirstColumn="0" w:firstRowLastColumn="0" w:lastRowFirstColumn="0" w:lastRowLastColumn="0"/>
            </w:pPr>
            <w:r w:rsidRPr="00C45BCC">
              <w:t>$168</w:t>
            </w:r>
          </w:p>
        </w:tc>
      </w:tr>
    </w:tbl>
    <w:p w14:paraId="3EA3DB22" w14:textId="77777777" w:rsidR="00FC77C7" w:rsidRDefault="00FC77C7" w:rsidP="00FC77C7">
      <w:pPr>
        <w:pStyle w:val="Heading4"/>
      </w:pPr>
      <w:r>
        <w:t>Sediment Policy</w:t>
      </w:r>
    </w:p>
    <w:p w14:paraId="2F1A7F52" w14:textId="025FA6AB" w:rsidR="00FC77C7" w:rsidRDefault="00FC77C7" w:rsidP="00FC77C7">
      <w:r>
        <w:t xml:space="preserve">Using the same methodology, we estimate the benefits of sediment policy using the data from </w:t>
      </w:r>
      <w:r w:rsidRPr="00496FA0">
        <w:t xml:space="preserve">Hicks </w:t>
      </w:r>
      <w:r w:rsidRPr="00496FA0">
        <w:rPr>
          <w:i/>
          <w:iCs/>
        </w:rPr>
        <w:t>et al</w:t>
      </w:r>
      <w:r w:rsidRPr="00496FA0">
        <w:t xml:space="preserve"> (2019)</w:t>
      </w:r>
      <w:r>
        <w:t xml:space="preserve"> and </w:t>
      </w:r>
      <w:proofErr w:type="spellStart"/>
      <w:r>
        <w:t>Neverman</w:t>
      </w:r>
      <w:proofErr w:type="spellEnd"/>
      <w:r>
        <w:t xml:space="preserve"> </w:t>
      </w:r>
      <w:r>
        <w:rPr>
          <w:i/>
          <w:iCs/>
        </w:rPr>
        <w:t>et al</w:t>
      </w:r>
      <w:r>
        <w:t xml:space="preserve"> (2019)</w:t>
      </w:r>
      <w:r w:rsidR="0093011F">
        <w:t xml:space="preserve"> (</w:t>
      </w:r>
      <w:r w:rsidR="0093011F">
        <w:fldChar w:fldCharType="begin"/>
      </w:r>
      <w:r w:rsidR="0093011F">
        <w:instrText xml:space="preserve"> REF _Ref35600291 \h </w:instrText>
      </w:r>
      <w:r w:rsidR="0093011F">
        <w:fldChar w:fldCharType="separate"/>
      </w:r>
      <w:r w:rsidR="00024EB5">
        <w:t xml:space="preserve">Table </w:t>
      </w:r>
      <w:r w:rsidR="00024EB5">
        <w:rPr>
          <w:noProof/>
        </w:rPr>
        <w:t>20</w:t>
      </w:r>
      <w:r w:rsidR="0093011F">
        <w:fldChar w:fldCharType="end"/>
      </w:r>
      <w:r w:rsidR="0093011F">
        <w:t>)</w:t>
      </w:r>
      <w:r>
        <w:t>.</w:t>
      </w:r>
    </w:p>
    <w:p w14:paraId="6A42723B" w14:textId="59F4381D" w:rsidR="00FC77C7" w:rsidRDefault="00FC77C7" w:rsidP="0093011F">
      <w:pPr>
        <w:pStyle w:val="Caption"/>
      </w:pPr>
      <w:bookmarkStart w:id="82" w:name="_Ref35600291"/>
      <w:r>
        <w:t xml:space="preserve">Table </w:t>
      </w:r>
      <w:r w:rsidR="00313617">
        <w:fldChar w:fldCharType="begin"/>
      </w:r>
      <w:r w:rsidR="00313617">
        <w:instrText xml:space="preserve"> SEQ Table \* ARABIC </w:instrText>
      </w:r>
      <w:r w:rsidR="00313617">
        <w:fldChar w:fldCharType="separate"/>
      </w:r>
      <w:r w:rsidR="00024EB5">
        <w:rPr>
          <w:noProof/>
        </w:rPr>
        <w:t>20</w:t>
      </w:r>
      <w:r w:rsidR="00313617">
        <w:rPr>
          <w:noProof/>
        </w:rPr>
        <w:fldChar w:fldCharType="end"/>
      </w:r>
      <w:bookmarkEnd w:id="82"/>
      <w:r>
        <w:t xml:space="preserve"> Impacts of Sediment Bottom Lines on Water Clarity Outcomes</w:t>
      </w:r>
    </w:p>
    <w:tbl>
      <w:tblPr>
        <w:tblStyle w:val="CovecTables"/>
        <w:tblW w:w="5000" w:type="pct"/>
        <w:tblInd w:w="0" w:type="dxa"/>
        <w:tblLayout w:type="fixed"/>
        <w:tblLook w:val="04E0" w:firstRow="1" w:lastRow="1" w:firstColumn="1" w:lastColumn="0" w:noHBand="0" w:noVBand="1"/>
      </w:tblPr>
      <w:tblGrid>
        <w:gridCol w:w="1846"/>
        <w:gridCol w:w="1416"/>
        <w:gridCol w:w="1416"/>
        <w:gridCol w:w="991"/>
        <w:gridCol w:w="850"/>
        <w:gridCol w:w="995"/>
        <w:gridCol w:w="707"/>
      </w:tblGrid>
      <w:tr w:rsidR="009B36A0" w:rsidRPr="00BF3285" w14:paraId="2FE402ED"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3" w:type="pct"/>
            <w:vAlign w:val="bottom"/>
            <w:hideMark/>
          </w:tcPr>
          <w:p w14:paraId="122531E7" w14:textId="77777777" w:rsidR="00FC77C7" w:rsidRPr="00BF3285" w:rsidRDefault="00FC77C7" w:rsidP="0093011F">
            <w:pPr>
              <w:pStyle w:val="TableText"/>
              <w:jc w:val="left"/>
              <w:rPr>
                <w:lang w:eastAsia="en-NZ"/>
              </w:rPr>
            </w:pPr>
            <w:r w:rsidRPr="00BF3285">
              <w:rPr>
                <w:lang w:eastAsia="en-NZ"/>
              </w:rPr>
              <w:t xml:space="preserve">Region </w:t>
            </w:r>
          </w:p>
        </w:tc>
        <w:tc>
          <w:tcPr>
            <w:tcW w:w="861" w:type="pct"/>
            <w:vAlign w:val="bottom"/>
            <w:hideMark/>
          </w:tcPr>
          <w:p w14:paraId="37F8370C"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b w:val="0"/>
                <w:lang w:eastAsia="en-NZ"/>
              </w:rPr>
              <w:t>%</w:t>
            </w:r>
            <w:r w:rsidRPr="00BF3285">
              <w:rPr>
                <w:lang w:eastAsia="en-NZ"/>
              </w:rPr>
              <w:t xml:space="preserve"> </w:t>
            </w:r>
            <w:r>
              <w:rPr>
                <w:lang w:eastAsia="en-NZ"/>
              </w:rPr>
              <w:t>compliance b</w:t>
            </w:r>
            <w:r w:rsidRPr="00BF3285">
              <w:rPr>
                <w:lang w:eastAsia="en-NZ"/>
              </w:rPr>
              <w:t xml:space="preserve">efore </w:t>
            </w:r>
            <w:r>
              <w:rPr>
                <w:lang w:eastAsia="en-NZ"/>
              </w:rPr>
              <w:t>m</w:t>
            </w:r>
            <w:r w:rsidRPr="00BF3285">
              <w:rPr>
                <w:lang w:eastAsia="en-NZ"/>
              </w:rPr>
              <w:t>itigation</w:t>
            </w:r>
          </w:p>
        </w:tc>
        <w:tc>
          <w:tcPr>
            <w:tcW w:w="861" w:type="pct"/>
            <w:vAlign w:val="bottom"/>
            <w:hideMark/>
          </w:tcPr>
          <w:p w14:paraId="48648FD1"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b w:val="0"/>
                <w:lang w:eastAsia="en-NZ"/>
              </w:rPr>
              <w:t>%</w:t>
            </w:r>
            <w:r w:rsidRPr="00BF3285">
              <w:rPr>
                <w:lang w:eastAsia="en-NZ"/>
              </w:rPr>
              <w:t xml:space="preserve"> </w:t>
            </w:r>
            <w:r>
              <w:rPr>
                <w:lang w:eastAsia="en-NZ"/>
              </w:rPr>
              <w:t>compliance a</w:t>
            </w:r>
            <w:r w:rsidRPr="00BF3285">
              <w:rPr>
                <w:lang w:eastAsia="en-NZ"/>
              </w:rPr>
              <w:t xml:space="preserve">fter </w:t>
            </w:r>
            <w:r>
              <w:rPr>
                <w:lang w:eastAsia="en-NZ"/>
              </w:rPr>
              <w:t>m</w:t>
            </w:r>
            <w:r w:rsidRPr="00BF3285">
              <w:rPr>
                <w:lang w:eastAsia="en-NZ"/>
              </w:rPr>
              <w:t>itigation</w:t>
            </w:r>
          </w:p>
        </w:tc>
        <w:tc>
          <w:tcPr>
            <w:tcW w:w="603" w:type="pct"/>
            <w:vAlign w:val="bottom"/>
            <w:hideMark/>
          </w:tcPr>
          <w:p w14:paraId="54EE1134"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w:t>
            </w:r>
            <w:r w:rsidRPr="00BF3285">
              <w:rPr>
                <w:lang w:eastAsia="en-NZ"/>
              </w:rPr>
              <w:t xml:space="preserve"> point improve</w:t>
            </w:r>
            <w:r>
              <w:rPr>
                <w:lang w:eastAsia="en-NZ"/>
              </w:rPr>
              <w:t>-</w:t>
            </w:r>
            <w:proofErr w:type="spellStart"/>
            <w:r w:rsidRPr="00BF3285">
              <w:rPr>
                <w:lang w:eastAsia="en-NZ"/>
              </w:rPr>
              <w:t>ment</w:t>
            </w:r>
            <w:proofErr w:type="spellEnd"/>
          </w:p>
        </w:tc>
        <w:tc>
          <w:tcPr>
            <w:tcW w:w="517" w:type="pct"/>
            <w:vAlign w:val="bottom"/>
          </w:tcPr>
          <w:p w14:paraId="4C16CE48"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45A36">
              <w:rPr>
                <w:lang w:eastAsia="en-NZ"/>
              </w:rPr>
              <w:t>Good</w:t>
            </w:r>
          </w:p>
        </w:tc>
        <w:tc>
          <w:tcPr>
            <w:tcW w:w="605" w:type="pct"/>
            <w:vAlign w:val="bottom"/>
          </w:tcPr>
          <w:p w14:paraId="21F48A8E"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45A36">
              <w:rPr>
                <w:lang w:eastAsia="en-NZ"/>
              </w:rPr>
              <w:t>Moderate</w:t>
            </w:r>
          </w:p>
        </w:tc>
        <w:tc>
          <w:tcPr>
            <w:tcW w:w="431" w:type="pct"/>
            <w:vAlign w:val="bottom"/>
          </w:tcPr>
          <w:p w14:paraId="3D7440BA" w14:textId="77777777" w:rsidR="00FC77C7" w:rsidRPr="00BF3285"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45A36">
              <w:rPr>
                <w:lang w:eastAsia="en-NZ"/>
              </w:rPr>
              <w:t>Poor</w:t>
            </w:r>
          </w:p>
        </w:tc>
      </w:tr>
      <w:tr w:rsidR="009B36A0" w:rsidRPr="00BF3285" w14:paraId="2E1454D7"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59511264" w14:textId="77777777" w:rsidR="00FC77C7" w:rsidRPr="00BF3285" w:rsidRDefault="00FC77C7" w:rsidP="0093011F">
            <w:pPr>
              <w:pStyle w:val="TableText"/>
              <w:rPr>
                <w:lang w:eastAsia="en-NZ"/>
              </w:rPr>
            </w:pPr>
            <w:r w:rsidRPr="00BF3285">
              <w:rPr>
                <w:lang w:eastAsia="en-NZ"/>
              </w:rPr>
              <w:t>Auckland</w:t>
            </w:r>
          </w:p>
        </w:tc>
        <w:tc>
          <w:tcPr>
            <w:tcW w:w="861" w:type="pct"/>
            <w:vAlign w:val="top"/>
            <w:hideMark/>
          </w:tcPr>
          <w:p w14:paraId="163B6D6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88.4</w:t>
            </w:r>
          </w:p>
        </w:tc>
        <w:tc>
          <w:tcPr>
            <w:tcW w:w="861" w:type="pct"/>
            <w:vAlign w:val="top"/>
            <w:hideMark/>
          </w:tcPr>
          <w:p w14:paraId="00E1EC6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89.2</w:t>
            </w:r>
          </w:p>
        </w:tc>
        <w:tc>
          <w:tcPr>
            <w:tcW w:w="603" w:type="pct"/>
            <w:noWrap/>
            <w:vAlign w:val="top"/>
            <w:hideMark/>
          </w:tcPr>
          <w:p w14:paraId="7637044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0.8</w:t>
            </w:r>
          </w:p>
        </w:tc>
        <w:tc>
          <w:tcPr>
            <w:tcW w:w="517" w:type="pct"/>
            <w:vAlign w:val="top"/>
          </w:tcPr>
          <w:p w14:paraId="37AC285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1.1</w:t>
            </w:r>
          </w:p>
        </w:tc>
        <w:tc>
          <w:tcPr>
            <w:tcW w:w="605" w:type="pct"/>
            <w:vAlign w:val="top"/>
          </w:tcPr>
          <w:p w14:paraId="629412B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97.9</w:t>
            </w:r>
          </w:p>
        </w:tc>
        <w:tc>
          <w:tcPr>
            <w:tcW w:w="431" w:type="pct"/>
            <w:vAlign w:val="top"/>
          </w:tcPr>
          <w:p w14:paraId="659F5F3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1.1</w:t>
            </w:r>
          </w:p>
        </w:tc>
      </w:tr>
      <w:tr w:rsidR="009B36A0" w:rsidRPr="00BF3285" w14:paraId="1E391993"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5D0774C0" w14:textId="77777777" w:rsidR="00FC77C7" w:rsidRPr="00BF3285" w:rsidRDefault="00FC77C7" w:rsidP="0093011F">
            <w:pPr>
              <w:pStyle w:val="TableText"/>
              <w:rPr>
                <w:lang w:eastAsia="en-NZ"/>
              </w:rPr>
            </w:pPr>
            <w:r w:rsidRPr="00BF3285">
              <w:rPr>
                <w:lang w:eastAsia="en-NZ"/>
              </w:rPr>
              <w:t>Bay of Plenty</w:t>
            </w:r>
          </w:p>
        </w:tc>
        <w:tc>
          <w:tcPr>
            <w:tcW w:w="861" w:type="pct"/>
            <w:vAlign w:val="top"/>
            <w:hideMark/>
          </w:tcPr>
          <w:p w14:paraId="0216CFE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91.9</w:t>
            </w:r>
          </w:p>
        </w:tc>
        <w:tc>
          <w:tcPr>
            <w:tcW w:w="861" w:type="pct"/>
            <w:vAlign w:val="top"/>
            <w:hideMark/>
          </w:tcPr>
          <w:p w14:paraId="4031B45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93.9</w:t>
            </w:r>
          </w:p>
        </w:tc>
        <w:tc>
          <w:tcPr>
            <w:tcW w:w="603" w:type="pct"/>
            <w:noWrap/>
            <w:vAlign w:val="top"/>
            <w:hideMark/>
          </w:tcPr>
          <w:p w14:paraId="4DDF6F8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w:t>
            </w:r>
          </w:p>
        </w:tc>
        <w:tc>
          <w:tcPr>
            <w:tcW w:w="517" w:type="pct"/>
            <w:vAlign w:val="top"/>
          </w:tcPr>
          <w:p w14:paraId="0FC57DC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48.8</w:t>
            </w:r>
          </w:p>
        </w:tc>
        <w:tc>
          <w:tcPr>
            <w:tcW w:w="605" w:type="pct"/>
            <w:vAlign w:val="top"/>
          </w:tcPr>
          <w:p w14:paraId="26782EC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51.2</w:t>
            </w:r>
          </w:p>
        </w:tc>
        <w:tc>
          <w:tcPr>
            <w:tcW w:w="431" w:type="pct"/>
            <w:vAlign w:val="top"/>
          </w:tcPr>
          <w:p w14:paraId="6BA7C4E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525C24F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0F96DF77" w14:textId="77777777" w:rsidR="00FC77C7" w:rsidRPr="00BF3285" w:rsidRDefault="00FC77C7" w:rsidP="0093011F">
            <w:pPr>
              <w:pStyle w:val="TableText"/>
              <w:rPr>
                <w:lang w:eastAsia="en-NZ"/>
              </w:rPr>
            </w:pPr>
            <w:r w:rsidRPr="00BF3285">
              <w:rPr>
                <w:lang w:eastAsia="en-NZ"/>
              </w:rPr>
              <w:t>Canterbury</w:t>
            </w:r>
          </w:p>
        </w:tc>
        <w:tc>
          <w:tcPr>
            <w:tcW w:w="861" w:type="pct"/>
            <w:vAlign w:val="top"/>
            <w:hideMark/>
          </w:tcPr>
          <w:p w14:paraId="2A07A18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82.8</w:t>
            </w:r>
          </w:p>
        </w:tc>
        <w:tc>
          <w:tcPr>
            <w:tcW w:w="861" w:type="pct"/>
            <w:vAlign w:val="top"/>
            <w:hideMark/>
          </w:tcPr>
          <w:p w14:paraId="01CBEAC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84.5</w:t>
            </w:r>
          </w:p>
        </w:tc>
        <w:tc>
          <w:tcPr>
            <w:tcW w:w="603" w:type="pct"/>
            <w:noWrap/>
            <w:vAlign w:val="top"/>
            <w:hideMark/>
          </w:tcPr>
          <w:p w14:paraId="06FB3D2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1.7</w:t>
            </w:r>
          </w:p>
        </w:tc>
        <w:tc>
          <w:tcPr>
            <w:tcW w:w="517" w:type="pct"/>
            <w:vAlign w:val="top"/>
          </w:tcPr>
          <w:p w14:paraId="6F66892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83.5</w:t>
            </w:r>
          </w:p>
        </w:tc>
        <w:tc>
          <w:tcPr>
            <w:tcW w:w="605" w:type="pct"/>
            <w:vAlign w:val="top"/>
          </w:tcPr>
          <w:p w14:paraId="4BA817D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16.5</w:t>
            </w:r>
          </w:p>
        </w:tc>
        <w:tc>
          <w:tcPr>
            <w:tcW w:w="431" w:type="pct"/>
            <w:vAlign w:val="top"/>
          </w:tcPr>
          <w:p w14:paraId="0AA761B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0DAA678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3403B549" w14:textId="77777777" w:rsidR="00FC77C7" w:rsidRPr="00BF3285" w:rsidRDefault="00FC77C7" w:rsidP="0093011F">
            <w:pPr>
              <w:pStyle w:val="TableText"/>
              <w:rPr>
                <w:lang w:eastAsia="en-NZ"/>
              </w:rPr>
            </w:pPr>
            <w:r w:rsidRPr="00BF3285">
              <w:rPr>
                <w:lang w:eastAsia="en-NZ"/>
              </w:rPr>
              <w:t>Gisborne</w:t>
            </w:r>
          </w:p>
        </w:tc>
        <w:tc>
          <w:tcPr>
            <w:tcW w:w="861" w:type="pct"/>
            <w:vAlign w:val="top"/>
            <w:hideMark/>
          </w:tcPr>
          <w:p w14:paraId="0D4E6DE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77</w:t>
            </w:r>
          </w:p>
        </w:tc>
        <w:tc>
          <w:tcPr>
            <w:tcW w:w="861" w:type="pct"/>
            <w:vAlign w:val="top"/>
            <w:hideMark/>
          </w:tcPr>
          <w:p w14:paraId="14DB6CE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84.9</w:t>
            </w:r>
          </w:p>
        </w:tc>
        <w:tc>
          <w:tcPr>
            <w:tcW w:w="603" w:type="pct"/>
            <w:noWrap/>
            <w:vAlign w:val="top"/>
            <w:hideMark/>
          </w:tcPr>
          <w:p w14:paraId="40EE551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7.9</w:t>
            </w:r>
          </w:p>
        </w:tc>
        <w:tc>
          <w:tcPr>
            <w:tcW w:w="517" w:type="pct"/>
            <w:vAlign w:val="top"/>
          </w:tcPr>
          <w:p w14:paraId="1242B4B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88</w:t>
            </w:r>
          </w:p>
        </w:tc>
        <w:tc>
          <w:tcPr>
            <w:tcW w:w="605" w:type="pct"/>
            <w:vAlign w:val="top"/>
          </w:tcPr>
          <w:p w14:paraId="241B78C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12</w:t>
            </w:r>
          </w:p>
        </w:tc>
        <w:tc>
          <w:tcPr>
            <w:tcW w:w="431" w:type="pct"/>
            <w:vAlign w:val="top"/>
          </w:tcPr>
          <w:p w14:paraId="4CF5D2F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75C32B68"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5D52892C" w14:textId="77777777" w:rsidR="00FC77C7" w:rsidRPr="00BF3285" w:rsidRDefault="00FC77C7" w:rsidP="0093011F">
            <w:pPr>
              <w:pStyle w:val="TableText"/>
              <w:rPr>
                <w:lang w:eastAsia="en-NZ"/>
              </w:rPr>
            </w:pPr>
            <w:r w:rsidRPr="00BF3285">
              <w:rPr>
                <w:lang w:eastAsia="en-NZ"/>
              </w:rPr>
              <w:t>Hawke's Bay</w:t>
            </w:r>
          </w:p>
        </w:tc>
        <w:tc>
          <w:tcPr>
            <w:tcW w:w="861" w:type="pct"/>
            <w:vAlign w:val="top"/>
            <w:hideMark/>
          </w:tcPr>
          <w:p w14:paraId="426542B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91.3</w:t>
            </w:r>
          </w:p>
        </w:tc>
        <w:tc>
          <w:tcPr>
            <w:tcW w:w="861" w:type="pct"/>
            <w:vAlign w:val="top"/>
            <w:hideMark/>
          </w:tcPr>
          <w:p w14:paraId="41BE19C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93.5</w:t>
            </w:r>
          </w:p>
        </w:tc>
        <w:tc>
          <w:tcPr>
            <w:tcW w:w="603" w:type="pct"/>
            <w:noWrap/>
            <w:vAlign w:val="top"/>
            <w:hideMark/>
          </w:tcPr>
          <w:p w14:paraId="34EF242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2.2</w:t>
            </w:r>
          </w:p>
        </w:tc>
        <w:tc>
          <w:tcPr>
            <w:tcW w:w="517" w:type="pct"/>
            <w:vAlign w:val="top"/>
          </w:tcPr>
          <w:p w14:paraId="554AF5F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65.9</w:t>
            </w:r>
          </w:p>
        </w:tc>
        <w:tc>
          <w:tcPr>
            <w:tcW w:w="605" w:type="pct"/>
            <w:vAlign w:val="top"/>
          </w:tcPr>
          <w:p w14:paraId="37CAB9A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34.1</w:t>
            </w:r>
          </w:p>
        </w:tc>
        <w:tc>
          <w:tcPr>
            <w:tcW w:w="431" w:type="pct"/>
            <w:vAlign w:val="top"/>
          </w:tcPr>
          <w:p w14:paraId="7740387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554BD30C"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5B65307D" w14:textId="77777777" w:rsidR="00FC77C7" w:rsidRPr="00BF3285" w:rsidRDefault="00FC77C7" w:rsidP="0093011F">
            <w:pPr>
              <w:pStyle w:val="TableText"/>
              <w:rPr>
                <w:lang w:eastAsia="en-NZ"/>
              </w:rPr>
            </w:pPr>
            <w:proofErr w:type="spellStart"/>
            <w:r w:rsidRPr="00BF3285">
              <w:rPr>
                <w:lang w:eastAsia="en-NZ"/>
              </w:rPr>
              <w:t>Manawatu</w:t>
            </w:r>
            <w:proofErr w:type="spellEnd"/>
            <w:r w:rsidRPr="00BF3285">
              <w:rPr>
                <w:lang w:eastAsia="en-NZ"/>
              </w:rPr>
              <w:t xml:space="preserve"> Whanganui</w:t>
            </w:r>
          </w:p>
        </w:tc>
        <w:tc>
          <w:tcPr>
            <w:tcW w:w="861" w:type="pct"/>
            <w:vAlign w:val="top"/>
            <w:hideMark/>
          </w:tcPr>
          <w:p w14:paraId="5402010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72.5</w:t>
            </w:r>
          </w:p>
        </w:tc>
        <w:tc>
          <w:tcPr>
            <w:tcW w:w="861" w:type="pct"/>
            <w:vAlign w:val="top"/>
            <w:hideMark/>
          </w:tcPr>
          <w:p w14:paraId="6BEF412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72.6</w:t>
            </w:r>
          </w:p>
        </w:tc>
        <w:tc>
          <w:tcPr>
            <w:tcW w:w="603" w:type="pct"/>
            <w:noWrap/>
            <w:vAlign w:val="top"/>
            <w:hideMark/>
          </w:tcPr>
          <w:p w14:paraId="54A3C23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0.1</w:t>
            </w:r>
          </w:p>
        </w:tc>
        <w:tc>
          <w:tcPr>
            <w:tcW w:w="517" w:type="pct"/>
            <w:vAlign w:val="top"/>
          </w:tcPr>
          <w:p w14:paraId="295FCA9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84.1</w:t>
            </w:r>
          </w:p>
        </w:tc>
        <w:tc>
          <w:tcPr>
            <w:tcW w:w="605" w:type="pct"/>
            <w:vAlign w:val="top"/>
          </w:tcPr>
          <w:p w14:paraId="5AEB1B2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15.9</w:t>
            </w:r>
          </w:p>
        </w:tc>
        <w:tc>
          <w:tcPr>
            <w:tcW w:w="431" w:type="pct"/>
            <w:vAlign w:val="top"/>
          </w:tcPr>
          <w:p w14:paraId="087D986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5463DE8D"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58EC5F54" w14:textId="77777777" w:rsidR="00FC77C7" w:rsidRPr="00BF3285" w:rsidRDefault="00FC77C7" w:rsidP="0093011F">
            <w:pPr>
              <w:pStyle w:val="TableText"/>
              <w:rPr>
                <w:lang w:eastAsia="en-NZ"/>
              </w:rPr>
            </w:pPr>
            <w:r w:rsidRPr="00BF3285">
              <w:rPr>
                <w:lang w:eastAsia="en-NZ"/>
              </w:rPr>
              <w:t>Marlborough</w:t>
            </w:r>
          </w:p>
        </w:tc>
        <w:tc>
          <w:tcPr>
            <w:tcW w:w="861" w:type="pct"/>
            <w:vAlign w:val="top"/>
            <w:hideMark/>
          </w:tcPr>
          <w:p w14:paraId="7F120FE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94.8</w:t>
            </w:r>
          </w:p>
        </w:tc>
        <w:tc>
          <w:tcPr>
            <w:tcW w:w="861" w:type="pct"/>
            <w:vAlign w:val="top"/>
            <w:hideMark/>
          </w:tcPr>
          <w:p w14:paraId="72F8EA7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96.9</w:t>
            </w:r>
          </w:p>
        </w:tc>
        <w:tc>
          <w:tcPr>
            <w:tcW w:w="603" w:type="pct"/>
            <w:noWrap/>
            <w:vAlign w:val="top"/>
            <w:hideMark/>
          </w:tcPr>
          <w:p w14:paraId="524766BD"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2.1</w:t>
            </w:r>
          </w:p>
        </w:tc>
        <w:tc>
          <w:tcPr>
            <w:tcW w:w="517" w:type="pct"/>
            <w:vAlign w:val="top"/>
          </w:tcPr>
          <w:p w14:paraId="183D519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94.9</w:t>
            </w:r>
          </w:p>
        </w:tc>
        <w:tc>
          <w:tcPr>
            <w:tcW w:w="605" w:type="pct"/>
            <w:vAlign w:val="top"/>
          </w:tcPr>
          <w:p w14:paraId="036F6A5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5.1</w:t>
            </w:r>
          </w:p>
        </w:tc>
        <w:tc>
          <w:tcPr>
            <w:tcW w:w="431" w:type="pct"/>
            <w:vAlign w:val="top"/>
          </w:tcPr>
          <w:p w14:paraId="644F61B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1F9C5D5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165DAEDA" w14:textId="77777777" w:rsidR="00FC77C7" w:rsidRPr="00BF3285" w:rsidRDefault="00FC77C7" w:rsidP="0093011F">
            <w:pPr>
              <w:pStyle w:val="TableText"/>
              <w:rPr>
                <w:lang w:eastAsia="en-NZ"/>
              </w:rPr>
            </w:pPr>
            <w:r w:rsidRPr="00BF3285">
              <w:rPr>
                <w:lang w:eastAsia="en-NZ"/>
              </w:rPr>
              <w:t>Northland</w:t>
            </w:r>
          </w:p>
        </w:tc>
        <w:tc>
          <w:tcPr>
            <w:tcW w:w="861" w:type="pct"/>
            <w:vAlign w:val="top"/>
            <w:hideMark/>
          </w:tcPr>
          <w:p w14:paraId="23099CB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86.8</w:t>
            </w:r>
          </w:p>
        </w:tc>
        <w:tc>
          <w:tcPr>
            <w:tcW w:w="861" w:type="pct"/>
            <w:vAlign w:val="top"/>
            <w:hideMark/>
          </w:tcPr>
          <w:p w14:paraId="42CCEE5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88.8</w:t>
            </w:r>
          </w:p>
        </w:tc>
        <w:tc>
          <w:tcPr>
            <w:tcW w:w="603" w:type="pct"/>
            <w:noWrap/>
            <w:vAlign w:val="top"/>
            <w:hideMark/>
          </w:tcPr>
          <w:p w14:paraId="4ADF863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w:t>
            </w:r>
          </w:p>
        </w:tc>
        <w:tc>
          <w:tcPr>
            <w:tcW w:w="517" w:type="pct"/>
            <w:vAlign w:val="top"/>
          </w:tcPr>
          <w:p w14:paraId="7C2D08A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0.2</w:t>
            </w:r>
          </w:p>
        </w:tc>
        <w:tc>
          <w:tcPr>
            <w:tcW w:w="605" w:type="pct"/>
            <w:vAlign w:val="top"/>
          </w:tcPr>
          <w:p w14:paraId="66B1E79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91.5</w:t>
            </w:r>
          </w:p>
        </w:tc>
        <w:tc>
          <w:tcPr>
            <w:tcW w:w="431" w:type="pct"/>
            <w:vAlign w:val="top"/>
          </w:tcPr>
          <w:p w14:paraId="520EDF6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8.4</w:t>
            </w:r>
          </w:p>
        </w:tc>
      </w:tr>
      <w:tr w:rsidR="009B36A0" w:rsidRPr="00BF3285" w14:paraId="0DBE9CDF"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4CB48E11" w14:textId="77777777" w:rsidR="00FC77C7" w:rsidRPr="00BF3285" w:rsidRDefault="00FC77C7" w:rsidP="0093011F">
            <w:pPr>
              <w:pStyle w:val="TableText"/>
              <w:rPr>
                <w:lang w:eastAsia="en-NZ"/>
              </w:rPr>
            </w:pPr>
            <w:r w:rsidRPr="00BF3285">
              <w:rPr>
                <w:lang w:eastAsia="en-NZ"/>
              </w:rPr>
              <w:t>Otago</w:t>
            </w:r>
          </w:p>
        </w:tc>
        <w:tc>
          <w:tcPr>
            <w:tcW w:w="861" w:type="pct"/>
            <w:vAlign w:val="top"/>
            <w:hideMark/>
          </w:tcPr>
          <w:p w14:paraId="45BB115F"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78.3</w:t>
            </w:r>
          </w:p>
        </w:tc>
        <w:tc>
          <w:tcPr>
            <w:tcW w:w="861" w:type="pct"/>
            <w:vAlign w:val="top"/>
            <w:hideMark/>
          </w:tcPr>
          <w:p w14:paraId="3496324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82.7</w:t>
            </w:r>
          </w:p>
        </w:tc>
        <w:tc>
          <w:tcPr>
            <w:tcW w:w="603" w:type="pct"/>
            <w:noWrap/>
            <w:vAlign w:val="top"/>
            <w:hideMark/>
          </w:tcPr>
          <w:p w14:paraId="011342D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4.4</w:t>
            </w:r>
          </w:p>
        </w:tc>
        <w:tc>
          <w:tcPr>
            <w:tcW w:w="517" w:type="pct"/>
            <w:vAlign w:val="top"/>
          </w:tcPr>
          <w:p w14:paraId="5AF8917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45.8</w:t>
            </w:r>
          </w:p>
        </w:tc>
        <w:tc>
          <w:tcPr>
            <w:tcW w:w="605" w:type="pct"/>
            <w:vAlign w:val="top"/>
          </w:tcPr>
          <w:p w14:paraId="0CF16E2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32.4</w:t>
            </w:r>
          </w:p>
        </w:tc>
        <w:tc>
          <w:tcPr>
            <w:tcW w:w="431" w:type="pct"/>
            <w:vAlign w:val="top"/>
          </w:tcPr>
          <w:p w14:paraId="251ABC8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21.8</w:t>
            </w:r>
          </w:p>
        </w:tc>
      </w:tr>
      <w:tr w:rsidR="009B36A0" w:rsidRPr="00BF3285" w14:paraId="246B2370"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6494E217" w14:textId="77777777" w:rsidR="00FC77C7" w:rsidRPr="00BF3285" w:rsidRDefault="00FC77C7" w:rsidP="0093011F">
            <w:pPr>
              <w:pStyle w:val="TableText"/>
              <w:rPr>
                <w:lang w:eastAsia="en-NZ"/>
              </w:rPr>
            </w:pPr>
            <w:r w:rsidRPr="00BF3285">
              <w:rPr>
                <w:lang w:eastAsia="en-NZ"/>
              </w:rPr>
              <w:t>Southland</w:t>
            </w:r>
          </w:p>
        </w:tc>
        <w:tc>
          <w:tcPr>
            <w:tcW w:w="861" w:type="pct"/>
            <w:vAlign w:val="top"/>
            <w:hideMark/>
          </w:tcPr>
          <w:p w14:paraId="3EB2665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73.3</w:t>
            </w:r>
          </w:p>
        </w:tc>
        <w:tc>
          <w:tcPr>
            <w:tcW w:w="861" w:type="pct"/>
            <w:vAlign w:val="top"/>
            <w:hideMark/>
          </w:tcPr>
          <w:p w14:paraId="5D0D1D93"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74.4</w:t>
            </w:r>
          </w:p>
        </w:tc>
        <w:tc>
          <w:tcPr>
            <w:tcW w:w="603" w:type="pct"/>
            <w:noWrap/>
            <w:vAlign w:val="top"/>
            <w:hideMark/>
          </w:tcPr>
          <w:p w14:paraId="5B3487E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1.1</w:t>
            </w:r>
          </w:p>
        </w:tc>
        <w:tc>
          <w:tcPr>
            <w:tcW w:w="517" w:type="pct"/>
            <w:vAlign w:val="top"/>
          </w:tcPr>
          <w:p w14:paraId="094EEAF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4.4</w:t>
            </w:r>
          </w:p>
        </w:tc>
        <w:tc>
          <w:tcPr>
            <w:tcW w:w="605" w:type="pct"/>
            <w:vAlign w:val="top"/>
          </w:tcPr>
          <w:p w14:paraId="33998A4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67.2</w:t>
            </w:r>
          </w:p>
        </w:tc>
        <w:tc>
          <w:tcPr>
            <w:tcW w:w="431" w:type="pct"/>
            <w:vAlign w:val="top"/>
          </w:tcPr>
          <w:p w14:paraId="2459CF1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28.3</w:t>
            </w:r>
          </w:p>
        </w:tc>
      </w:tr>
      <w:tr w:rsidR="009B36A0" w:rsidRPr="00BF3285" w14:paraId="122897B7"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3D3B575B" w14:textId="77777777" w:rsidR="00FC77C7" w:rsidRPr="00BF3285" w:rsidRDefault="00FC77C7" w:rsidP="0093011F">
            <w:pPr>
              <w:pStyle w:val="TableText"/>
              <w:rPr>
                <w:lang w:eastAsia="en-NZ"/>
              </w:rPr>
            </w:pPr>
            <w:r w:rsidRPr="00BF3285">
              <w:rPr>
                <w:lang w:eastAsia="en-NZ"/>
              </w:rPr>
              <w:t>Taranaki</w:t>
            </w:r>
          </w:p>
        </w:tc>
        <w:tc>
          <w:tcPr>
            <w:tcW w:w="861" w:type="pct"/>
            <w:vAlign w:val="top"/>
            <w:hideMark/>
          </w:tcPr>
          <w:p w14:paraId="2893057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88.6</w:t>
            </w:r>
          </w:p>
        </w:tc>
        <w:tc>
          <w:tcPr>
            <w:tcW w:w="861" w:type="pct"/>
            <w:vAlign w:val="top"/>
            <w:hideMark/>
          </w:tcPr>
          <w:p w14:paraId="2B45840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89.4</w:t>
            </w:r>
          </w:p>
        </w:tc>
        <w:tc>
          <w:tcPr>
            <w:tcW w:w="603" w:type="pct"/>
            <w:noWrap/>
            <w:vAlign w:val="top"/>
            <w:hideMark/>
          </w:tcPr>
          <w:p w14:paraId="24E75D5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0.8</w:t>
            </w:r>
          </w:p>
        </w:tc>
        <w:tc>
          <w:tcPr>
            <w:tcW w:w="517" w:type="pct"/>
            <w:vAlign w:val="top"/>
          </w:tcPr>
          <w:p w14:paraId="5AF5513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1.5</w:t>
            </w:r>
          </w:p>
        </w:tc>
        <w:tc>
          <w:tcPr>
            <w:tcW w:w="605" w:type="pct"/>
            <w:vAlign w:val="top"/>
          </w:tcPr>
          <w:p w14:paraId="103966B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98.5</w:t>
            </w:r>
          </w:p>
        </w:tc>
        <w:tc>
          <w:tcPr>
            <w:tcW w:w="431" w:type="pct"/>
            <w:vAlign w:val="top"/>
          </w:tcPr>
          <w:p w14:paraId="0525B1F4"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095C5681"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3A50F231" w14:textId="77777777" w:rsidR="00FC77C7" w:rsidRPr="00BF3285" w:rsidRDefault="00FC77C7" w:rsidP="0093011F">
            <w:pPr>
              <w:pStyle w:val="TableText"/>
              <w:rPr>
                <w:lang w:eastAsia="en-NZ"/>
              </w:rPr>
            </w:pPr>
            <w:r w:rsidRPr="00BF3285">
              <w:rPr>
                <w:lang w:eastAsia="en-NZ"/>
              </w:rPr>
              <w:t>Tasman/Nelson</w:t>
            </w:r>
          </w:p>
        </w:tc>
        <w:tc>
          <w:tcPr>
            <w:tcW w:w="861" w:type="pct"/>
            <w:vAlign w:val="top"/>
            <w:hideMark/>
          </w:tcPr>
          <w:p w14:paraId="4E6809C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96.5</w:t>
            </w:r>
          </w:p>
        </w:tc>
        <w:tc>
          <w:tcPr>
            <w:tcW w:w="861" w:type="pct"/>
            <w:vAlign w:val="top"/>
            <w:hideMark/>
          </w:tcPr>
          <w:p w14:paraId="084D130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96.5</w:t>
            </w:r>
          </w:p>
        </w:tc>
        <w:tc>
          <w:tcPr>
            <w:tcW w:w="603" w:type="pct"/>
            <w:noWrap/>
            <w:vAlign w:val="top"/>
            <w:hideMark/>
          </w:tcPr>
          <w:p w14:paraId="0FDFE2AA"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c>
          <w:tcPr>
            <w:tcW w:w="517" w:type="pct"/>
            <w:vAlign w:val="top"/>
          </w:tcPr>
          <w:p w14:paraId="1B07558C"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100</w:t>
            </w:r>
          </w:p>
        </w:tc>
        <w:tc>
          <w:tcPr>
            <w:tcW w:w="605" w:type="pct"/>
            <w:vAlign w:val="top"/>
          </w:tcPr>
          <w:p w14:paraId="0369A1C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c>
          <w:tcPr>
            <w:tcW w:w="431" w:type="pct"/>
            <w:vAlign w:val="top"/>
          </w:tcPr>
          <w:p w14:paraId="066FC81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36653E9F"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366F4A29" w14:textId="77777777" w:rsidR="00FC77C7" w:rsidRPr="00BF3285" w:rsidRDefault="00FC77C7" w:rsidP="0093011F">
            <w:pPr>
              <w:pStyle w:val="TableText"/>
              <w:rPr>
                <w:lang w:eastAsia="en-NZ"/>
              </w:rPr>
            </w:pPr>
            <w:r w:rsidRPr="00BF3285">
              <w:rPr>
                <w:lang w:eastAsia="en-NZ"/>
              </w:rPr>
              <w:t>Waikato</w:t>
            </w:r>
          </w:p>
        </w:tc>
        <w:tc>
          <w:tcPr>
            <w:tcW w:w="861" w:type="pct"/>
            <w:vAlign w:val="top"/>
            <w:hideMark/>
          </w:tcPr>
          <w:p w14:paraId="667CE2A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63.2</w:t>
            </w:r>
          </w:p>
        </w:tc>
        <w:tc>
          <w:tcPr>
            <w:tcW w:w="861" w:type="pct"/>
            <w:vAlign w:val="top"/>
            <w:hideMark/>
          </w:tcPr>
          <w:p w14:paraId="60111A9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73.4</w:t>
            </w:r>
          </w:p>
        </w:tc>
        <w:tc>
          <w:tcPr>
            <w:tcW w:w="603" w:type="pct"/>
            <w:noWrap/>
            <w:vAlign w:val="top"/>
            <w:hideMark/>
          </w:tcPr>
          <w:p w14:paraId="0B368DA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10.2</w:t>
            </w:r>
          </w:p>
        </w:tc>
        <w:tc>
          <w:tcPr>
            <w:tcW w:w="517" w:type="pct"/>
            <w:vAlign w:val="top"/>
          </w:tcPr>
          <w:p w14:paraId="46E4A48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w:t>
            </w:r>
          </w:p>
        </w:tc>
        <w:tc>
          <w:tcPr>
            <w:tcW w:w="605" w:type="pct"/>
            <w:vAlign w:val="top"/>
          </w:tcPr>
          <w:p w14:paraId="4C894BC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44.7</w:t>
            </w:r>
          </w:p>
        </w:tc>
        <w:tc>
          <w:tcPr>
            <w:tcW w:w="431" w:type="pct"/>
            <w:vAlign w:val="top"/>
          </w:tcPr>
          <w:p w14:paraId="4A2CDE9E"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46.4</w:t>
            </w:r>
          </w:p>
        </w:tc>
      </w:tr>
      <w:tr w:rsidR="009B36A0" w:rsidRPr="00BF3285" w14:paraId="333CF0E3"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hideMark/>
          </w:tcPr>
          <w:p w14:paraId="652030D4" w14:textId="77777777" w:rsidR="00FC77C7" w:rsidRPr="00BF3285" w:rsidRDefault="00FC77C7" w:rsidP="0093011F">
            <w:pPr>
              <w:pStyle w:val="TableText"/>
              <w:rPr>
                <w:lang w:eastAsia="en-NZ"/>
              </w:rPr>
            </w:pPr>
            <w:r w:rsidRPr="00BF3285">
              <w:rPr>
                <w:lang w:eastAsia="en-NZ"/>
              </w:rPr>
              <w:t>Wellington</w:t>
            </w:r>
          </w:p>
        </w:tc>
        <w:tc>
          <w:tcPr>
            <w:tcW w:w="861" w:type="pct"/>
            <w:vAlign w:val="top"/>
            <w:hideMark/>
          </w:tcPr>
          <w:p w14:paraId="1EFE116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87.9</w:t>
            </w:r>
          </w:p>
        </w:tc>
        <w:tc>
          <w:tcPr>
            <w:tcW w:w="861" w:type="pct"/>
            <w:vAlign w:val="top"/>
            <w:hideMark/>
          </w:tcPr>
          <w:p w14:paraId="13EE74D6"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93.3</w:t>
            </w:r>
          </w:p>
        </w:tc>
        <w:tc>
          <w:tcPr>
            <w:tcW w:w="603" w:type="pct"/>
            <w:noWrap/>
            <w:vAlign w:val="top"/>
            <w:hideMark/>
          </w:tcPr>
          <w:p w14:paraId="3E04F61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5.4</w:t>
            </w:r>
          </w:p>
        </w:tc>
        <w:tc>
          <w:tcPr>
            <w:tcW w:w="517" w:type="pct"/>
            <w:vAlign w:val="top"/>
          </w:tcPr>
          <w:p w14:paraId="5F6244C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76.3</w:t>
            </w:r>
          </w:p>
        </w:tc>
        <w:tc>
          <w:tcPr>
            <w:tcW w:w="605" w:type="pct"/>
            <w:vAlign w:val="top"/>
          </w:tcPr>
          <w:p w14:paraId="57F5270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23.7</w:t>
            </w:r>
          </w:p>
        </w:tc>
        <w:tc>
          <w:tcPr>
            <w:tcW w:w="431" w:type="pct"/>
            <w:vAlign w:val="top"/>
          </w:tcPr>
          <w:p w14:paraId="72E76C91"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58F0BD06"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1123" w:type="pct"/>
            <w:tcBorders>
              <w:bottom w:val="single" w:sz="8" w:space="0" w:color="A6A6A6" w:themeColor="background1" w:themeShade="A6"/>
            </w:tcBorders>
            <w:hideMark/>
          </w:tcPr>
          <w:p w14:paraId="43F1F1D5" w14:textId="77777777" w:rsidR="00FC77C7" w:rsidRPr="00BF3285" w:rsidRDefault="00FC77C7" w:rsidP="0093011F">
            <w:pPr>
              <w:pStyle w:val="TableText"/>
              <w:rPr>
                <w:lang w:eastAsia="en-NZ"/>
              </w:rPr>
            </w:pPr>
            <w:r w:rsidRPr="00BF3285">
              <w:rPr>
                <w:lang w:eastAsia="en-NZ"/>
              </w:rPr>
              <w:t>West Coast</w:t>
            </w:r>
          </w:p>
        </w:tc>
        <w:tc>
          <w:tcPr>
            <w:tcW w:w="861" w:type="pct"/>
            <w:tcBorders>
              <w:bottom w:val="single" w:sz="8" w:space="0" w:color="A6A6A6" w:themeColor="background1" w:themeShade="A6"/>
            </w:tcBorders>
            <w:vAlign w:val="top"/>
            <w:hideMark/>
          </w:tcPr>
          <w:p w14:paraId="33D74927"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91.4</w:t>
            </w:r>
          </w:p>
        </w:tc>
        <w:tc>
          <w:tcPr>
            <w:tcW w:w="861" w:type="pct"/>
            <w:tcBorders>
              <w:bottom w:val="single" w:sz="8" w:space="0" w:color="A6A6A6" w:themeColor="background1" w:themeShade="A6"/>
            </w:tcBorders>
            <w:vAlign w:val="top"/>
            <w:hideMark/>
          </w:tcPr>
          <w:p w14:paraId="651E2FA9"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91.5</w:t>
            </w:r>
          </w:p>
        </w:tc>
        <w:tc>
          <w:tcPr>
            <w:tcW w:w="603" w:type="pct"/>
            <w:tcBorders>
              <w:bottom w:val="single" w:sz="8" w:space="0" w:color="A6A6A6" w:themeColor="background1" w:themeShade="A6"/>
            </w:tcBorders>
            <w:vAlign w:val="top"/>
            <w:hideMark/>
          </w:tcPr>
          <w:p w14:paraId="52176612"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0.1</w:t>
            </w:r>
          </w:p>
        </w:tc>
        <w:tc>
          <w:tcPr>
            <w:tcW w:w="517" w:type="pct"/>
            <w:tcBorders>
              <w:bottom w:val="single" w:sz="8" w:space="0" w:color="A6A6A6" w:themeColor="background1" w:themeShade="A6"/>
            </w:tcBorders>
            <w:vAlign w:val="top"/>
          </w:tcPr>
          <w:p w14:paraId="66B3AE28"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39.1</w:t>
            </w:r>
          </w:p>
        </w:tc>
        <w:tc>
          <w:tcPr>
            <w:tcW w:w="605" w:type="pct"/>
            <w:tcBorders>
              <w:bottom w:val="single" w:sz="8" w:space="0" w:color="A6A6A6" w:themeColor="background1" w:themeShade="A6"/>
            </w:tcBorders>
            <w:vAlign w:val="top"/>
          </w:tcPr>
          <w:p w14:paraId="162D2AC5"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60.9</w:t>
            </w:r>
          </w:p>
        </w:tc>
        <w:tc>
          <w:tcPr>
            <w:tcW w:w="431" w:type="pct"/>
            <w:tcBorders>
              <w:bottom w:val="single" w:sz="8" w:space="0" w:color="A6A6A6" w:themeColor="background1" w:themeShade="A6"/>
            </w:tcBorders>
            <w:vAlign w:val="top"/>
          </w:tcPr>
          <w:p w14:paraId="5DCE932B" w14:textId="77777777" w:rsidR="00FC77C7" w:rsidRPr="00BF328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FA3BA4">
              <w:t>0</w:t>
            </w:r>
          </w:p>
        </w:tc>
      </w:tr>
      <w:tr w:rsidR="009B36A0" w:rsidRPr="00BF3285" w14:paraId="342F2234"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123" w:type="pct"/>
            <w:tcBorders>
              <w:top w:val="single" w:sz="8" w:space="0" w:color="A6A6A6" w:themeColor="background1" w:themeShade="A6"/>
            </w:tcBorders>
          </w:tcPr>
          <w:p w14:paraId="2690784E" w14:textId="77777777" w:rsidR="00FC77C7" w:rsidRPr="00BF3285" w:rsidRDefault="00FC77C7" w:rsidP="0093011F">
            <w:pPr>
              <w:pStyle w:val="TableText"/>
              <w:rPr>
                <w:lang w:eastAsia="en-NZ"/>
              </w:rPr>
            </w:pPr>
            <w:r>
              <w:rPr>
                <w:lang w:eastAsia="en-NZ"/>
              </w:rPr>
              <w:t>NZ</w:t>
            </w:r>
          </w:p>
        </w:tc>
        <w:tc>
          <w:tcPr>
            <w:tcW w:w="861" w:type="pct"/>
            <w:tcBorders>
              <w:top w:val="single" w:sz="8" w:space="0" w:color="A6A6A6" w:themeColor="background1" w:themeShade="A6"/>
            </w:tcBorders>
          </w:tcPr>
          <w:p w14:paraId="0F641C1C"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86.2</w:t>
            </w:r>
          </w:p>
        </w:tc>
        <w:tc>
          <w:tcPr>
            <w:tcW w:w="861" w:type="pct"/>
            <w:tcBorders>
              <w:top w:val="single" w:sz="8" w:space="0" w:color="A6A6A6" w:themeColor="background1" w:themeShade="A6"/>
            </w:tcBorders>
          </w:tcPr>
          <w:p w14:paraId="0E971480"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87.81</w:t>
            </w:r>
          </w:p>
        </w:tc>
        <w:tc>
          <w:tcPr>
            <w:tcW w:w="603" w:type="pct"/>
            <w:tcBorders>
              <w:top w:val="single" w:sz="8" w:space="0" w:color="A6A6A6" w:themeColor="background1" w:themeShade="A6"/>
            </w:tcBorders>
          </w:tcPr>
          <w:p w14:paraId="54FA1A10" w14:textId="77777777" w:rsidR="00FC77C7" w:rsidRPr="00BF3285"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Pr>
                <w:lang w:eastAsia="en-NZ"/>
              </w:rPr>
              <w:t>1.61</w:t>
            </w:r>
          </w:p>
        </w:tc>
        <w:tc>
          <w:tcPr>
            <w:tcW w:w="517" w:type="pct"/>
            <w:tcBorders>
              <w:top w:val="single" w:sz="8" w:space="0" w:color="A6A6A6" w:themeColor="background1" w:themeShade="A6"/>
            </w:tcBorders>
          </w:tcPr>
          <w:p w14:paraId="19C6AE0F"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605" w:type="pct"/>
            <w:tcBorders>
              <w:top w:val="single" w:sz="8" w:space="0" w:color="A6A6A6" w:themeColor="background1" w:themeShade="A6"/>
            </w:tcBorders>
          </w:tcPr>
          <w:p w14:paraId="76102B8B"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c>
          <w:tcPr>
            <w:tcW w:w="431" w:type="pct"/>
            <w:tcBorders>
              <w:top w:val="single" w:sz="8" w:space="0" w:color="A6A6A6" w:themeColor="background1" w:themeShade="A6"/>
            </w:tcBorders>
          </w:tcPr>
          <w:p w14:paraId="6563793E"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p>
        </w:tc>
      </w:tr>
    </w:tbl>
    <w:p w14:paraId="0F400733" w14:textId="29DDA6FF" w:rsidR="00FC77C7" w:rsidRDefault="00FC77C7" w:rsidP="00FC77C7">
      <w:pPr>
        <w:rPr>
          <w:sz w:val="18"/>
          <w:szCs w:val="18"/>
        </w:rPr>
      </w:pPr>
      <w:r w:rsidRPr="00C3424D">
        <w:rPr>
          <w:sz w:val="18"/>
          <w:szCs w:val="18"/>
        </w:rPr>
        <w:t xml:space="preserve">Source: </w:t>
      </w:r>
      <w:proofErr w:type="spellStart"/>
      <w:r w:rsidRPr="00C3424D">
        <w:rPr>
          <w:sz w:val="18"/>
          <w:szCs w:val="18"/>
        </w:rPr>
        <w:t>Neverman</w:t>
      </w:r>
      <w:proofErr w:type="spellEnd"/>
      <w:r w:rsidRPr="00C3424D">
        <w:rPr>
          <w:sz w:val="18"/>
          <w:szCs w:val="18"/>
        </w:rPr>
        <w:t xml:space="preserve"> </w:t>
      </w:r>
      <w:r w:rsidRPr="00C3424D">
        <w:rPr>
          <w:i/>
          <w:iCs/>
          <w:sz w:val="18"/>
          <w:szCs w:val="18"/>
        </w:rPr>
        <w:t>et al</w:t>
      </w:r>
      <w:r w:rsidRPr="00C3424D">
        <w:rPr>
          <w:sz w:val="18"/>
          <w:szCs w:val="18"/>
        </w:rPr>
        <w:t xml:space="preserve"> (2020), Tables 20 and 21</w:t>
      </w:r>
    </w:p>
    <w:p w14:paraId="39B7A541" w14:textId="5B3A0863" w:rsidR="0093011F" w:rsidRPr="0093011F" w:rsidRDefault="0093011F" w:rsidP="00FC77C7">
      <w:r>
        <w:lastRenderedPageBreak/>
        <w:t xml:space="preserve">The estimated results </w:t>
      </w:r>
      <w:r w:rsidR="00902582">
        <w:t>(</w:t>
      </w:r>
      <w:r w:rsidR="00902582">
        <w:fldChar w:fldCharType="begin"/>
      </w:r>
      <w:r w:rsidR="00902582">
        <w:instrText xml:space="preserve"> REF _Ref35600322 \h </w:instrText>
      </w:r>
      <w:r w:rsidR="00902582">
        <w:fldChar w:fldCharType="separate"/>
      </w:r>
      <w:r w:rsidR="00024EB5">
        <w:t xml:space="preserve">Table </w:t>
      </w:r>
      <w:r w:rsidR="00024EB5">
        <w:rPr>
          <w:noProof/>
        </w:rPr>
        <w:t>21</w:t>
      </w:r>
      <w:r w:rsidR="00902582">
        <w:fldChar w:fldCharType="end"/>
      </w:r>
      <w:r w:rsidR="00EF6123">
        <w:t xml:space="preserve"> and </w:t>
      </w:r>
      <w:r w:rsidR="00EF6123">
        <w:fldChar w:fldCharType="begin"/>
      </w:r>
      <w:r w:rsidR="00EF6123">
        <w:instrText xml:space="preserve"> REF _Ref39232387 \h </w:instrText>
      </w:r>
      <w:r w:rsidR="00EF6123">
        <w:fldChar w:fldCharType="separate"/>
      </w:r>
      <w:r w:rsidR="00024EB5">
        <w:t xml:space="preserve">Table </w:t>
      </w:r>
      <w:r w:rsidR="00024EB5">
        <w:rPr>
          <w:noProof/>
        </w:rPr>
        <w:t>22</w:t>
      </w:r>
      <w:r w:rsidR="00EF6123">
        <w:fldChar w:fldCharType="end"/>
      </w:r>
      <w:r w:rsidR="00902582">
        <w:t>) assume</w:t>
      </w:r>
      <w:r>
        <w:t xml:space="preserve"> the policy is implemented independently of the stock exclusion policy. The numbers are not additive as stock exclusion would be expected to change the starting water clarity state of some of the segments that will also benefit from the sediment bottom lines</w:t>
      </w:r>
      <w:r w:rsidR="00B76016">
        <w:t xml:space="preserve">. However, if simply </w:t>
      </w:r>
      <w:r w:rsidR="00902582">
        <w:t>c</w:t>
      </w:r>
      <w:r>
        <w:t>ombined</w:t>
      </w:r>
      <w:r w:rsidR="00B76016">
        <w:t>,</w:t>
      </w:r>
      <w:r>
        <w:t xml:space="preserve"> the </w:t>
      </w:r>
      <w:r w:rsidR="00845A04">
        <w:t xml:space="preserve">median </w:t>
      </w:r>
      <w:r>
        <w:t>benefits might be as high as $</w:t>
      </w:r>
      <w:r w:rsidR="00B76016">
        <w:t>591</w:t>
      </w:r>
      <w:r>
        <w:t xml:space="preserve"> million at a 3% discount rate</w:t>
      </w:r>
      <w:r w:rsidR="00B76016">
        <w:t xml:space="preserve"> ($221 million from stock exclusion policy and $370 million from sediment policy).</w:t>
      </w:r>
    </w:p>
    <w:p w14:paraId="45EC50FC" w14:textId="2D4D557A" w:rsidR="00D235A5" w:rsidRDefault="00FC77C7" w:rsidP="00D235A5">
      <w:pPr>
        <w:pStyle w:val="Caption"/>
        <w:spacing w:line="240" w:lineRule="auto"/>
      </w:pPr>
      <w:bookmarkStart w:id="83" w:name="_Ref35600322"/>
      <w:r>
        <w:t xml:space="preserve">Table </w:t>
      </w:r>
      <w:r w:rsidR="00313617">
        <w:fldChar w:fldCharType="begin"/>
      </w:r>
      <w:r w:rsidR="00313617">
        <w:instrText xml:space="preserve"> SEQ Table \* ARABIC </w:instrText>
      </w:r>
      <w:r w:rsidR="00313617">
        <w:fldChar w:fldCharType="separate"/>
      </w:r>
      <w:r w:rsidR="00024EB5">
        <w:rPr>
          <w:noProof/>
        </w:rPr>
        <w:t>21</w:t>
      </w:r>
      <w:r w:rsidR="00313617">
        <w:rPr>
          <w:noProof/>
        </w:rPr>
        <w:fldChar w:fldCharType="end"/>
      </w:r>
      <w:bookmarkEnd w:id="83"/>
      <w:r>
        <w:t xml:space="preserve"> </w:t>
      </w:r>
      <w:r w:rsidRPr="003D1005">
        <w:t xml:space="preserve">Estimated annual </w:t>
      </w:r>
      <w:r>
        <w:t>water clarity</w:t>
      </w:r>
      <w:r w:rsidRPr="003D1005">
        <w:t xml:space="preserve"> benefits </w:t>
      </w:r>
      <w:r>
        <w:t>of sediment bottom lines ($ million)</w:t>
      </w:r>
    </w:p>
    <w:tbl>
      <w:tblPr>
        <w:tblStyle w:val="CovecTables"/>
        <w:tblW w:w="0" w:type="auto"/>
        <w:tblLook w:val="04E0" w:firstRow="1" w:lastRow="1" w:firstColumn="1" w:lastColumn="0" w:noHBand="0" w:noVBand="1"/>
      </w:tblPr>
      <w:tblGrid>
        <w:gridCol w:w="1021"/>
        <w:gridCol w:w="1465"/>
        <w:gridCol w:w="1465"/>
        <w:gridCol w:w="1465"/>
      </w:tblGrid>
      <w:tr w:rsidR="00D235A5" w14:paraId="70D12C66" w14:textId="77777777" w:rsidTr="00D2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Pr>
          <w:p w14:paraId="15EBC00C" w14:textId="77777777" w:rsidR="00D235A5" w:rsidRDefault="00D235A5" w:rsidP="00D235A5">
            <w:pPr>
              <w:pStyle w:val="TableText"/>
              <w:jc w:val="left"/>
            </w:pPr>
            <w:r>
              <w:t>Year</w:t>
            </w:r>
          </w:p>
        </w:tc>
        <w:tc>
          <w:tcPr>
            <w:tcW w:w="1465" w:type="dxa"/>
          </w:tcPr>
          <w:p w14:paraId="10334070"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Median value</w:t>
            </w:r>
          </w:p>
        </w:tc>
        <w:tc>
          <w:tcPr>
            <w:tcW w:w="1465" w:type="dxa"/>
          </w:tcPr>
          <w:p w14:paraId="193BC562"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Low</w:t>
            </w:r>
          </w:p>
        </w:tc>
        <w:tc>
          <w:tcPr>
            <w:tcW w:w="1465" w:type="dxa"/>
          </w:tcPr>
          <w:p w14:paraId="250FF906" w14:textId="77777777" w:rsidR="00D235A5"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t>High</w:t>
            </w:r>
          </w:p>
        </w:tc>
      </w:tr>
      <w:tr w:rsidR="00D235A5" w14:paraId="3DC1B86A" w14:textId="77777777" w:rsidTr="00D235A5">
        <w:tc>
          <w:tcPr>
            <w:cnfStyle w:val="001000000000" w:firstRow="0" w:lastRow="0" w:firstColumn="1" w:lastColumn="0" w:oddVBand="0" w:evenVBand="0" w:oddHBand="0" w:evenHBand="0" w:firstRowFirstColumn="0" w:firstRowLastColumn="0" w:lastRowFirstColumn="0" w:lastRowLastColumn="0"/>
            <w:tcW w:w="1021" w:type="dxa"/>
          </w:tcPr>
          <w:p w14:paraId="23A1415D" w14:textId="77777777" w:rsidR="00D235A5" w:rsidRDefault="00D235A5" w:rsidP="00D235A5">
            <w:pPr>
              <w:pStyle w:val="TableText"/>
            </w:pPr>
            <w:r w:rsidRPr="00703BDF">
              <w:t>2030</w:t>
            </w:r>
          </w:p>
        </w:tc>
        <w:tc>
          <w:tcPr>
            <w:tcW w:w="1465" w:type="dxa"/>
            <w:vAlign w:val="top"/>
          </w:tcPr>
          <w:p w14:paraId="7C554D72" w14:textId="35ABB249"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$15.0</w:t>
            </w:r>
          </w:p>
        </w:tc>
        <w:tc>
          <w:tcPr>
            <w:tcW w:w="1465" w:type="dxa"/>
            <w:vAlign w:val="top"/>
          </w:tcPr>
          <w:p w14:paraId="6F89053F" w14:textId="2B75C751"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$13.7</w:t>
            </w:r>
          </w:p>
        </w:tc>
        <w:tc>
          <w:tcPr>
            <w:tcW w:w="1465" w:type="dxa"/>
            <w:vAlign w:val="top"/>
          </w:tcPr>
          <w:p w14:paraId="769B4562" w14:textId="31A4F256"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$16.3</w:t>
            </w:r>
          </w:p>
        </w:tc>
      </w:tr>
      <w:tr w:rsidR="00D235A5" w14:paraId="073D2D83" w14:textId="77777777" w:rsidTr="00D235A5">
        <w:tc>
          <w:tcPr>
            <w:cnfStyle w:val="001000000000" w:firstRow="0" w:lastRow="0" w:firstColumn="1" w:lastColumn="0" w:oddVBand="0" w:evenVBand="0" w:oddHBand="0" w:evenHBand="0" w:firstRowFirstColumn="0" w:firstRowLastColumn="0" w:lastRowFirstColumn="0" w:lastRowLastColumn="0"/>
            <w:tcW w:w="1021" w:type="dxa"/>
          </w:tcPr>
          <w:p w14:paraId="4BCC7F11" w14:textId="77777777" w:rsidR="00D235A5" w:rsidRDefault="00D235A5" w:rsidP="00D235A5">
            <w:pPr>
              <w:pStyle w:val="TableText"/>
            </w:pPr>
            <w:r w:rsidRPr="00703BDF">
              <w:t>2040</w:t>
            </w:r>
          </w:p>
        </w:tc>
        <w:tc>
          <w:tcPr>
            <w:tcW w:w="1465" w:type="dxa"/>
            <w:vAlign w:val="top"/>
          </w:tcPr>
          <w:p w14:paraId="7F3390BB" w14:textId="15AEF647"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$30.6</w:t>
            </w:r>
          </w:p>
        </w:tc>
        <w:tc>
          <w:tcPr>
            <w:tcW w:w="1465" w:type="dxa"/>
            <w:vAlign w:val="top"/>
          </w:tcPr>
          <w:p w14:paraId="784442CD" w14:textId="257609DF"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$28.0</w:t>
            </w:r>
          </w:p>
        </w:tc>
        <w:tc>
          <w:tcPr>
            <w:tcW w:w="1465" w:type="dxa"/>
            <w:vAlign w:val="top"/>
          </w:tcPr>
          <w:p w14:paraId="6DC3AFD3" w14:textId="19363D9E" w:rsidR="00D235A5"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DD24CB">
              <w:t>$33.3</w:t>
            </w:r>
          </w:p>
        </w:tc>
      </w:tr>
      <w:tr w:rsidR="00D235A5" w14:paraId="1EEF9F8C" w14:textId="77777777" w:rsidTr="00D235A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21" w:type="dxa"/>
          </w:tcPr>
          <w:p w14:paraId="5107B7CE" w14:textId="77777777" w:rsidR="00D235A5" w:rsidRDefault="00D235A5" w:rsidP="00D235A5">
            <w:pPr>
              <w:pStyle w:val="TableText"/>
            </w:pPr>
            <w:r w:rsidRPr="00703BDF">
              <w:t>2050</w:t>
            </w:r>
          </w:p>
        </w:tc>
        <w:tc>
          <w:tcPr>
            <w:tcW w:w="1465" w:type="dxa"/>
            <w:vAlign w:val="top"/>
          </w:tcPr>
          <w:p w14:paraId="30234309" w14:textId="3AD07F2E"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DD24CB">
              <w:t>$46.1</w:t>
            </w:r>
          </w:p>
        </w:tc>
        <w:tc>
          <w:tcPr>
            <w:tcW w:w="1465" w:type="dxa"/>
            <w:vAlign w:val="top"/>
          </w:tcPr>
          <w:p w14:paraId="53CF8B02" w14:textId="3C37ED0D"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DD24CB">
              <w:t>$42.2</w:t>
            </w:r>
          </w:p>
        </w:tc>
        <w:tc>
          <w:tcPr>
            <w:tcW w:w="1465" w:type="dxa"/>
            <w:vAlign w:val="top"/>
          </w:tcPr>
          <w:p w14:paraId="5C14A44A" w14:textId="0484AFD2" w:rsidR="00D235A5"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DD24CB">
              <w:t>$50.1</w:t>
            </w:r>
          </w:p>
        </w:tc>
      </w:tr>
    </w:tbl>
    <w:p w14:paraId="69C89094" w14:textId="08DFDBD9" w:rsidR="00D235A5" w:rsidRPr="00A307DB" w:rsidRDefault="00D235A5" w:rsidP="00D235A5">
      <w:pPr>
        <w:rPr>
          <w:sz w:val="18"/>
          <w:szCs w:val="18"/>
        </w:rPr>
      </w:pPr>
      <w:r>
        <w:rPr>
          <w:sz w:val="18"/>
          <w:szCs w:val="18"/>
        </w:rPr>
        <w:t>Note: Low and High values are based on the 5</w:t>
      </w:r>
      <w:r w:rsidRPr="00A307DB">
        <w:rPr>
          <w:sz w:val="18"/>
          <w:szCs w:val="18"/>
          <w:vertAlign w:val="superscript"/>
        </w:rPr>
        <w:t>th</w:t>
      </w:r>
      <w:r>
        <w:rPr>
          <w:sz w:val="18"/>
          <w:szCs w:val="18"/>
        </w:rPr>
        <w:t xml:space="preserve"> and 95</w:t>
      </w:r>
      <w:r w:rsidRPr="00A307DB">
        <w:rPr>
          <w:sz w:val="18"/>
          <w:szCs w:val="18"/>
          <w:vertAlign w:val="superscript"/>
        </w:rPr>
        <w:t>th</w:t>
      </w:r>
      <w:r>
        <w:rPr>
          <w:sz w:val="18"/>
          <w:szCs w:val="18"/>
        </w:rPr>
        <w:t xml:space="preserve"> percentile values from Tait et al (s</w:t>
      </w:r>
      <w:r w:rsidRPr="00A307DB">
        <w:rPr>
          <w:sz w:val="18"/>
          <w:szCs w:val="18"/>
        </w:rPr>
        <w:t xml:space="preserve">ee </w:t>
      </w:r>
      <w:r w:rsidRPr="00A307DB">
        <w:rPr>
          <w:sz w:val="18"/>
          <w:szCs w:val="18"/>
        </w:rPr>
        <w:fldChar w:fldCharType="begin"/>
      </w:r>
      <w:r w:rsidRPr="00A307DB">
        <w:rPr>
          <w:sz w:val="18"/>
          <w:szCs w:val="18"/>
        </w:rPr>
        <w:instrText xml:space="preserve"> REF _Ref30413099 \h </w:instrText>
      </w:r>
      <w:r>
        <w:rPr>
          <w:sz w:val="18"/>
          <w:szCs w:val="18"/>
        </w:rPr>
        <w:instrText xml:space="preserve"> \* MERGEFORMAT </w:instrText>
      </w:r>
      <w:r w:rsidRPr="00A307DB">
        <w:rPr>
          <w:sz w:val="18"/>
          <w:szCs w:val="18"/>
        </w:rPr>
      </w:r>
      <w:r w:rsidRPr="00A307DB">
        <w:rPr>
          <w:sz w:val="18"/>
          <w:szCs w:val="18"/>
        </w:rPr>
        <w:fldChar w:fldCharType="separate"/>
      </w:r>
      <w:r w:rsidR="00024EB5" w:rsidRPr="00024EB5">
        <w:rPr>
          <w:sz w:val="18"/>
          <w:szCs w:val="18"/>
        </w:rPr>
        <w:t xml:space="preserve">Table </w:t>
      </w:r>
      <w:r w:rsidR="00024EB5" w:rsidRPr="00024EB5">
        <w:rPr>
          <w:noProof/>
          <w:sz w:val="18"/>
          <w:szCs w:val="18"/>
        </w:rPr>
        <w:t>3</w:t>
      </w:r>
      <w:r w:rsidRPr="00A307DB">
        <w:rPr>
          <w:sz w:val="18"/>
          <w:szCs w:val="18"/>
        </w:rPr>
        <w:fldChar w:fldCharType="end"/>
      </w:r>
      <w:r w:rsidRPr="00A307DB">
        <w:rPr>
          <w:sz w:val="18"/>
          <w:szCs w:val="18"/>
        </w:rPr>
        <w:t>)</w:t>
      </w:r>
    </w:p>
    <w:p w14:paraId="4E5F6BFC" w14:textId="53DE62B6" w:rsidR="00D235A5" w:rsidRDefault="00D235A5" w:rsidP="00D235A5">
      <w:pPr>
        <w:pStyle w:val="Caption"/>
      </w:pPr>
      <w:bookmarkStart w:id="84" w:name="_Ref39232387"/>
      <w:r>
        <w:t xml:space="preserve">Table </w:t>
      </w:r>
      <w:r>
        <w:fldChar w:fldCharType="begin"/>
      </w:r>
      <w:r>
        <w:instrText xml:space="preserve"> SEQ Table \* ARABIC </w:instrText>
      </w:r>
      <w:r>
        <w:fldChar w:fldCharType="separate"/>
      </w:r>
      <w:r w:rsidR="00024EB5">
        <w:rPr>
          <w:noProof/>
        </w:rPr>
        <w:t>22</w:t>
      </w:r>
      <w:r>
        <w:rPr>
          <w:noProof/>
        </w:rPr>
        <w:fldChar w:fldCharType="end"/>
      </w:r>
      <w:bookmarkEnd w:id="84"/>
      <w:r>
        <w:t xml:space="preserve"> </w:t>
      </w:r>
      <w:r w:rsidRPr="003D1005">
        <w:t xml:space="preserve">Estimated present value </w:t>
      </w:r>
      <w:r>
        <w:t xml:space="preserve">(to 2050) </w:t>
      </w:r>
      <w:r w:rsidRPr="003D1005">
        <w:t xml:space="preserve">of </w:t>
      </w:r>
      <w:r>
        <w:t>water clarity</w:t>
      </w:r>
      <w:r w:rsidRPr="003D1005">
        <w:t xml:space="preserve"> benefits </w:t>
      </w:r>
      <w:r>
        <w:t xml:space="preserve">of sediment bottom lines </w:t>
      </w:r>
      <w:r w:rsidRPr="003D1005">
        <w:t>at different discount rates</w:t>
      </w:r>
      <w:r>
        <w:t xml:space="preserve"> ($ million)</w:t>
      </w:r>
    </w:p>
    <w:tbl>
      <w:tblPr>
        <w:tblStyle w:val="CovecTables"/>
        <w:tblW w:w="4800" w:type="dxa"/>
        <w:tblLook w:val="04E0" w:firstRow="1" w:lastRow="1" w:firstColumn="1" w:lastColumn="0" w:noHBand="0" w:noVBand="1"/>
      </w:tblPr>
      <w:tblGrid>
        <w:gridCol w:w="960"/>
        <w:gridCol w:w="960"/>
        <w:gridCol w:w="960"/>
        <w:gridCol w:w="960"/>
        <w:gridCol w:w="960"/>
      </w:tblGrid>
      <w:tr w:rsidR="00D235A5" w:rsidRPr="00703BDF" w14:paraId="17E3B066" w14:textId="77777777" w:rsidTr="00D235A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BE83CE" w14:textId="77777777" w:rsidR="00D235A5" w:rsidRPr="00703BDF" w:rsidRDefault="00D235A5" w:rsidP="00D235A5">
            <w:pPr>
              <w:pStyle w:val="TableText"/>
              <w:jc w:val="left"/>
            </w:pPr>
          </w:p>
        </w:tc>
        <w:tc>
          <w:tcPr>
            <w:tcW w:w="960" w:type="dxa"/>
            <w:noWrap/>
            <w:hideMark/>
          </w:tcPr>
          <w:p w14:paraId="50D346D5" w14:textId="77777777" w:rsidR="00D235A5" w:rsidRPr="00703BDF"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0%</w:t>
            </w:r>
          </w:p>
        </w:tc>
        <w:tc>
          <w:tcPr>
            <w:tcW w:w="960" w:type="dxa"/>
            <w:noWrap/>
            <w:hideMark/>
          </w:tcPr>
          <w:p w14:paraId="545140C7" w14:textId="77777777" w:rsidR="00D235A5" w:rsidRPr="00703BDF"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1%</w:t>
            </w:r>
          </w:p>
        </w:tc>
        <w:tc>
          <w:tcPr>
            <w:tcW w:w="960" w:type="dxa"/>
            <w:noWrap/>
            <w:hideMark/>
          </w:tcPr>
          <w:p w14:paraId="4C2F059B" w14:textId="77777777" w:rsidR="00D235A5" w:rsidRPr="00703BDF"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3%</w:t>
            </w:r>
          </w:p>
        </w:tc>
        <w:tc>
          <w:tcPr>
            <w:tcW w:w="960" w:type="dxa"/>
            <w:noWrap/>
            <w:hideMark/>
          </w:tcPr>
          <w:p w14:paraId="42F6FA0E" w14:textId="77777777" w:rsidR="00D235A5" w:rsidRPr="00703BDF" w:rsidRDefault="00D235A5" w:rsidP="00D235A5">
            <w:pPr>
              <w:pStyle w:val="TableText"/>
              <w:jc w:val="center"/>
              <w:cnfStyle w:val="100000000000" w:firstRow="1" w:lastRow="0" w:firstColumn="0" w:lastColumn="0" w:oddVBand="0" w:evenVBand="0" w:oddHBand="0" w:evenHBand="0" w:firstRowFirstColumn="0" w:firstRowLastColumn="0" w:lastRowFirstColumn="0" w:lastRowLastColumn="0"/>
            </w:pPr>
            <w:r w:rsidRPr="00703BDF">
              <w:t>6%</w:t>
            </w:r>
          </w:p>
        </w:tc>
      </w:tr>
      <w:tr w:rsidR="00D235A5" w:rsidRPr="00703BDF" w14:paraId="7FFD2911" w14:textId="77777777" w:rsidTr="00D235A5">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bottom w:val="single" w:sz="8" w:space="0" w:color="A6A6A6" w:themeColor="background1" w:themeShade="A6"/>
            </w:tcBorders>
            <w:noWrap/>
            <w:hideMark/>
          </w:tcPr>
          <w:p w14:paraId="14F2ED35" w14:textId="77777777" w:rsidR="00D235A5" w:rsidRPr="00703BDF" w:rsidRDefault="00D235A5" w:rsidP="00D235A5">
            <w:pPr>
              <w:pStyle w:val="TableText"/>
            </w:pPr>
            <w:r>
              <w:t>Median</w:t>
            </w:r>
          </w:p>
        </w:tc>
        <w:tc>
          <w:tcPr>
            <w:tcW w:w="960" w:type="dxa"/>
            <w:tcBorders>
              <w:top w:val="single" w:sz="8" w:space="0" w:color="A6A6A6" w:themeColor="background1" w:themeShade="A6"/>
              <w:bottom w:val="single" w:sz="8" w:space="0" w:color="A6A6A6" w:themeColor="background1" w:themeShade="A6"/>
            </w:tcBorders>
            <w:noWrap/>
            <w:vAlign w:val="top"/>
            <w:hideMark/>
          </w:tcPr>
          <w:p w14:paraId="4682CDEA" w14:textId="360959E8" w:rsidR="00D235A5" w:rsidRPr="00703BDF"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8D31B8">
              <w:t>$678</w:t>
            </w:r>
          </w:p>
        </w:tc>
        <w:tc>
          <w:tcPr>
            <w:tcW w:w="960" w:type="dxa"/>
            <w:tcBorders>
              <w:top w:val="single" w:sz="8" w:space="0" w:color="A6A6A6" w:themeColor="background1" w:themeShade="A6"/>
              <w:bottom w:val="single" w:sz="8" w:space="0" w:color="A6A6A6" w:themeColor="background1" w:themeShade="A6"/>
            </w:tcBorders>
            <w:noWrap/>
            <w:vAlign w:val="top"/>
            <w:hideMark/>
          </w:tcPr>
          <w:p w14:paraId="232264AC" w14:textId="48F1B185" w:rsidR="00D235A5" w:rsidRPr="00703BDF"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8D31B8">
              <w:t>$551</w:t>
            </w:r>
          </w:p>
        </w:tc>
        <w:tc>
          <w:tcPr>
            <w:tcW w:w="960" w:type="dxa"/>
            <w:tcBorders>
              <w:top w:val="single" w:sz="8" w:space="0" w:color="A6A6A6" w:themeColor="background1" w:themeShade="A6"/>
              <w:bottom w:val="single" w:sz="8" w:space="0" w:color="A6A6A6" w:themeColor="background1" w:themeShade="A6"/>
            </w:tcBorders>
            <w:noWrap/>
            <w:vAlign w:val="top"/>
            <w:hideMark/>
          </w:tcPr>
          <w:p w14:paraId="797CEC14" w14:textId="163F46AD" w:rsidR="00D235A5" w:rsidRPr="00703BDF"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8D31B8">
              <w:t>$370</w:t>
            </w:r>
          </w:p>
        </w:tc>
        <w:tc>
          <w:tcPr>
            <w:tcW w:w="960" w:type="dxa"/>
            <w:tcBorders>
              <w:top w:val="single" w:sz="8" w:space="0" w:color="A6A6A6" w:themeColor="background1" w:themeShade="A6"/>
              <w:bottom w:val="single" w:sz="8" w:space="0" w:color="A6A6A6" w:themeColor="background1" w:themeShade="A6"/>
            </w:tcBorders>
            <w:noWrap/>
            <w:vAlign w:val="top"/>
            <w:hideMark/>
          </w:tcPr>
          <w:p w14:paraId="4879B40D" w14:textId="1B34E3BA" w:rsidR="00D235A5" w:rsidRPr="00703BDF"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8D31B8">
              <w:t>$214</w:t>
            </w:r>
          </w:p>
        </w:tc>
      </w:tr>
      <w:tr w:rsidR="00D235A5" w:rsidRPr="00703BDF" w14:paraId="56F86599" w14:textId="77777777" w:rsidTr="00D235A5">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tcBorders>
            <w:noWrap/>
          </w:tcPr>
          <w:p w14:paraId="2E1D62EB" w14:textId="77777777" w:rsidR="00D235A5" w:rsidRPr="00703BDF" w:rsidRDefault="00D235A5" w:rsidP="00D235A5">
            <w:pPr>
              <w:pStyle w:val="TableText"/>
            </w:pPr>
            <w:r>
              <w:t>Low</w:t>
            </w:r>
          </w:p>
        </w:tc>
        <w:tc>
          <w:tcPr>
            <w:tcW w:w="960" w:type="dxa"/>
            <w:tcBorders>
              <w:top w:val="single" w:sz="8" w:space="0" w:color="A6A6A6" w:themeColor="background1" w:themeShade="A6"/>
            </w:tcBorders>
            <w:noWrap/>
            <w:vAlign w:val="top"/>
          </w:tcPr>
          <w:p w14:paraId="3868A105" w14:textId="2F02C4BF" w:rsidR="00D235A5" w:rsidRPr="002E6E97"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47326D">
              <w:t>$621</w:t>
            </w:r>
          </w:p>
        </w:tc>
        <w:tc>
          <w:tcPr>
            <w:tcW w:w="960" w:type="dxa"/>
            <w:tcBorders>
              <w:top w:val="single" w:sz="8" w:space="0" w:color="A6A6A6" w:themeColor="background1" w:themeShade="A6"/>
            </w:tcBorders>
            <w:noWrap/>
            <w:vAlign w:val="top"/>
          </w:tcPr>
          <w:p w14:paraId="20F619E1" w14:textId="5021E592" w:rsidR="00D235A5" w:rsidRPr="002E6E97"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47326D">
              <w:t>$504</w:t>
            </w:r>
          </w:p>
        </w:tc>
        <w:tc>
          <w:tcPr>
            <w:tcW w:w="960" w:type="dxa"/>
            <w:tcBorders>
              <w:top w:val="single" w:sz="8" w:space="0" w:color="A6A6A6" w:themeColor="background1" w:themeShade="A6"/>
            </w:tcBorders>
            <w:noWrap/>
            <w:vAlign w:val="top"/>
          </w:tcPr>
          <w:p w14:paraId="1C4B9725" w14:textId="6AF61E52" w:rsidR="00D235A5" w:rsidRPr="002E6E97"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47326D">
              <w:t>$339</w:t>
            </w:r>
          </w:p>
        </w:tc>
        <w:tc>
          <w:tcPr>
            <w:tcW w:w="960" w:type="dxa"/>
            <w:tcBorders>
              <w:top w:val="single" w:sz="8" w:space="0" w:color="A6A6A6" w:themeColor="background1" w:themeShade="A6"/>
            </w:tcBorders>
            <w:noWrap/>
            <w:vAlign w:val="top"/>
          </w:tcPr>
          <w:p w14:paraId="1AF22815" w14:textId="435D0EE3" w:rsidR="00D235A5" w:rsidRPr="002E6E97" w:rsidRDefault="00D235A5" w:rsidP="00D235A5">
            <w:pPr>
              <w:pStyle w:val="TableText"/>
              <w:jc w:val="center"/>
              <w:cnfStyle w:val="000000000000" w:firstRow="0" w:lastRow="0" w:firstColumn="0" w:lastColumn="0" w:oddVBand="0" w:evenVBand="0" w:oddHBand="0" w:evenHBand="0" w:firstRowFirstColumn="0" w:firstRowLastColumn="0" w:lastRowFirstColumn="0" w:lastRowLastColumn="0"/>
            </w:pPr>
            <w:r w:rsidRPr="0047326D">
              <w:t>$196</w:t>
            </w:r>
          </w:p>
        </w:tc>
      </w:tr>
      <w:tr w:rsidR="00D235A5" w:rsidRPr="00703BDF" w14:paraId="48DE7D26" w14:textId="77777777" w:rsidTr="00D235A5">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960" w:type="dxa"/>
            <w:noWrap/>
          </w:tcPr>
          <w:p w14:paraId="125E92B9" w14:textId="77777777" w:rsidR="00D235A5" w:rsidRPr="00703BDF" w:rsidRDefault="00D235A5" w:rsidP="00D235A5">
            <w:pPr>
              <w:pStyle w:val="TableText"/>
            </w:pPr>
            <w:r>
              <w:t>High</w:t>
            </w:r>
          </w:p>
        </w:tc>
        <w:tc>
          <w:tcPr>
            <w:tcW w:w="960" w:type="dxa"/>
            <w:noWrap/>
            <w:vAlign w:val="top"/>
          </w:tcPr>
          <w:p w14:paraId="512F8B83" w14:textId="777F3CC4" w:rsidR="00D235A5" w:rsidRPr="002E6E97"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47326D">
              <w:t>$736</w:t>
            </w:r>
          </w:p>
        </w:tc>
        <w:tc>
          <w:tcPr>
            <w:tcW w:w="960" w:type="dxa"/>
            <w:noWrap/>
            <w:vAlign w:val="top"/>
          </w:tcPr>
          <w:p w14:paraId="2808054C" w14:textId="4931CD83" w:rsidR="00D235A5" w:rsidRPr="002E6E97"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47326D">
              <w:t>$598</w:t>
            </w:r>
          </w:p>
        </w:tc>
        <w:tc>
          <w:tcPr>
            <w:tcW w:w="960" w:type="dxa"/>
            <w:noWrap/>
            <w:vAlign w:val="top"/>
          </w:tcPr>
          <w:p w14:paraId="56BFECE1" w14:textId="7773D392" w:rsidR="00D235A5" w:rsidRPr="002E6E97"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47326D">
              <w:t>$402</w:t>
            </w:r>
          </w:p>
        </w:tc>
        <w:tc>
          <w:tcPr>
            <w:tcW w:w="960" w:type="dxa"/>
            <w:noWrap/>
            <w:vAlign w:val="top"/>
          </w:tcPr>
          <w:p w14:paraId="1BEF5D64" w14:textId="5B923EDB" w:rsidR="00D235A5" w:rsidRPr="002E6E97" w:rsidRDefault="00D235A5" w:rsidP="00D235A5">
            <w:pPr>
              <w:pStyle w:val="TableText"/>
              <w:jc w:val="center"/>
              <w:cnfStyle w:val="010000000000" w:firstRow="0" w:lastRow="1" w:firstColumn="0" w:lastColumn="0" w:oddVBand="0" w:evenVBand="0" w:oddHBand="0" w:evenHBand="0" w:firstRowFirstColumn="0" w:firstRowLastColumn="0" w:lastRowFirstColumn="0" w:lastRowLastColumn="0"/>
            </w:pPr>
            <w:r w:rsidRPr="0047326D">
              <w:t>$232</w:t>
            </w:r>
          </w:p>
        </w:tc>
      </w:tr>
    </w:tbl>
    <w:p w14:paraId="63D2EF06" w14:textId="77777777" w:rsidR="00D235A5" w:rsidRDefault="00D235A5" w:rsidP="00B76016">
      <w:bookmarkStart w:id="85" w:name="_Ref35591343"/>
      <w:bookmarkEnd w:id="73"/>
    </w:p>
    <w:p w14:paraId="55C22C69" w14:textId="14823FB6" w:rsidR="00B76016" w:rsidRDefault="00B76016" w:rsidP="00B76016">
      <w:r>
        <w:t xml:space="preserve">However, it is also possible that much of the benefits of the sediment policy will be achieved via other policies, </w:t>
      </w:r>
      <w:proofErr w:type="spellStart"/>
      <w:r>
        <w:t>eg</w:t>
      </w:r>
      <w:proofErr w:type="spellEnd"/>
      <w:r>
        <w:t xml:space="preserve"> those addressing climate change. </w:t>
      </w:r>
      <w:proofErr w:type="spellStart"/>
      <w:r>
        <w:t>MfE</w:t>
      </w:r>
      <w:proofErr w:type="spellEnd"/>
      <w:r>
        <w:t xml:space="preserve"> suggests that there will be considerable overlap between the effects of the sediment policy and the response to the </w:t>
      </w:r>
      <w:r w:rsidRPr="001F53E6">
        <w:t>Climate Change Response (Zero Carbon) Amendment Act 2019</w:t>
      </w:r>
      <w:r>
        <w:t xml:space="preserve">, such that neither the costs nor the benefits may be as modelled. We therefore ignore the benefits from sediment policy in this analysis. </w:t>
      </w:r>
    </w:p>
    <w:p w14:paraId="57E72B62" w14:textId="76E8A300" w:rsidR="00FC77C7" w:rsidRDefault="00FC77C7" w:rsidP="00FC77C7">
      <w:pPr>
        <w:pStyle w:val="Heading3"/>
      </w:pPr>
      <w:r>
        <w:t>Ecosystem Health</w:t>
      </w:r>
      <w:bookmarkEnd w:id="85"/>
    </w:p>
    <w:p w14:paraId="5A782A3D" w14:textId="77777777" w:rsidR="00FC77C7" w:rsidRDefault="00FC77C7" w:rsidP="00FC77C7">
      <w:r>
        <w:t xml:space="preserve">River ecosystem health is estimated to improve as a consequence of a number of different policies, but we examine it here as the benefits of achieving the MCI bottom lines. These are compared with current monitoring data to estimate changes in the number of rivers that will improve to higher categories of ecosystem health. This can be combined with the Tait </w:t>
      </w:r>
      <w:r>
        <w:rPr>
          <w:i/>
          <w:iCs/>
        </w:rPr>
        <w:t>et al</w:t>
      </w:r>
      <w:r>
        <w:t xml:space="preserve"> (2016) values to quantify the benefits.</w:t>
      </w:r>
    </w:p>
    <w:p w14:paraId="4EF9459E" w14:textId="77777777" w:rsidR="00FC77C7" w:rsidRDefault="00FC77C7" w:rsidP="00FC77C7"/>
    <w:p w14:paraId="4BF0A7F9" w14:textId="562B8ED7" w:rsidR="00FC77C7" w:rsidRDefault="00FC77C7" w:rsidP="00FC77C7">
      <w:r>
        <w:t xml:space="preserve">The MCI score (see </w:t>
      </w:r>
      <w:r>
        <w:fldChar w:fldCharType="begin"/>
      </w:r>
      <w:r>
        <w:instrText xml:space="preserve"> REF _Ref30407818 \h </w:instrText>
      </w:r>
      <w:r>
        <w:fldChar w:fldCharType="separate"/>
      </w:r>
      <w:r w:rsidR="00024EB5">
        <w:t xml:space="preserve">Box </w:t>
      </w:r>
      <w:r w:rsidR="00024EB5">
        <w:rPr>
          <w:noProof/>
        </w:rPr>
        <w:t>1</w:t>
      </w:r>
      <w:r>
        <w:fldChar w:fldCharType="end"/>
      </w:r>
      <w:r>
        <w:t>) is used to classify a waterbody into an MCI Class (A to D) (</w:t>
      </w:r>
      <w:r>
        <w:fldChar w:fldCharType="begin"/>
      </w:r>
      <w:r>
        <w:instrText xml:space="preserve"> REF _Ref34335834 \h </w:instrText>
      </w:r>
      <w:r>
        <w:fldChar w:fldCharType="separate"/>
      </w:r>
      <w:r w:rsidR="00024EB5">
        <w:t xml:space="preserve">Table </w:t>
      </w:r>
      <w:r w:rsidR="00024EB5">
        <w:rPr>
          <w:noProof/>
        </w:rPr>
        <w:t>23</w:t>
      </w:r>
      <w:r>
        <w:fldChar w:fldCharType="end"/>
      </w:r>
      <w:r>
        <w:t xml:space="preserve">). A national bottom line is proposed at an MCI of 90, </w:t>
      </w:r>
      <w:proofErr w:type="spellStart"/>
      <w:r>
        <w:t>ie</w:t>
      </w:r>
      <w:proofErr w:type="spellEnd"/>
      <w:r>
        <w:t xml:space="preserve"> all waterbodies must be at least a fair level of water quality.</w:t>
      </w:r>
    </w:p>
    <w:p w14:paraId="6A68D2AC" w14:textId="1A089360" w:rsidR="00FC77C7" w:rsidRDefault="00FC77C7" w:rsidP="0093011F">
      <w:pPr>
        <w:pStyle w:val="Caption"/>
      </w:pPr>
      <w:bookmarkStart w:id="86" w:name="_Ref34335834"/>
      <w:r>
        <w:t xml:space="preserve">Table </w:t>
      </w:r>
      <w:r w:rsidR="00313617">
        <w:fldChar w:fldCharType="begin"/>
      </w:r>
      <w:r w:rsidR="00313617">
        <w:instrText xml:space="preserve"> SEQ Table \* ARABIC </w:instrText>
      </w:r>
      <w:r w:rsidR="00313617">
        <w:fldChar w:fldCharType="separate"/>
      </w:r>
      <w:r w:rsidR="00024EB5">
        <w:rPr>
          <w:noProof/>
        </w:rPr>
        <w:t>23</w:t>
      </w:r>
      <w:r w:rsidR="00313617">
        <w:rPr>
          <w:noProof/>
        </w:rPr>
        <w:fldChar w:fldCharType="end"/>
      </w:r>
      <w:bookmarkEnd w:id="86"/>
      <w:r>
        <w:t xml:space="preserve"> MCI Classes</w:t>
      </w:r>
    </w:p>
    <w:tbl>
      <w:tblPr>
        <w:tblStyle w:val="CovecTables"/>
        <w:tblW w:w="4240" w:type="dxa"/>
        <w:tblLook w:val="04E0" w:firstRow="1" w:lastRow="1" w:firstColumn="1" w:lastColumn="0" w:noHBand="0" w:noVBand="1"/>
      </w:tblPr>
      <w:tblGrid>
        <w:gridCol w:w="2080"/>
        <w:gridCol w:w="2160"/>
      </w:tblGrid>
      <w:tr w:rsidR="00FC77C7" w:rsidRPr="001B630D" w14:paraId="3B11CEFD" w14:textId="77777777" w:rsidTr="0093011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080" w:type="dxa"/>
            <w:hideMark/>
          </w:tcPr>
          <w:p w14:paraId="5266FACF" w14:textId="77777777" w:rsidR="00FC77C7" w:rsidRPr="001B630D" w:rsidRDefault="00FC77C7" w:rsidP="0093011F">
            <w:pPr>
              <w:pStyle w:val="TableText"/>
              <w:jc w:val="left"/>
            </w:pPr>
            <w:r w:rsidRPr="001B630D">
              <w:t> </w:t>
            </w:r>
            <w:r>
              <w:t>MCI Class</w:t>
            </w:r>
          </w:p>
        </w:tc>
        <w:tc>
          <w:tcPr>
            <w:tcW w:w="2160" w:type="dxa"/>
            <w:hideMark/>
          </w:tcPr>
          <w:p w14:paraId="53B0A75F"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1B630D">
              <w:t>MCI</w:t>
            </w:r>
          </w:p>
        </w:tc>
      </w:tr>
      <w:tr w:rsidR="00FC77C7" w:rsidRPr="001B630D" w14:paraId="4A035743"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080" w:type="dxa"/>
            <w:hideMark/>
          </w:tcPr>
          <w:p w14:paraId="353E93D5" w14:textId="77777777" w:rsidR="00FC77C7" w:rsidRPr="001B630D" w:rsidRDefault="00FC77C7" w:rsidP="0093011F">
            <w:pPr>
              <w:pStyle w:val="TableText"/>
            </w:pPr>
            <w:proofErr w:type="spellStart"/>
            <w:r w:rsidRPr="001B630D">
              <w:t>A</w:t>
            </w:r>
            <w:proofErr w:type="spellEnd"/>
            <w:r>
              <w:t xml:space="preserve">  Excellent</w:t>
            </w:r>
          </w:p>
        </w:tc>
        <w:tc>
          <w:tcPr>
            <w:tcW w:w="2160" w:type="dxa"/>
            <w:hideMark/>
          </w:tcPr>
          <w:p w14:paraId="3CBA16A4" w14:textId="77777777" w:rsidR="00FC77C7" w:rsidRPr="001B630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1B630D">
              <w:t>≥130</w:t>
            </w:r>
          </w:p>
        </w:tc>
      </w:tr>
      <w:tr w:rsidR="00FC77C7" w:rsidRPr="001B630D" w14:paraId="0A2AA626"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080" w:type="dxa"/>
            <w:hideMark/>
          </w:tcPr>
          <w:p w14:paraId="7D377C54" w14:textId="77777777" w:rsidR="00FC77C7" w:rsidRPr="001B630D" w:rsidRDefault="00FC77C7" w:rsidP="0093011F">
            <w:pPr>
              <w:pStyle w:val="TableText"/>
            </w:pPr>
            <w:r w:rsidRPr="001B630D">
              <w:t>B</w:t>
            </w:r>
            <w:r>
              <w:t xml:space="preserve">  Good</w:t>
            </w:r>
          </w:p>
        </w:tc>
        <w:tc>
          <w:tcPr>
            <w:tcW w:w="2160" w:type="dxa"/>
            <w:hideMark/>
          </w:tcPr>
          <w:p w14:paraId="54A99E4C" w14:textId="77777777" w:rsidR="00FC77C7" w:rsidRPr="001B630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1B630D">
              <w:t>≥110 &amp; &lt;130</w:t>
            </w:r>
          </w:p>
        </w:tc>
      </w:tr>
      <w:tr w:rsidR="00FC77C7" w:rsidRPr="001B630D" w14:paraId="6B388C25" w14:textId="77777777" w:rsidTr="0093011F">
        <w:trPr>
          <w:trHeight w:val="170"/>
        </w:trPr>
        <w:tc>
          <w:tcPr>
            <w:cnfStyle w:val="001000000000" w:firstRow="0" w:lastRow="0" w:firstColumn="1" w:lastColumn="0" w:oddVBand="0" w:evenVBand="0" w:oddHBand="0" w:evenHBand="0" w:firstRowFirstColumn="0" w:firstRowLastColumn="0" w:lastRowFirstColumn="0" w:lastRowLastColumn="0"/>
            <w:tcW w:w="2080" w:type="dxa"/>
            <w:hideMark/>
          </w:tcPr>
          <w:p w14:paraId="2134BFCC" w14:textId="77777777" w:rsidR="00FC77C7" w:rsidRPr="001B630D" w:rsidRDefault="00FC77C7" w:rsidP="0093011F">
            <w:pPr>
              <w:pStyle w:val="TableText"/>
            </w:pPr>
            <w:r w:rsidRPr="001B630D">
              <w:t>C</w:t>
            </w:r>
            <w:r>
              <w:t xml:space="preserve">  Fair</w:t>
            </w:r>
          </w:p>
        </w:tc>
        <w:tc>
          <w:tcPr>
            <w:tcW w:w="2160" w:type="dxa"/>
            <w:hideMark/>
          </w:tcPr>
          <w:p w14:paraId="7FAEAD3A" w14:textId="77777777" w:rsidR="00FC77C7" w:rsidRPr="001B630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1B630D">
              <w:t>≥90 &amp; &lt;110</w:t>
            </w:r>
          </w:p>
        </w:tc>
      </w:tr>
      <w:tr w:rsidR="00FC77C7" w:rsidRPr="001B630D" w14:paraId="2C7753FC" w14:textId="77777777" w:rsidTr="0093011F">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2080" w:type="dxa"/>
            <w:hideMark/>
          </w:tcPr>
          <w:p w14:paraId="73654DDE" w14:textId="77777777" w:rsidR="00FC77C7" w:rsidRPr="001B630D" w:rsidRDefault="00FC77C7" w:rsidP="0093011F">
            <w:pPr>
              <w:pStyle w:val="TableText"/>
            </w:pPr>
            <w:r w:rsidRPr="001B630D">
              <w:t>D</w:t>
            </w:r>
            <w:r>
              <w:t xml:space="preserve">  Poor</w:t>
            </w:r>
          </w:p>
        </w:tc>
        <w:tc>
          <w:tcPr>
            <w:tcW w:w="2160" w:type="dxa"/>
            <w:hideMark/>
          </w:tcPr>
          <w:p w14:paraId="1069232E" w14:textId="77777777" w:rsidR="00FC77C7" w:rsidRPr="001B630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1B630D">
              <w:t>&lt;90</w:t>
            </w:r>
          </w:p>
        </w:tc>
      </w:tr>
    </w:tbl>
    <w:p w14:paraId="78DDADD4" w14:textId="77777777" w:rsidR="00FC77C7" w:rsidRPr="00C3424D" w:rsidRDefault="00FC77C7" w:rsidP="00FC77C7">
      <w:pPr>
        <w:rPr>
          <w:sz w:val="18"/>
          <w:szCs w:val="18"/>
        </w:rPr>
      </w:pPr>
      <w:r w:rsidRPr="00C3424D">
        <w:rPr>
          <w:sz w:val="18"/>
          <w:szCs w:val="18"/>
        </w:rPr>
        <w:t xml:space="preserve">Source: Stark and </w:t>
      </w:r>
      <w:proofErr w:type="spellStart"/>
      <w:r w:rsidRPr="00C3424D">
        <w:rPr>
          <w:sz w:val="18"/>
          <w:szCs w:val="18"/>
        </w:rPr>
        <w:t>Maxted</w:t>
      </w:r>
      <w:proofErr w:type="spellEnd"/>
      <w:r w:rsidRPr="00C3424D">
        <w:rPr>
          <w:sz w:val="18"/>
          <w:szCs w:val="18"/>
        </w:rPr>
        <w:t xml:space="preserve"> (2007)</w:t>
      </w:r>
    </w:p>
    <w:p w14:paraId="18A89C3D" w14:textId="77777777" w:rsidR="0093011F" w:rsidRDefault="0093011F" w:rsidP="00FC77C7"/>
    <w:p w14:paraId="6B62A290" w14:textId="4DF2C78D" w:rsidR="00FC77C7" w:rsidRPr="00A335EE" w:rsidRDefault="00FC77C7" w:rsidP="00FC77C7">
      <w:r>
        <w:t xml:space="preserve">The Tait </w:t>
      </w:r>
      <w:r>
        <w:rPr>
          <w:i/>
          <w:iCs/>
        </w:rPr>
        <w:t xml:space="preserve">et al </w:t>
      </w:r>
      <w:r>
        <w:t>values (</w:t>
      </w:r>
      <w:r>
        <w:fldChar w:fldCharType="begin"/>
      </w:r>
      <w:r>
        <w:instrText xml:space="preserve"> REF _Ref30413099 \h </w:instrText>
      </w:r>
      <w:r>
        <w:fldChar w:fldCharType="separate"/>
      </w:r>
      <w:r w:rsidR="00024EB5">
        <w:t xml:space="preserve">Table </w:t>
      </w:r>
      <w:r w:rsidR="00024EB5">
        <w:rPr>
          <w:noProof/>
        </w:rPr>
        <w:t>3</w:t>
      </w:r>
      <w:r>
        <w:fldChar w:fldCharType="end"/>
      </w:r>
      <w:r>
        <w:t>) can be used to measure the value for each percentage point improvement of value from poor (MCI of ≤80</w:t>
      </w:r>
      <w:proofErr w:type="gramStart"/>
      <w:r>
        <w:t>)  to</w:t>
      </w:r>
      <w:proofErr w:type="gramEnd"/>
      <w:r>
        <w:t xml:space="preserve"> moderate (81-99) or good (≥100) ecological quality. </w:t>
      </w:r>
      <w:r>
        <w:lastRenderedPageBreak/>
        <w:t xml:space="preserve">Their classifications are different from those in </w:t>
      </w:r>
      <w:r>
        <w:fldChar w:fldCharType="begin"/>
      </w:r>
      <w:r>
        <w:instrText xml:space="preserve"> REF _Ref34335834 \h </w:instrText>
      </w:r>
      <w:r>
        <w:fldChar w:fldCharType="separate"/>
      </w:r>
      <w:r w:rsidR="00024EB5">
        <w:t xml:space="preserve">Table </w:t>
      </w:r>
      <w:r w:rsidR="00024EB5">
        <w:rPr>
          <w:noProof/>
        </w:rPr>
        <w:t>23</w:t>
      </w:r>
      <w:r>
        <w:fldChar w:fldCharType="end"/>
      </w:r>
      <w:r>
        <w:t xml:space="preserve">. However, we assume that rivers that improve from Class D (poor) to C (fair) obtain the same benefit as moving from poor to moderate on Tait </w:t>
      </w:r>
      <w:r w:rsidRPr="00A335EE">
        <w:rPr>
          <w:i/>
          <w:iCs/>
        </w:rPr>
        <w:t xml:space="preserve">et </w:t>
      </w:r>
      <w:proofErr w:type="spellStart"/>
      <w:r w:rsidRPr="00A335EE">
        <w:rPr>
          <w:i/>
          <w:iCs/>
        </w:rPr>
        <w:t>al</w:t>
      </w:r>
      <w:r>
        <w:t>’s</w:t>
      </w:r>
      <w:proofErr w:type="spellEnd"/>
      <w:r>
        <w:t xml:space="preserve"> classification. </w:t>
      </w:r>
    </w:p>
    <w:p w14:paraId="42035497" w14:textId="77777777" w:rsidR="00FC77C7" w:rsidRDefault="00FC77C7" w:rsidP="00FC77C7"/>
    <w:p w14:paraId="4B73C57E" w14:textId="1498BAAC" w:rsidR="0093011F" w:rsidRDefault="00FC77C7" w:rsidP="00FC77C7">
      <w:r>
        <w:fldChar w:fldCharType="begin"/>
      </w:r>
      <w:r>
        <w:instrText xml:space="preserve"> REF _Ref34336508 \h </w:instrText>
      </w:r>
      <w:r>
        <w:fldChar w:fldCharType="separate"/>
      </w:r>
      <w:r w:rsidR="00024EB5">
        <w:t xml:space="preserve">Table </w:t>
      </w:r>
      <w:r w:rsidR="00024EB5">
        <w:rPr>
          <w:noProof/>
        </w:rPr>
        <w:t>24</w:t>
      </w:r>
      <w:r>
        <w:fldChar w:fldCharType="end"/>
      </w:r>
      <w:r>
        <w:t xml:space="preserve"> shows the number of monitored rivers by region falling into the different MCI classes. The final column is the percentage increase in Class C rivers if all the poor (class D) rivers move to fair (class C). These percentage improvements can be multiplied by the WTP from </w:t>
      </w:r>
      <w:r>
        <w:fldChar w:fldCharType="begin"/>
      </w:r>
      <w:r>
        <w:instrText xml:space="preserve"> REF _Ref30413099 \h </w:instrText>
      </w:r>
      <w:r>
        <w:fldChar w:fldCharType="separate"/>
      </w:r>
      <w:r w:rsidR="00024EB5">
        <w:t xml:space="preserve">Table </w:t>
      </w:r>
      <w:r w:rsidR="00024EB5">
        <w:rPr>
          <w:noProof/>
        </w:rPr>
        <w:t>3</w:t>
      </w:r>
      <w:r>
        <w:fldChar w:fldCharType="end"/>
      </w:r>
      <w:r>
        <w:t>; the median value is $2.27 per person. This is multiplied by the regional adult population and a factor of 0.79 to account for the proportion of people who had a WTP of zero.</w:t>
      </w:r>
    </w:p>
    <w:p w14:paraId="6CBEFFC6" w14:textId="76674F5B" w:rsidR="00902582" w:rsidRDefault="00902582" w:rsidP="00FC77C7"/>
    <w:p w14:paraId="098707BC" w14:textId="77777777" w:rsidR="00902582" w:rsidRPr="00A335EE" w:rsidRDefault="00902582" w:rsidP="00902582">
      <w:r>
        <w:t>We use an equation of the following form:</w:t>
      </w:r>
    </w:p>
    <w:p w14:paraId="1C406109" w14:textId="77777777" w:rsidR="00902582" w:rsidRDefault="00902582" w:rsidP="00902582"/>
    <w:p w14:paraId="6CD75069" w14:textId="77777777" w:rsidR="00902582" w:rsidRDefault="00902582" w:rsidP="00902582">
      <w:pPr>
        <w:ind w:left="714"/>
      </w:pPr>
      <w:r>
        <w:t>V</w:t>
      </w:r>
      <w:r>
        <w:rPr>
          <w:vertAlign w:val="subscript"/>
        </w:rPr>
        <w:t>EH</w:t>
      </w:r>
      <w:r>
        <w:t xml:space="preserve"> </w:t>
      </w:r>
      <w:r>
        <w:tab/>
        <w:t>=</w:t>
      </w:r>
      <w:r>
        <w:tab/>
        <w:t xml:space="preserve">P × Z × WTP × </w:t>
      </w:r>
      <w:proofErr w:type="spellStart"/>
      <w:r>
        <w:t>PI</w:t>
      </w:r>
      <w:r>
        <w:rPr>
          <w:vertAlign w:val="subscript"/>
        </w:rPr>
        <w:t>mod</w:t>
      </w:r>
      <w:proofErr w:type="spellEnd"/>
    </w:p>
    <w:p w14:paraId="1B34CA8D" w14:textId="77777777" w:rsidR="00902582" w:rsidRDefault="00902582" w:rsidP="00902582"/>
    <w:p w14:paraId="534B472F" w14:textId="77777777" w:rsidR="00902582" w:rsidRDefault="00902582" w:rsidP="00902582">
      <w:r>
        <w:t>Where:</w:t>
      </w:r>
      <w:r>
        <w:tab/>
        <w:t>V</w:t>
      </w:r>
      <w:r>
        <w:rPr>
          <w:vertAlign w:val="subscript"/>
        </w:rPr>
        <w:t>EH</w:t>
      </w:r>
      <w:r>
        <w:t xml:space="preserve"> </w:t>
      </w:r>
      <w:r>
        <w:tab/>
        <w:t xml:space="preserve"> =</w:t>
      </w:r>
      <w:r>
        <w:tab/>
        <w:t>value of ecological health improvement</w:t>
      </w:r>
    </w:p>
    <w:p w14:paraId="09F6A640" w14:textId="77777777" w:rsidR="00902582" w:rsidRDefault="00902582" w:rsidP="00902582">
      <w:r>
        <w:t>P</w:t>
      </w:r>
      <w:r>
        <w:tab/>
        <w:t xml:space="preserve"> =</w:t>
      </w:r>
      <w:r>
        <w:tab/>
        <w:t xml:space="preserve">Population in the region or NZ </w:t>
      </w:r>
    </w:p>
    <w:p w14:paraId="5654A65D" w14:textId="77777777" w:rsidR="00902582" w:rsidRDefault="00902582" w:rsidP="00902582">
      <w:r>
        <w:t>Z</w:t>
      </w:r>
      <w:r>
        <w:tab/>
        <w:t xml:space="preserve"> =</w:t>
      </w:r>
      <w:r>
        <w:tab/>
        <w:t xml:space="preserve">Proportion of population with a zero WTP, </w:t>
      </w:r>
      <w:proofErr w:type="spellStart"/>
      <w:r>
        <w:t>ie</w:t>
      </w:r>
      <w:proofErr w:type="spellEnd"/>
      <w:r>
        <w:t xml:space="preserve"> 0.79 </w:t>
      </w:r>
    </w:p>
    <w:p w14:paraId="087F11B5" w14:textId="33463723" w:rsidR="00902582" w:rsidRDefault="00902582" w:rsidP="00902582">
      <w:r>
        <w:t>WTP =</w:t>
      </w:r>
      <w:r>
        <w:tab/>
        <w:t>willingness to pay for improvement from class D to C, assumed to be $2.2</w:t>
      </w:r>
      <w:r w:rsidR="00A55D26">
        <w:t>7</w:t>
      </w:r>
    </w:p>
    <w:p w14:paraId="0DD71104" w14:textId="77777777" w:rsidR="00902582" w:rsidRPr="00B9161C" w:rsidRDefault="00902582" w:rsidP="00902582">
      <w:proofErr w:type="spellStart"/>
      <w:r>
        <w:t>PI</w:t>
      </w:r>
      <w:r>
        <w:rPr>
          <w:vertAlign w:val="subscript"/>
        </w:rPr>
        <w:t>mod</w:t>
      </w:r>
      <w:proofErr w:type="spellEnd"/>
      <w:r>
        <w:t xml:space="preserve"> =</w:t>
      </w:r>
      <w:r>
        <w:tab/>
        <w:t>Percentage of rivers improving from class D to C</w:t>
      </w:r>
    </w:p>
    <w:p w14:paraId="0EB48C24" w14:textId="77777777" w:rsidR="00902582" w:rsidRPr="00B9161C" w:rsidRDefault="00902582" w:rsidP="00902582"/>
    <w:p w14:paraId="3F70F1B5" w14:textId="1658CA2D" w:rsidR="00902582" w:rsidRDefault="00902582" w:rsidP="00902582">
      <w:r>
        <w:t xml:space="preserve">For example, in Northland (population estimated at 134,112 in 2020), where there is a </w:t>
      </w:r>
      <w:r w:rsidR="009402C5">
        <w:t>5.26</w:t>
      </w:r>
      <w:r>
        <w:t xml:space="preserve"> percentage point improvement, the equation is as follows:</w:t>
      </w:r>
    </w:p>
    <w:p w14:paraId="6AF5822B" w14:textId="30A741D1" w:rsidR="00902582" w:rsidRDefault="00902582" w:rsidP="00902582">
      <w:pPr>
        <w:ind w:left="714"/>
      </w:pPr>
      <w:r>
        <w:t>V</w:t>
      </w:r>
      <w:r>
        <w:rPr>
          <w:vertAlign w:val="subscript"/>
        </w:rPr>
        <w:t>EH</w:t>
      </w:r>
      <w:r>
        <w:t xml:space="preserve"> </w:t>
      </w:r>
      <w:r>
        <w:tab/>
        <w:t>=</w:t>
      </w:r>
      <w:r>
        <w:tab/>
        <w:t>134,112 × 0.79 × $2.2</w:t>
      </w:r>
      <w:r w:rsidR="00A55D26">
        <w:t>7</w:t>
      </w:r>
      <w:r>
        <w:t xml:space="preserve"> × </w:t>
      </w:r>
      <w:r w:rsidR="009402C5">
        <w:t>5.26</w:t>
      </w:r>
    </w:p>
    <w:p w14:paraId="678FAE85" w14:textId="43EED14D" w:rsidR="00902582" w:rsidRDefault="00902582" w:rsidP="00902582">
      <w:pPr>
        <w:ind w:left="357"/>
      </w:pPr>
      <w:r>
        <w:tab/>
      </w:r>
      <w:r>
        <w:tab/>
        <w:t>=</w:t>
      </w:r>
      <w:r>
        <w:tab/>
      </w:r>
      <w:r w:rsidRPr="00B9161C">
        <w:t>$</w:t>
      </w:r>
      <w:r w:rsidR="009402C5">
        <w:t>1,265,806</w:t>
      </w:r>
    </w:p>
    <w:p w14:paraId="30718838" w14:textId="437B915C" w:rsidR="00FC77C7" w:rsidRDefault="00FC77C7" w:rsidP="0093011F">
      <w:pPr>
        <w:pStyle w:val="Caption"/>
      </w:pPr>
      <w:bookmarkStart w:id="87" w:name="_Ref34336508"/>
      <w:r>
        <w:t xml:space="preserve">Table </w:t>
      </w:r>
      <w:r w:rsidR="00313617">
        <w:fldChar w:fldCharType="begin"/>
      </w:r>
      <w:r w:rsidR="00313617">
        <w:instrText xml:space="preserve"> SEQ Table \* ARABIC </w:instrText>
      </w:r>
      <w:r w:rsidR="00313617">
        <w:fldChar w:fldCharType="separate"/>
      </w:r>
      <w:r w:rsidR="00024EB5">
        <w:rPr>
          <w:noProof/>
        </w:rPr>
        <w:t>24</w:t>
      </w:r>
      <w:r w:rsidR="00313617">
        <w:rPr>
          <w:noProof/>
        </w:rPr>
        <w:fldChar w:fldCharType="end"/>
      </w:r>
      <w:bookmarkEnd w:id="87"/>
      <w:r>
        <w:t xml:space="preserve"> Number of Monitored Rivers by MCI Band</w:t>
      </w:r>
    </w:p>
    <w:tbl>
      <w:tblPr>
        <w:tblStyle w:val="CovecTables"/>
        <w:tblW w:w="5000" w:type="pct"/>
        <w:tblInd w:w="0" w:type="dxa"/>
        <w:tblLook w:val="04E0" w:firstRow="1" w:lastRow="1" w:firstColumn="1" w:lastColumn="0" w:noHBand="0" w:noVBand="1"/>
      </w:tblPr>
      <w:tblGrid>
        <w:gridCol w:w="1852"/>
        <w:gridCol w:w="1020"/>
        <w:gridCol w:w="1019"/>
        <w:gridCol w:w="1019"/>
        <w:gridCol w:w="1019"/>
        <w:gridCol w:w="1019"/>
        <w:gridCol w:w="1273"/>
      </w:tblGrid>
      <w:tr w:rsidR="009B36A0" w:rsidRPr="001B630D" w14:paraId="430ED538" w14:textId="77777777" w:rsidTr="009402C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0E8387EA" w14:textId="77777777" w:rsidR="00FC77C7" w:rsidRPr="001B630D" w:rsidRDefault="00FC77C7" w:rsidP="0093011F">
            <w:pPr>
              <w:pStyle w:val="TableText"/>
              <w:jc w:val="left"/>
              <w:rPr>
                <w:lang w:eastAsia="en-NZ"/>
              </w:rPr>
            </w:pPr>
            <w:r w:rsidRPr="001B630D">
              <w:rPr>
                <w:lang w:eastAsia="en-NZ"/>
              </w:rPr>
              <w:t>Region</w:t>
            </w:r>
          </w:p>
        </w:tc>
        <w:tc>
          <w:tcPr>
            <w:tcW w:w="620" w:type="pct"/>
            <w:noWrap/>
            <w:hideMark/>
          </w:tcPr>
          <w:p w14:paraId="6701DEFE"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B630D">
              <w:rPr>
                <w:lang w:eastAsia="en-NZ"/>
              </w:rPr>
              <w:t>A</w:t>
            </w:r>
          </w:p>
        </w:tc>
        <w:tc>
          <w:tcPr>
            <w:tcW w:w="620" w:type="pct"/>
            <w:noWrap/>
            <w:hideMark/>
          </w:tcPr>
          <w:p w14:paraId="4DD49EF3"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B630D">
              <w:rPr>
                <w:lang w:eastAsia="en-NZ"/>
              </w:rPr>
              <w:t>B</w:t>
            </w:r>
          </w:p>
        </w:tc>
        <w:tc>
          <w:tcPr>
            <w:tcW w:w="620" w:type="pct"/>
            <w:noWrap/>
            <w:hideMark/>
          </w:tcPr>
          <w:p w14:paraId="70E2A099"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B630D">
              <w:rPr>
                <w:lang w:eastAsia="en-NZ"/>
              </w:rPr>
              <w:t>C</w:t>
            </w:r>
          </w:p>
        </w:tc>
        <w:tc>
          <w:tcPr>
            <w:tcW w:w="620" w:type="pct"/>
            <w:noWrap/>
            <w:hideMark/>
          </w:tcPr>
          <w:p w14:paraId="413802FF"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B630D">
              <w:rPr>
                <w:lang w:eastAsia="en-NZ"/>
              </w:rPr>
              <w:t>D</w:t>
            </w:r>
          </w:p>
        </w:tc>
        <w:tc>
          <w:tcPr>
            <w:tcW w:w="620" w:type="pct"/>
            <w:noWrap/>
            <w:hideMark/>
          </w:tcPr>
          <w:p w14:paraId="1CD7BC64"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sidRPr="001B630D">
              <w:rPr>
                <w:lang w:eastAsia="en-NZ"/>
              </w:rPr>
              <w:t>Total</w:t>
            </w:r>
          </w:p>
        </w:tc>
        <w:tc>
          <w:tcPr>
            <w:tcW w:w="775" w:type="pct"/>
          </w:tcPr>
          <w:p w14:paraId="1B63144F" w14:textId="77777777" w:rsidR="00FC77C7" w:rsidRPr="001B630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improve-</w:t>
            </w:r>
            <w:proofErr w:type="spellStart"/>
            <w:r>
              <w:rPr>
                <w:lang w:eastAsia="en-NZ"/>
              </w:rPr>
              <w:t>ment</w:t>
            </w:r>
            <w:proofErr w:type="spellEnd"/>
          </w:p>
        </w:tc>
      </w:tr>
      <w:tr w:rsidR="009402C5" w:rsidRPr="001B630D" w14:paraId="2E5E1800"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2B1699DD" w14:textId="77777777" w:rsidR="009402C5" w:rsidRPr="001B630D" w:rsidRDefault="009402C5" w:rsidP="009402C5">
            <w:pPr>
              <w:pStyle w:val="TableText"/>
              <w:rPr>
                <w:lang w:eastAsia="en-NZ"/>
              </w:rPr>
            </w:pPr>
            <w:r w:rsidRPr="001B630D">
              <w:rPr>
                <w:lang w:eastAsia="en-NZ"/>
              </w:rPr>
              <w:t>Northland</w:t>
            </w:r>
          </w:p>
        </w:tc>
        <w:tc>
          <w:tcPr>
            <w:tcW w:w="620" w:type="pct"/>
            <w:noWrap/>
            <w:hideMark/>
          </w:tcPr>
          <w:p w14:paraId="1D1988EE"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w:t>
            </w:r>
          </w:p>
        </w:tc>
        <w:tc>
          <w:tcPr>
            <w:tcW w:w="620" w:type="pct"/>
            <w:noWrap/>
            <w:hideMark/>
          </w:tcPr>
          <w:p w14:paraId="77A6DD89"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12</w:t>
            </w:r>
          </w:p>
        </w:tc>
        <w:tc>
          <w:tcPr>
            <w:tcW w:w="620" w:type="pct"/>
            <w:noWrap/>
            <w:hideMark/>
          </w:tcPr>
          <w:p w14:paraId="578DD11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w:t>
            </w:r>
          </w:p>
        </w:tc>
        <w:tc>
          <w:tcPr>
            <w:tcW w:w="620" w:type="pct"/>
            <w:noWrap/>
            <w:hideMark/>
          </w:tcPr>
          <w:p w14:paraId="769C71F1"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noWrap/>
            <w:hideMark/>
          </w:tcPr>
          <w:p w14:paraId="6ACC2907"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19</w:t>
            </w:r>
          </w:p>
        </w:tc>
        <w:tc>
          <w:tcPr>
            <w:tcW w:w="775" w:type="pct"/>
            <w:vAlign w:val="top"/>
          </w:tcPr>
          <w:p w14:paraId="354EE2C3" w14:textId="72558AE5"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5%</w:t>
            </w:r>
          </w:p>
        </w:tc>
      </w:tr>
      <w:tr w:rsidR="009402C5" w:rsidRPr="001B630D" w14:paraId="19FA9A74"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6ACB8493" w14:textId="77777777" w:rsidR="009402C5" w:rsidRPr="001B630D" w:rsidRDefault="009402C5" w:rsidP="009402C5">
            <w:pPr>
              <w:pStyle w:val="TableText"/>
              <w:rPr>
                <w:lang w:eastAsia="en-NZ"/>
              </w:rPr>
            </w:pPr>
            <w:r w:rsidRPr="001B630D">
              <w:rPr>
                <w:lang w:eastAsia="en-NZ"/>
              </w:rPr>
              <w:t>Auckland</w:t>
            </w:r>
          </w:p>
        </w:tc>
        <w:tc>
          <w:tcPr>
            <w:tcW w:w="620" w:type="pct"/>
            <w:noWrap/>
            <w:hideMark/>
          </w:tcPr>
          <w:p w14:paraId="1CA9EDAC"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w:t>
            </w:r>
          </w:p>
        </w:tc>
        <w:tc>
          <w:tcPr>
            <w:tcW w:w="620" w:type="pct"/>
            <w:noWrap/>
            <w:hideMark/>
          </w:tcPr>
          <w:p w14:paraId="3E0F931C"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w:t>
            </w:r>
          </w:p>
        </w:tc>
        <w:tc>
          <w:tcPr>
            <w:tcW w:w="620" w:type="pct"/>
            <w:noWrap/>
            <w:hideMark/>
          </w:tcPr>
          <w:p w14:paraId="768B78C7"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13</w:t>
            </w:r>
          </w:p>
        </w:tc>
        <w:tc>
          <w:tcPr>
            <w:tcW w:w="620" w:type="pct"/>
            <w:noWrap/>
            <w:hideMark/>
          </w:tcPr>
          <w:p w14:paraId="5FA561CD"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21</w:t>
            </w:r>
          </w:p>
        </w:tc>
        <w:tc>
          <w:tcPr>
            <w:tcW w:w="620" w:type="pct"/>
            <w:noWrap/>
            <w:hideMark/>
          </w:tcPr>
          <w:p w14:paraId="66A5EAE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39</w:t>
            </w:r>
          </w:p>
        </w:tc>
        <w:tc>
          <w:tcPr>
            <w:tcW w:w="775" w:type="pct"/>
            <w:vAlign w:val="top"/>
          </w:tcPr>
          <w:p w14:paraId="0630D225" w14:textId="61E24C82"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54%</w:t>
            </w:r>
          </w:p>
        </w:tc>
      </w:tr>
      <w:tr w:rsidR="009402C5" w:rsidRPr="001B630D" w14:paraId="7F0A851C"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3E0412C8" w14:textId="77777777" w:rsidR="009402C5" w:rsidRPr="001B630D" w:rsidRDefault="009402C5" w:rsidP="009402C5">
            <w:pPr>
              <w:pStyle w:val="TableText"/>
              <w:rPr>
                <w:lang w:eastAsia="en-NZ"/>
              </w:rPr>
            </w:pPr>
            <w:r w:rsidRPr="001B630D">
              <w:rPr>
                <w:lang w:eastAsia="en-NZ"/>
              </w:rPr>
              <w:t>Waikato</w:t>
            </w:r>
          </w:p>
        </w:tc>
        <w:tc>
          <w:tcPr>
            <w:tcW w:w="620" w:type="pct"/>
            <w:noWrap/>
            <w:hideMark/>
          </w:tcPr>
          <w:p w14:paraId="3D5156CD"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15</w:t>
            </w:r>
          </w:p>
        </w:tc>
        <w:tc>
          <w:tcPr>
            <w:tcW w:w="620" w:type="pct"/>
            <w:noWrap/>
            <w:hideMark/>
          </w:tcPr>
          <w:p w14:paraId="747BCFA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27</w:t>
            </w:r>
          </w:p>
        </w:tc>
        <w:tc>
          <w:tcPr>
            <w:tcW w:w="620" w:type="pct"/>
            <w:noWrap/>
            <w:hideMark/>
          </w:tcPr>
          <w:p w14:paraId="4CD97FE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17</w:t>
            </w:r>
          </w:p>
        </w:tc>
        <w:tc>
          <w:tcPr>
            <w:tcW w:w="620" w:type="pct"/>
            <w:noWrap/>
            <w:hideMark/>
          </w:tcPr>
          <w:p w14:paraId="4F0C72B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16</w:t>
            </w:r>
          </w:p>
        </w:tc>
        <w:tc>
          <w:tcPr>
            <w:tcW w:w="620" w:type="pct"/>
            <w:noWrap/>
            <w:hideMark/>
          </w:tcPr>
          <w:p w14:paraId="2B9ADB3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75</w:t>
            </w:r>
          </w:p>
        </w:tc>
        <w:tc>
          <w:tcPr>
            <w:tcW w:w="775" w:type="pct"/>
            <w:vAlign w:val="top"/>
          </w:tcPr>
          <w:p w14:paraId="6ED86794" w14:textId="653873B2"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21%</w:t>
            </w:r>
          </w:p>
        </w:tc>
      </w:tr>
      <w:tr w:rsidR="009402C5" w:rsidRPr="001B630D" w14:paraId="5408721E"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51A17630" w14:textId="77777777" w:rsidR="009402C5" w:rsidRPr="001B630D" w:rsidRDefault="009402C5" w:rsidP="009402C5">
            <w:pPr>
              <w:pStyle w:val="TableText"/>
              <w:rPr>
                <w:lang w:eastAsia="en-NZ"/>
              </w:rPr>
            </w:pPr>
            <w:r w:rsidRPr="001B630D">
              <w:rPr>
                <w:lang w:eastAsia="en-NZ"/>
              </w:rPr>
              <w:t>Bay of Plenty</w:t>
            </w:r>
          </w:p>
        </w:tc>
        <w:tc>
          <w:tcPr>
            <w:tcW w:w="620" w:type="pct"/>
            <w:noWrap/>
            <w:hideMark/>
          </w:tcPr>
          <w:p w14:paraId="3A3FE26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8</w:t>
            </w:r>
          </w:p>
        </w:tc>
        <w:tc>
          <w:tcPr>
            <w:tcW w:w="620" w:type="pct"/>
            <w:noWrap/>
            <w:hideMark/>
          </w:tcPr>
          <w:p w14:paraId="3FDCA65D"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38</w:t>
            </w:r>
          </w:p>
        </w:tc>
        <w:tc>
          <w:tcPr>
            <w:tcW w:w="620" w:type="pct"/>
            <w:noWrap/>
            <w:hideMark/>
          </w:tcPr>
          <w:p w14:paraId="0EE712A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19</w:t>
            </w:r>
          </w:p>
        </w:tc>
        <w:tc>
          <w:tcPr>
            <w:tcW w:w="620" w:type="pct"/>
            <w:noWrap/>
            <w:hideMark/>
          </w:tcPr>
          <w:p w14:paraId="51C46F5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9</w:t>
            </w:r>
          </w:p>
        </w:tc>
        <w:tc>
          <w:tcPr>
            <w:tcW w:w="620" w:type="pct"/>
            <w:noWrap/>
            <w:hideMark/>
          </w:tcPr>
          <w:p w14:paraId="77EFECB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74</w:t>
            </w:r>
          </w:p>
        </w:tc>
        <w:tc>
          <w:tcPr>
            <w:tcW w:w="775" w:type="pct"/>
            <w:vAlign w:val="top"/>
          </w:tcPr>
          <w:p w14:paraId="4A590458" w14:textId="4DF74D3A"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12%</w:t>
            </w:r>
          </w:p>
        </w:tc>
      </w:tr>
      <w:tr w:rsidR="009402C5" w:rsidRPr="001B630D" w14:paraId="6A2FD359"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630ED40B" w14:textId="77777777" w:rsidR="009402C5" w:rsidRPr="001B630D" w:rsidRDefault="009402C5" w:rsidP="009402C5">
            <w:pPr>
              <w:pStyle w:val="TableText"/>
              <w:rPr>
                <w:lang w:eastAsia="en-NZ"/>
              </w:rPr>
            </w:pPr>
            <w:r w:rsidRPr="001B630D">
              <w:rPr>
                <w:lang w:eastAsia="en-NZ"/>
              </w:rPr>
              <w:t>Gisborne</w:t>
            </w:r>
          </w:p>
        </w:tc>
        <w:tc>
          <w:tcPr>
            <w:tcW w:w="620" w:type="pct"/>
            <w:noWrap/>
            <w:hideMark/>
          </w:tcPr>
          <w:p w14:paraId="4AE9A07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0</w:t>
            </w:r>
          </w:p>
        </w:tc>
        <w:tc>
          <w:tcPr>
            <w:tcW w:w="620" w:type="pct"/>
            <w:noWrap/>
            <w:hideMark/>
          </w:tcPr>
          <w:p w14:paraId="7FBD890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noWrap/>
            <w:hideMark/>
          </w:tcPr>
          <w:p w14:paraId="253E102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0</w:t>
            </w:r>
          </w:p>
        </w:tc>
        <w:tc>
          <w:tcPr>
            <w:tcW w:w="620" w:type="pct"/>
            <w:noWrap/>
            <w:hideMark/>
          </w:tcPr>
          <w:p w14:paraId="58FDAC4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0</w:t>
            </w:r>
          </w:p>
        </w:tc>
        <w:tc>
          <w:tcPr>
            <w:tcW w:w="620" w:type="pct"/>
            <w:noWrap/>
            <w:hideMark/>
          </w:tcPr>
          <w:p w14:paraId="16C8493D"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775" w:type="pct"/>
            <w:vAlign w:val="top"/>
          </w:tcPr>
          <w:p w14:paraId="1CAE6A46" w14:textId="63AB65FE"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0%</w:t>
            </w:r>
          </w:p>
        </w:tc>
      </w:tr>
      <w:tr w:rsidR="009402C5" w:rsidRPr="001B630D" w14:paraId="7B678E28"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47CBE7F4" w14:textId="77777777" w:rsidR="009402C5" w:rsidRPr="001B630D" w:rsidRDefault="009402C5" w:rsidP="009402C5">
            <w:pPr>
              <w:pStyle w:val="TableText"/>
              <w:rPr>
                <w:lang w:eastAsia="en-NZ"/>
              </w:rPr>
            </w:pPr>
            <w:r w:rsidRPr="001B630D">
              <w:rPr>
                <w:lang w:eastAsia="en-NZ"/>
              </w:rPr>
              <w:t>Taranaki</w:t>
            </w:r>
          </w:p>
        </w:tc>
        <w:tc>
          <w:tcPr>
            <w:tcW w:w="620" w:type="pct"/>
            <w:noWrap/>
            <w:hideMark/>
          </w:tcPr>
          <w:p w14:paraId="748E67A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12</w:t>
            </w:r>
          </w:p>
        </w:tc>
        <w:tc>
          <w:tcPr>
            <w:tcW w:w="620" w:type="pct"/>
            <w:noWrap/>
            <w:hideMark/>
          </w:tcPr>
          <w:p w14:paraId="162CA1E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9</w:t>
            </w:r>
          </w:p>
        </w:tc>
        <w:tc>
          <w:tcPr>
            <w:tcW w:w="620" w:type="pct"/>
            <w:noWrap/>
            <w:hideMark/>
          </w:tcPr>
          <w:p w14:paraId="494CFCF4"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32</w:t>
            </w:r>
          </w:p>
        </w:tc>
        <w:tc>
          <w:tcPr>
            <w:tcW w:w="620" w:type="pct"/>
            <w:noWrap/>
            <w:hideMark/>
          </w:tcPr>
          <w:p w14:paraId="2991002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6</w:t>
            </w:r>
          </w:p>
        </w:tc>
        <w:tc>
          <w:tcPr>
            <w:tcW w:w="620" w:type="pct"/>
            <w:noWrap/>
            <w:hideMark/>
          </w:tcPr>
          <w:p w14:paraId="3ABF6DAC"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59</w:t>
            </w:r>
          </w:p>
        </w:tc>
        <w:tc>
          <w:tcPr>
            <w:tcW w:w="775" w:type="pct"/>
            <w:vAlign w:val="top"/>
          </w:tcPr>
          <w:p w14:paraId="5CDF3E58" w14:textId="36BF1C09"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10%</w:t>
            </w:r>
          </w:p>
        </w:tc>
      </w:tr>
      <w:tr w:rsidR="009402C5" w:rsidRPr="001B630D" w14:paraId="637E1E34"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4EC58CB7" w14:textId="77777777" w:rsidR="009402C5" w:rsidRPr="001B630D" w:rsidRDefault="009402C5" w:rsidP="009402C5">
            <w:pPr>
              <w:pStyle w:val="TableText"/>
              <w:rPr>
                <w:lang w:eastAsia="en-NZ"/>
              </w:rPr>
            </w:pPr>
            <w:proofErr w:type="spellStart"/>
            <w:r w:rsidRPr="001B630D">
              <w:rPr>
                <w:lang w:eastAsia="en-NZ"/>
              </w:rPr>
              <w:t>Manawatu</w:t>
            </w:r>
            <w:proofErr w:type="spellEnd"/>
            <w:r w:rsidRPr="001B630D">
              <w:rPr>
                <w:lang w:eastAsia="en-NZ"/>
              </w:rPr>
              <w:t>-Wanganui</w:t>
            </w:r>
          </w:p>
        </w:tc>
        <w:tc>
          <w:tcPr>
            <w:tcW w:w="620" w:type="pct"/>
            <w:noWrap/>
            <w:hideMark/>
          </w:tcPr>
          <w:p w14:paraId="0BB42FC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5</w:t>
            </w:r>
          </w:p>
        </w:tc>
        <w:tc>
          <w:tcPr>
            <w:tcW w:w="620" w:type="pct"/>
            <w:noWrap/>
            <w:hideMark/>
          </w:tcPr>
          <w:p w14:paraId="1A9ADE2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33</w:t>
            </w:r>
          </w:p>
        </w:tc>
        <w:tc>
          <w:tcPr>
            <w:tcW w:w="620" w:type="pct"/>
            <w:noWrap/>
            <w:hideMark/>
          </w:tcPr>
          <w:p w14:paraId="424A7D94"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35</w:t>
            </w:r>
          </w:p>
        </w:tc>
        <w:tc>
          <w:tcPr>
            <w:tcW w:w="620" w:type="pct"/>
            <w:noWrap/>
            <w:hideMark/>
          </w:tcPr>
          <w:p w14:paraId="3EC05BB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10</w:t>
            </w:r>
          </w:p>
        </w:tc>
        <w:tc>
          <w:tcPr>
            <w:tcW w:w="620" w:type="pct"/>
            <w:noWrap/>
            <w:hideMark/>
          </w:tcPr>
          <w:p w14:paraId="748AC00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83</w:t>
            </w:r>
          </w:p>
        </w:tc>
        <w:tc>
          <w:tcPr>
            <w:tcW w:w="775" w:type="pct"/>
            <w:vAlign w:val="top"/>
          </w:tcPr>
          <w:p w14:paraId="09F6FE15" w14:textId="038A1B14"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12%</w:t>
            </w:r>
          </w:p>
        </w:tc>
      </w:tr>
      <w:tr w:rsidR="009402C5" w:rsidRPr="001B630D" w14:paraId="240999BD"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7859A207" w14:textId="77777777" w:rsidR="009402C5" w:rsidRPr="001B630D" w:rsidRDefault="009402C5" w:rsidP="009402C5">
            <w:pPr>
              <w:pStyle w:val="TableText"/>
              <w:rPr>
                <w:lang w:eastAsia="en-NZ"/>
              </w:rPr>
            </w:pPr>
            <w:r w:rsidRPr="001B630D">
              <w:rPr>
                <w:lang w:eastAsia="en-NZ"/>
              </w:rPr>
              <w:t>Hawke's Bay</w:t>
            </w:r>
          </w:p>
        </w:tc>
        <w:tc>
          <w:tcPr>
            <w:tcW w:w="620" w:type="pct"/>
            <w:noWrap/>
            <w:hideMark/>
          </w:tcPr>
          <w:p w14:paraId="21A9F16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w:t>
            </w:r>
          </w:p>
        </w:tc>
        <w:tc>
          <w:tcPr>
            <w:tcW w:w="620" w:type="pct"/>
            <w:noWrap/>
            <w:hideMark/>
          </w:tcPr>
          <w:p w14:paraId="0F9E2CC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19</w:t>
            </w:r>
          </w:p>
        </w:tc>
        <w:tc>
          <w:tcPr>
            <w:tcW w:w="620" w:type="pct"/>
            <w:noWrap/>
            <w:hideMark/>
          </w:tcPr>
          <w:p w14:paraId="4228582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26</w:t>
            </w:r>
          </w:p>
        </w:tc>
        <w:tc>
          <w:tcPr>
            <w:tcW w:w="620" w:type="pct"/>
            <w:noWrap/>
            <w:hideMark/>
          </w:tcPr>
          <w:p w14:paraId="20CBDC04"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21</w:t>
            </w:r>
          </w:p>
        </w:tc>
        <w:tc>
          <w:tcPr>
            <w:tcW w:w="620" w:type="pct"/>
            <w:noWrap/>
            <w:hideMark/>
          </w:tcPr>
          <w:p w14:paraId="47C4503B"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68</w:t>
            </w:r>
          </w:p>
        </w:tc>
        <w:tc>
          <w:tcPr>
            <w:tcW w:w="775" w:type="pct"/>
            <w:vAlign w:val="top"/>
          </w:tcPr>
          <w:p w14:paraId="5146CBE9" w14:textId="27E0799A"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31%</w:t>
            </w:r>
          </w:p>
        </w:tc>
      </w:tr>
      <w:tr w:rsidR="009402C5" w:rsidRPr="001B630D" w14:paraId="1CD9AF5E"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1F5BB750" w14:textId="77777777" w:rsidR="009402C5" w:rsidRPr="001B630D" w:rsidRDefault="009402C5" w:rsidP="009402C5">
            <w:pPr>
              <w:pStyle w:val="TableText"/>
              <w:rPr>
                <w:lang w:eastAsia="en-NZ"/>
              </w:rPr>
            </w:pPr>
            <w:r w:rsidRPr="001B630D">
              <w:rPr>
                <w:lang w:eastAsia="en-NZ"/>
              </w:rPr>
              <w:t>Wellington</w:t>
            </w:r>
          </w:p>
        </w:tc>
        <w:tc>
          <w:tcPr>
            <w:tcW w:w="620" w:type="pct"/>
            <w:noWrap/>
            <w:hideMark/>
          </w:tcPr>
          <w:p w14:paraId="1C942EC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7</w:t>
            </w:r>
          </w:p>
        </w:tc>
        <w:tc>
          <w:tcPr>
            <w:tcW w:w="620" w:type="pct"/>
            <w:noWrap/>
            <w:hideMark/>
          </w:tcPr>
          <w:p w14:paraId="7BD2B93E"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21</w:t>
            </w:r>
          </w:p>
        </w:tc>
        <w:tc>
          <w:tcPr>
            <w:tcW w:w="620" w:type="pct"/>
            <w:noWrap/>
            <w:hideMark/>
          </w:tcPr>
          <w:p w14:paraId="5E19678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20</w:t>
            </w:r>
          </w:p>
        </w:tc>
        <w:tc>
          <w:tcPr>
            <w:tcW w:w="620" w:type="pct"/>
            <w:noWrap/>
            <w:hideMark/>
          </w:tcPr>
          <w:p w14:paraId="0FA55E0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9</w:t>
            </w:r>
          </w:p>
        </w:tc>
        <w:tc>
          <w:tcPr>
            <w:tcW w:w="620" w:type="pct"/>
            <w:noWrap/>
            <w:hideMark/>
          </w:tcPr>
          <w:p w14:paraId="56148D3A"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57</w:t>
            </w:r>
          </w:p>
        </w:tc>
        <w:tc>
          <w:tcPr>
            <w:tcW w:w="775" w:type="pct"/>
            <w:vAlign w:val="top"/>
          </w:tcPr>
          <w:p w14:paraId="6D7AD8BD" w14:textId="17D55A6A"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16%</w:t>
            </w:r>
          </w:p>
        </w:tc>
      </w:tr>
      <w:tr w:rsidR="009402C5" w:rsidRPr="001B630D" w14:paraId="32D561AF"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6629616B" w14:textId="77777777" w:rsidR="009402C5" w:rsidRPr="001B630D" w:rsidRDefault="009402C5" w:rsidP="009402C5">
            <w:pPr>
              <w:pStyle w:val="TableText"/>
              <w:rPr>
                <w:lang w:eastAsia="en-NZ"/>
              </w:rPr>
            </w:pPr>
            <w:r w:rsidRPr="001B630D">
              <w:rPr>
                <w:lang w:eastAsia="en-NZ"/>
              </w:rPr>
              <w:t>Tasman</w:t>
            </w:r>
          </w:p>
        </w:tc>
        <w:tc>
          <w:tcPr>
            <w:tcW w:w="620" w:type="pct"/>
            <w:noWrap/>
            <w:hideMark/>
          </w:tcPr>
          <w:p w14:paraId="5C8B2F8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noWrap/>
            <w:hideMark/>
          </w:tcPr>
          <w:p w14:paraId="62AADF80"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11</w:t>
            </w:r>
          </w:p>
        </w:tc>
        <w:tc>
          <w:tcPr>
            <w:tcW w:w="620" w:type="pct"/>
            <w:noWrap/>
            <w:hideMark/>
          </w:tcPr>
          <w:p w14:paraId="504D17B4"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w:t>
            </w:r>
          </w:p>
        </w:tc>
        <w:tc>
          <w:tcPr>
            <w:tcW w:w="620" w:type="pct"/>
            <w:noWrap/>
            <w:hideMark/>
          </w:tcPr>
          <w:p w14:paraId="389324F0"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6</w:t>
            </w:r>
          </w:p>
        </w:tc>
        <w:tc>
          <w:tcPr>
            <w:tcW w:w="620" w:type="pct"/>
            <w:noWrap/>
            <w:hideMark/>
          </w:tcPr>
          <w:p w14:paraId="7FFCEF2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20</w:t>
            </w:r>
          </w:p>
        </w:tc>
        <w:tc>
          <w:tcPr>
            <w:tcW w:w="775" w:type="pct"/>
            <w:vAlign w:val="top"/>
          </w:tcPr>
          <w:p w14:paraId="256F1DC2" w14:textId="164316B5"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30%</w:t>
            </w:r>
          </w:p>
        </w:tc>
      </w:tr>
      <w:tr w:rsidR="009402C5" w:rsidRPr="001B630D" w14:paraId="2A5BB556"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3F1157FB" w14:textId="77777777" w:rsidR="009402C5" w:rsidRPr="001B630D" w:rsidRDefault="009402C5" w:rsidP="009402C5">
            <w:pPr>
              <w:pStyle w:val="TableText"/>
              <w:rPr>
                <w:lang w:eastAsia="en-NZ"/>
              </w:rPr>
            </w:pPr>
            <w:r w:rsidRPr="001B630D">
              <w:rPr>
                <w:lang w:eastAsia="en-NZ"/>
              </w:rPr>
              <w:t>Nelson</w:t>
            </w:r>
          </w:p>
        </w:tc>
        <w:tc>
          <w:tcPr>
            <w:tcW w:w="620" w:type="pct"/>
            <w:noWrap/>
            <w:hideMark/>
          </w:tcPr>
          <w:p w14:paraId="1769171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4</w:t>
            </w:r>
          </w:p>
        </w:tc>
        <w:tc>
          <w:tcPr>
            <w:tcW w:w="620" w:type="pct"/>
            <w:noWrap/>
            <w:hideMark/>
          </w:tcPr>
          <w:p w14:paraId="35A8B90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7</w:t>
            </w:r>
          </w:p>
        </w:tc>
        <w:tc>
          <w:tcPr>
            <w:tcW w:w="620" w:type="pct"/>
            <w:noWrap/>
            <w:hideMark/>
          </w:tcPr>
          <w:p w14:paraId="24D04227"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9</w:t>
            </w:r>
          </w:p>
        </w:tc>
        <w:tc>
          <w:tcPr>
            <w:tcW w:w="620" w:type="pct"/>
            <w:noWrap/>
            <w:hideMark/>
          </w:tcPr>
          <w:p w14:paraId="64869381"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6</w:t>
            </w:r>
          </w:p>
        </w:tc>
        <w:tc>
          <w:tcPr>
            <w:tcW w:w="620" w:type="pct"/>
            <w:noWrap/>
            <w:hideMark/>
          </w:tcPr>
          <w:p w14:paraId="19D5A4B1"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26</w:t>
            </w:r>
          </w:p>
        </w:tc>
        <w:tc>
          <w:tcPr>
            <w:tcW w:w="775" w:type="pct"/>
            <w:vAlign w:val="top"/>
          </w:tcPr>
          <w:p w14:paraId="341BD233" w14:textId="50B4F47B"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23%</w:t>
            </w:r>
          </w:p>
        </w:tc>
      </w:tr>
      <w:tr w:rsidR="009402C5" w:rsidRPr="001B630D" w14:paraId="615516E4"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1B4870AC" w14:textId="77777777" w:rsidR="009402C5" w:rsidRPr="001B630D" w:rsidRDefault="009402C5" w:rsidP="009402C5">
            <w:pPr>
              <w:pStyle w:val="TableText"/>
              <w:rPr>
                <w:lang w:eastAsia="en-NZ"/>
              </w:rPr>
            </w:pPr>
            <w:r w:rsidRPr="001B630D">
              <w:rPr>
                <w:lang w:eastAsia="en-NZ"/>
              </w:rPr>
              <w:t>Marlborough</w:t>
            </w:r>
          </w:p>
        </w:tc>
        <w:tc>
          <w:tcPr>
            <w:tcW w:w="620" w:type="pct"/>
            <w:noWrap/>
            <w:hideMark/>
          </w:tcPr>
          <w:p w14:paraId="4517347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0</w:t>
            </w:r>
          </w:p>
        </w:tc>
        <w:tc>
          <w:tcPr>
            <w:tcW w:w="620" w:type="pct"/>
            <w:noWrap/>
            <w:hideMark/>
          </w:tcPr>
          <w:p w14:paraId="264401E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15</w:t>
            </w:r>
          </w:p>
        </w:tc>
        <w:tc>
          <w:tcPr>
            <w:tcW w:w="620" w:type="pct"/>
            <w:noWrap/>
            <w:hideMark/>
          </w:tcPr>
          <w:p w14:paraId="1A0B05B8"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9</w:t>
            </w:r>
          </w:p>
        </w:tc>
        <w:tc>
          <w:tcPr>
            <w:tcW w:w="620" w:type="pct"/>
            <w:noWrap/>
            <w:hideMark/>
          </w:tcPr>
          <w:p w14:paraId="33E719CB"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w:t>
            </w:r>
          </w:p>
        </w:tc>
        <w:tc>
          <w:tcPr>
            <w:tcW w:w="620" w:type="pct"/>
            <w:noWrap/>
            <w:hideMark/>
          </w:tcPr>
          <w:p w14:paraId="43D55231"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26</w:t>
            </w:r>
          </w:p>
        </w:tc>
        <w:tc>
          <w:tcPr>
            <w:tcW w:w="775" w:type="pct"/>
            <w:vAlign w:val="top"/>
          </w:tcPr>
          <w:p w14:paraId="69BF0CA5" w14:textId="1CBBDE79"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8%</w:t>
            </w:r>
          </w:p>
        </w:tc>
      </w:tr>
      <w:tr w:rsidR="009402C5" w:rsidRPr="001B630D" w14:paraId="10BAE3AD"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185C19D3" w14:textId="77777777" w:rsidR="009402C5" w:rsidRPr="001B630D" w:rsidRDefault="009402C5" w:rsidP="009402C5">
            <w:pPr>
              <w:pStyle w:val="TableText"/>
              <w:rPr>
                <w:lang w:eastAsia="en-NZ"/>
              </w:rPr>
            </w:pPr>
            <w:r w:rsidRPr="001B630D">
              <w:rPr>
                <w:lang w:eastAsia="en-NZ"/>
              </w:rPr>
              <w:t>West Coast</w:t>
            </w:r>
          </w:p>
        </w:tc>
        <w:tc>
          <w:tcPr>
            <w:tcW w:w="620" w:type="pct"/>
            <w:noWrap/>
            <w:hideMark/>
          </w:tcPr>
          <w:p w14:paraId="205763D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w:t>
            </w:r>
          </w:p>
        </w:tc>
        <w:tc>
          <w:tcPr>
            <w:tcW w:w="620" w:type="pct"/>
            <w:noWrap/>
            <w:hideMark/>
          </w:tcPr>
          <w:p w14:paraId="539DB459"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23</w:t>
            </w:r>
          </w:p>
        </w:tc>
        <w:tc>
          <w:tcPr>
            <w:tcW w:w="620" w:type="pct"/>
            <w:noWrap/>
            <w:hideMark/>
          </w:tcPr>
          <w:p w14:paraId="641CAF98"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11</w:t>
            </w:r>
          </w:p>
        </w:tc>
        <w:tc>
          <w:tcPr>
            <w:tcW w:w="620" w:type="pct"/>
            <w:noWrap/>
            <w:hideMark/>
          </w:tcPr>
          <w:p w14:paraId="3B893E5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noWrap/>
            <w:hideMark/>
          </w:tcPr>
          <w:p w14:paraId="1B28C368"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38</w:t>
            </w:r>
          </w:p>
        </w:tc>
        <w:tc>
          <w:tcPr>
            <w:tcW w:w="775" w:type="pct"/>
            <w:vAlign w:val="top"/>
          </w:tcPr>
          <w:p w14:paraId="05DD2AAD" w14:textId="71BCF04C"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3%</w:t>
            </w:r>
          </w:p>
        </w:tc>
      </w:tr>
      <w:tr w:rsidR="009402C5" w:rsidRPr="001B630D" w14:paraId="5D528DE4"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6CBD197E" w14:textId="77777777" w:rsidR="009402C5" w:rsidRPr="001B630D" w:rsidRDefault="009402C5" w:rsidP="009402C5">
            <w:pPr>
              <w:pStyle w:val="TableText"/>
              <w:rPr>
                <w:lang w:eastAsia="en-NZ"/>
              </w:rPr>
            </w:pPr>
            <w:r w:rsidRPr="001B630D">
              <w:rPr>
                <w:lang w:eastAsia="en-NZ"/>
              </w:rPr>
              <w:t>Canterbury</w:t>
            </w:r>
          </w:p>
        </w:tc>
        <w:tc>
          <w:tcPr>
            <w:tcW w:w="620" w:type="pct"/>
            <w:noWrap/>
            <w:hideMark/>
          </w:tcPr>
          <w:p w14:paraId="2D87F91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noWrap/>
            <w:hideMark/>
          </w:tcPr>
          <w:p w14:paraId="546B22F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35</w:t>
            </w:r>
          </w:p>
        </w:tc>
        <w:tc>
          <w:tcPr>
            <w:tcW w:w="620" w:type="pct"/>
            <w:noWrap/>
            <w:hideMark/>
          </w:tcPr>
          <w:p w14:paraId="2D287DF9"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69</w:t>
            </w:r>
          </w:p>
        </w:tc>
        <w:tc>
          <w:tcPr>
            <w:tcW w:w="620" w:type="pct"/>
            <w:noWrap/>
            <w:hideMark/>
          </w:tcPr>
          <w:p w14:paraId="05758E0E"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29</w:t>
            </w:r>
          </w:p>
        </w:tc>
        <w:tc>
          <w:tcPr>
            <w:tcW w:w="620" w:type="pct"/>
            <w:noWrap/>
            <w:hideMark/>
          </w:tcPr>
          <w:p w14:paraId="09D76556"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134</w:t>
            </w:r>
          </w:p>
        </w:tc>
        <w:tc>
          <w:tcPr>
            <w:tcW w:w="775" w:type="pct"/>
            <w:vAlign w:val="top"/>
          </w:tcPr>
          <w:p w14:paraId="27575B33" w14:textId="6B95EC11"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22%</w:t>
            </w:r>
          </w:p>
        </w:tc>
      </w:tr>
      <w:tr w:rsidR="009402C5" w:rsidRPr="001B630D" w14:paraId="78754520"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noWrap/>
            <w:hideMark/>
          </w:tcPr>
          <w:p w14:paraId="431A3FEA" w14:textId="77777777" w:rsidR="009402C5" w:rsidRPr="001B630D" w:rsidRDefault="009402C5" w:rsidP="009402C5">
            <w:pPr>
              <w:pStyle w:val="TableText"/>
              <w:rPr>
                <w:lang w:eastAsia="en-NZ"/>
              </w:rPr>
            </w:pPr>
            <w:r w:rsidRPr="001B630D">
              <w:rPr>
                <w:lang w:eastAsia="en-NZ"/>
              </w:rPr>
              <w:t>Otago</w:t>
            </w:r>
          </w:p>
        </w:tc>
        <w:tc>
          <w:tcPr>
            <w:tcW w:w="620" w:type="pct"/>
            <w:noWrap/>
            <w:hideMark/>
          </w:tcPr>
          <w:p w14:paraId="6112D6E9"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0</w:t>
            </w:r>
          </w:p>
        </w:tc>
        <w:tc>
          <w:tcPr>
            <w:tcW w:w="620" w:type="pct"/>
            <w:noWrap/>
            <w:hideMark/>
          </w:tcPr>
          <w:p w14:paraId="2ACB9FDB"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10</w:t>
            </w:r>
          </w:p>
        </w:tc>
        <w:tc>
          <w:tcPr>
            <w:tcW w:w="620" w:type="pct"/>
            <w:noWrap/>
            <w:hideMark/>
          </w:tcPr>
          <w:p w14:paraId="60C06E05"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21</w:t>
            </w:r>
          </w:p>
        </w:tc>
        <w:tc>
          <w:tcPr>
            <w:tcW w:w="620" w:type="pct"/>
            <w:noWrap/>
            <w:hideMark/>
          </w:tcPr>
          <w:p w14:paraId="5149B15F"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10</w:t>
            </w:r>
          </w:p>
        </w:tc>
        <w:tc>
          <w:tcPr>
            <w:tcW w:w="620" w:type="pct"/>
            <w:noWrap/>
            <w:hideMark/>
          </w:tcPr>
          <w:p w14:paraId="1326778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41</w:t>
            </w:r>
          </w:p>
        </w:tc>
        <w:tc>
          <w:tcPr>
            <w:tcW w:w="775" w:type="pct"/>
            <w:vAlign w:val="top"/>
          </w:tcPr>
          <w:p w14:paraId="45C38294" w14:textId="78481C54"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24%</w:t>
            </w:r>
          </w:p>
        </w:tc>
      </w:tr>
      <w:tr w:rsidR="009402C5" w:rsidRPr="001B630D" w14:paraId="2729BF8F" w14:textId="77777777" w:rsidTr="009402C5">
        <w:trPr>
          <w:trHeight w:val="170"/>
        </w:trPr>
        <w:tc>
          <w:tcPr>
            <w:cnfStyle w:val="001000000000" w:firstRow="0" w:lastRow="0" w:firstColumn="1" w:lastColumn="0" w:oddVBand="0" w:evenVBand="0" w:oddHBand="0" w:evenHBand="0" w:firstRowFirstColumn="0" w:firstRowLastColumn="0" w:lastRowFirstColumn="0" w:lastRowLastColumn="0"/>
            <w:tcW w:w="1126" w:type="pct"/>
            <w:tcBorders>
              <w:bottom w:val="single" w:sz="8" w:space="0" w:color="A6A6A6" w:themeColor="background1" w:themeShade="A6"/>
            </w:tcBorders>
            <w:noWrap/>
            <w:hideMark/>
          </w:tcPr>
          <w:p w14:paraId="45E9C2E7" w14:textId="77777777" w:rsidR="009402C5" w:rsidRPr="001B630D" w:rsidRDefault="009402C5" w:rsidP="009402C5">
            <w:pPr>
              <w:pStyle w:val="TableText"/>
              <w:rPr>
                <w:lang w:eastAsia="en-NZ"/>
              </w:rPr>
            </w:pPr>
            <w:r w:rsidRPr="001B630D">
              <w:rPr>
                <w:lang w:eastAsia="en-NZ"/>
              </w:rPr>
              <w:t>Southland</w:t>
            </w:r>
          </w:p>
        </w:tc>
        <w:tc>
          <w:tcPr>
            <w:tcW w:w="620" w:type="pct"/>
            <w:tcBorders>
              <w:bottom w:val="single" w:sz="8" w:space="0" w:color="A6A6A6" w:themeColor="background1" w:themeShade="A6"/>
            </w:tcBorders>
            <w:noWrap/>
            <w:hideMark/>
          </w:tcPr>
          <w:p w14:paraId="33E6EF83"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w:t>
            </w:r>
          </w:p>
        </w:tc>
        <w:tc>
          <w:tcPr>
            <w:tcW w:w="620" w:type="pct"/>
            <w:tcBorders>
              <w:bottom w:val="single" w:sz="8" w:space="0" w:color="A6A6A6" w:themeColor="background1" w:themeShade="A6"/>
            </w:tcBorders>
            <w:noWrap/>
            <w:hideMark/>
          </w:tcPr>
          <w:p w14:paraId="3D7F3507"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27</w:t>
            </w:r>
          </w:p>
        </w:tc>
        <w:tc>
          <w:tcPr>
            <w:tcW w:w="620" w:type="pct"/>
            <w:tcBorders>
              <w:bottom w:val="single" w:sz="8" w:space="0" w:color="A6A6A6" w:themeColor="background1" w:themeShade="A6"/>
            </w:tcBorders>
            <w:noWrap/>
            <w:hideMark/>
          </w:tcPr>
          <w:p w14:paraId="54222F79"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31</w:t>
            </w:r>
          </w:p>
        </w:tc>
        <w:tc>
          <w:tcPr>
            <w:tcW w:w="620" w:type="pct"/>
            <w:tcBorders>
              <w:bottom w:val="single" w:sz="8" w:space="0" w:color="A6A6A6" w:themeColor="background1" w:themeShade="A6"/>
            </w:tcBorders>
            <w:noWrap/>
            <w:hideMark/>
          </w:tcPr>
          <w:p w14:paraId="3E841E4E"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13</w:t>
            </w:r>
          </w:p>
        </w:tc>
        <w:tc>
          <w:tcPr>
            <w:tcW w:w="620" w:type="pct"/>
            <w:tcBorders>
              <w:bottom w:val="single" w:sz="8" w:space="0" w:color="A6A6A6" w:themeColor="background1" w:themeShade="A6"/>
            </w:tcBorders>
            <w:noWrap/>
            <w:hideMark/>
          </w:tcPr>
          <w:p w14:paraId="6D8B7F02" w14:textId="7777777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1B630D">
              <w:rPr>
                <w:lang w:eastAsia="en-NZ"/>
              </w:rPr>
              <w:t>72</w:t>
            </w:r>
          </w:p>
        </w:tc>
        <w:tc>
          <w:tcPr>
            <w:tcW w:w="775" w:type="pct"/>
            <w:tcBorders>
              <w:bottom w:val="single" w:sz="8" w:space="0" w:color="A6A6A6" w:themeColor="background1" w:themeShade="A6"/>
            </w:tcBorders>
            <w:vAlign w:val="top"/>
          </w:tcPr>
          <w:p w14:paraId="1B94666A" w14:textId="524F4F97" w:rsidR="009402C5" w:rsidRPr="001B630D" w:rsidRDefault="009402C5" w:rsidP="009402C5">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A37785">
              <w:t>18%</w:t>
            </w:r>
          </w:p>
        </w:tc>
      </w:tr>
      <w:tr w:rsidR="009402C5" w:rsidRPr="001B630D" w14:paraId="1A4AAF4B" w14:textId="77777777" w:rsidTr="009402C5">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126" w:type="pct"/>
            <w:tcBorders>
              <w:top w:val="single" w:sz="8" w:space="0" w:color="A6A6A6" w:themeColor="background1" w:themeShade="A6"/>
            </w:tcBorders>
            <w:noWrap/>
            <w:hideMark/>
          </w:tcPr>
          <w:p w14:paraId="07A69CA1" w14:textId="77777777" w:rsidR="009402C5" w:rsidRPr="001B630D" w:rsidRDefault="009402C5" w:rsidP="009402C5">
            <w:pPr>
              <w:pStyle w:val="TableText"/>
              <w:rPr>
                <w:lang w:eastAsia="en-NZ"/>
              </w:rPr>
            </w:pPr>
            <w:r w:rsidRPr="001B630D">
              <w:rPr>
                <w:lang w:eastAsia="en-NZ"/>
              </w:rPr>
              <w:t>Total</w:t>
            </w:r>
          </w:p>
        </w:tc>
        <w:tc>
          <w:tcPr>
            <w:tcW w:w="620" w:type="pct"/>
            <w:tcBorders>
              <w:top w:val="single" w:sz="8" w:space="0" w:color="A6A6A6" w:themeColor="background1" w:themeShade="A6"/>
            </w:tcBorders>
            <w:noWrap/>
            <w:hideMark/>
          </w:tcPr>
          <w:p w14:paraId="1DD39180" w14:textId="77777777"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B630D">
              <w:rPr>
                <w:lang w:eastAsia="en-NZ"/>
              </w:rPr>
              <w:t>65</w:t>
            </w:r>
          </w:p>
        </w:tc>
        <w:tc>
          <w:tcPr>
            <w:tcW w:w="620" w:type="pct"/>
            <w:tcBorders>
              <w:top w:val="single" w:sz="8" w:space="0" w:color="A6A6A6" w:themeColor="background1" w:themeShade="A6"/>
            </w:tcBorders>
            <w:noWrap/>
            <w:hideMark/>
          </w:tcPr>
          <w:p w14:paraId="58819A24" w14:textId="77777777"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B630D">
              <w:rPr>
                <w:lang w:eastAsia="en-NZ"/>
              </w:rPr>
              <w:t>290</w:t>
            </w:r>
          </w:p>
        </w:tc>
        <w:tc>
          <w:tcPr>
            <w:tcW w:w="620" w:type="pct"/>
            <w:tcBorders>
              <w:top w:val="single" w:sz="8" w:space="0" w:color="A6A6A6" w:themeColor="background1" w:themeShade="A6"/>
            </w:tcBorders>
            <w:noWrap/>
            <w:hideMark/>
          </w:tcPr>
          <w:p w14:paraId="7F032B38" w14:textId="77777777"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B630D">
              <w:rPr>
                <w:lang w:eastAsia="en-NZ"/>
              </w:rPr>
              <w:t>317</w:t>
            </w:r>
          </w:p>
        </w:tc>
        <w:tc>
          <w:tcPr>
            <w:tcW w:w="620" w:type="pct"/>
            <w:tcBorders>
              <w:top w:val="single" w:sz="8" w:space="0" w:color="A6A6A6" w:themeColor="background1" w:themeShade="A6"/>
            </w:tcBorders>
            <w:noWrap/>
            <w:hideMark/>
          </w:tcPr>
          <w:p w14:paraId="379E02DF" w14:textId="77777777"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B630D">
              <w:rPr>
                <w:lang w:eastAsia="en-NZ"/>
              </w:rPr>
              <w:t>160</w:t>
            </w:r>
          </w:p>
        </w:tc>
        <w:tc>
          <w:tcPr>
            <w:tcW w:w="620" w:type="pct"/>
            <w:tcBorders>
              <w:top w:val="single" w:sz="8" w:space="0" w:color="A6A6A6" w:themeColor="background1" w:themeShade="A6"/>
            </w:tcBorders>
            <w:noWrap/>
            <w:hideMark/>
          </w:tcPr>
          <w:p w14:paraId="43E104D8" w14:textId="77777777"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1B630D">
              <w:rPr>
                <w:lang w:eastAsia="en-NZ"/>
              </w:rPr>
              <w:t>832</w:t>
            </w:r>
          </w:p>
        </w:tc>
        <w:tc>
          <w:tcPr>
            <w:tcW w:w="775" w:type="pct"/>
            <w:tcBorders>
              <w:top w:val="single" w:sz="8" w:space="0" w:color="A6A6A6" w:themeColor="background1" w:themeShade="A6"/>
            </w:tcBorders>
            <w:vAlign w:val="top"/>
          </w:tcPr>
          <w:p w14:paraId="2A83B886" w14:textId="58129611" w:rsidR="009402C5" w:rsidRPr="001B630D" w:rsidRDefault="009402C5" w:rsidP="009402C5">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A37785">
              <w:t>19%</w:t>
            </w:r>
          </w:p>
        </w:tc>
      </w:tr>
    </w:tbl>
    <w:p w14:paraId="3E339614" w14:textId="77777777" w:rsidR="00FC77C7" w:rsidRPr="007903F0" w:rsidRDefault="00FC77C7" w:rsidP="00FC77C7">
      <w:pPr>
        <w:rPr>
          <w:sz w:val="18"/>
          <w:szCs w:val="18"/>
        </w:rPr>
      </w:pPr>
      <w:r w:rsidRPr="007903F0">
        <w:rPr>
          <w:sz w:val="18"/>
          <w:szCs w:val="18"/>
        </w:rPr>
        <w:t xml:space="preserve">Source: </w:t>
      </w:r>
      <w:proofErr w:type="spellStart"/>
      <w:r w:rsidRPr="007903F0">
        <w:rPr>
          <w:sz w:val="18"/>
          <w:szCs w:val="18"/>
        </w:rPr>
        <w:t>MfE</w:t>
      </w:r>
      <w:proofErr w:type="spellEnd"/>
    </w:p>
    <w:p w14:paraId="5C116231" w14:textId="77777777" w:rsidR="00FC77C7" w:rsidRDefault="00FC77C7" w:rsidP="00FC77C7"/>
    <w:p w14:paraId="6E6C1839" w14:textId="629442ED" w:rsidR="00FC77C7" w:rsidRDefault="00FC77C7" w:rsidP="00FC77C7">
      <w:r>
        <w:t xml:space="preserve">In practice, the MCI bottom lines will not be achieved immediately. Rather these benefits will phase in over time (Section </w:t>
      </w:r>
      <w:r>
        <w:fldChar w:fldCharType="begin"/>
      </w:r>
      <w:r>
        <w:instrText xml:space="preserve"> REF _Ref34340048 \r \h </w:instrText>
      </w:r>
      <w:r>
        <w:fldChar w:fldCharType="separate"/>
      </w:r>
      <w:r w:rsidR="00024EB5">
        <w:t>1.6</w:t>
      </w:r>
      <w:r>
        <w:fldChar w:fldCharType="end"/>
      </w:r>
      <w:r>
        <w:t>)</w:t>
      </w:r>
      <w:r w:rsidR="00894143">
        <w:t xml:space="preserve">; in addition, only some of the benefits might be attributed to the EFW </w:t>
      </w:r>
      <w:r w:rsidR="00894143">
        <w:lastRenderedPageBreak/>
        <w:t>rather than the NPS-FM; we assume that 50% is attributable to the EFW</w:t>
      </w:r>
      <w:r>
        <w:t xml:space="preserve">. Using these assumptions, we estimate the </w:t>
      </w:r>
      <w:r w:rsidR="00EF6123">
        <w:t xml:space="preserve">median, low and high </w:t>
      </w:r>
      <w:r>
        <w:t xml:space="preserve">benefits of MCI improvement </w:t>
      </w:r>
      <w:proofErr w:type="gramStart"/>
      <w:r>
        <w:t xml:space="preserve">in  </w:t>
      </w:r>
      <w:proofErr w:type="gramEnd"/>
      <w:r>
        <w:fldChar w:fldCharType="begin"/>
      </w:r>
      <w:r>
        <w:instrText xml:space="preserve"> REF _Ref35591080 \h </w:instrText>
      </w:r>
      <w:r>
        <w:fldChar w:fldCharType="separate"/>
      </w:r>
      <w:r w:rsidR="00024EB5">
        <w:t xml:space="preserve">Table </w:t>
      </w:r>
      <w:r w:rsidR="00024EB5">
        <w:rPr>
          <w:noProof/>
        </w:rPr>
        <w:t>25</w:t>
      </w:r>
      <w:r>
        <w:fldChar w:fldCharType="end"/>
      </w:r>
      <w:r w:rsidR="00EF6123">
        <w:t xml:space="preserve"> (annual values in 2030, 2040 and 2050) and </w:t>
      </w:r>
      <w:r w:rsidR="00EF6123">
        <w:fldChar w:fldCharType="begin"/>
      </w:r>
      <w:r w:rsidR="00EF6123">
        <w:instrText xml:space="preserve"> REF _Ref39232316 \h </w:instrText>
      </w:r>
      <w:r w:rsidR="00EF6123">
        <w:fldChar w:fldCharType="separate"/>
      </w:r>
      <w:r w:rsidR="00024EB5">
        <w:t xml:space="preserve">Table </w:t>
      </w:r>
      <w:r w:rsidR="00024EB5">
        <w:rPr>
          <w:noProof/>
        </w:rPr>
        <w:t>26</w:t>
      </w:r>
      <w:r w:rsidR="00EF6123">
        <w:fldChar w:fldCharType="end"/>
      </w:r>
      <w:r w:rsidR="00EF6123">
        <w:t xml:space="preserve"> (present value at different discount rates)</w:t>
      </w:r>
      <w:r>
        <w:t>.</w:t>
      </w:r>
      <w:r w:rsidR="001F2A04">
        <w:t xml:space="preserve"> </w:t>
      </w:r>
    </w:p>
    <w:p w14:paraId="494B7B13" w14:textId="4D79F379" w:rsidR="00845A04" w:rsidRDefault="00FC77C7" w:rsidP="00845A04">
      <w:pPr>
        <w:pStyle w:val="Caption"/>
        <w:spacing w:line="240" w:lineRule="auto"/>
      </w:pPr>
      <w:bookmarkStart w:id="88" w:name="_Ref35591080"/>
      <w:bookmarkStart w:id="89" w:name="_Hlk35927229"/>
      <w:r>
        <w:t xml:space="preserve">Table </w:t>
      </w:r>
      <w:r w:rsidR="00313617">
        <w:fldChar w:fldCharType="begin"/>
      </w:r>
      <w:r w:rsidR="00313617">
        <w:instrText xml:space="preserve"> SEQ Table \* ARABIC </w:instrText>
      </w:r>
      <w:r w:rsidR="00313617">
        <w:fldChar w:fldCharType="separate"/>
      </w:r>
      <w:r w:rsidR="00024EB5">
        <w:rPr>
          <w:noProof/>
        </w:rPr>
        <w:t>25</w:t>
      </w:r>
      <w:r w:rsidR="00313617">
        <w:rPr>
          <w:noProof/>
        </w:rPr>
        <w:fldChar w:fldCharType="end"/>
      </w:r>
      <w:bookmarkEnd w:id="88"/>
      <w:r>
        <w:t xml:space="preserve"> </w:t>
      </w:r>
      <w:r w:rsidR="00845A04" w:rsidRPr="003D1005">
        <w:t xml:space="preserve">Estimated annual </w:t>
      </w:r>
      <w:r w:rsidR="00845A04">
        <w:t>ecosystem health benefits of MCI bottom lines ($ million)</w:t>
      </w:r>
    </w:p>
    <w:tbl>
      <w:tblPr>
        <w:tblStyle w:val="CovecTables"/>
        <w:tblW w:w="0" w:type="auto"/>
        <w:tblLook w:val="04E0" w:firstRow="1" w:lastRow="1" w:firstColumn="1" w:lastColumn="0" w:noHBand="0" w:noVBand="1"/>
      </w:tblPr>
      <w:tblGrid>
        <w:gridCol w:w="1021"/>
        <w:gridCol w:w="1465"/>
        <w:gridCol w:w="1465"/>
        <w:gridCol w:w="1465"/>
      </w:tblGrid>
      <w:tr w:rsidR="00845A04" w14:paraId="34F43DFA" w14:textId="77777777" w:rsidTr="0086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Pr>
          <w:p w14:paraId="2F3C2CA8" w14:textId="77777777" w:rsidR="00845A04" w:rsidRDefault="00845A04" w:rsidP="008676FC">
            <w:pPr>
              <w:pStyle w:val="TableText"/>
              <w:jc w:val="left"/>
            </w:pPr>
            <w:bookmarkStart w:id="90" w:name="_Toc35593997"/>
            <w:bookmarkStart w:id="91" w:name="_Toc35599758"/>
            <w:bookmarkEnd w:id="89"/>
            <w:r>
              <w:t>Year</w:t>
            </w:r>
          </w:p>
        </w:tc>
        <w:tc>
          <w:tcPr>
            <w:tcW w:w="1465" w:type="dxa"/>
          </w:tcPr>
          <w:p w14:paraId="328A015F" w14:textId="77777777" w:rsidR="00845A04"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t>Median value</w:t>
            </w:r>
          </w:p>
        </w:tc>
        <w:tc>
          <w:tcPr>
            <w:tcW w:w="1465" w:type="dxa"/>
          </w:tcPr>
          <w:p w14:paraId="73637944" w14:textId="77777777" w:rsidR="00845A04"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t>Low</w:t>
            </w:r>
          </w:p>
        </w:tc>
        <w:tc>
          <w:tcPr>
            <w:tcW w:w="1465" w:type="dxa"/>
          </w:tcPr>
          <w:p w14:paraId="4A302B26" w14:textId="77777777" w:rsidR="00845A04"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t>High</w:t>
            </w:r>
          </w:p>
        </w:tc>
      </w:tr>
      <w:tr w:rsidR="00EF6123" w14:paraId="0AEE09A0" w14:textId="77777777" w:rsidTr="008676FC">
        <w:tc>
          <w:tcPr>
            <w:cnfStyle w:val="001000000000" w:firstRow="0" w:lastRow="0" w:firstColumn="1" w:lastColumn="0" w:oddVBand="0" w:evenVBand="0" w:oddHBand="0" w:evenHBand="0" w:firstRowFirstColumn="0" w:firstRowLastColumn="0" w:lastRowFirstColumn="0" w:lastRowLastColumn="0"/>
            <w:tcW w:w="1021" w:type="dxa"/>
          </w:tcPr>
          <w:p w14:paraId="18FA6C40" w14:textId="77777777" w:rsidR="00EF6123" w:rsidRDefault="00EF6123" w:rsidP="00EF6123">
            <w:pPr>
              <w:pStyle w:val="TableText"/>
            </w:pPr>
            <w:r w:rsidRPr="00703BDF">
              <w:t>2030</w:t>
            </w:r>
          </w:p>
        </w:tc>
        <w:tc>
          <w:tcPr>
            <w:tcW w:w="1465" w:type="dxa"/>
            <w:vAlign w:val="top"/>
          </w:tcPr>
          <w:p w14:paraId="5A179137" w14:textId="2AAEC971"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E50D96">
              <w:t>$25.0</w:t>
            </w:r>
          </w:p>
        </w:tc>
        <w:tc>
          <w:tcPr>
            <w:tcW w:w="1465" w:type="dxa"/>
            <w:vAlign w:val="top"/>
          </w:tcPr>
          <w:p w14:paraId="552ACD23" w14:textId="6C66E6D0"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23205F">
              <w:t>$20.3</w:t>
            </w:r>
          </w:p>
        </w:tc>
        <w:tc>
          <w:tcPr>
            <w:tcW w:w="1465" w:type="dxa"/>
            <w:vAlign w:val="top"/>
          </w:tcPr>
          <w:p w14:paraId="660C8F9B" w14:textId="5924EB94"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E50D96">
              <w:t>$29.7</w:t>
            </w:r>
          </w:p>
        </w:tc>
      </w:tr>
      <w:tr w:rsidR="00EF6123" w14:paraId="1FFDFAF8" w14:textId="77777777" w:rsidTr="008676FC">
        <w:tc>
          <w:tcPr>
            <w:cnfStyle w:val="001000000000" w:firstRow="0" w:lastRow="0" w:firstColumn="1" w:lastColumn="0" w:oddVBand="0" w:evenVBand="0" w:oddHBand="0" w:evenHBand="0" w:firstRowFirstColumn="0" w:firstRowLastColumn="0" w:lastRowFirstColumn="0" w:lastRowLastColumn="0"/>
            <w:tcW w:w="1021" w:type="dxa"/>
          </w:tcPr>
          <w:p w14:paraId="68F3EA35" w14:textId="77777777" w:rsidR="00EF6123" w:rsidRDefault="00EF6123" w:rsidP="00EF6123">
            <w:pPr>
              <w:pStyle w:val="TableText"/>
            </w:pPr>
            <w:r w:rsidRPr="00703BDF">
              <w:t>2040</w:t>
            </w:r>
          </w:p>
        </w:tc>
        <w:tc>
          <w:tcPr>
            <w:tcW w:w="1465" w:type="dxa"/>
            <w:vAlign w:val="top"/>
          </w:tcPr>
          <w:p w14:paraId="706CDE19" w14:textId="3F06F29C"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E50D96">
              <w:t>$52.1</w:t>
            </w:r>
          </w:p>
        </w:tc>
        <w:tc>
          <w:tcPr>
            <w:tcW w:w="1465" w:type="dxa"/>
            <w:vAlign w:val="top"/>
          </w:tcPr>
          <w:p w14:paraId="1B916609" w14:textId="34381832"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23205F">
              <w:t>$42.2</w:t>
            </w:r>
          </w:p>
        </w:tc>
        <w:tc>
          <w:tcPr>
            <w:tcW w:w="1465" w:type="dxa"/>
            <w:vAlign w:val="top"/>
          </w:tcPr>
          <w:p w14:paraId="340431F9" w14:textId="2955FC60" w:rsidR="00EF6123" w:rsidRDefault="00EF6123" w:rsidP="00EF6123">
            <w:pPr>
              <w:pStyle w:val="TableText"/>
              <w:jc w:val="center"/>
              <w:cnfStyle w:val="000000000000" w:firstRow="0" w:lastRow="0" w:firstColumn="0" w:lastColumn="0" w:oddVBand="0" w:evenVBand="0" w:oddHBand="0" w:evenHBand="0" w:firstRowFirstColumn="0" w:firstRowLastColumn="0" w:lastRowFirstColumn="0" w:lastRowLastColumn="0"/>
            </w:pPr>
            <w:r w:rsidRPr="00E50D96">
              <w:t>$61.9</w:t>
            </w:r>
          </w:p>
        </w:tc>
      </w:tr>
      <w:tr w:rsidR="00EF6123" w14:paraId="16DD5890" w14:textId="77777777" w:rsidTr="008676F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21" w:type="dxa"/>
          </w:tcPr>
          <w:p w14:paraId="6D91C9F1" w14:textId="77777777" w:rsidR="00EF6123" w:rsidRDefault="00EF6123" w:rsidP="00EF6123">
            <w:pPr>
              <w:pStyle w:val="TableText"/>
            </w:pPr>
            <w:r w:rsidRPr="00703BDF">
              <w:t>2050</w:t>
            </w:r>
          </w:p>
        </w:tc>
        <w:tc>
          <w:tcPr>
            <w:tcW w:w="1465" w:type="dxa"/>
            <w:vAlign w:val="top"/>
          </w:tcPr>
          <w:p w14:paraId="0CFD1831" w14:textId="6F8188CF" w:rsidR="00EF6123"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E50D96">
              <w:t>$79.4</w:t>
            </w:r>
          </w:p>
        </w:tc>
        <w:tc>
          <w:tcPr>
            <w:tcW w:w="1465" w:type="dxa"/>
            <w:vAlign w:val="top"/>
          </w:tcPr>
          <w:p w14:paraId="6495CA2B" w14:textId="4663BDA2" w:rsidR="00EF6123"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23205F">
              <w:t>$64.2</w:t>
            </w:r>
          </w:p>
        </w:tc>
        <w:tc>
          <w:tcPr>
            <w:tcW w:w="1465" w:type="dxa"/>
            <w:vAlign w:val="top"/>
          </w:tcPr>
          <w:p w14:paraId="6179C091" w14:textId="26E98964" w:rsidR="00EF6123"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E50D96">
              <w:t>$94.3</w:t>
            </w:r>
          </w:p>
        </w:tc>
      </w:tr>
    </w:tbl>
    <w:p w14:paraId="449B56A4" w14:textId="6AF33C75" w:rsidR="00845A04" w:rsidRPr="00A307DB" w:rsidRDefault="00845A04" w:rsidP="00845A04">
      <w:pPr>
        <w:rPr>
          <w:sz w:val="18"/>
          <w:szCs w:val="18"/>
        </w:rPr>
      </w:pPr>
      <w:r>
        <w:rPr>
          <w:sz w:val="18"/>
          <w:szCs w:val="18"/>
        </w:rPr>
        <w:t>Note: Low and High values are based on the 5</w:t>
      </w:r>
      <w:r w:rsidRPr="00A307DB">
        <w:rPr>
          <w:sz w:val="18"/>
          <w:szCs w:val="18"/>
          <w:vertAlign w:val="superscript"/>
        </w:rPr>
        <w:t>th</w:t>
      </w:r>
      <w:r>
        <w:rPr>
          <w:sz w:val="18"/>
          <w:szCs w:val="18"/>
        </w:rPr>
        <w:t xml:space="preserve"> and 95</w:t>
      </w:r>
      <w:r w:rsidRPr="00A307DB">
        <w:rPr>
          <w:sz w:val="18"/>
          <w:szCs w:val="18"/>
          <w:vertAlign w:val="superscript"/>
        </w:rPr>
        <w:t>th</w:t>
      </w:r>
      <w:r>
        <w:rPr>
          <w:sz w:val="18"/>
          <w:szCs w:val="18"/>
        </w:rPr>
        <w:t xml:space="preserve"> percentile values from Tait et al (s</w:t>
      </w:r>
      <w:r w:rsidRPr="00A307DB">
        <w:rPr>
          <w:sz w:val="18"/>
          <w:szCs w:val="18"/>
        </w:rPr>
        <w:t xml:space="preserve">ee </w:t>
      </w:r>
      <w:r w:rsidRPr="00A307DB">
        <w:rPr>
          <w:sz w:val="18"/>
          <w:szCs w:val="18"/>
        </w:rPr>
        <w:fldChar w:fldCharType="begin"/>
      </w:r>
      <w:r w:rsidRPr="00A307DB">
        <w:rPr>
          <w:sz w:val="18"/>
          <w:szCs w:val="18"/>
        </w:rPr>
        <w:instrText xml:space="preserve"> REF _Ref30413099 \h </w:instrText>
      </w:r>
      <w:r>
        <w:rPr>
          <w:sz w:val="18"/>
          <w:szCs w:val="18"/>
        </w:rPr>
        <w:instrText xml:space="preserve"> \* MERGEFORMAT </w:instrText>
      </w:r>
      <w:r w:rsidRPr="00A307DB">
        <w:rPr>
          <w:sz w:val="18"/>
          <w:szCs w:val="18"/>
        </w:rPr>
      </w:r>
      <w:r w:rsidRPr="00A307DB">
        <w:rPr>
          <w:sz w:val="18"/>
          <w:szCs w:val="18"/>
        </w:rPr>
        <w:fldChar w:fldCharType="separate"/>
      </w:r>
      <w:r w:rsidR="00024EB5" w:rsidRPr="00024EB5">
        <w:rPr>
          <w:sz w:val="18"/>
          <w:szCs w:val="18"/>
        </w:rPr>
        <w:t xml:space="preserve">Table </w:t>
      </w:r>
      <w:r w:rsidR="00024EB5" w:rsidRPr="00024EB5">
        <w:rPr>
          <w:noProof/>
          <w:sz w:val="18"/>
          <w:szCs w:val="18"/>
        </w:rPr>
        <w:t>3</w:t>
      </w:r>
      <w:r w:rsidRPr="00A307DB">
        <w:rPr>
          <w:sz w:val="18"/>
          <w:szCs w:val="18"/>
        </w:rPr>
        <w:fldChar w:fldCharType="end"/>
      </w:r>
      <w:r w:rsidRPr="00A307DB">
        <w:rPr>
          <w:sz w:val="18"/>
          <w:szCs w:val="18"/>
        </w:rPr>
        <w:t>)</w:t>
      </w:r>
    </w:p>
    <w:p w14:paraId="1657B29D" w14:textId="16F50ADB" w:rsidR="00845A04" w:rsidRDefault="00845A04" w:rsidP="00845A04">
      <w:pPr>
        <w:pStyle w:val="Caption"/>
      </w:pPr>
      <w:bookmarkStart w:id="92" w:name="_Ref39232316"/>
      <w:r>
        <w:t xml:space="preserve">Table </w:t>
      </w:r>
      <w:r>
        <w:fldChar w:fldCharType="begin"/>
      </w:r>
      <w:r>
        <w:instrText xml:space="preserve"> SEQ Table \* ARABIC </w:instrText>
      </w:r>
      <w:r>
        <w:fldChar w:fldCharType="separate"/>
      </w:r>
      <w:r w:rsidR="00024EB5">
        <w:rPr>
          <w:noProof/>
        </w:rPr>
        <w:t>26</w:t>
      </w:r>
      <w:r>
        <w:rPr>
          <w:noProof/>
        </w:rPr>
        <w:fldChar w:fldCharType="end"/>
      </w:r>
      <w:bookmarkEnd w:id="92"/>
      <w:r>
        <w:t xml:space="preserve"> </w:t>
      </w:r>
      <w:r w:rsidRPr="003D1005">
        <w:t xml:space="preserve">Estimated present value </w:t>
      </w:r>
      <w:r>
        <w:t xml:space="preserve">(to 2050) </w:t>
      </w:r>
      <w:r w:rsidRPr="003D1005">
        <w:t xml:space="preserve">of </w:t>
      </w:r>
      <w:r>
        <w:t xml:space="preserve">ecosystem health benefits of MCI bottom lines </w:t>
      </w:r>
      <w:r w:rsidRPr="003D1005">
        <w:t>at different discount rates</w:t>
      </w:r>
      <w:r>
        <w:t xml:space="preserve"> ($ million)</w:t>
      </w:r>
    </w:p>
    <w:tbl>
      <w:tblPr>
        <w:tblStyle w:val="CovecTables"/>
        <w:tblW w:w="4800" w:type="dxa"/>
        <w:tblLook w:val="04E0" w:firstRow="1" w:lastRow="1" w:firstColumn="1" w:lastColumn="0" w:noHBand="0" w:noVBand="1"/>
      </w:tblPr>
      <w:tblGrid>
        <w:gridCol w:w="960"/>
        <w:gridCol w:w="960"/>
        <w:gridCol w:w="960"/>
        <w:gridCol w:w="960"/>
        <w:gridCol w:w="960"/>
      </w:tblGrid>
      <w:tr w:rsidR="00845A04" w:rsidRPr="00703BDF" w14:paraId="1008C487" w14:textId="77777777" w:rsidTr="008676F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6BED21" w14:textId="77777777" w:rsidR="00845A04" w:rsidRPr="00703BDF" w:rsidRDefault="00845A04" w:rsidP="008676FC">
            <w:pPr>
              <w:pStyle w:val="TableText"/>
              <w:jc w:val="left"/>
            </w:pPr>
          </w:p>
        </w:tc>
        <w:tc>
          <w:tcPr>
            <w:tcW w:w="960" w:type="dxa"/>
            <w:noWrap/>
            <w:hideMark/>
          </w:tcPr>
          <w:p w14:paraId="7074D863" w14:textId="77777777" w:rsidR="00845A04" w:rsidRPr="00703BDF"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rsidRPr="00703BDF">
              <w:t>0%</w:t>
            </w:r>
          </w:p>
        </w:tc>
        <w:tc>
          <w:tcPr>
            <w:tcW w:w="960" w:type="dxa"/>
            <w:noWrap/>
            <w:hideMark/>
          </w:tcPr>
          <w:p w14:paraId="4D9E4028" w14:textId="77777777" w:rsidR="00845A04" w:rsidRPr="00703BDF"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rsidRPr="00703BDF">
              <w:t>1%</w:t>
            </w:r>
          </w:p>
        </w:tc>
        <w:tc>
          <w:tcPr>
            <w:tcW w:w="960" w:type="dxa"/>
            <w:noWrap/>
            <w:hideMark/>
          </w:tcPr>
          <w:p w14:paraId="4B10117A" w14:textId="77777777" w:rsidR="00845A04" w:rsidRPr="00703BDF"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rsidRPr="00703BDF">
              <w:t>3%</w:t>
            </w:r>
          </w:p>
        </w:tc>
        <w:tc>
          <w:tcPr>
            <w:tcW w:w="960" w:type="dxa"/>
            <w:noWrap/>
            <w:hideMark/>
          </w:tcPr>
          <w:p w14:paraId="427B5215" w14:textId="77777777" w:rsidR="00845A04" w:rsidRPr="00703BDF" w:rsidRDefault="00845A04" w:rsidP="008676FC">
            <w:pPr>
              <w:pStyle w:val="TableText"/>
              <w:jc w:val="center"/>
              <w:cnfStyle w:val="100000000000" w:firstRow="1" w:lastRow="0" w:firstColumn="0" w:lastColumn="0" w:oddVBand="0" w:evenVBand="0" w:oddHBand="0" w:evenHBand="0" w:firstRowFirstColumn="0" w:firstRowLastColumn="0" w:lastRowFirstColumn="0" w:lastRowLastColumn="0"/>
            </w:pPr>
            <w:r w:rsidRPr="00703BDF">
              <w:t>6%</w:t>
            </w:r>
          </w:p>
        </w:tc>
      </w:tr>
      <w:tr w:rsidR="00845A04" w:rsidRPr="00703BDF" w14:paraId="705EAAC4" w14:textId="77777777" w:rsidTr="008676FC">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bottom w:val="single" w:sz="8" w:space="0" w:color="A6A6A6" w:themeColor="background1" w:themeShade="A6"/>
            </w:tcBorders>
            <w:noWrap/>
            <w:hideMark/>
          </w:tcPr>
          <w:p w14:paraId="3B681ACD" w14:textId="77777777" w:rsidR="00845A04" w:rsidRPr="00703BDF" w:rsidRDefault="00845A04" w:rsidP="00845A04">
            <w:pPr>
              <w:pStyle w:val="TableText"/>
            </w:pPr>
            <w:r>
              <w:t>Median</w:t>
            </w:r>
          </w:p>
        </w:tc>
        <w:tc>
          <w:tcPr>
            <w:tcW w:w="960" w:type="dxa"/>
            <w:tcBorders>
              <w:top w:val="single" w:sz="8" w:space="0" w:color="A6A6A6" w:themeColor="background1" w:themeShade="A6"/>
              <w:bottom w:val="single" w:sz="8" w:space="0" w:color="A6A6A6" w:themeColor="background1" w:themeShade="A6"/>
            </w:tcBorders>
            <w:noWrap/>
            <w:vAlign w:val="top"/>
            <w:hideMark/>
          </w:tcPr>
          <w:p w14:paraId="23D90750" w14:textId="53E0392B" w:rsidR="00845A04" w:rsidRPr="00703BDF"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347B89">
              <w:t>$1,234</w:t>
            </w:r>
          </w:p>
        </w:tc>
        <w:tc>
          <w:tcPr>
            <w:tcW w:w="960" w:type="dxa"/>
            <w:tcBorders>
              <w:top w:val="single" w:sz="8" w:space="0" w:color="A6A6A6" w:themeColor="background1" w:themeShade="A6"/>
              <w:bottom w:val="single" w:sz="8" w:space="0" w:color="A6A6A6" w:themeColor="background1" w:themeShade="A6"/>
            </w:tcBorders>
            <w:noWrap/>
            <w:vAlign w:val="top"/>
            <w:hideMark/>
          </w:tcPr>
          <w:p w14:paraId="57FA3D8F" w14:textId="3B9812B4" w:rsidR="00845A04" w:rsidRPr="00703BDF"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347B89">
              <w:t>$996</w:t>
            </w:r>
          </w:p>
        </w:tc>
        <w:tc>
          <w:tcPr>
            <w:tcW w:w="960" w:type="dxa"/>
            <w:tcBorders>
              <w:top w:val="single" w:sz="8" w:space="0" w:color="A6A6A6" w:themeColor="background1" w:themeShade="A6"/>
              <w:bottom w:val="single" w:sz="8" w:space="0" w:color="A6A6A6" w:themeColor="background1" w:themeShade="A6"/>
            </w:tcBorders>
            <w:noWrap/>
            <w:vAlign w:val="top"/>
            <w:hideMark/>
          </w:tcPr>
          <w:p w14:paraId="36188B50" w14:textId="5CA6F399" w:rsidR="00845A04" w:rsidRPr="00703BDF"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347B89">
              <w:t>$661</w:t>
            </w:r>
          </w:p>
        </w:tc>
        <w:tc>
          <w:tcPr>
            <w:tcW w:w="960" w:type="dxa"/>
            <w:tcBorders>
              <w:top w:val="single" w:sz="8" w:space="0" w:color="A6A6A6" w:themeColor="background1" w:themeShade="A6"/>
              <w:bottom w:val="single" w:sz="8" w:space="0" w:color="A6A6A6" w:themeColor="background1" w:themeShade="A6"/>
            </w:tcBorders>
            <w:noWrap/>
            <w:vAlign w:val="top"/>
            <w:hideMark/>
          </w:tcPr>
          <w:p w14:paraId="66A55945" w14:textId="18CB013D" w:rsidR="00845A04" w:rsidRPr="00703BDF"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347B89">
              <w:t>$375</w:t>
            </w:r>
          </w:p>
        </w:tc>
      </w:tr>
      <w:tr w:rsidR="00845A04" w:rsidRPr="00703BDF" w14:paraId="7FD7A6A6" w14:textId="77777777" w:rsidTr="008676FC">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8" w:space="0" w:color="A6A6A6" w:themeColor="background1" w:themeShade="A6"/>
            </w:tcBorders>
            <w:noWrap/>
          </w:tcPr>
          <w:p w14:paraId="7ACA2752" w14:textId="77777777" w:rsidR="00845A04" w:rsidRPr="00703BDF" w:rsidRDefault="00845A04" w:rsidP="00845A04">
            <w:pPr>
              <w:pStyle w:val="TableText"/>
            </w:pPr>
            <w:r>
              <w:t>Low</w:t>
            </w:r>
          </w:p>
        </w:tc>
        <w:tc>
          <w:tcPr>
            <w:tcW w:w="960" w:type="dxa"/>
            <w:tcBorders>
              <w:top w:val="single" w:sz="8" w:space="0" w:color="A6A6A6" w:themeColor="background1" w:themeShade="A6"/>
            </w:tcBorders>
            <w:noWrap/>
            <w:vAlign w:val="top"/>
          </w:tcPr>
          <w:p w14:paraId="38537A63" w14:textId="7665F0E1" w:rsidR="00845A04" w:rsidRPr="002E6E97"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A60BD4">
              <w:t>$998</w:t>
            </w:r>
          </w:p>
        </w:tc>
        <w:tc>
          <w:tcPr>
            <w:tcW w:w="960" w:type="dxa"/>
            <w:tcBorders>
              <w:top w:val="single" w:sz="8" w:space="0" w:color="A6A6A6" w:themeColor="background1" w:themeShade="A6"/>
            </w:tcBorders>
            <w:noWrap/>
            <w:vAlign w:val="top"/>
          </w:tcPr>
          <w:p w14:paraId="758AFCB5" w14:textId="33EE6A77" w:rsidR="00845A04" w:rsidRPr="002E6E97"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A60BD4">
              <w:t>$805</w:t>
            </w:r>
          </w:p>
        </w:tc>
        <w:tc>
          <w:tcPr>
            <w:tcW w:w="960" w:type="dxa"/>
            <w:tcBorders>
              <w:top w:val="single" w:sz="8" w:space="0" w:color="A6A6A6" w:themeColor="background1" w:themeShade="A6"/>
            </w:tcBorders>
            <w:noWrap/>
            <w:vAlign w:val="top"/>
          </w:tcPr>
          <w:p w14:paraId="700D964D" w14:textId="646E6807" w:rsidR="00845A04" w:rsidRPr="002E6E97"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A60BD4">
              <w:t>$535</w:t>
            </w:r>
          </w:p>
        </w:tc>
        <w:tc>
          <w:tcPr>
            <w:tcW w:w="960" w:type="dxa"/>
            <w:tcBorders>
              <w:top w:val="single" w:sz="8" w:space="0" w:color="A6A6A6" w:themeColor="background1" w:themeShade="A6"/>
            </w:tcBorders>
            <w:noWrap/>
            <w:vAlign w:val="top"/>
          </w:tcPr>
          <w:p w14:paraId="544BED33" w14:textId="76D77F58" w:rsidR="00845A04" w:rsidRPr="002E6E97" w:rsidRDefault="00845A04" w:rsidP="00845A04">
            <w:pPr>
              <w:pStyle w:val="TableText"/>
              <w:jc w:val="center"/>
              <w:cnfStyle w:val="000000000000" w:firstRow="0" w:lastRow="0" w:firstColumn="0" w:lastColumn="0" w:oddVBand="0" w:evenVBand="0" w:oddHBand="0" w:evenHBand="0" w:firstRowFirstColumn="0" w:firstRowLastColumn="0" w:lastRowFirstColumn="0" w:lastRowLastColumn="0"/>
            </w:pPr>
            <w:r w:rsidRPr="00A60BD4">
              <w:t>$304</w:t>
            </w:r>
          </w:p>
        </w:tc>
      </w:tr>
      <w:tr w:rsidR="00EF6123" w:rsidRPr="00703BDF" w14:paraId="007DFEAD" w14:textId="77777777" w:rsidTr="008676FC">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960" w:type="dxa"/>
            <w:noWrap/>
          </w:tcPr>
          <w:p w14:paraId="0F212871" w14:textId="77777777" w:rsidR="00EF6123" w:rsidRPr="00703BDF" w:rsidRDefault="00EF6123" w:rsidP="00EF6123">
            <w:pPr>
              <w:pStyle w:val="TableText"/>
            </w:pPr>
            <w:r>
              <w:t>High</w:t>
            </w:r>
          </w:p>
        </w:tc>
        <w:tc>
          <w:tcPr>
            <w:tcW w:w="960" w:type="dxa"/>
            <w:noWrap/>
            <w:vAlign w:val="top"/>
          </w:tcPr>
          <w:p w14:paraId="06192D87" w14:textId="3F52FA7B" w:rsidR="00EF6123" w:rsidRPr="002E6E97"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933068">
              <w:t>$1,465</w:t>
            </w:r>
          </w:p>
        </w:tc>
        <w:tc>
          <w:tcPr>
            <w:tcW w:w="960" w:type="dxa"/>
            <w:noWrap/>
            <w:vAlign w:val="top"/>
          </w:tcPr>
          <w:p w14:paraId="0EF4498C" w14:textId="18683511" w:rsidR="00EF6123" w:rsidRPr="002E6E97"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933068">
              <w:t>$1,182</w:t>
            </w:r>
          </w:p>
        </w:tc>
        <w:tc>
          <w:tcPr>
            <w:tcW w:w="960" w:type="dxa"/>
            <w:noWrap/>
            <w:vAlign w:val="top"/>
          </w:tcPr>
          <w:p w14:paraId="4CB6277F" w14:textId="560AE334" w:rsidR="00EF6123" w:rsidRPr="002E6E97"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933068">
              <w:t>$785</w:t>
            </w:r>
          </w:p>
        </w:tc>
        <w:tc>
          <w:tcPr>
            <w:tcW w:w="960" w:type="dxa"/>
            <w:noWrap/>
            <w:vAlign w:val="top"/>
          </w:tcPr>
          <w:p w14:paraId="0316105A" w14:textId="773AA591" w:rsidR="00EF6123" w:rsidRPr="002E6E97" w:rsidRDefault="00EF6123" w:rsidP="00EF6123">
            <w:pPr>
              <w:pStyle w:val="TableText"/>
              <w:jc w:val="center"/>
              <w:cnfStyle w:val="010000000000" w:firstRow="0" w:lastRow="1" w:firstColumn="0" w:lastColumn="0" w:oddVBand="0" w:evenVBand="0" w:oddHBand="0" w:evenHBand="0" w:firstRowFirstColumn="0" w:firstRowLastColumn="0" w:lastRowFirstColumn="0" w:lastRowLastColumn="0"/>
            </w:pPr>
            <w:r w:rsidRPr="00933068">
              <w:t>$445</w:t>
            </w:r>
          </w:p>
        </w:tc>
      </w:tr>
    </w:tbl>
    <w:p w14:paraId="55D909B8" w14:textId="455E8243" w:rsidR="00FC77C7" w:rsidRDefault="00FC77C7" w:rsidP="00FC77C7">
      <w:pPr>
        <w:pStyle w:val="Heading2"/>
      </w:pPr>
      <w:r>
        <w:t>Ecosystem Services</w:t>
      </w:r>
      <w:bookmarkEnd w:id="90"/>
      <w:bookmarkEnd w:id="91"/>
    </w:p>
    <w:p w14:paraId="0256B3DC" w14:textId="212E2A2B" w:rsidR="00FC77C7" w:rsidRDefault="00FC77C7" w:rsidP="00FC77C7">
      <w:r>
        <w:t xml:space="preserve">As noted in Section </w:t>
      </w:r>
      <w:r>
        <w:fldChar w:fldCharType="begin"/>
      </w:r>
      <w:r>
        <w:instrText xml:space="preserve"> REF _Ref35525700 \r \h </w:instrText>
      </w:r>
      <w:r>
        <w:fldChar w:fldCharType="separate"/>
      </w:r>
      <w:r w:rsidR="00024EB5">
        <w:t>1.5</w:t>
      </w:r>
      <w:r>
        <w:fldChar w:fldCharType="end"/>
      </w:r>
      <w:r>
        <w:t>, the ecological status of freshwater systems can have effects that go well beyond those that are readily identified or which happen directly. This makes these effects difficult to identify; they are also not well studied or understood. Writing in 2013, Joy and Death, for example, suggest that the role of biodiversity in the functioning of running-water ecosystems and the relationship with environmental stress has had little attention by researchers in New Zealand.</w:t>
      </w:r>
    </w:p>
    <w:p w14:paraId="533EB47F" w14:textId="77777777" w:rsidR="00FC77C7" w:rsidRDefault="00FC77C7" w:rsidP="00FC77C7"/>
    <w:p w14:paraId="279F411C" w14:textId="6E17EC07" w:rsidR="00FC77C7" w:rsidRDefault="00FC77C7" w:rsidP="00FC77C7">
      <w:proofErr w:type="spellStart"/>
      <w:r>
        <w:t>Schallenberg</w:t>
      </w:r>
      <w:proofErr w:type="spellEnd"/>
      <w:r>
        <w:t xml:space="preserve"> </w:t>
      </w:r>
      <w:r>
        <w:rPr>
          <w:i/>
          <w:iCs/>
        </w:rPr>
        <w:t>et al</w:t>
      </w:r>
      <w:r>
        <w:t xml:space="preserve"> (2013) discuss the role of lakes in the assimilation and sequestration of nutrients and contaminants, which improves water quality and habitats. But they suggest these services are vulnerable to excessive nutrient loading rates and to invasive species. </w:t>
      </w:r>
      <w:r>
        <w:fldChar w:fldCharType="begin"/>
      </w:r>
      <w:r>
        <w:instrText xml:space="preserve"> REF _Ref35526831 \h </w:instrText>
      </w:r>
      <w:r>
        <w:fldChar w:fldCharType="separate"/>
      </w:r>
      <w:r w:rsidR="00024EB5">
        <w:t xml:space="preserve">Table </w:t>
      </w:r>
      <w:r w:rsidR="00024EB5">
        <w:rPr>
          <w:noProof/>
        </w:rPr>
        <w:t>27</w:t>
      </w:r>
      <w:r>
        <w:fldChar w:fldCharType="end"/>
      </w:r>
      <w:r>
        <w:t xml:space="preserve"> shows their estimates for one lake of the differences in services provided under different quality states.</w:t>
      </w:r>
    </w:p>
    <w:p w14:paraId="239198E7" w14:textId="77A21D50" w:rsidR="00FC77C7" w:rsidRDefault="00FC77C7" w:rsidP="0093011F">
      <w:pPr>
        <w:pStyle w:val="Caption"/>
      </w:pPr>
      <w:bookmarkStart w:id="93" w:name="_Ref35526831"/>
      <w:r>
        <w:t xml:space="preserve">Table </w:t>
      </w:r>
      <w:r w:rsidR="00313617">
        <w:fldChar w:fldCharType="begin"/>
      </w:r>
      <w:r w:rsidR="00313617">
        <w:instrText xml:space="preserve"> SEQ Table \* ARABIC </w:instrText>
      </w:r>
      <w:r w:rsidR="00313617">
        <w:fldChar w:fldCharType="separate"/>
      </w:r>
      <w:r w:rsidR="00024EB5">
        <w:rPr>
          <w:noProof/>
        </w:rPr>
        <w:t>27</w:t>
      </w:r>
      <w:r w:rsidR="00313617">
        <w:rPr>
          <w:noProof/>
        </w:rPr>
        <w:fldChar w:fldCharType="end"/>
      </w:r>
      <w:bookmarkEnd w:id="93"/>
      <w:r>
        <w:t xml:space="preserve"> </w:t>
      </w:r>
      <w:r w:rsidRPr="0044165C">
        <w:t xml:space="preserve"> Ecosystem services identified for Lake </w:t>
      </w:r>
      <w:proofErr w:type="spellStart"/>
      <w:r w:rsidRPr="0044165C">
        <w:t>Ōmāpere</w:t>
      </w:r>
      <w:proofErr w:type="spellEnd"/>
      <w:r w:rsidRPr="0044165C">
        <w:t xml:space="preserve"> under different states</w:t>
      </w:r>
    </w:p>
    <w:p w14:paraId="23A3A592" w14:textId="77777777" w:rsidR="00FC77C7" w:rsidRDefault="00FC77C7" w:rsidP="00FC77C7">
      <w:r w:rsidRPr="00D6619A">
        <w:rPr>
          <w:noProof/>
          <w:lang w:eastAsia="en-NZ"/>
        </w:rPr>
        <w:drawing>
          <wp:inline distT="0" distB="0" distL="0" distR="0" wp14:anchorId="1AEE21DC" wp14:editId="3C95B343">
            <wp:extent cx="5220335" cy="2438400"/>
            <wp:effectExtent l="0" t="0" r="0" b="0"/>
            <wp:docPr id="12" name="Picture 2">
              <a:extLst xmlns:a="http://schemas.openxmlformats.org/drawingml/2006/main">
                <a:ext uri="{FF2B5EF4-FFF2-40B4-BE49-F238E27FC236}">
                  <a16:creationId xmlns:a16="http://schemas.microsoft.com/office/drawing/2014/main" id="{AE84057D-32E3-46F1-9887-49517E1CB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84057D-32E3-46F1-9887-49517E1CB7EE}"/>
                        </a:ext>
                      </a:extLst>
                    </pic:cNvPr>
                    <pic:cNvPicPr>
                      <a:picLocks noChangeAspect="1"/>
                    </pic:cNvPicPr>
                  </pic:nvPicPr>
                  <pic:blipFill rotWithShape="1">
                    <a:blip r:embed="rId20"/>
                    <a:srcRect l="27823" t="18925" r="26532" b="43170"/>
                    <a:stretch/>
                  </pic:blipFill>
                  <pic:spPr bwMode="auto">
                    <a:xfrm>
                      <a:off x="0" y="0"/>
                      <a:ext cx="5220335" cy="2438400"/>
                    </a:xfrm>
                    <a:prstGeom prst="rect">
                      <a:avLst/>
                    </a:prstGeom>
                    <a:ln>
                      <a:noFill/>
                    </a:ln>
                    <a:extLst>
                      <a:ext uri="{53640926-AAD7-44D8-BBD7-CCE9431645EC}">
                        <a14:shadowObscured xmlns:a14="http://schemas.microsoft.com/office/drawing/2010/main"/>
                      </a:ext>
                    </a:extLst>
                  </pic:spPr>
                </pic:pic>
              </a:graphicData>
            </a:graphic>
          </wp:inline>
        </w:drawing>
      </w:r>
    </w:p>
    <w:p w14:paraId="581388BC" w14:textId="77777777" w:rsidR="00FC77C7" w:rsidRPr="007903F0" w:rsidRDefault="00FC77C7" w:rsidP="00FC77C7">
      <w:pPr>
        <w:rPr>
          <w:sz w:val="18"/>
          <w:szCs w:val="18"/>
        </w:rPr>
      </w:pPr>
      <w:r w:rsidRPr="007903F0">
        <w:rPr>
          <w:sz w:val="18"/>
          <w:szCs w:val="18"/>
        </w:rPr>
        <w:t xml:space="preserve">Source: </w:t>
      </w:r>
      <w:proofErr w:type="spellStart"/>
      <w:r w:rsidRPr="007903F0">
        <w:rPr>
          <w:sz w:val="18"/>
          <w:szCs w:val="18"/>
        </w:rPr>
        <w:t>Schallenberg</w:t>
      </w:r>
      <w:proofErr w:type="spellEnd"/>
      <w:r w:rsidRPr="007903F0">
        <w:rPr>
          <w:sz w:val="18"/>
          <w:szCs w:val="18"/>
        </w:rPr>
        <w:t xml:space="preserve"> </w:t>
      </w:r>
      <w:r w:rsidRPr="007903F0">
        <w:rPr>
          <w:i/>
          <w:iCs/>
          <w:sz w:val="18"/>
          <w:szCs w:val="18"/>
        </w:rPr>
        <w:t>et al</w:t>
      </w:r>
      <w:r w:rsidRPr="007903F0">
        <w:rPr>
          <w:sz w:val="18"/>
          <w:szCs w:val="18"/>
        </w:rPr>
        <w:t xml:space="preserve"> (2013)</w:t>
      </w:r>
    </w:p>
    <w:p w14:paraId="00718511" w14:textId="77777777" w:rsidR="00FC77C7" w:rsidRDefault="00FC77C7" w:rsidP="00FC77C7"/>
    <w:p w14:paraId="1E0A9ED1" w14:textId="4369490A" w:rsidR="00FC77C7" w:rsidRDefault="00FC77C7" w:rsidP="00FC77C7">
      <w:pPr>
        <w:rPr>
          <w:rFonts w:ascii="Century Gothic" w:hAnsi="Century Gothic" w:cs="Arial"/>
          <w:sz w:val="36"/>
          <w:szCs w:val="36"/>
        </w:rPr>
      </w:pPr>
      <w:r>
        <w:t xml:space="preserve">These and other studies illustrate the complex relationships between freshwater and the things that people value. We are unable to value these relationships in monetary terms, particularly the impacts </w:t>
      </w:r>
      <w:r>
        <w:lastRenderedPageBreak/>
        <w:t>of marginal changes in quality as a results of the additional policy effort (from NPS</w:t>
      </w:r>
      <w:r w:rsidR="00A53FAC">
        <w:t>-FM</w:t>
      </w:r>
      <w:r>
        <w:t xml:space="preserve"> to EFW package).</w:t>
      </w:r>
      <w:r>
        <w:br w:type="page"/>
      </w:r>
    </w:p>
    <w:p w14:paraId="187B6FE7" w14:textId="77777777" w:rsidR="00FC77C7" w:rsidRDefault="00FC77C7" w:rsidP="00FC77C7">
      <w:pPr>
        <w:pStyle w:val="Heading1"/>
      </w:pPr>
      <w:bookmarkStart w:id="94" w:name="_Toc35593998"/>
      <w:bookmarkStart w:id="95" w:name="_Toc35599759"/>
      <w:r>
        <w:lastRenderedPageBreak/>
        <w:t>Commercial and Reputational Values</w:t>
      </w:r>
      <w:bookmarkEnd w:id="94"/>
      <w:bookmarkEnd w:id="95"/>
    </w:p>
    <w:p w14:paraId="5280A3D5" w14:textId="71C90CE1" w:rsidR="00FC77C7" w:rsidRDefault="00FC77C7" w:rsidP="00FC77C7">
      <w:r>
        <w:t xml:space="preserve">In this section we examine data that might be used to estimate the market impacts of changes in water </w:t>
      </w:r>
      <w:r w:rsidR="0047450D">
        <w:t>quality</w:t>
      </w:r>
      <w:r>
        <w:t>. We consider:</w:t>
      </w:r>
    </w:p>
    <w:p w14:paraId="2C19F956" w14:textId="77777777" w:rsidR="00FC77C7" w:rsidRDefault="00FC77C7" w:rsidP="00FC77C7"/>
    <w:p w14:paraId="7B7F1707" w14:textId="77777777" w:rsidR="00FC77C7" w:rsidRDefault="00FC77C7" w:rsidP="008355BD">
      <w:pPr>
        <w:pStyle w:val="ListParagraph"/>
        <w:numPr>
          <w:ilvl w:val="0"/>
          <w:numId w:val="14"/>
        </w:numPr>
      </w:pPr>
      <w:r>
        <w:t>Avoided costs of denitrification of drinking water</w:t>
      </w:r>
    </w:p>
    <w:p w14:paraId="55A36FFD" w14:textId="77777777" w:rsidR="00FC77C7" w:rsidRDefault="00FC77C7" w:rsidP="008355BD">
      <w:pPr>
        <w:pStyle w:val="ListParagraph"/>
        <w:numPr>
          <w:ilvl w:val="0"/>
          <w:numId w:val="14"/>
        </w:numPr>
      </w:pPr>
      <w:r>
        <w:t>The economic value of commercial activities using freshwater; and</w:t>
      </w:r>
    </w:p>
    <w:p w14:paraId="7A0C0DE8" w14:textId="77777777" w:rsidR="00FC77C7" w:rsidRDefault="00FC77C7" w:rsidP="008355BD">
      <w:pPr>
        <w:pStyle w:val="ListParagraph"/>
        <w:numPr>
          <w:ilvl w:val="0"/>
          <w:numId w:val="14"/>
        </w:numPr>
      </w:pPr>
      <w:r>
        <w:t>The value of clean water to New Zealand’s environmental reputation and any associated price premium in export markets.</w:t>
      </w:r>
    </w:p>
    <w:p w14:paraId="3B7E64AF" w14:textId="77777777" w:rsidR="00FC77C7" w:rsidRDefault="00FC77C7" w:rsidP="00FC77C7">
      <w:pPr>
        <w:pStyle w:val="Heading2"/>
      </w:pPr>
      <w:bookmarkStart w:id="96" w:name="_Toc35593999"/>
      <w:bookmarkStart w:id="97" w:name="_Toc35599760"/>
      <w:r>
        <w:t>Drinking Water Contamination</w:t>
      </w:r>
      <w:bookmarkEnd w:id="96"/>
      <w:bookmarkEnd w:id="97"/>
    </w:p>
    <w:p w14:paraId="7AE95A86" w14:textId="313B5B3F" w:rsidR="00FC77C7" w:rsidRDefault="00FC77C7" w:rsidP="00FC77C7">
      <w:r>
        <w:t>The contamination of drinking water with nitrates from discharges of nitrogen presents risks for human health, particularly for infants,</w:t>
      </w:r>
      <w:r>
        <w:rPr>
          <w:rStyle w:val="FootnoteReference"/>
        </w:rPr>
        <w:footnoteReference w:id="58"/>
      </w:r>
      <w:r>
        <w:t xml:space="preserve"> and including bowel cancer risks for adults.</w:t>
      </w:r>
      <w:r>
        <w:rPr>
          <w:rStyle w:val="FootnoteReference"/>
        </w:rPr>
        <w:footnoteReference w:id="59"/>
      </w:r>
      <w:r>
        <w:t xml:space="preserve"> In New Zealand, particular concerns have been raised over nitrate concentrations in groundwater in Canterbury (</w:t>
      </w:r>
      <w:r>
        <w:fldChar w:fldCharType="begin"/>
      </w:r>
      <w:r>
        <w:instrText xml:space="preserve"> REF _Ref35514492 \h </w:instrText>
      </w:r>
      <w:r>
        <w:fldChar w:fldCharType="separate"/>
      </w:r>
      <w:r w:rsidR="00024EB5">
        <w:t xml:space="preserve">Figure </w:t>
      </w:r>
      <w:r w:rsidR="00024EB5">
        <w:rPr>
          <w:noProof/>
        </w:rPr>
        <w:t>7</w:t>
      </w:r>
      <w:r>
        <w:fldChar w:fldCharType="end"/>
      </w:r>
      <w:r>
        <w:t>) and Waikato (</w:t>
      </w:r>
      <w:r>
        <w:fldChar w:fldCharType="begin"/>
      </w:r>
      <w:r>
        <w:instrText xml:space="preserve"> REF _Ref35514504 \h </w:instrText>
      </w:r>
      <w:r>
        <w:fldChar w:fldCharType="separate"/>
      </w:r>
      <w:r w:rsidR="00024EB5">
        <w:t xml:space="preserve">Figure </w:t>
      </w:r>
      <w:r w:rsidR="00024EB5">
        <w:rPr>
          <w:noProof/>
        </w:rPr>
        <w:t>8</w:t>
      </w:r>
      <w:r>
        <w:fldChar w:fldCharType="end"/>
      </w:r>
      <w:r>
        <w:t xml:space="preserve">) regions, where the risk categories below have been defined on the basis of risks of </w:t>
      </w:r>
      <w:r w:rsidRPr="00887C6B">
        <w:t xml:space="preserve">infant </w:t>
      </w:r>
      <w:proofErr w:type="spellStart"/>
      <w:r w:rsidRPr="00887C6B">
        <w:t>methaemoglobinaemia</w:t>
      </w:r>
      <w:proofErr w:type="spellEnd"/>
      <w:r>
        <w:t xml:space="preserve"> (or blue baby syndrome)</w:t>
      </w:r>
      <w:r>
        <w:rPr>
          <w:rStyle w:val="FootnoteReference"/>
        </w:rPr>
        <w:footnoteReference w:id="60"/>
      </w:r>
      <w:r>
        <w:t xml:space="preserve"> building on WHO guidelines.</w:t>
      </w:r>
      <w:r>
        <w:rPr>
          <w:rStyle w:val="FootnoteReference"/>
        </w:rPr>
        <w:footnoteReference w:id="61"/>
      </w:r>
    </w:p>
    <w:p w14:paraId="6542B56C" w14:textId="7310D994" w:rsidR="00FC77C7" w:rsidRDefault="00FC77C7" w:rsidP="0093011F">
      <w:pPr>
        <w:pStyle w:val="Caption"/>
      </w:pPr>
      <w:bookmarkStart w:id="98" w:name="_Ref35514492"/>
      <w:r>
        <w:t xml:space="preserve">Figure </w:t>
      </w:r>
      <w:r w:rsidR="00313617">
        <w:fldChar w:fldCharType="begin"/>
      </w:r>
      <w:r w:rsidR="00313617">
        <w:instrText xml:space="preserve"> SEQ Figure \* ARABIC </w:instrText>
      </w:r>
      <w:r w:rsidR="00313617">
        <w:fldChar w:fldCharType="separate"/>
      </w:r>
      <w:r w:rsidR="00024EB5">
        <w:rPr>
          <w:noProof/>
        </w:rPr>
        <w:t>7</w:t>
      </w:r>
      <w:r w:rsidR="00313617">
        <w:rPr>
          <w:noProof/>
        </w:rPr>
        <w:fldChar w:fldCharType="end"/>
      </w:r>
      <w:bookmarkEnd w:id="98"/>
      <w:r>
        <w:t xml:space="preserve"> Percentage of Sites in Risk Categories: Canterbury</w:t>
      </w:r>
    </w:p>
    <w:p w14:paraId="4B36DC0E" w14:textId="77777777" w:rsidR="00FC77C7" w:rsidRDefault="00FC77C7" w:rsidP="00FC77C7">
      <w:r w:rsidRPr="00CD3164">
        <w:rPr>
          <w:noProof/>
          <w:lang w:eastAsia="en-NZ"/>
        </w:rPr>
        <w:drawing>
          <wp:inline distT="0" distB="0" distL="0" distR="0" wp14:anchorId="560AEFF9" wp14:editId="7CA50D1A">
            <wp:extent cx="4107180" cy="217902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0722" cy="2180906"/>
                    </a:xfrm>
                    <a:prstGeom prst="rect">
                      <a:avLst/>
                    </a:prstGeom>
                    <a:noFill/>
                    <a:ln>
                      <a:noFill/>
                    </a:ln>
                  </pic:spPr>
                </pic:pic>
              </a:graphicData>
            </a:graphic>
          </wp:inline>
        </w:drawing>
      </w:r>
    </w:p>
    <w:p w14:paraId="12A4ED8A" w14:textId="77777777" w:rsidR="00FC77C7" w:rsidRPr="007903F0" w:rsidRDefault="00FC77C7" w:rsidP="00FC77C7">
      <w:pPr>
        <w:rPr>
          <w:sz w:val="18"/>
          <w:szCs w:val="18"/>
        </w:rPr>
      </w:pPr>
      <w:r w:rsidRPr="007903F0">
        <w:rPr>
          <w:sz w:val="18"/>
          <w:szCs w:val="18"/>
        </w:rPr>
        <w:t>Source: Cooke and Phillips (2014)</w:t>
      </w:r>
    </w:p>
    <w:p w14:paraId="5C39828D" w14:textId="77777777" w:rsidR="00FC77C7" w:rsidRDefault="00FC77C7" w:rsidP="00FC77C7"/>
    <w:p w14:paraId="255236A3" w14:textId="4C1B2191" w:rsidR="00FC77C7" w:rsidRDefault="00FC77C7" w:rsidP="00FC77C7">
      <w:r>
        <w:t xml:space="preserve">Reducing levels of discharge to land is expected to reduce nitrate levels in groundwater, although there may be significant delay because of the time taken for nutrients to move through the soil. The benefits of reducing discharges are either in the form of improved health outcomes or reduced costs from (1) avoided development of new water supplies, (2) nitrate removal, </w:t>
      </w:r>
      <w:proofErr w:type="spellStart"/>
      <w:r>
        <w:t>eg</w:t>
      </w:r>
      <w:proofErr w:type="spellEnd"/>
      <w:r>
        <w:t xml:space="preserve"> via ion exchange,</w:t>
      </w:r>
      <w:r>
        <w:rPr>
          <w:rStyle w:val="FootnoteReference"/>
        </w:rPr>
        <w:footnoteReference w:id="62"/>
      </w:r>
      <w:r>
        <w:t xml:space="preserve"> or (3) dilution of contaminated supplies with water from other supplies.</w:t>
      </w:r>
      <w:r>
        <w:rPr>
          <w:rStyle w:val="FootnoteReference"/>
        </w:rPr>
        <w:footnoteReference w:id="63"/>
      </w:r>
      <w:r>
        <w:t xml:space="preserve"> Costs of nitrate treatment have been estimated for the US, with costs varying significantly with system size;</w:t>
      </w:r>
      <w:r>
        <w:rPr>
          <w:rStyle w:val="FootnoteReference"/>
        </w:rPr>
        <w:footnoteReference w:id="64"/>
      </w:r>
      <w:r>
        <w:t xml:space="preserve"> an example is shown in </w:t>
      </w:r>
      <w:r>
        <w:fldChar w:fldCharType="begin"/>
      </w:r>
      <w:r>
        <w:instrText xml:space="preserve"> REF _Ref35517850 \h </w:instrText>
      </w:r>
      <w:r>
        <w:fldChar w:fldCharType="separate"/>
      </w:r>
      <w:r w:rsidR="00024EB5">
        <w:t xml:space="preserve">Table </w:t>
      </w:r>
      <w:r w:rsidR="00024EB5">
        <w:rPr>
          <w:noProof/>
        </w:rPr>
        <w:t>28</w:t>
      </w:r>
      <w:r>
        <w:fldChar w:fldCharType="end"/>
      </w:r>
      <w:r>
        <w:t xml:space="preserve"> showing lifetime costs (capital and operating) for household and community (c.10,000 people) systems in 2010 US dollars, converted to 2020 NZ dollar values. </w:t>
      </w:r>
    </w:p>
    <w:p w14:paraId="5E06D5C4" w14:textId="77777777" w:rsidR="00FC77C7" w:rsidRDefault="00FC77C7" w:rsidP="00FC77C7"/>
    <w:p w14:paraId="4743B624" w14:textId="5DFE7B65" w:rsidR="00FC77C7" w:rsidRDefault="00FC77C7" w:rsidP="0093011F">
      <w:pPr>
        <w:pStyle w:val="Caption"/>
      </w:pPr>
      <w:bookmarkStart w:id="99" w:name="_Ref35514504"/>
      <w:r>
        <w:t xml:space="preserve">Figure </w:t>
      </w:r>
      <w:r w:rsidR="00313617">
        <w:fldChar w:fldCharType="begin"/>
      </w:r>
      <w:r w:rsidR="00313617">
        <w:instrText xml:space="preserve"> SEQ Figure \* ARABIC </w:instrText>
      </w:r>
      <w:r w:rsidR="00313617">
        <w:fldChar w:fldCharType="separate"/>
      </w:r>
      <w:r w:rsidR="00024EB5">
        <w:rPr>
          <w:noProof/>
        </w:rPr>
        <w:t>8</w:t>
      </w:r>
      <w:r w:rsidR="00313617">
        <w:rPr>
          <w:noProof/>
        </w:rPr>
        <w:fldChar w:fldCharType="end"/>
      </w:r>
      <w:bookmarkEnd w:id="99"/>
      <w:r>
        <w:t xml:space="preserve"> </w:t>
      </w:r>
      <w:r w:rsidRPr="00F4602A">
        <w:t xml:space="preserve"> Percentage of Sites in Risk Categories: </w:t>
      </w:r>
      <w:r>
        <w:t>Waikato</w:t>
      </w:r>
    </w:p>
    <w:p w14:paraId="0BAF592D" w14:textId="77777777" w:rsidR="00FC77C7" w:rsidRDefault="00FC77C7" w:rsidP="00FC77C7">
      <w:r w:rsidRPr="00CD3164">
        <w:rPr>
          <w:noProof/>
          <w:lang w:eastAsia="en-NZ"/>
        </w:rPr>
        <w:drawing>
          <wp:inline distT="0" distB="0" distL="0" distR="0" wp14:anchorId="62F4A2FE" wp14:editId="5E1DD08D">
            <wp:extent cx="3764280" cy="2121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8355" cy="2123722"/>
                    </a:xfrm>
                    <a:prstGeom prst="rect">
                      <a:avLst/>
                    </a:prstGeom>
                    <a:noFill/>
                    <a:ln>
                      <a:noFill/>
                    </a:ln>
                  </pic:spPr>
                </pic:pic>
              </a:graphicData>
            </a:graphic>
          </wp:inline>
        </w:drawing>
      </w:r>
    </w:p>
    <w:p w14:paraId="60FCBB82" w14:textId="77777777" w:rsidR="00FC77C7" w:rsidRPr="007903F0" w:rsidRDefault="00FC77C7" w:rsidP="00FC77C7">
      <w:pPr>
        <w:rPr>
          <w:sz w:val="18"/>
          <w:szCs w:val="18"/>
        </w:rPr>
      </w:pPr>
      <w:r w:rsidRPr="007903F0">
        <w:rPr>
          <w:sz w:val="18"/>
          <w:szCs w:val="18"/>
        </w:rPr>
        <w:t>Source: Cooke and Phillips (2014)</w:t>
      </w:r>
    </w:p>
    <w:p w14:paraId="5AB251DA" w14:textId="77777777" w:rsidR="00FC77C7" w:rsidRDefault="00FC77C7" w:rsidP="00FC77C7"/>
    <w:p w14:paraId="05FAFA0E" w14:textId="3A8027F8" w:rsidR="00FC77C7" w:rsidRDefault="00FC77C7" w:rsidP="0093011F">
      <w:pPr>
        <w:pStyle w:val="Caption"/>
      </w:pPr>
      <w:bookmarkStart w:id="100" w:name="_Ref35517850"/>
      <w:r>
        <w:t xml:space="preserve">Table </w:t>
      </w:r>
      <w:r w:rsidR="00313617">
        <w:fldChar w:fldCharType="begin"/>
      </w:r>
      <w:r w:rsidR="00313617">
        <w:instrText xml:space="preserve"> SEQ Table \* ARABIC </w:instrText>
      </w:r>
      <w:r w:rsidR="00313617">
        <w:fldChar w:fldCharType="separate"/>
      </w:r>
      <w:r w:rsidR="00024EB5">
        <w:rPr>
          <w:noProof/>
        </w:rPr>
        <w:t>28</w:t>
      </w:r>
      <w:r w:rsidR="00313617">
        <w:rPr>
          <w:noProof/>
        </w:rPr>
        <w:fldChar w:fldCharType="end"/>
      </w:r>
      <w:bookmarkEnd w:id="100"/>
      <w:r>
        <w:t xml:space="preserve"> Lifetime costs (2010US$ and 2020NZ$) of denitrification options</w:t>
      </w:r>
    </w:p>
    <w:tbl>
      <w:tblPr>
        <w:tblStyle w:val="CovecTables"/>
        <w:tblW w:w="8108" w:type="dxa"/>
        <w:tblLayout w:type="fixed"/>
        <w:tblLook w:val="04E0" w:firstRow="1" w:lastRow="1" w:firstColumn="1" w:lastColumn="0" w:noHBand="0" w:noVBand="1"/>
      </w:tblPr>
      <w:tblGrid>
        <w:gridCol w:w="2014"/>
        <w:gridCol w:w="1701"/>
        <w:gridCol w:w="1346"/>
        <w:gridCol w:w="1772"/>
        <w:gridCol w:w="1275"/>
      </w:tblGrid>
      <w:tr w:rsidR="00FC77C7" w:rsidRPr="008F58BC" w14:paraId="02554BA8"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857A71B" w14:textId="77777777" w:rsidR="00FC77C7" w:rsidRPr="008F58BC" w:rsidRDefault="00FC77C7" w:rsidP="0093011F">
            <w:pPr>
              <w:pStyle w:val="TableText"/>
              <w:jc w:val="left"/>
            </w:pPr>
            <w:r>
              <w:t>Method</w:t>
            </w:r>
          </w:p>
        </w:tc>
        <w:tc>
          <w:tcPr>
            <w:tcW w:w="1701" w:type="dxa"/>
            <w:noWrap/>
            <w:hideMark/>
          </w:tcPr>
          <w:p w14:paraId="25B27D3E" w14:textId="77777777" w:rsidR="00FC77C7" w:rsidRPr="008F58BC"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8F58BC">
              <w:t>Household (</w:t>
            </w:r>
            <w:r>
              <w:t>US</w:t>
            </w:r>
            <w:r w:rsidRPr="008F58BC">
              <w:t>$/</w:t>
            </w:r>
            <w:proofErr w:type="spellStart"/>
            <w:r w:rsidRPr="008F58BC">
              <w:t>hh</w:t>
            </w:r>
            <w:proofErr w:type="spellEnd"/>
            <w:r w:rsidRPr="008F58BC">
              <w:t>)</w:t>
            </w:r>
          </w:p>
        </w:tc>
        <w:tc>
          <w:tcPr>
            <w:tcW w:w="1346" w:type="dxa"/>
            <w:noWrap/>
            <w:hideMark/>
          </w:tcPr>
          <w:p w14:paraId="4B7B8379" w14:textId="77777777" w:rsidR="00FC77C7" w:rsidRPr="008F58BC"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8F58BC">
              <w:t xml:space="preserve">Community </w:t>
            </w:r>
            <w:r>
              <w:t xml:space="preserve">               </w:t>
            </w:r>
            <w:r w:rsidRPr="008F58BC">
              <w:t>(</w:t>
            </w:r>
            <w:proofErr w:type="spellStart"/>
            <w:r>
              <w:t>US</w:t>
            </w:r>
            <w:r w:rsidRPr="008F58BC">
              <w:t>$</w:t>
            </w:r>
            <w:r>
              <w:t>m</w:t>
            </w:r>
            <w:proofErr w:type="spellEnd"/>
            <w:r w:rsidRPr="008F58BC">
              <w:t>/</w:t>
            </w:r>
            <w:proofErr w:type="spellStart"/>
            <w:r>
              <w:t>cs</w:t>
            </w:r>
            <w:proofErr w:type="spellEnd"/>
            <w:r w:rsidRPr="008F58BC">
              <w:t>)</w:t>
            </w:r>
          </w:p>
        </w:tc>
        <w:tc>
          <w:tcPr>
            <w:tcW w:w="1772" w:type="dxa"/>
          </w:tcPr>
          <w:p w14:paraId="5C6F8B87" w14:textId="77777777" w:rsidR="00FC77C7" w:rsidRPr="008F58BC"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8F58BC">
              <w:t>Household (</w:t>
            </w:r>
            <w:r>
              <w:t>NZ</w:t>
            </w:r>
            <w:r w:rsidRPr="008F58BC">
              <w:t>$/</w:t>
            </w:r>
            <w:proofErr w:type="spellStart"/>
            <w:r w:rsidRPr="008F58BC">
              <w:t>hh</w:t>
            </w:r>
            <w:proofErr w:type="spellEnd"/>
            <w:r w:rsidRPr="008F58BC">
              <w:t>)</w:t>
            </w:r>
          </w:p>
        </w:tc>
        <w:tc>
          <w:tcPr>
            <w:tcW w:w="1275" w:type="dxa"/>
          </w:tcPr>
          <w:p w14:paraId="3E489A54" w14:textId="77777777" w:rsidR="00FC77C7" w:rsidRPr="008F58BC"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8F58BC">
              <w:t xml:space="preserve">Community </w:t>
            </w:r>
            <w:r>
              <w:t xml:space="preserve">               </w:t>
            </w:r>
            <w:r w:rsidRPr="008F58BC">
              <w:t>(</w:t>
            </w:r>
            <w:proofErr w:type="spellStart"/>
            <w:r>
              <w:t>NZ</w:t>
            </w:r>
            <w:r w:rsidRPr="008F58BC">
              <w:t>$</w:t>
            </w:r>
            <w:r>
              <w:t>m</w:t>
            </w:r>
            <w:proofErr w:type="spellEnd"/>
            <w:r w:rsidRPr="008F58BC">
              <w:t>/</w:t>
            </w:r>
            <w:proofErr w:type="spellStart"/>
            <w:r>
              <w:t>cs</w:t>
            </w:r>
            <w:proofErr w:type="spellEnd"/>
            <w:r w:rsidRPr="008F58BC">
              <w:t>)</w:t>
            </w:r>
          </w:p>
        </w:tc>
      </w:tr>
      <w:tr w:rsidR="00FC77C7" w:rsidRPr="008F58BC" w14:paraId="2A4F5295"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6A6A6" w:themeColor="background1" w:themeShade="A6"/>
              <w:bottom w:val="single" w:sz="8" w:space="0" w:color="A6A6A6" w:themeColor="background1" w:themeShade="A6"/>
            </w:tcBorders>
            <w:noWrap/>
            <w:hideMark/>
          </w:tcPr>
          <w:p w14:paraId="1D4415EB" w14:textId="77777777" w:rsidR="00FC77C7" w:rsidRPr="008F58BC" w:rsidRDefault="00FC77C7" w:rsidP="0093011F">
            <w:pPr>
              <w:pStyle w:val="TableText"/>
            </w:pPr>
            <w:r w:rsidRPr="008F58BC">
              <w:t>Reverse osmosis</w:t>
            </w:r>
          </w:p>
        </w:tc>
        <w:tc>
          <w:tcPr>
            <w:tcW w:w="1701" w:type="dxa"/>
            <w:tcBorders>
              <w:top w:val="single" w:sz="8" w:space="0" w:color="A6A6A6" w:themeColor="background1" w:themeShade="A6"/>
              <w:bottom w:val="single" w:sz="8" w:space="0" w:color="A6A6A6" w:themeColor="background1" w:themeShade="A6"/>
            </w:tcBorders>
            <w:noWrap/>
            <w:hideMark/>
          </w:tcPr>
          <w:p w14:paraId="5809A074"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$1701 - $5543</w:t>
            </w:r>
          </w:p>
        </w:tc>
        <w:tc>
          <w:tcPr>
            <w:tcW w:w="1346" w:type="dxa"/>
            <w:tcBorders>
              <w:top w:val="single" w:sz="8" w:space="0" w:color="A6A6A6" w:themeColor="background1" w:themeShade="A6"/>
              <w:bottom w:val="single" w:sz="8" w:space="0" w:color="A6A6A6" w:themeColor="background1" w:themeShade="A6"/>
            </w:tcBorders>
            <w:noWrap/>
            <w:hideMark/>
          </w:tcPr>
          <w:p w14:paraId="045D68F2"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$44 m</w:t>
            </w:r>
          </w:p>
        </w:tc>
        <w:tc>
          <w:tcPr>
            <w:tcW w:w="1772" w:type="dxa"/>
            <w:tcBorders>
              <w:top w:val="single" w:sz="8" w:space="0" w:color="A6A6A6" w:themeColor="background1" w:themeShade="A6"/>
              <w:bottom w:val="single" w:sz="8" w:space="0" w:color="A6A6A6" w:themeColor="background1" w:themeShade="A6"/>
            </w:tcBorders>
            <w:vAlign w:val="top"/>
          </w:tcPr>
          <w:p w14:paraId="0E8FC77C"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$2739 - $8924</w:t>
            </w:r>
          </w:p>
        </w:tc>
        <w:tc>
          <w:tcPr>
            <w:tcW w:w="1275" w:type="dxa"/>
            <w:tcBorders>
              <w:top w:val="single" w:sz="8" w:space="0" w:color="A6A6A6" w:themeColor="background1" w:themeShade="A6"/>
              <w:bottom w:val="single" w:sz="8" w:space="0" w:color="A6A6A6" w:themeColor="background1" w:themeShade="A6"/>
            </w:tcBorders>
            <w:vAlign w:val="top"/>
          </w:tcPr>
          <w:p w14:paraId="3CE4A309"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$71</w:t>
            </w:r>
            <w:r>
              <w:t>m</w:t>
            </w:r>
          </w:p>
        </w:tc>
      </w:tr>
      <w:tr w:rsidR="00FC77C7" w:rsidRPr="008F58BC" w14:paraId="4CE6546D"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6A6A6" w:themeColor="background1" w:themeShade="A6"/>
              <w:bottom w:val="single" w:sz="8" w:space="0" w:color="A6A6A6" w:themeColor="background1" w:themeShade="A6"/>
            </w:tcBorders>
            <w:noWrap/>
            <w:hideMark/>
          </w:tcPr>
          <w:p w14:paraId="401FEE74" w14:textId="77777777" w:rsidR="00FC77C7" w:rsidRPr="008F58BC" w:rsidRDefault="00FC77C7" w:rsidP="0093011F">
            <w:pPr>
              <w:pStyle w:val="TableText"/>
            </w:pPr>
            <w:r w:rsidRPr="008F58BC">
              <w:t>Distillation</w:t>
            </w:r>
          </w:p>
        </w:tc>
        <w:tc>
          <w:tcPr>
            <w:tcW w:w="1701" w:type="dxa"/>
            <w:tcBorders>
              <w:top w:val="single" w:sz="8" w:space="0" w:color="A6A6A6" w:themeColor="background1" w:themeShade="A6"/>
              <w:bottom w:val="single" w:sz="8" w:space="0" w:color="A6A6A6" w:themeColor="background1" w:themeShade="A6"/>
            </w:tcBorders>
            <w:noWrap/>
            <w:hideMark/>
          </w:tcPr>
          <w:p w14:paraId="240BA731"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$5759 - $8505</w:t>
            </w:r>
          </w:p>
        </w:tc>
        <w:tc>
          <w:tcPr>
            <w:tcW w:w="1346" w:type="dxa"/>
            <w:tcBorders>
              <w:top w:val="single" w:sz="8" w:space="0" w:color="A6A6A6" w:themeColor="background1" w:themeShade="A6"/>
              <w:bottom w:val="single" w:sz="8" w:space="0" w:color="A6A6A6" w:themeColor="background1" w:themeShade="A6"/>
            </w:tcBorders>
            <w:noWrap/>
            <w:hideMark/>
          </w:tcPr>
          <w:p w14:paraId="6E19CE7A"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772" w:type="dxa"/>
            <w:tcBorders>
              <w:top w:val="single" w:sz="8" w:space="0" w:color="A6A6A6" w:themeColor="background1" w:themeShade="A6"/>
              <w:bottom w:val="single" w:sz="8" w:space="0" w:color="A6A6A6" w:themeColor="background1" w:themeShade="A6"/>
            </w:tcBorders>
            <w:vAlign w:val="top"/>
          </w:tcPr>
          <w:p w14:paraId="6F1309B1"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$9272 - $13693</w:t>
            </w:r>
          </w:p>
        </w:tc>
        <w:tc>
          <w:tcPr>
            <w:tcW w:w="1275" w:type="dxa"/>
            <w:tcBorders>
              <w:top w:val="single" w:sz="8" w:space="0" w:color="A6A6A6" w:themeColor="background1" w:themeShade="A6"/>
              <w:bottom w:val="single" w:sz="8" w:space="0" w:color="A6A6A6" w:themeColor="background1" w:themeShade="A6"/>
            </w:tcBorders>
            <w:vAlign w:val="top"/>
          </w:tcPr>
          <w:p w14:paraId="4867B061"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rsidRPr="008F58BC" w14:paraId="12ADC7DA"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6A6A6" w:themeColor="background1" w:themeShade="A6"/>
              <w:bottom w:val="single" w:sz="8" w:space="0" w:color="A6A6A6" w:themeColor="background1" w:themeShade="A6"/>
            </w:tcBorders>
            <w:noWrap/>
            <w:hideMark/>
          </w:tcPr>
          <w:p w14:paraId="3B41B59C" w14:textId="77777777" w:rsidR="00FC77C7" w:rsidRPr="008F58BC" w:rsidRDefault="00FC77C7" w:rsidP="0093011F">
            <w:pPr>
              <w:pStyle w:val="TableText"/>
            </w:pPr>
            <w:r w:rsidRPr="008F58BC">
              <w:t>Ion exchange</w:t>
            </w:r>
          </w:p>
        </w:tc>
        <w:tc>
          <w:tcPr>
            <w:tcW w:w="1701" w:type="dxa"/>
            <w:tcBorders>
              <w:top w:val="single" w:sz="8" w:space="0" w:color="A6A6A6" w:themeColor="background1" w:themeShade="A6"/>
              <w:bottom w:val="single" w:sz="8" w:space="0" w:color="A6A6A6" w:themeColor="background1" w:themeShade="A6"/>
            </w:tcBorders>
            <w:noWrap/>
            <w:hideMark/>
          </w:tcPr>
          <w:p w14:paraId="62E0FD9B"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$4025 - $8283</w:t>
            </w:r>
          </w:p>
        </w:tc>
        <w:tc>
          <w:tcPr>
            <w:tcW w:w="1346" w:type="dxa"/>
            <w:tcBorders>
              <w:top w:val="single" w:sz="8" w:space="0" w:color="A6A6A6" w:themeColor="background1" w:themeShade="A6"/>
              <w:bottom w:val="single" w:sz="8" w:space="0" w:color="A6A6A6" w:themeColor="background1" w:themeShade="A6"/>
            </w:tcBorders>
            <w:noWrap/>
            <w:hideMark/>
          </w:tcPr>
          <w:p w14:paraId="6C6E1EA3"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$9.2 m</w:t>
            </w:r>
          </w:p>
        </w:tc>
        <w:tc>
          <w:tcPr>
            <w:tcW w:w="1772" w:type="dxa"/>
            <w:tcBorders>
              <w:top w:val="single" w:sz="8" w:space="0" w:color="A6A6A6" w:themeColor="background1" w:themeShade="A6"/>
              <w:bottom w:val="single" w:sz="8" w:space="0" w:color="A6A6A6" w:themeColor="background1" w:themeShade="A6"/>
            </w:tcBorders>
            <w:vAlign w:val="top"/>
          </w:tcPr>
          <w:p w14:paraId="579A52AB"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$6480 - $13335</w:t>
            </w:r>
          </w:p>
        </w:tc>
        <w:tc>
          <w:tcPr>
            <w:tcW w:w="1275" w:type="dxa"/>
            <w:tcBorders>
              <w:top w:val="single" w:sz="8" w:space="0" w:color="A6A6A6" w:themeColor="background1" w:themeShade="A6"/>
              <w:bottom w:val="single" w:sz="8" w:space="0" w:color="A6A6A6" w:themeColor="background1" w:themeShade="A6"/>
            </w:tcBorders>
            <w:vAlign w:val="top"/>
          </w:tcPr>
          <w:p w14:paraId="566242E9"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$15</w:t>
            </w:r>
            <w:r>
              <w:t>m</w:t>
            </w:r>
          </w:p>
        </w:tc>
      </w:tr>
      <w:tr w:rsidR="00FC77C7" w:rsidRPr="008F58BC" w14:paraId="091D35AA"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6A6A6" w:themeColor="background1" w:themeShade="A6"/>
              <w:bottom w:val="single" w:sz="8" w:space="0" w:color="A6A6A6" w:themeColor="background1" w:themeShade="A6"/>
            </w:tcBorders>
            <w:noWrap/>
            <w:hideMark/>
          </w:tcPr>
          <w:p w14:paraId="2FD8BC8E" w14:textId="77777777" w:rsidR="00FC77C7" w:rsidRPr="008F58BC" w:rsidRDefault="00FC77C7" w:rsidP="0093011F">
            <w:pPr>
              <w:pStyle w:val="TableText"/>
            </w:pPr>
            <w:r w:rsidRPr="008F58BC">
              <w:t>New well</w:t>
            </w:r>
          </w:p>
        </w:tc>
        <w:tc>
          <w:tcPr>
            <w:tcW w:w="1701" w:type="dxa"/>
            <w:tcBorders>
              <w:top w:val="single" w:sz="8" w:space="0" w:color="A6A6A6" w:themeColor="background1" w:themeShade="A6"/>
              <w:bottom w:val="single" w:sz="8" w:space="0" w:color="A6A6A6" w:themeColor="background1" w:themeShade="A6"/>
            </w:tcBorders>
            <w:noWrap/>
            <w:hideMark/>
          </w:tcPr>
          <w:p w14:paraId="28C65C91"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$7200 - $16000</w:t>
            </w:r>
          </w:p>
        </w:tc>
        <w:tc>
          <w:tcPr>
            <w:tcW w:w="1346" w:type="dxa"/>
            <w:tcBorders>
              <w:top w:val="single" w:sz="8" w:space="0" w:color="A6A6A6" w:themeColor="background1" w:themeShade="A6"/>
              <w:bottom w:val="single" w:sz="8" w:space="0" w:color="A6A6A6" w:themeColor="background1" w:themeShade="A6"/>
            </w:tcBorders>
            <w:noWrap/>
            <w:hideMark/>
          </w:tcPr>
          <w:p w14:paraId="5CD9FD5E"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772" w:type="dxa"/>
            <w:tcBorders>
              <w:top w:val="single" w:sz="8" w:space="0" w:color="A6A6A6" w:themeColor="background1" w:themeShade="A6"/>
              <w:bottom w:val="single" w:sz="8" w:space="0" w:color="A6A6A6" w:themeColor="background1" w:themeShade="A6"/>
            </w:tcBorders>
            <w:vAlign w:val="top"/>
          </w:tcPr>
          <w:p w14:paraId="31D9DF0F"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$11592 - $25759</w:t>
            </w:r>
          </w:p>
        </w:tc>
        <w:tc>
          <w:tcPr>
            <w:tcW w:w="1275" w:type="dxa"/>
            <w:tcBorders>
              <w:top w:val="single" w:sz="8" w:space="0" w:color="A6A6A6" w:themeColor="background1" w:themeShade="A6"/>
              <w:bottom w:val="single" w:sz="8" w:space="0" w:color="A6A6A6" w:themeColor="background1" w:themeShade="A6"/>
            </w:tcBorders>
            <w:vAlign w:val="top"/>
          </w:tcPr>
          <w:p w14:paraId="0E4F091C"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rsidRPr="008F58BC" w14:paraId="5F7B6929"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2014" w:type="dxa"/>
            <w:tcBorders>
              <w:top w:val="single" w:sz="8" w:space="0" w:color="A6A6A6" w:themeColor="background1" w:themeShade="A6"/>
              <w:bottom w:val="single" w:sz="8" w:space="0" w:color="A6A6A6" w:themeColor="background1" w:themeShade="A6"/>
            </w:tcBorders>
            <w:noWrap/>
            <w:hideMark/>
          </w:tcPr>
          <w:p w14:paraId="40A080F7" w14:textId="77777777" w:rsidR="00FC77C7" w:rsidRPr="008F58BC" w:rsidRDefault="00FC77C7" w:rsidP="0093011F">
            <w:pPr>
              <w:pStyle w:val="TableText"/>
            </w:pPr>
            <w:r w:rsidRPr="008F58BC">
              <w:t>Bottled water</w:t>
            </w:r>
          </w:p>
        </w:tc>
        <w:tc>
          <w:tcPr>
            <w:tcW w:w="1701" w:type="dxa"/>
            <w:tcBorders>
              <w:top w:val="single" w:sz="8" w:space="0" w:color="A6A6A6" w:themeColor="background1" w:themeShade="A6"/>
              <w:bottom w:val="single" w:sz="8" w:space="0" w:color="A6A6A6" w:themeColor="background1" w:themeShade="A6"/>
            </w:tcBorders>
            <w:noWrap/>
            <w:hideMark/>
          </w:tcPr>
          <w:p w14:paraId="68806523"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8F58BC">
              <w:t>$7506</w:t>
            </w:r>
            <w:r>
              <w:t xml:space="preserve"> </w:t>
            </w:r>
            <w:r w:rsidRPr="008F58BC">
              <w:t>- $23717</w:t>
            </w:r>
          </w:p>
        </w:tc>
        <w:tc>
          <w:tcPr>
            <w:tcW w:w="1346" w:type="dxa"/>
            <w:tcBorders>
              <w:top w:val="single" w:sz="8" w:space="0" w:color="A6A6A6" w:themeColor="background1" w:themeShade="A6"/>
              <w:bottom w:val="single" w:sz="8" w:space="0" w:color="A6A6A6" w:themeColor="background1" w:themeShade="A6"/>
            </w:tcBorders>
            <w:noWrap/>
            <w:hideMark/>
          </w:tcPr>
          <w:p w14:paraId="20B4CEA7"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772" w:type="dxa"/>
            <w:tcBorders>
              <w:top w:val="single" w:sz="8" w:space="0" w:color="A6A6A6" w:themeColor="background1" w:themeShade="A6"/>
              <w:bottom w:val="single" w:sz="8" w:space="0" w:color="A6A6A6" w:themeColor="background1" w:themeShade="A6"/>
            </w:tcBorders>
            <w:vAlign w:val="top"/>
          </w:tcPr>
          <w:p w14:paraId="53689576"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BF4DD5">
              <w:t>$12084 - $38183</w:t>
            </w:r>
          </w:p>
        </w:tc>
        <w:tc>
          <w:tcPr>
            <w:tcW w:w="1275" w:type="dxa"/>
            <w:tcBorders>
              <w:top w:val="single" w:sz="8" w:space="0" w:color="A6A6A6" w:themeColor="background1" w:themeShade="A6"/>
              <w:bottom w:val="single" w:sz="8" w:space="0" w:color="A6A6A6" w:themeColor="background1" w:themeShade="A6"/>
            </w:tcBorders>
            <w:vAlign w:val="top"/>
          </w:tcPr>
          <w:p w14:paraId="6E3AC3EE" w14:textId="77777777" w:rsidR="00FC77C7" w:rsidRPr="008F58BC"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rsidRPr="008F58BC" w14:paraId="760D5F56"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2014" w:type="dxa"/>
            <w:tcBorders>
              <w:top w:val="single" w:sz="8" w:space="0" w:color="A6A6A6" w:themeColor="background1" w:themeShade="A6"/>
            </w:tcBorders>
            <w:noWrap/>
            <w:hideMark/>
          </w:tcPr>
          <w:p w14:paraId="1C7E32B9" w14:textId="77777777" w:rsidR="00FC77C7" w:rsidRPr="008F58BC" w:rsidRDefault="00FC77C7" w:rsidP="0093011F">
            <w:pPr>
              <w:pStyle w:val="TableText"/>
            </w:pPr>
            <w:r w:rsidRPr="008F58BC">
              <w:t>Bi</w:t>
            </w:r>
            <w:r>
              <w:t>o</w:t>
            </w:r>
            <w:r w:rsidRPr="008F58BC">
              <w:t>logical denitrification</w:t>
            </w:r>
          </w:p>
        </w:tc>
        <w:tc>
          <w:tcPr>
            <w:tcW w:w="1701" w:type="dxa"/>
            <w:tcBorders>
              <w:top w:val="single" w:sz="8" w:space="0" w:color="A6A6A6" w:themeColor="background1" w:themeShade="A6"/>
            </w:tcBorders>
            <w:noWrap/>
            <w:hideMark/>
          </w:tcPr>
          <w:p w14:paraId="306C9B1B" w14:textId="77777777" w:rsidR="00FC77C7" w:rsidRPr="008F58BC"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p>
        </w:tc>
        <w:tc>
          <w:tcPr>
            <w:tcW w:w="1346" w:type="dxa"/>
            <w:tcBorders>
              <w:top w:val="single" w:sz="8" w:space="0" w:color="A6A6A6" w:themeColor="background1" w:themeShade="A6"/>
            </w:tcBorders>
            <w:noWrap/>
            <w:hideMark/>
          </w:tcPr>
          <w:p w14:paraId="5187219D" w14:textId="77777777" w:rsidR="00FC77C7" w:rsidRPr="008F58BC"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8F58BC">
              <w:t>$6.2 m</w:t>
            </w:r>
          </w:p>
        </w:tc>
        <w:tc>
          <w:tcPr>
            <w:tcW w:w="1772" w:type="dxa"/>
            <w:tcBorders>
              <w:top w:val="single" w:sz="8" w:space="0" w:color="A6A6A6" w:themeColor="background1" w:themeShade="A6"/>
            </w:tcBorders>
            <w:vAlign w:val="top"/>
          </w:tcPr>
          <w:p w14:paraId="482176D3" w14:textId="77777777" w:rsidR="00FC77C7" w:rsidRPr="008F58BC"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BF4DD5">
              <w:t>$2739 - $8924</w:t>
            </w:r>
          </w:p>
        </w:tc>
        <w:tc>
          <w:tcPr>
            <w:tcW w:w="1275" w:type="dxa"/>
            <w:tcBorders>
              <w:top w:val="single" w:sz="8" w:space="0" w:color="A6A6A6" w:themeColor="background1" w:themeShade="A6"/>
            </w:tcBorders>
            <w:vAlign w:val="top"/>
          </w:tcPr>
          <w:p w14:paraId="46D860FB" w14:textId="77777777" w:rsidR="00FC77C7" w:rsidRPr="008F58BC"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BF4DD5">
              <w:t>$71</w:t>
            </w:r>
            <w:r>
              <w:t>m</w:t>
            </w:r>
          </w:p>
        </w:tc>
      </w:tr>
    </w:tbl>
    <w:p w14:paraId="7A0F647E" w14:textId="77777777" w:rsidR="00FC77C7" w:rsidRPr="007903F0" w:rsidRDefault="00FC77C7" w:rsidP="00FC77C7">
      <w:pPr>
        <w:spacing w:line="240" w:lineRule="auto"/>
        <w:rPr>
          <w:sz w:val="18"/>
          <w:szCs w:val="18"/>
        </w:rPr>
      </w:pPr>
      <w:r w:rsidRPr="007903F0">
        <w:rPr>
          <w:sz w:val="18"/>
          <w:szCs w:val="18"/>
        </w:rPr>
        <w:t xml:space="preserve">Notes: </w:t>
      </w:r>
      <w:proofErr w:type="spellStart"/>
      <w:r w:rsidRPr="007903F0">
        <w:rPr>
          <w:sz w:val="18"/>
          <w:szCs w:val="18"/>
        </w:rPr>
        <w:t>cs</w:t>
      </w:r>
      <w:proofErr w:type="spellEnd"/>
      <w:r w:rsidRPr="007903F0">
        <w:rPr>
          <w:sz w:val="18"/>
          <w:szCs w:val="18"/>
        </w:rPr>
        <w:t xml:space="preserve"> = community system; converted from US2010$ to 2020NZ$ using US PPI (2010 to 2020)</w:t>
      </w:r>
      <w:r w:rsidRPr="007903F0">
        <w:rPr>
          <w:rStyle w:val="FootnoteReference"/>
          <w:sz w:val="18"/>
          <w:szCs w:val="18"/>
        </w:rPr>
        <w:footnoteReference w:id="65"/>
      </w:r>
      <w:r w:rsidRPr="007903F0">
        <w:rPr>
          <w:sz w:val="18"/>
          <w:szCs w:val="18"/>
        </w:rPr>
        <w:t xml:space="preserve"> and 2020 US</w:t>
      </w:r>
      <w:proofErr w:type="gramStart"/>
      <w:r w:rsidRPr="007903F0">
        <w:rPr>
          <w:sz w:val="18"/>
          <w:szCs w:val="18"/>
        </w:rPr>
        <w:t>:NZ</w:t>
      </w:r>
      <w:proofErr w:type="gramEnd"/>
      <w:r w:rsidRPr="007903F0">
        <w:rPr>
          <w:sz w:val="18"/>
          <w:szCs w:val="18"/>
        </w:rPr>
        <w:t xml:space="preserve"> exchange rate (0.6434 average)</w:t>
      </w:r>
      <w:r w:rsidRPr="007903F0">
        <w:rPr>
          <w:rStyle w:val="FootnoteReference"/>
          <w:sz w:val="18"/>
          <w:szCs w:val="18"/>
        </w:rPr>
        <w:footnoteReference w:id="66"/>
      </w:r>
    </w:p>
    <w:p w14:paraId="3B8F3886" w14:textId="77777777" w:rsidR="00FC77C7" w:rsidRPr="007903F0" w:rsidRDefault="00FC77C7" w:rsidP="00FC77C7">
      <w:pPr>
        <w:spacing w:line="240" w:lineRule="auto"/>
        <w:rPr>
          <w:sz w:val="18"/>
          <w:szCs w:val="18"/>
        </w:rPr>
      </w:pPr>
      <w:r w:rsidRPr="007903F0">
        <w:rPr>
          <w:sz w:val="18"/>
          <w:szCs w:val="18"/>
        </w:rPr>
        <w:t xml:space="preserve">Source: US cost estimates from </w:t>
      </w:r>
      <w:proofErr w:type="spellStart"/>
      <w:r w:rsidRPr="007903F0">
        <w:rPr>
          <w:sz w:val="18"/>
          <w:szCs w:val="18"/>
        </w:rPr>
        <w:t>Juntakut</w:t>
      </w:r>
      <w:proofErr w:type="spellEnd"/>
      <w:r w:rsidRPr="007903F0">
        <w:rPr>
          <w:sz w:val="18"/>
          <w:szCs w:val="18"/>
        </w:rPr>
        <w:t xml:space="preserve"> </w:t>
      </w:r>
      <w:r w:rsidRPr="007903F0">
        <w:rPr>
          <w:i/>
          <w:iCs/>
          <w:sz w:val="18"/>
          <w:szCs w:val="18"/>
        </w:rPr>
        <w:t>et al</w:t>
      </w:r>
      <w:r w:rsidRPr="007903F0">
        <w:rPr>
          <w:sz w:val="18"/>
          <w:szCs w:val="18"/>
        </w:rPr>
        <w:t xml:space="preserve"> (2020)</w:t>
      </w:r>
    </w:p>
    <w:p w14:paraId="0078452D" w14:textId="77777777" w:rsidR="00FC77C7" w:rsidRDefault="00FC77C7" w:rsidP="00FC77C7"/>
    <w:p w14:paraId="21027051" w14:textId="77777777" w:rsidR="00FC77C7" w:rsidRDefault="00FC77C7" w:rsidP="00FC77C7">
      <w:r>
        <w:t>We have not quantified potential cost saving benefits as part of this study, because of the considerable uncertainties over the relationship between discharge reduction and groundwater concentrations.</w:t>
      </w:r>
    </w:p>
    <w:p w14:paraId="759BAA44" w14:textId="77777777" w:rsidR="00FC77C7" w:rsidRDefault="00FC77C7" w:rsidP="00FC77C7">
      <w:pPr>
        <w:pStyle w:val="Heading2"/>
      </w:pPr>
      <w:bookmarkStart w:id="101" w:name="_Toc35594000"/>
      <w:bookmarkStart w:id="102" w:name="_Toc35599761"/>
      <w:r>
        <w:t>Value of NZ Fisheries</w:t>
      </w:r>
      <w:bookmarkEnd w:id="101"/>
      <w:bookmarkEnd w:id="102"/>
    </w:p>
    <w:p w14:paraId="6FDFEC0C" w14:textId="77777777" w:rsidR="00FC77C7" w:rsidRDefault="00FC77C7" w:rsidP="00FC77C7">
      <w:r>
        <w:t>Our interest in this report is in the benefits that freshwater provides and the changes in the benefit values because of changes in water quality. Available data on levels of use of freshwater for recreation are discussed in Annex A. The numbers are uncertain but more importantly there are few studies which estimate possible changes in activity levels in response to changes in water quality.</w:t>
      </w:r>
    </w:p>
    <w:p w14:paraId="7C6F7BD2" w14:textId="77777777" w:rsidR="00FC77C7" w:rsidRDefault="00FC77C7" w:rsidP="00FC77C7"/>
    <w:p w14:paraId="5BEE240B" w14:textId="77777777" w:rsidR="00FC77C7" w:rsidRDefault="00FC77C7" w:rsidP="00FC77C7">
      <w:r>
        <w:t xml:space="preserve">Bell and Yap (2004) conducted a survey which included an assessment of the effect of reduced numbers of algal blooms on a wide range of recreational activities. If algal blooms were eliminated, they estimated a 650% increase in recreational activity (days spent swimming, boating, fishing and so on) at Lake </w:t>
      </w:r>
      <w:proofErr w:type="spellStart"/>
      <w:r>
        <w:t>Rotorua</w:t>
      </w:r>
      <w:proofErr w:type="spellEnd"/>
      <w:r>
        <w:t xml:space="preserve"> and a 237% increase in the rest of the Bay of Plenty. Phillips (2014) estimates 12% increases in the number of visits to the Waikato river following improvements in water quality </w:t>
      </w:r>
      <w:r>
        <w:lastRenderedPageBreak/>
        <w:t xml:space="preserve">but, significantly, she also estimates corresponding decreases in visit numbers to other freshwater sites, especially Lakes </w:t>
      </w:r>
      <w:proofErr w:type="spellStart"/>
      <w:r>
        <w:t>Taupo</w:t>
      </w:r>
      <w:proofErr w:type="spellEnd"/>
      <w:r>
        <w:t xml:space="preserve">, </w:t>
      </w:r>
      <w:proofErr w:type="spellStart"/>
      <w:r>
        <w:t>Rotoroa</w:t>
      </w:r>
      <w:proofErr w:type="spellEnd"/>
      <w:r>
        <w:t xml:space="preserve"> (in Hamilton) and </w:t>
      </w:r>
      <w:proofErr w:type="spellStart"/>
      <w:r>
        <w:t>Karapiro</w:t>
      </w:r>
      <w:proofErr w:type="spellEnd"/>
      <w:r>
        <w:t>. The potential for shifting between sites cannot be limited to freshwater sites, with the potential also for shifting to other forms of recreation.</w:t>
      </w:r>
      <w:r>
        <w:rPr>
          <w:rStyle w:val="FootnoteReference"/>
        </w:rPr>
        <w:footnoteReference w:id="67"/>
      </w:r>
    </w:p>
    <w:p w14:paraId="59E9A478" w14:textId="77777777" w:rsidR="00FC77C7" w:rsidRDefault="00FC77C7" w:rsidP="00FC77C7"/>
    <w:p w14:paraId="73576DB3" w14:textId="10A603AD" w:rsidR="00FC77C7" w:rsidRDefault="00FC77C7" w:rsidP="00FC77C7">
      <w:r>
        <w:t xml:space="preserve">For recreational use the value of interest to this study is the surplus that people obtain when they pursue freshwater-based activities. This surplus is measured as the difference between what they spend and their WTP; it assumes this is the retained value in the community, on the assumption that the costs of recreation are real resource costs. By real resource costs we mean that the prices paid (for equipment, fishing licences, travel costs and so on) are equal to the opportunity costs of their provision. So, if there is no surplus (WTP = amount paid), there is no net community value from the activity. This is the basis for the benefits evaluated explored using the Tait </w:t>
      </w:r>
      <w:r>
        <w:rPr>
          <w:i/>
          <w:iCs/>
        </w:rPr>
        <w:t>et al</w:t>
      </w:r>
      <w:r>
        <w:t xml:space="preserve"> (2016) results in Section </w:t>
      </w:r>
      <w:r>
        <w:fldChar w:fldCharType="begin"/>
      </w:r>
      <w:r>
        <w:instrText xml:space="preserve"> REF _Ref34375204 \r \h </w:instrText>
      </w:r>
      <w:r>
        <w:fldChar w:fldCharType="separate"/>
      </w:r>
      <w:r w:rsidR="00024EB5">
        <w:t>3</w:t>
      </w:r>
      <w:r>
        <w:fldChar w:fldCharType="end"/>
      </w:r>
      <w:r>
        <w:t xml:space="preserve">. </w:t>
      </w:r>
    </w:p>
    <w:p w14:paraId="7C18719F" w14:textId="77777777" w:rsidR="00FC77C7" w:rsidRDefault="00FC77C7" w:rsidP="00FC77C7"/>
    <w:p w14:paraId="50CBDBDE" w14:textId="77777777" w:rsidR="00FC77C7" w:rsidRPr="007C1A73" w:rsidRDefault="00FC77C7" w:rsidP="00FC77C7">
      <w:r>
        <w:t>A study of the value of Otago sports fisheries estimated the consumer surplus to be in the range of $64–$189 million per annum.</w:t>
      </w:r>
      <w:r>
        <w:rPr>
          <w:rStyle w:val="FootnoteReference"/>
          <w:rFonts w:ascii="Arial" w:hAnsi="Arial" w:cs="Arial"/>
        </w:rPr>
        <w:footnoteReference w:id="68"/>
      </w:r>
      <w:r>
        <w:t xml:space="preserve"> The study was based on a travel cost method, which used an angler survey to estimate travel costs and, by constructing a demand curve for fishing, derived a consumer surplus. However, this is not an estimate of the change in value from an improvement in water quality (as per Tait </w:t>
      </w:r>
      <w:r>
        <w:rPr>
          <w:i/>
          <w:iCs/>
        </w:rPr>
        <w:t>et al</w:t>
      </w:r>
      <w:r>
        <w:t>, 2016). It does provide a maximum estimate of value at risk, but that is on the basis of there being no substitute sites or substitute activities.</w:t>
      </w:r>
    </w:p>
    <w:p w14:paraId="37BEBE46" w14:textId="77777777" w:rsidR="00FC77C7" w:rsidRDefault="00FC77C7" w:rsidP="00FC77C7"/>
    <w:p w14:paraId="2B96491D" w14:textId="77777777" w:rsidR="00FC77C7" w:rsidRDefault="00FC77C7" w:rsidP="00FC77C7">
      <w:r>
        <w:t>Some studies have been conducted on the expenditure of recreational activities. These are relevant to estimates of the GDP contributions of these activities, but they are not measures of community value (or wellbeing) because they do not value the consumer surplus obtained (if any). They are a measure of the demand for these activities. Below we provide a discussion of some of these data using values and text provided by the Department of Conservation (</w:t>
      </w:r>
      <w:proofErr w:type="spellStart"/>
      <w:r>
        <w:t>DoC</w:t>
      </w:r>
      <w:proofErr w:type="spellEnd"/>
      <w:r>
        <w:t xml:space="preserve">) using information supplied </w:t>
      </w:r>
      <w:r w:rsidRPr="00D90A0F">
        <w:t xml:space="preserve">by the New Zealand Fish and Game Council </w:t>
      </w:r>
      <w:r>
        <w:t>and/</w:t>
      </w:r>
      <w:r w:rsidRPr="00D90A0F">
        <w:t>or the New Zealand Professional Fishing Guides Association</w:t>
      </w:r>
      <w:r>
        <w:t>.</w:t>
      </w:r>
    </w:p>
    <w:p w14:paraId="3F7FB487" w14:textId="77777777" w:rsidR="00FC77C7" w:rsidRPr="007C1A73" w:rsidRDefault="00FC77C7" w:rsidP="00FC77C7"/>
    <w:p w14:paraId="213D7477" w14:textId="77777777" w:rsidR="00FC77C7" w:rsidRDefault="00FC77C7" w:rsidP="00FC77C7">
      <w:r w:rsidRPr="00EA6BEF">
        <w:t>Freshwater sports fishing licence sales nationally amount to $</w:t>
      </w:r>
      <w:r>
        <w:t>9.847</w:t>
      </w:r>
      <w:r w:rsidRPr="00EA6BEF">
        <w:t> million per year (</w:t>
      </w:r>
      <w:r>
        <w:t>146,000</w:t>
      </w:r>
      <w:r w:rsidRPr="00EA6BEF">
        <w:t xml:space="preserve"> licences sold),</w:t>
      </w:r>
      <w:r>
        <w:rPr>
          <w:rStyle w:val="FootnoteReference"/>
          <w:rFonts w:ascii="Arial" w:hAnsi="Arial" w:cs="Arial"/>
        </w:rPr>
        <w:footnoteReference w:id="69"/>
      </w:r>
      <w:r w:rsidRPr="00EA6BEF">
        <w:t xml:space="preserve"> </w:t>
      </w:r>
      <w:r>
        <w:t>but</w:t>
      </w:r>
      <w:r w:rsidRPr="00EA6BEF">
        <w:t xml:space="preserve"> far greater amounts are spent on outdoor equipment (including fishing gear, boats and vehicles), travel, accommodation, and other services associated with the recreational fishery.  </w:t>
      </w:r>
    </w:p>
    <w:p w14:paraId="4DA9AF67" w14:textId="77777777" w:rsidR="00FC77C7" w:rsidRDefault="00FC77C7" w:rsidP="00FC77C7"/>
    <w:p w14:paraId="01BAE8C6" w14:textId="77777777" w:rsidR="00FC77C7" w:rsidRDefault="00FC77C7" w:rsidP="00FC77C7">
      <w:r>
        <w:t>The total GDP contribution of the sports fishery to the country as a whole is not currently known.  However, t</w:t>
      </w:r>
      <w:r w:rsidRPr="00BD78C8">
        <w:t xml:space="preserve">he </w:t>
      </w:r>
      <w:proofErr w:type="spellStart"/>
      <w:r w:rsidRPr="00BD78C8">
        <w:t>Taupō</w:t>
      </w:r>
      <w:proofErr w:type="spellEnd"/>
      <w:r w:rsidRPr="00BD78C8">
        <w:t xml:space="preserve"> fishery</w:t>
      </w:r>
      <w:r>
        <w:rPr>
          <w:rStyle w:val="FootnoteReference"/>
          <w:rFonts w:ascii="Arial" w:hAnsi="Arial" w:cs="Arial"/>
        </w:rPr>
        <w:footnoteReference w:id="70"/>
      </w:r>
      <w:r>
        <w:t xml:space="preserve"> was estimated in 2013 to c</w:t>
      </w:r>
      <w:r w:rsidRPr="0003161E">
        <w:t>reate at least $29</w:t>
      </w:r>
      <w:r>
        <w:t> </w:t>
      </w:r>
      <w:r w:rsidRPr="0003161E">
        <w:t>million per year in business turnover, adds $11</w:t>
      </w:r>
      <w:r>
        <w:t> </w:t>
      </w:r>
      <w:r w:rsidRPr="0003161E">
        <w:t xml:space="preserve">million to the size of the </w:t>
      </w:r>
      <w:proofErr w:type="spellStart"/>
      <w:r>
        <w:t>Taupō</w:t>
      </w:r>
      <w:proofErr w:type="spellEnd"/>
      <w:r>
        <w:t xml:space="preserve"> </w:t>
      </w:r>
      <w:r w:rsidRPr="0003161E">
        <w:t>economy, and sustains nearly 300 jobs</w:t>
      </w:r>
      <w:r>
        <w:t>.</w:t>
      </w:r>
      <w:r w:rsidRPr="0003161E">
        <w:rPr>
          <w:vertAlign w:val="superscript"/>
        </w:rPr>
        <w:footnoteReference w:id="71"/>
      </w:r>
      <w:r>
        <w:t xml:space="preserve">  A 2016 Otago University study found that angling tourists spent roughly twice as much as the average visitor and contribute approximately $28 million per annum to the NZ economy.</w:t>
      </w:r>
      <w:r>
        <w:rPr>
          <w:rStyle w:val="FootnoteReference"/>
          <w:rFonts w:ascii="Arial" w:hAnsi="Arial" w:cs="Arial"/>
        </w:rPr>
        <w:footnoteReference w:id="72"/>
      </w:r>
    </w:p>
    <w:p w14:paraId="7A80AC0C" w14:textId="77777777" w:rsidR="00FC77C7" w:rsidRDefault="00FC77C7" w:rsidP="00FC77C7"/>
    <w:p w14:paraId="35554A70" w14:textId="77777777" w:rsidR="00FC77C7" w:rsidRDefault="00FC77C7" w:rsidP="00FC77C7">
      <w:r>
        <w:lastRenderedPageBreak/>
        <w:t>Commercial use of freshwater provides significant incomes in some locations in New Zealand. At least some of this is at risk from the deterioration of water quality and is protected (or enabled to increase) from improvements in water quality.</w:t>
      </w:r>
    </w:p>
    <w:p w14:paraId="241581D5" w14:textId="77777777" w:rsidR="00FC77C7" w:rsidRPr="007C719A" w:rsidRDefault="00FC77C7" w:rsidP="00FC77C7">
      <w:pPr>
        <w:pStyle w:val="Heading2"/>
      </w:pPr>
      <w:bookmarkStart w:id="103" w:name="_Toc35599762"/>
      <w:r>
        <w:t>Reputational Value</w:t>
      </w:r>
      <w:bookmarkEnd w:id="103"/>
    </w:p>
    <w:p w14:paraId="6822855E" w14:textId="77777777" w:rsidR="00FC77C7" w:rsidRDefault="00FC77C7" w:rsidP="00FC77C7">
      <w:r>
        <w:t>Surveys have suggested the international perception of New Zealand’s natural environment is important to the value of exports,</w:t>
      </w:r>
      <w:r>
        <w:rPr>
          <w:rStyle w:val="FootnoteReference"/>
        </w:rPr>
        <w:footnoteReference w:id="73"/>
      </w:r>
      <w:r>
        <w:t xml:space="preserve"> </w:t>
      </w:r>
      <w:proofErr w:type="spellStart"/>
      <w:r>
        <w:t>ie</w:t>
      </w:r>
      <w:proofErr w:type="spellEnd"/>
      <w:r>
        <w:t xml:space="preserve"> there is a price premium attached to the ‘clean and green’ image. </w:t>
      </w:r>
      <w:proofErr w:type="spellStart"/>
      <w:r>
        <w:t>MfE</w:t>
      </w:r>
      <w:proofErr w:type="spellEnd"/>
      <w:r>
        <w:t xml:space="preserve"> has previously estimated a value for this image of several hundred million dollars and that loss of the premium would be very difficult to reverse.</w:t>
      </w:r>
      <w:r>
        <w:rPr>
          <w:rStyle w:val="FootnoteReference"/>
        </w:rPr>
        <w:footnoteReference w:id="74"/>
      </w:r>
      <w:r>
        <w:t xml:space="preserve"> </w:t>
      </w:r>
    </w:p>
    <w:p w14:paraId="0F6361CF" w14:textId="77777777" w:rsidR="00FC77C7" w:rsidRDefault="00FC77C7" w:rsidP="00FC77C7"/>
    <w:p w14:paraId="72AC02EF" w14:textId="77777777" w:rsidR="00FC77C7" w:rsidRDefault="00FC77C7" w:rsidP="00FC77C7">
      <w:r>
        <w:t>Concerns have been raised that this image is at stake, particularly because of the impacts of the dairy industry on water quality.</w:t>
      </w:r>
      <w:r>
        <w:rPr>
          <w:rStyle w:val="FootnoteReference"/>
        </w:rPr>
        <w:footnoteReference w:id="75"/>
      </w:r>
      <w:r>
        <w:t xml:space="preserve"> In this analysis, even if the image could be valued, our interest is in the marginal value of the image, </w:t>
      </w:r>
      <w:proofErr w:type="spellStart"/>
      <w:r>
        <w:t>ie</w:t>
      </w:r>
      <w:proofErr w:type="spellEnd"/>
      <w:r>
        <w:t xml:space="preserve"> the change in image value if the quality of the environment changed. </w:t>
      </w:r>
    </w:p>
    <w:p w14:paraId="4BF988A1" w14:textId="77777777" w:rsidR="00FC77C7" w:rsidRDefault="00FC77C7" w:rsidP="00FC77C7"/>
    <w:p w14:paraId="3EFB616E" w14:textId="5D900B94" w:rsidR="00FC77C7" w:rsidRDefault="00FC77C7" w:rsidP="00FC77C7">
      <w:r>
        <w:t xml:space="preserve">A recent study by Lincoln University examined </w:t>
      </w:r>
      <w:r w:rsidRPr="00D51BAD">
        <w:t>the WTP for attributes of food by consumers for different products and in different markets</w:t>
      </w:r>
      <w:r>
        <w:t>.</w:t>
      </w:r>
      <w:r>
        <w:rPr>
          <w:rStyle w:val="FootnoteReference"/>
        </w:rPr>
        <w:footnoteReference w:id="76"/>
      </w:r>
      <w:r>
        <w:t xml:space="preserve"> The research focussed on “</w:t>
      </w:r>
      <w:r w:rsidRPr="00D51BAD">
        <w:t>credence attributes</w:t>
      </w:r>
      <w:r>
        <w:t xml:space="preserve">”, including </w:t>
      </w:r>
      <w:r w:rsidRPr="00D51BAD">
        <w:t>those relating to food safety, animal welfare, environmental outcomes, country-of-origin, functional (or healthy) foods and the use of organic production methods</w:t>
      </w:r>
      <w:r>
        <w:t xml:space="preserve">. They report the results of surveys using choice experiments, on the price premium people in different markets would be willing to pay for food that is certified by these attributes. </w:t>
      </w:r>
      <w:r>
        <w:fldChar w:fldCharType="begin"/>
      </w:r>
      <w:r>
        <w:instrText xml:space="preserve"> REF _Ref34379381 \h </w:instrText>
      </w:r>
      <w:r>
        <w:fldChar w:fldCharType="separate"/>
      </w:r>
      <w:r w:rsidR="00024EB5">
        <w:t xml:space="preserve">Table </w:t>
      </w:r>
      <w:r w:rsidR="00024EB5">
        <w:rPr>
          <w:noProof/>
        </w:rPr>
        <w:t>29</w:t>
      </w:r>
      <w:r>
        <w:fldChar w:fldCharType="end"/>
      </w:r>
      <w:r>
        <w:t xml:space="preserve"> shows the WTP a price premium of different levels for lamb purchased, by consumers in China, India and the UK. For minimised water pollution, the median WTP is 7% in China, 21% in India and 6% in the UK. However, these are not values for reducing water pollution in New Zealand. The studies identified the WTP for credence attributes independently of any WTP for New Zealand as a country of origin,</w:t>
      </w:r>
      <w:r>
        <w:rPr>
          <w:rStyle w:val="FootnoteReference"/>
        </w:rPr>
        <w:footnoteReference w:id="77"/>
      </w:r>
      <w:r>
        <w:t xml:space="preserve"> so the WTP may be for water quality improvement in the country of the consumer.</w:t>
      </w:r>
    </w:p>
    <w:p w14:paraId="4CD583BD" w14:textId="184BEC48" w:rsidR="00FC77C7" w:rsidRDefault="00FC77C7" w:rsidP="0093011F">
      <w:pPr>
        <w:pStyle w:val="Caption"/>
      </w:pPr>
      <w:bookmarkStart w:id="104" w:name="_Ref34379381"/>
      <w:r>
        <w:t xml:space="preserve">Table </w:t>
      </w:r>
      <w:r w:rsidR="00313617">
        <w:fldChar w:fldCharType="begin"/>
      </w:r>
      <w:r w:rsidR="00313617">
        <w:instrText xml:space="preserve"> SEQ Table \* ARABIC </w:instrText>
      </w:r>
      <w:r w:rsidR="00313617">
        <w:fldChar w:fldCharType="separate"/>
      </w:r>
      <w:r w:rsidR="00024EB5">
        <w:rPr>
          <w:noProof/>
        </w:rPr>
        <w:t>29</w:t>
      </w:r>
      <w:r w:rsidR="00313617">
        <w:rPr>
          <w:noProof/>
        </w:rPr>
        <w:fldChar w:fldCharType="end"/>
      </w:r>
      <w:bookmarkEnd w:id="104"/>
      <w:r>
        <w:t xml:space="preserve"> Median willingness to pay</w:t>
      </w:r>
      <w:r>
        <w:rPr>
          <w:noProof/>
        </w:rPr>
        <w:t xml:space="preserve"> (% </w:t>
      </w:r>
      <w:r w:rsidRPr="0002779E">
        <w:rPr>
          <w:noProof/>
        </w:rPr>
        <w:t>increase in product price</w:t>
      </w:r>
      <w:r>
        <w:rPr>
          <w:noProof/>
        </w:rPr>
        <w:t>) for lamb under different certifications</w:t>
      </w:r>
    </w:p>
    <w:tbl>
      <w:tblPr>
        <w:tblStyle w:val="CovecTables"/>
        <w:tblW w:w="8000" w:type="dxa"/>
        <w:tblLayout w:type="fixed"/>
        <w:tblLook w:val="04E0" w:firstRow="1" w:lastRow="1" w:firstColumn="1" w:lastColumn="0" w:noHBand="0" w:noVBand="1"/>
      </w:tblPr>
      <w:tblGrid>
        <w:gridCol w:w="4423"/>
        <w:gridCol w:w="1192"/>
        <w:gridCol w:w="1192"/>
        <w:gridCol w:w="1193"/>
      </w:tblGrid>
      <w:tr w:rsidR="00FC77C7" w:rsidRPr="00D51BAD" w14:paraId="52EEE098"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3" w:type="dxa"/>
            <w:noWrap/>
            <w:hideMark/>
          </w:tcPr>
          <w:p w14:paraId="362BCE24" w14:textId="77777777" w:rsidR="00FC77C7" w:rsidRPr="00D51BAD" w:rsidRDefault="00FC77C7" w:rsidP="0093011F">
            <w:pPr>
              <w:pStyle w:val="TableText"/>
              <w:jc w:val="left"/>
            </w:pPr>
            <w:r w:rsidRPr="00D51BAD">
              <w:t>WTP f</w:t>
            </w:r>
            <w:r>
              <w:t>o</w:t>
            </w:r>
            <w:r w:rsidRPr="00D51BAD">
              <w:t>r lamb production officially certified</w:t>
            </w:r>
            <w:r>
              <w:t>:</w:t>
            </w:r>
          </w:p>
        </w:tc>
        <w:tc>
          <w:tcPr>
            <w:tcW w:w="1192" w:type="dxa"/>
            <w:noWrap/>
            <w:hideMark/>
          </w:tcPr>
          <w:p w14:paraId="499004CF"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China</w:t>
            </w:r>
          </w:p>
        </w:tc>
        <w:tc>
          <w:tcPr>
            <w:tcW w:w="1192" w:type="dxa"/>
            <w:noWrap/>
            <w:hideMark/>
          </w:tcPr>
          <w:p w14:paraId="351548D9"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India</w:t>
            </w:r>
          </w:p>
        </w:tc>
        <w:tc>
          <w:tcPr>
            <w:tcW w:w="1193" w:type="dxa"/>
            <w:noWrap/>
            <w:hideMark/>
          </w:tcPr>
          <w:p w14:paraId="0C9889E5"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UK</w:t>
            </w:r>
          </w:p>
        </w:tc>
      </w:tr>
      <w:tr w:rsidR="00FC77C7" w:rsidRPr="00D51BAD" w14:paraId="07FC35B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4423" w:type="dxa"/>
            <w:noWrap/>
            <w:hideMark/>
          </w:tcPr>
          <w:p w14:paraId="312B0F38" w14:textId="77777777" w:rsidR="00FC77C7" w:rsidRPr="00D51BAD" w:rsidRDefault="00FC77C7" w:rsidP="0093011F">
            <w:pPr>
              <w:pStyle w:val="TableText"/>
            </w:pPr>
            <w:r w:rsidRPr="00D51BAD">
              <w:t>as safe to eat</w:t>
            </w:r>
          </w:p>
        </w:tc>
        <w:tc>
          <w:tcPr>
            <w:tcW w:w="1192" w:type="dxa"/>
            <w:noWrap/>
            <w:hideMark/>
          </w:tcPr>
          <w:p w14:paraId="5BF3B5AD"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34%</w:t>
            </w:r>
          </w:p>
        </w:tc>
        <w:tc>
          <w:tcPr>
            <w:tcW w:w="1192" w:type="dxa"/>
            <w:noWrap/>
            <w:hideMark/>
          </w:tcPr>
          <w:p w14:paraId="2F8DA1FD"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49%</w:t>
            </w:r>
          </w:p>
        </w:tc>
        <w:tc>
          <w:tcPr>
            <w:tcW w:w="1193" w:type="dxa"/>
            <w:noWrap/>
            <w:hideMark/>
          </w:tcPr>
          <w:p w14:paraId="678C2F37"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15%</w:t>
            </w:r>
          </w:p>
        </w:tc>
      </w:tr>
      <w:tr w:rsidR="00FC77C7" w:rsidRPr="00D51BAD" w14:paraId="3C768AA3"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1A45935" w14:textId="77777777" w:rsidR="00FC77C7" w:rsidRPr="00D51BAD" w:rsidRDefault="00FC77C7" w:rsidP="0093011F">
            <w:pPr>
              <w:pStyle w:val="TableText"/>
            </w:pPr>
            <w:r w:rsidRPr="00D51BAD">
              <w:t>to meet at least minimum animal welfare standards</w:t>
            </w:r>
          </w:p>
        </w:tc>
        <w:tc>
          <w:tcPr>
            <w:tcW w:w="1192" w:type="dxa"/>
            <w:noWrap/>
            <w:hideMark/>
          </w:tcPr>
          <w:p w14:paraId="48FF2FE7"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9%</w:t>
            </w:r>
          </w:p>
        </w:tc>
        <w:tc>
          <w:tcPr>
            <w:tcW w:w="1192" w:type="dxa"/>
            <w:noWrap/>
            <w:hideMark/>
          </w:tcPr>
          <w:p w14:paraId="00DD8F42"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29%</w:t>
            </w:r>
          </w:p>
        </w:tc>
        <w:tc>
          <w:tcPr>
            <w:tcW w:w="1193" w:type="dxa"/>
            <w:noWrap/>
            <w:hideMark/>
          </w:tcPr>
          <w:p w14:paraId="4ECD7E63"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18%</w:t>
            </w:r>
          </w:p>
        </w:tc>
      </w:tr>
      <w:tr w:rsidR="00FC77C7" w:rsidRPr="00D51BAD" w14:paraId="4ABE8C08"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4423" w:type="dxa"/>
            <w:noWrap/>
            <w:hideMark/>
          </w:tcPr>
          <w:p w14:paraId="2AB15905" w14:textId="77777777" w:rsidR="00FC77C7" w:rsidRPr="00D51BAD" w:rsidRDefault="00FC77C7" w:rsidP="0093011F">
            <w:pPr>
              <w:pStyle w:val="TableText"/>
            </w:pPr>
            <w:r w:rsidRPr="00D51BAD">
              <w:t>to minimise water pollution</w:t>
            </w:r>
          </w:p>
        </w:tc>
        <w:tc>
          <w:tcPr>
            <w:tcW w:w="1192" w:type="dxa"/>
            <w:noWrap/>
            <w:hideMark/>
          </w:tcPr>
          <w:p w14:paraId="70B0EB6E"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7%</w:t>
            </w:r>
          </w:p>
        </w:tc>
        <w:tc>
          <w:tcPr>
            <w:tcW w:w="1192" w:type="dxa"/>
            <w:noWrap/>
            <w:hideMark/>
          </w:tcPr>
          <w:p w14:paraId="4E44DA43"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21%</w:t>
            </w:r>
          </w:p>
        </w:tc>
        <w:tc>
          <w:tcPr>
            <w:tcW w:w="1193" w:type="dxa"/>
            <w:noWrap/>
            <w:hideMark/>
          </w:tcPr>
          <w:p w14:paraId="42762D8F"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6%</w:t>
            </w:r>
          </w:p>
        </w:tc>
      </w:tr>
      <w:tr w:rsidR="00FC77C7" w:rsidRPr="00D51BAD" w14:paraId="4A90C2EE"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4423" w:type="dxa"/>
            <w:noWrap/>
            <w:hideMark/>
          </w:tcPr>
          <w:p w14:paraId="0B0EFAE2" w14:textId="77777777" w:rsidR="00FC77C7" w:rsidRPr="00D51BAD" w:rsidRDefault="00FC77C7" w:rsidP="0093011F">
            <w:pPr>
              <w:pStyle w:val="TableText"/>
            </w:pPr>
            <w:r w:rsidRPr="00D51BAD">
              <w:t>to minimise greenhouse gases</w:t>
            </w:r>
          </w:p>
        </w:tc>
        <w:tc>
          <w:tcPr>
            <w:tcW w:w="1192" w:type="dxa"/>
            <w:noWrap/>
            <w:hideMark/>
          </w:tcPr>
          <w:p w14:paraId="58BB59C3"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8%</w:t>
            </w:r>
          </w:p>
        </w:tc>
        <w:tc>
          <w:tcPr>
            <w:tcW w:w="1192" w:type="dxa"/>
            <w:noWrap/>
            <w:hideMark/>
          </w:tcPr>
          <w:p w14:paraId="266F6762"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28%</w:t>
            </w:r>
          </w:p>
        </w:tc>
        <w:tc>
          <w:tcPr>
            <w:tcW w:w="1193" w:type="dxa"/>
            <w:noWrap/>
            <w:hideMark/>
          </w:tcPr>
          <w:p w14:paraId="1ADDD067"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6%</w:t>
            </w:r>
          </w:p>
        </w:tc>
      </w:tr>
      <w:tr w:rsidR="00FC77C7" w:rsidRPr="00D51BAD" w14:paraId="6AD3ACFC"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4423" w:type="dxa"/>
            <w:noWrap/>
            <w:hideMark/>
          </w:tcPr>
          <w:p w14:paraId="2E92F130" w14:textId="77777777" w:rsidR="00FC77C7" w:rsidRPr="00D51BAD" w:rsidRDefault="00FC77C7" w:rsidP="0093011F">
            <w:pPr>
              <w:pStyle w:val="TableText"/>
            </w:pPr>
            <w:r w:rsidRPr="00D51BAD">
              <w:t>to protect biodiversity</w:t>
            </w:r>
          </w:p>
        </w:tc>
        <w:tc>
          <w:tcPr>
            <w:tcW w:w="1192" w:type="dxa"/>
            <w:noWrap/>
            <w:hideMark/>
          </w:tcPr>
          <w:p w14:paraId="563B9847"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D51BAD">
              <w:t>5%</w:t>
            </w:r>
          </w:p>
        </w:tc>
        <w:tc>
          <w:tcPr>
            <w:tcW w:w="1192" w:type="dxa"/>
            <w:noWrap/>
            <w:hideMark/>
          </w:tcPr>
          <w:p w14:paraId="474DAD77"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D51BAD">
              <w:t>26%</w:t>
            </w:r>
          </w:p>
        </w:tc>
        <w:tc>
          <w:tcPr>
            <w:tcW w:w="1193" w:type="dxa"/>
            <w:noWrap/>
            <w:hideMark/>
          </w:tcPr>
          <w:p w14:paraId="0A0487A0"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rsidRPr="00D51BAD">
              <w:t>4%</w:t>
            </w:r>
          </w:p>
        </w:tc>
      </w:tr>
    </w:tbl>
    <w:p w14:paraId="55A031A9" w14:textId="77777777" w:rsidR="00FC77C7" w:rsidRPr="007903F0" w:rsidRDefault="00FC77C7" w:rsidP="00FC77C7">
      <w:pPr>
        <w:rPr>
          <w:sz w:val="18"/>
          <w:szCs w:val="18"/>
        </w:rPr>
      </w:pPr>
      <w:r w:rsidRPr="007903F0">
        <w:rPr>
          <w:sz w:val="18"/>
          <w:szCs w:val="18"/>
        </w:rPr>
        <w:t xml:space="preserve">Source: Tait </w:t>
      </w:r>
      <w:r w:rsidRPr="007903F0">
        <w:rPr>
          <w:i/>
          <w:iCs/>
          <w:sz w:val="18"/>
          <w:szCs w:val="18"/>
        </w:rPr>
        <w:t>et al</w:t>
      </w:r>
      <w:r w:rsidRPr="007903F0">
        <w:rPr>
          <w:sz w:val="18"/>
          <w:szCs w:val="18"/>
        </w:rPr>
        <w:t xml:space="preserve"> (2020)</w:t>
      </w:r>
    </w:p>
    <w:p w14:paraId="7D9E12CE" w14:textId="77777777" w:rsidR="00FC77C7" w:rsidRPr="005B78A3" w:rsidRDefault="00FC77C7" w:rsidP="00FC77C7"/>
    <w:p w14:paraId="3444770D" w14:textId="34DED7B0" w:rsidR="00FC77C7" w:rsidRDefault="00FC77C7" w:rsidP="00FC77C7">
      <w:r>
        <w:fldChar w:fldCharType="begin"/>
      </w:r>
      <w:r>
        <w:instrText xml:space="preserve"> REF _Ref34380421 \h </w:instrText>
      </w:r>
      <w:r>
        <w:fldChar w:fldCharType="separate"/>
      </w:r>
      <w:r w:rsidR="00024EB5">
        <w:t xml:space="preserve">Table </w:t>
      </w:r>
      <w:r w:rsidR="00024EB5">
        <w:rPr>
          <w:noProof/>
        </w:rPr>
        <w:t>30</w:t>
      </w:r>
      <w:r>
        <w:fldChar w:fldCharType="end"/>
      </w:r>
      <w:r>
        <w:t xml:space="preserve"> shows the price premium consumers are willing to pay for reduced water pollution, for different products. Additional analysis was undertaken on the WTP for products sourced from New Zealand. However, this did not separate out the attributes of New Zealand that contributed to that WTP.</w:t>
      </w:r>
    </w:p>
    <w:p w14:paraId="59699441" w14:textId="4269735B" w:rsidR="0093011F" w:rsidRDefault="0093011F" w:rsidP="00FC77C7"/>
    <w:p w14:paraId="627B398E" w14:textId="77777777" w:rsidR="0093011F" w:rsidRDefault="0093011F" w:rsidP="00FC77C7"/>
    <w:p w14:paraId="4197FE45" w14:textId="66812190" w:rsidR="00FC77C7" w:rsidRDefault="00FC77C7" w:rsidP="0093011F">
      <w:pPr>
        <w:pStyle w:val="Caption"/>
      </w:pPr>
      <w:bookmarkStart w:id="105" w:name="_Ref34380421"/>
      <w:r>
        <w:lastRenderedPageBreak/>
        <w:t xml:space="preserve">Table </w:t>
      </w:r>
      <w:r w:rsidR="00313617">
        <w:fldChar w:fldCharType="begin"/>
      </w:r>
      <w:r w:rsidR="00313617">
        <w:instrText xml:space="preserve"> SEQ Table \* ARABIC </w:instrText>
      </w:r>
      <w:r w:rsidR="00313617">
        <w:fldChar w:fldCharType="separate"/>
      </w:r>
      <w:r w:rsidR="00024EB5">
        <w:rPr>
          <w:noProof/>
        </w:rPr>
        <w:t>30</w:t>
      </w:r>
      <w:r w:rsidR="00313617">
        <w:rPr>
          <w:noProof/>
        </w:rPr>
        <w:fldChar w:fldCharType="end"/>
      </w:r>
      <w:bookmarkEnd w:id="105"/>
      <w:r>
        <w:t xml:space="preserve"> Median willingness to pay</w:t>
      </w:r>
      <w:r>
        <w:rPr>
          <w:noProof/>
        </w:rPr>
        <w:t xml:space="preserve"> (% </w:t>
      </w:r>
      <w:r w:rsidRPr="0002779E">
        <w:rPr>
          <w:noProof/>
        </w:rPr>
        <w:t>increase in product price</w:t>
      </w:r>
      <w:r>
        <w:rPr>
          <w:noProof/>
        </w:rPr>
        <w:t xml:space="preserve">) for reduced water pollution </w:t>
      </w:r>
    </w:p>
    <w:tbl>
      <w:tblPr>
        <w:tblStyle w:val="CovecTables"/>
        <w:tblW w:w="8108" w:type="dxa"/>
        <w:tblLayout w:type="fixed"/>
        <w:tblLook w:val="04E0" w:firstRow="1" w:lastRow="1" w:firstColumn="1" w:lastColumn="0" w:noHBand="0" w:noVBand="1"/>
      </w:tblPr>
      <w:tblGrid>
        <w:gridCol w:w="1305"/>
        <w:gridCol w:w="3637"/>
        <w:gridCol w:w="1055"/>
        <w:gridCol w:w="1055"/>
        <w:gridCol w:w="1056"/>
      </w:tblGrid>
      <w:tr w:rsidR="00FC77C7" w:rsidRPr="00D51BAD" w14:paraId="2CE0025C" w14:textId="77777777" w:rsidTr="009301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dxa"/>
            <w:noWrap/>
            <w:hideMark/>
          </w:tcPr>
          <w:p w14:paraId="7F028104" w14:textId="77777777" w:rsidR="00FC77C7" w:rsidRPr="00D51BAD" w:rsidRDefault="00FC77C7" w:rsidP="0093011F">
            <w:pPr>
              <w:pStyle w:val="TableText"/>
              <w:jc w:val="left"/>
            </w:pPr>
            <w:r>
              <w:t>Product</w:t>
            </w:r>
          </w:p>
        </w:tc>
        <w:tc>
          <w:tcPr>
            <w:tcW w:w="3637" w:type="dxa"/>
          </w:tcPr>
          <w:p w14:paraId="1E1C827F" w14:textId="77777777" w:rsidR="00FC77C7" w:rsidRPr="00D51BAD" w:rsidRDefault="00FC77C7" w:rsidP="0093011F">
            <w:pPr>
              <w:pStyle w:val="TableText"/>
              <w:jc w:val="left"/>
              <w:cnfStyle w:val="100000000000" w:firstRow="1" w:lastRow="0" w:firstColumn="0" w:lastColumn="0" w:oddVBand="0" w:evenVBand="0" w:oddHBand="0" w:evenHBand="0" w:firstRowFirstColumn="0" w:firstRowLastColumn="0" w:lastRowFirstColumn="0" w:lastRowLastColumn="0"/>
            </w:pPr>
            <w:r>
              <w:t>Attribute</w:t>
            </w:r>
          </w:p>
        </w:tc>
        <w:tc>
          <w:tcPr>
            <w:tcW w:w="1055" w:type="dxa"/>
            <w:noWrap/>
            <w:hideMark/>
          </w:tcPr>
          <w:p w14:paraId="46C70858"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China</w:t>
            </w:r>
          </w:p>
        </w:tc>
        <w:tc>
          <w:tcPr>
            <w:tcW w:w="1055" w:type="dxa"/>
            <w:noWrap/>
            <w:hideMark/>
          </w:tcPr>
          <w:p w14:paraId="5C97F960"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India</w:t>
            </w:r>
          </w:p>
        </w:tc>
        <w:tc>
          <w:tcPr>
            <w:tcW w:w="1056" w:type="dxa"/>
            <w:noWrap/>
            <w:hideMark/>
          </w:tcPr>
          <w:p w14:paraId="4D46B6CF" w14:textId="77777777" w:rsidR="00FC77C7" w:rsidRPr="00D51BAD"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51BAD">
              <w:t>UK</w:t>
            </w:r>
          </w:p>
        </w:tc>
      </w:tr>
      <w:tr w:rsidR="00FC77C7" w:rsidRPr="00D51BAD" w14:paraId="1DF7656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305" w:type="dxa"/>
            <w:noWrap/>
            <w:hideMark/>
          </w:tcPr>
          <w:p w14:paraId="28C75120" w14:textId="77777777" w:rsidR="00FC77C7" w:rsidRPr="00D51BAD" w:rsidRDefault="00FC77C7" w:rsidP="0093011F">
            <w:pPr>
              <w:pStyle w:val="TableText"/>
            </w:pPr>
            <w:r>
              <w:t>Lamb</w:t>
            </w:r>
          </w:p>
        </w:tc>
        <w:tc>
          <w:tcPr>
            <w:tcW w:w="3637" w:type="dxa"/>
          </w:tcPr>
          <w:p w14:paraId="017FF9F7" w14:textId="77777777" w:rsidR="00FC77C7" w:rsidRPr="00D51BAD"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Minimise water pollution</w:t>
            </w:r>
          </w:p>
        </w:tc>
        <w:tc>
          <w:tcPr>
            <w:tcW w:w="1055" w:type="dxa"/>
            <w:noWrap/>
            <w:hideMark/>
          </w:tcPr>
          <w:p w14:paraId="25A53B32"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7%</w:t>
            </w:r>
          </w:p>
        </w:tc>
        <w:tc>
          <w:tcPr>
            <w:tcW w:w="1055" w:type="dxa"/>
            <w:noWrap/>
            <w:hideMark/>
          </w:tcPr>
          <w:p w14:paraId="4EDCA510"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21%</w:t>
            </w:r>
          </w:p>
        </w:tc>
        <w:tc>
          <w:tcPr>
            <w:tcW w:w="1056" w:type="dxa"/>
            <w:noWrap/>
            <w:hideMark/>
          </w:tcPr>
          <w:p w14:paraId="01B52920"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rsidRPr="00D51BAD">
              <w:t>6%</w:t>
            </w:r>
          </w:p>
        </w:tc>
      </w:tr>
      <w:tr w:rsidR="00FC77C7" w:rsidRPr="00D51BAD" w14:paraId="7315F7B0"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305" w:type="dxa"/>
            <w:noWrap/>
          </w:tcPr>
          <w:p w14:paraId="36F8E8EC" w14:textId="77777777" w:rsidR="00FC77C7" w:rsidRPr="00D51BAD" w:rsidRDefault="00FC77C7" w:rsidP="0093011F">
            <w:pPr>
              <w:pStyle w:val="TableText"/>
            </w:pPr>
            <w:r>
              <w:t>Lamb</w:t>
            </w:r>
          </w:p>
        </w:tc>
        <w:tc>
          <w:tcPr>
            <w:tcW w:w="3637" w:type="dxa"/>
          </w:tcPr>
          <w:p w14:paraId="060C7670" w14:textId="77777777" w:rsidR="00FC77C7" w:rsidRPr="00D51BAD"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Water quality protection</w:t>
            </w:r>
          </w:p>
        </w:tc>
        <w:tc>
          <w:tcPr>
            <w:tcW w:w="1055" w:type="dxa"/>
            <w:noWrap/>
          </w:tcPr>
          <w:p w14:paraId="27284BDB"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055" w:type="dxa"/>
            <w:noWrap/>
          </w:tcPr>
          <w:p w14:paraId="4FF2C7A1"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056" w:type="dxa"/>
            <w:noWrap/>
          </w:tcPr>
          <w:p w14:paraId="2FE158BC"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0.5 – 0.7%</w:t>
            </w:r>
          </w:p>
        </w:tc>
      </w:tr>
      <w:tr w:rsidR="00FC77C7" w:rsidRPr="00D51BAD" w14:paraId="5AABBC61" w14:textId="77777777" w:rsidTr="0093011F">
        <w:trPr>
          <w:trHeight w:val="288"/>
        </w:trPr>
        <w:tc>
          <w:tcPr>
            <w:cnfStyle w:val="001000000000" w:firstRow="0" w:lastRow="0" w:firstColumn="1" w:lastColumn="0" w:oddVBand="0" w:evenVBand="0" w:oddHBand="0" w:evenHBand="0" w:firstRowFirstColumn="0" w:firstRowLastColumn="0" w:lastRowFirstColumn="0" w:lastRowLastColumn="0"/>
            <w:tcW w:w="1305" w:type="dxa"/>
            <w:noWrap/>
          </w:tcPr>
          <w:p w14:paraId="2CCC2183" w14:textId="77777777" w:rsidR="00FC77C7" w:rsidRPr="00D51BAD" w:rsidRDefault="00FC77C7" w:rsidP="0093011F">
            <w:pPr>
              <w:pStyle w:val="TableText"/>
            </w:pPr>
            <w:r>
              <w:t>Dairy products</w:t>
            </w:r>
          </w:p>
        </w:tc>
        <w:tc>
          <w:tcPr>
            <w:tcW w:w="3637" w:type="dxa"/>
          </w:tcPr>
          <w:p w14:paraId="2E2E5AC2" w14:textId="77777777" w:rsidR="00FC77C7" w:rsidRPr="00D51BAD" w:rsidRDefault="00FC77C7" w:rsidP="0093011F">
            <w:pPr>
              <w:pStyle w:val="TableText"/>
              <w:jc w:val="left"/>
              <w:cnfStyle w:val="000000000000" w:firstRow="0" w:lastRow="0" w:firstColumn="0" w:lastColumn="0" w:oddVBand="0" w:evenVBand="0" w:oddHBand="0" w:evenHBand="0" w:firstRowFirstColumn="0" w:firstRowLastColumn="0" w:lastRowFirstColumn="0" w:lastRowLastColumn="0"/>
            </w:pPr>
            <w:r>
              <w:t>Minimise water pollution</w:t>
            </w:r>
          </w:p>
        </w:tc>
        <w:tc>
          <w:tcPr>
            <w:tcW w:w="1055" w:type="dxa"/>
            <w:noWrap/>
          </w:tcPr>
          <w:p w14:paraId="435C98D9"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16%</w:t>
            </w:r>
          </w:p>
        </w:tc>
        <w:tc>
          <w:tcPr>
            <w:tcW w:w="1055" w:type="dxa"/>
            <w:noWrap/>
          </w:tcPr>
          <w:p w14:paraId="5260848A"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19%</w:t>
            </w:r>
          </w:p>
        </w:tc>
        <w:tc>
          <w:tcPr>
            <w:tcW w:w="1056" w:type="dxa"/>
            <w:noWrap/>
          </w:tcPr>
          <w:p w14:paraId="5BC97574" w14:textId="77777777" w:rsidR="00FC77C7" w:rsidRPr="00D51BAD"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3%</w:t>
            </w:r>
          </w:p>
        </w:tc>
      </w:tr>
      <w:tr w:rsidR="00FC77C7" w:rsidRPr="00D51BAD" w14:paraId="69E56B85" w14:textId="77777777" w:rsidTr="0093011F">
        <w:trPr>
          <w:cnfStyle w:val="010000000000" w:firstRow="0" w:lastRow="1" w:firstColumn="0" w:lastColumn="0" w:oddVBand="0" w:evenVBand="0" w:oddHBand="0" w:evenHBand="0" w:firstRowFirstColumn="0" w:firstRowLastColumn="0" w:lastRowFirstColumn="0" w:lastRowLastColumn="0"/>
          <w:trHeight w:val="288"/>
        </w:trPr>
        <w:tc>
          <w:tcPr>
            <w:cnfStyle w:val="001000000001" w:firstRow="0" w:lastRow="0" w:firstColumn="1" w:lastColumn="0" w:oddVBand="0" w:evenVBand="0" w:oddHBand="0" w:evenHBand="0" w:firstRowFirstColumn="0" w:firstRowLastColumn="0" w:lastRowFirstColumn="1" w:lastRowLastColumn="0"/>
            <w:tcW w:w="1305" w:type="dxa"/>
            <w:noWrap/>
          </w:tcPr>
          <w:p w14:paraId="0966BBE5" w14:textId="77777777" w:rsidR="00FC77C7" w:rsidRPr="00D51BAD" w:rsidRDefault="00FC77C7" w:rsidP="0093011F">
            <w:pPr>
              <w:pStyle w:val="TableText"/>
            </w:pPr>
            <w:r>
              <w:t>Kiwifruit</w:t>
            </w:r>
          </w:p>
        </w:tc>
        <w:tc>
          <w:tcPr>
            <w:tcW w:w="3637" w:type="dxa"/>
          </w:tcPr>
          <w:p w14:paraId="4542EDD3" w14:textId="77777777" w:rsidR="00FC77C7" w:rsidRPr="00D51BAD" w:rsidRDefault="00FC77C7" w:rsidP="0093011F">
            <w:pPr>
              <w:pStyle w:val="TableText"/>
              <w:jc w:val="left"/>
              <w:cnfStyle w:val="010000000000" w:firstRow="0" w:lastRow="1" w:firstColumn="0" w:lastColumn="0" w:oddVBand="0" w:evenVBand="0" w:oddHBand="0" w:evenHBand="0" w:firstRowFirstColumn="0" w:firstRowLastColumn="0" w:lastRowFirstColumn="0" w:lastRowLastColumn="0"/>
            </w:pPr>
            <w:r>
              <w:t>Water use &amp; pollution minimisation</w:t>
            </w:r>
          </w:p>
        </w:tc>
        <w:tc>
          <w:tcPr>
            <w:tcW w:w="1055" w:type="dxa"/>
            <w:noWrap/>
          </w:tcPr>
          <w:p w14:paraId="33AA82E2"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45%</w:t>
            </w:r>
          </w:p>
        </w:tc>
        <w:tc>
          <w:tcPr>
            <w:tcW w:w="1055" w:type="dxa"/>
            <w:noWrap/>
          </w:tcPr>
          <w:p w14:paraId="2F6BD9AA"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p>
        </w:tc>
        <w:tc>
          <w:tcPr>
            <w:tcW w:w="1056" w:type="dxa"/>
            <w:noWrap/>
          </w:tcPr>
          <w:p w14:paraId="578A2620" w14:textId="77777777" w:rsidR="00FC77C7" w:rsidRPr="00D51BAD"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p>
        </w:tc>
      </w:tr>
    </w:tbl>
    <w:p w14:paraId="215ABB9D" w14:textId="77777777" w:rsidR="00FC77C7" w:rsidRPr="007903F0" w:rsidRDefault="00FC77C7" w:rsidP="00FC77C7">
      <w:pPr>
        <w:rPr>
          <w:sz w:val="18"/>
          <w:szCs w:val="18"/>
        </w:rPr>
      </w:pPr>
      <w:r w:rsidRPr="007903F0">
        <w:rPr>
          <w:sz w:val="18"/>
          <w:szCs w:val="18"/>
        </w:rPr>
        <w:t xml:space="preserve">Source: Tait </w:t>
      </w:r>
      <w:r w:rsidRPr="007903F0">
        <w:rPr>
          <w:i/>
          <w:iCs/>
          <w:sz w:val="18"/>
          <w:szCs w:val="18"/>
        </w:rPr>
        <w:t>et al</w:t>
      </w:r>
      <w:r w:rsidRPr="007903F0">
        <w:rPr>
          <w:sz w:val="18"/>
          <w:szCs w:val="18"/>
        </w:rPr>
        <w:t xml:space="preserve"> (2020)</w:t>
      </w:r>
    </w:p>
    <w:p w14:paraId="30DC37E6" w14:textId="77777777" w:rsidR="00FC77C7" w:rsidRDefault="00FC77C7" w:rsidP="00FC77C7"/>
    <w:p w14:paraId="0B593F6F" w14:textId="2473B824" w:rsidR="00FC77C7" w:rsidRDefault="00FC77C7" w:rsidP="00FC77C7">
      <w:r>
        <w:t>Price premiums were identified for New Zealand produced products by consumers in California (</w:t>
      </w:r>
      <w:r>
        <w:fldChar w:fldCharType="begin"/>
      </w:r>
      <w:r>
        <w:instrText xml:space="preserve"> PAGEREF _Ref34382637 \h </w:instrText>
      </w:r>
      <w:r>
        <w:fldChar w:fldCharType="separate"/>
      </w:r>
      <w:r w:rsidR="00024EB5">
        <w:rPr>
          <w:noProof/>
        </w:rPr>
        <w:t>36</w:t>
      </w:r>
      <w:r>
        <w:fldChar w:fldCharType="end"/>
      </w:r>
      <w:r>
        <w:t>).</w:t>
      </w:r>
    </w:p>
    <w:p w14:paraId="79E346BC" w14:textId="7BB90222" w:rsidR="00FC77C7" w:rsidRDefault="00FC77C7" w:rsidP="0093011F">
      <w:pPr>
        <w:pStyle w:val="Caption"/>
      </w:pPr>
      <w:bookmarkStart w:id="106" w:name="_Ref34382637"/>
      <w:r>
        <w:t xml:space="preserve">Table </w:t>
      </w:r>
      <w:r w:rsidR="00313617">
        <w:fldChar w:fldCharType="begin"/>
      </w:r>
      <w:r w:rsidR="00313617">
        <w:instrText xml:space="preserve"> SEQ Table \* ARABIC </w:instrText>
      </w:r>
      <w:r w:rsidR="00313617">
        <w:fldChar w:fldCharType="separate"/>
      </w:r>
      <w:r w:rsidR="00024EB5">
        <w:rPr>
          <w:noProof/>
        </w:rPr>
        <w:t>31</w:t>
      </w:r>
      <w:r w:rsidR="00313617">
        <w:rPr>
          <w:noProof/>
        </w:rPr>
        <w:fldChar w:fldCharType="end"/>
      </w:r>
      <w:r>
        <w:t xml:space="preserve"> </w:t>
      </w:r>
      <w:r w:rsidRPr="002D6E03">
        <w:t xml:space="preserve">Median </w:t>
      </w:r>
      <w:r>
        <w:t>WTP</w:t>
      </w:r>
      <w:r w:rsidRPr="002D6E03">
        <w:t xml:space="preserve"> (% increase</w:t>
      </w:r>
      <w:r>
        <w:t xml:space="preserve"> in product price) by Californian consumers for NZ-produced products</w:t>
      </w:r>
      <w:bookmarkEnd w:id="106"/>
    </w:p>
    <w:tbl>
      <w:tblPr>
        <w:tblStyle w:val="CovecTables"/>
        <w:tblW w:w="0" w:type="auto"/>
        <w:tblLook w:val="04E0" w:firstRow="1" w:lastRow="1" w:firstColumn="1" w:lastColumn="0" w:noHBand="0" w:noVBand="1"/>
      </w:tblPr>
      <w:tblGrid>
        <w:gridCol w:w="4056"/>
        <w:gridCol w:w="4052"/>
      </w:tblGrid>
      <w:tr w:rsidR="00FC77C7" w14:paraId="0E66C552" w14:textId="77777777" w:rsidTr="009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6" w:type="dxa"/>
          </w:tcPr>
          <w:p w14:paraId="1F1D8A18" w14:textId="77777777" w:rsidR="00FC77C7" w:rsidRDefault="00FC77C7" w:rsidP="0093011F">
            <w:pPr>
              <w:pStyle w:val="TableText"/>
              <w:jc w:val="left"/>
            </w:pPr>
            <w:r>
              <w:t>Product</w:t>
            </w:r>
          </w:p>
        </w:tc>
        <w:tc>
          <w:tcPr>
            <w:tcW w:w="4052" w:type="dxa"/>
          </w:tcPr>
          <w:p w14:paraId="4B476E7E"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WTP</w:t>
            </w:r>
          </w:p>
        </w:tc>
      </w:tr>
      <w:tr w:rsidR="00FC77C7" w14:paraId="7CBEC0FE" w14:textId="77777777" w:rsidTr="0093011F">
        <w:tc>
          <w:tcPr>
            <w:cnfStyle w:val="001000000000" w:firstRow="0" w:lastRow="0" w:firstColumn="1" w:lastColumn="0" w:oddVBand="0" w:evenVBand="0" w:oddHBand="0" w:evenHBand="0" w:firstRowFirstColumn="0" w:firstRowLastColumn="0" w:lastRowFirstColumn="0" w:lastRowLastColumn="0"/>
            <w:tcW w:w="4056" w:type="dxa"/>
          </w:tcPr>
          <w:p w14:paraId="17ACA3B2" w14:textId="77777777" w:rsidR="00FC77C7" w:rsidRDefault="00FC77C7" w:rsidP="0093011F">
            <w:pPr>
              <w:pStyle w:val="TableText"/>
            </w:pPr>
            <w:r>
              <w:t>Ground beef (mince)</w:t>
            </w:r>
          </w:p>
        </w:tc>
        <w:tc>
          <w:tcPr>
            <w:tcW w:w="4052" w:type="dxa"/>
          </w:tcPr>
          <w:p w14:paraId="5510B36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20-22%</w:t>
            </w:r>
          </w:p>
        </w:tc>
      </w:tr>
      <w:tr w:rsidR="00FC77C7" w14:paraId="591218F1" w14:textId="77777777" w:rsidTr="0093011F">
        <w:tc>
          <w:tcPr>
            <w:cnfStyle w:val="001000000000" w:firstRow="0" w:lastRow="0" w:firstColumn="1" w:lastColumn="0" w:oddVBand="0" w:evenVBand="0" w:oddHBand="0" w:evenHBand="0" w:firstRowFirstColumn="0" w:firstRowLastColumn="0" w:lastRowFirstColumn="0" w:lastRowLastColumn="0"/>
            <w:tcW w:w="4056" w:type="dxa"/>
          </w:tcPr>
          <w:p w14:paraId="3CFEBCEC" w14:textId="77777777" w:rsidR="00FC77C7" w:rsidRDefault="00FC77C7" w:rsidP="0093011F">
            <w:pPr>
              <w:pStyle w:val="TableText"/>
            </w:pPr>
            <w:r>
              <w:t>Sirloin steak</w:t>
            </w:r>
          </w:p>
        </w:tc>
        <w:tc>
          <w:tcPr>
            <w:tcW w:w="4052" w:type="dxa"/>
          </w:tcPr>
          <w:p w14:paraId="13A26BE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9-10%</w:t>
            </w:r>
          </w:p>
        </w:tc>
      </w:tr>
      <w:tr w:rsidR="00FC77C7" w14:paraId="6048061B" w14:textId="77777777" w:rsidTr="0093011F">
        <w:tc>
          <w:tcPr>
            <w:cnfStyle w:val="001000000000" w:firstRow="0" w:lastRow="0" w:firstColumn="1" w:lastColumn="0" w:oddVBand="0" w:evenVBand="0" w:oddHBand="0" w:evenHBand="0" w:firstRowFirstColumn="0" w:firstRowLastColumn="0" w:lastRowFirstColumn="0" w:lastRowLastColumn="0"/>
            <w:tcW w:w="4056" w:type="dxa"/>
          </w:tcPr>
          <w:p w14:paraId="2653ACD8" w14:textId="77777777" w:rsidR="00FC77C7" w:rsidRDefault="00FC77C7" w:rsidP="0093011F">
            <w:pPr>
              <w:pStyle w:val="TableText"/>
            </w:pPr>
            <w:r>
              <w:t>Ribeye steak</w:t>
            </w:r>
          </w:p>
        </w:tc>
        <w:tc>
          <w:tcPr>
            <w:tcW w:w="4052" w:type="dxa"/>
          </w:tcPr>
          <w:p w14:paraId="731AA56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10-11%</w:t>
            </w:r>
          </w:p>
        </w:tc>
      </w:tr>
      <w:tr w:rsidR="00FC77C7" w14:paraId="384C4BA8" w14:textId="77777777" w:rsidTr="0093011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056" w:type="dxa"/>
          </w:tcPr>
          <w:p w14:paraId="461F21BC" w14:textId="77777777" w:rsidR="00FC77C7" w:rsidRDefault="00FC77C7" w:rsidP="0093011F">
            <w:pPr>
              <w:pStyle w:val="TableText"/>
            </w:pPr>
            <w:r>
              <w:t>Sauvignon Blank wine</w:t>
            </w:r>
          </w:p>
        </w:tc>
        <w:tc>
          <w:tcPr>
            <w:tcW w:w="4052" w:type="dxa"/>
          </w:tcPr>
          <w:p w14:paraId="335E00AA"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45%</w:t>
            </w:r>
          </w:p>
        </w:tc>
      </w:tr>
    </w:tbl>
    <w:p w14:paraId="61FF33F6" w14:textId="77777777" w:rsidR="00FC77C7" w:rsidRPr="007903F0" w:rsidRDefault="00FC77C7" w:rsidP="00FC77C7">
      <w:pPr>
        <w:rPr>
          <w:sz w:val="18"/>
          <w:szCs w:val="18"/>
        </w:rPr>
      </w:pPr>
      <w:r w:rsidRPr="007903F0">
        <w:rPr>
          <w:sz w:val="18"/>
          <w:szCs w:val="18"/>
        </w:rPr>
        <w:t xml:space="preserve">Source: Tait </w:t>
      </w:r>
      <w:r w:rsidRPr="007903F0">
        <w:rPr>
          <w:i/>
          <w:iCs/>
          <w:sz w:val="18"/>
          <w:szCs w:val="18"/>
        </w:rPr>
        <w:t>et al</w:t>
      </w:r>
      <w:r w:rsidRPr="007903F0">
        <w:rPr>
          <w:sz w:val="18"/>
          <w:szCs w:val="18"/>
        </w:rPr>
        <w:t xml:space="preserve"> (2018a); Tait </w:t>
      </w:r>
      <w:r w:rsidRPr="007903F0">
        <w:rPr>
          <w:i/>
          <w:iCs/>
          <w:sz w:val="18"/>
          <w:szCs w:val="18"/>
        </w:rPr>
        <w:t>et al</w:t>
      </w:r>
      <w:r w:rsidRPr="007903F0">
        <w:rPr>
          <w:sz w:val="18"/>
          <w:szCs w:val="18"/>
        </w:rPr>
        <w:t xml:space="preserve"> (2018b)</w:t>
      </w:r>
    </w:p>
    <w:p w14:paraId="16794C98" w14:textId="77777777" w:rsidR="00FC77C7" w:rsidRDefault="00FC77C7" w:rsidP="00FC77C7"/>
    <w:p w14:paraId="467C3018" w14:textId="77777777" w:rsidR="00FC77C7" w:rsidRDefault="00FC77C7" w:rsidP="00FC77C7">
      <w:r>
        <w:t>From these studies we can conclude that:</w:t>
      </w:r>
    </w:p>
    <w:p w14:paraId="254DF07F" w14:textId="77777777" w:rsidR="00FC77C7" w:rsidRDefault="00FC77C7" w:rsidP="008355BD">
      <w:pPr>
        <w:pStyle w:val="ListParagraph"/>
        <w:numPr>
          <w:ilvl w:val="0"/>
          <w:numId w:val="27"/>
        </w:numPr>
      </w:pPr>
      <w:r>
        <w:t>there is a value in New Zealand’s international image that results in a price premium for some products;</w:t>
      </w:r>
      <w:r>
        <w:br/>
      </w:r>
    </w:p>
    <w:p w14:paraId="3A100191" w14:textId="77777777" w:rsidR="00FC77C7" w:rsidRDefault="00FC77C7" w:rsidP="008355BD">
      <w:pPr>
        <w:pStyle w:val="ListParagraph"/>
        <w:numPr>
          <w:ilvl w:val="0"/>
          <w:numId w:val="27"/>
        </w:numPr>
      </w:pPr>
      <w:proofErr w:type="gramStart"/>
      <w:r>
        <w:t>there</w:t>
      </w:r>
      <w:proofErr w:type="gramEnd"/>
      <w:r>
        <w:t xml:space="preserve"> is market value in cleaner water, associated with the production of some products also.</w:t>
      </w:r>
    </w:p>
    <w:p w14:paraId="1318F1D1" w14:textId="77777777" w:rsidR="00FC77C7" w:rsidRDefault="00FC77C7" w:rsidP="00FC77C7"/>
    <w:p w14:paraId="3F01A61C" w14:textId="77777777" w:rsidR="00FC77C7" w:rsidRDefault="00FC77C7" w:rsidP="00FC77C7">
      <w:r>
        <w:t xml:space="preserve"> However, it is not possible to identify empirically the impact of a change in water quality in New Zealand on the price premium consumers would be willing to pay in other countries for products from New Zealand. However, there is significant value at risk.</w:t>
      </w:r>
    </w:p>
    <w:p w14:paraId="3D4E4914" w14:textId="77777777" w:rsidR="00FC77C7" w:rsidRDefault="00FC77C7" w:rsidP="00FC77C7"/>
    <w:p w14:paraId="7F5653FC" w14:textId="77777777" w:rsidR="00FC77C7" w:rsidRDefault="00FC77C7" w:rsidP="00FC77C7"/>
    <w:p w14:paraId="2DE0F4F1" w14:textId="77777777" w:rsidR="00FC77C7" w:rsidRDefault="00FC77C7" w:rsidP="00FC77C7"/>
    <w:p w14:paraId="2A2187E9" w14:textId="77777777" w:rsidR="00FC77C7" w:rsidRDefault="00FC77C7" w:rsidP="00FC77C7">
      <w:r>
        <w:br w:type="page"/>
      </w:r>
    </w:p>
    <w:p w14:paraId="6367BE9F" w14:textId="77777777" w:rsidR="00FC77C7" w:rsidRDefault="00FC77C7" w:rsidP="00FC77C7">
      <w:pPr>
        <w:pStyle w:val="Heading1"/>
      </w:pPr>
      <w:bookmarkStart w:id="107" w:name="_Toc35594003"/>
      <w:bookmarkStart w:id="108" w:name="_Toc35599763"/>
      <w:r>
        <w:lastRenderedPageBreak/>
        <w:t>Avoided Costs of Delay</w:t>
      </w:r>
      <w:bookmarkEnd w:id="107"/>
      <w:bookmarkEnd w:id="108"/>
    </w:p>
    <w:p w14:paraId="1E08D6D2" w14:textId="77777777" w:rsidR="00FC77C7" w:rsidRDefault="00FC77C7" w:rsidP="00FC77C7">
      <w:r>
        <w:t xml:space="preserve">Delays in implementing measures to address water quality have implications for the timing and the level of benefits, depending on the reversibility of damages. The timing effects are also further complicated by lag effects, </w:t>
      </w:r>
      <w:proofErr w:type="spellStart"/>
      <w:r>
        <w:t>ie</w:t>
      </w:r>
      <w:proofErr w:type="spellEnd"/>
      <w:r>
        <w:t xml:space="preserve"> the time delay between discharges of pollutants to land and when they flow into a waterbody. We explore these issues below, building off a report undertaken for </w:t>
      </w:r>
      <w:proofErr w:type="spellStart"/>
      <w:r>
        <w:t>MfE</w:t>
      </w:r>
      <w:proofErr w:type="spellEnd"/>
      <w:r>
        <w:t xml:space="preserve"> by NIWA which addresses these issues specifically.</w:t>
      </w:r>
      <w:r>
        <w:rPr>
          <w:rStyle w:val="FootnoteReference"/>
        </w:rPr>
        <w:footnoteReference w:id="78"/>
      </w:r>
    </w:p>
    <w:p w14:paraId="5425EFD5" w14:textId="77777777" w:rsidR="00FC77C7" w:rsidRDefault="00FC77C7" w:rsidP="00FC77C7">
      <w:pPr>
        <w:pStyle w:val="Heading2"/>
      </w:pPr>
      <w:bookmarkStart w:id="109" w:name="_Toc35594004"/>
      <w:bookmarkStart w:id="110" w:name="_Toc35599764"/>
      <w:r>
        <w:t xml:space="preserve">Cumulative Effects and </w:t>
      </w:r>
      <w:proofErr w:type="spellStart"/>
      <w:r>
        <w:t>Irreversibilities</w:t>
      </w:r>
      <w:bookmarkEnd w:id="109"/>
      <w:bookmarkEnd w:id="110"/>
      <w:proofErr w:type="spellEnd"/>
    </w:p>
    <w:p w14:paraId="4E6EAB66" w14:textId="77777777" w:rsidR="00FC77C7" w:rsidRDefault="00FC77C7" w:rsidP="00FC77C7">
      <w:r>
        <w:t>Several factors within a waterbody mean that stopping or reducing inputs of nutrients or other pollutants will not result in an immediate improvement in water quality.</w:t>
      </w:r>
    </w:p>
    <w:p w14:paraId="06B24CE9" w14:textId="77777777" w:rsidR="00FC77C7" w:rsidRDefault="00FC77C7" w:rsidP="00FC77C7">
      <w:pPr>
        <w:pStyle w:val="Heading4"/>
      </w:pPr>
      <w:r>
        <w:t>Rivers</w:t>
      </w:r>
    </w:p>
    <w:p w14:paraId="013D4CDB" w14:textId="77777777" w:rsidR="00FC77C7" w:rsidRDefault="00FC77C7" w:rsidP="008355BD">
      <w:pPr>
        <w:pStyle w:val="ListParagraph"/>
        <w:numPr>
          <w:ilvl w:val="0"/>
          <w:numId w:val="23"/>
        </w:numPr>
      </w:pPr>
      <w:r>
        <w:t xml:space="preserve">Nutrients are stored in sediments and in the aquatic biota. Release of nutrients from these sources will continue after the discharges stop. This applies particularly to lakes and poorly-flushed estuaries, but also can apply to rivers. </w:t>
      </w:r>
      <w:r>
        <w:br/>
      </w:r>
    </w:p>
    <w:p w14:paraId="27BA289B" w14:textId="77777777" w:rsidR="00FC77C7" w:rsidRDefault="00FC77C7" w:rsidP="008355BD">
      <w:pPr>
        <w:pStyle w:val="ListParagraph"/>
        <w:numPr>
          <w:ilvl w:val="0"/>
          <w:numId w:val="23"/>
        </w:numPr>
      </w:pPr>
      <w:r>
        <w:t xml:space="preserve">Increases in the number and volume aquatic plants because of increased nutrients can lead to further retention and </w:t>
      </w:r>
      <w:proofErr w:type="spellStart"/>
      <w:r>
        <w:t>accumulatio</w:t>
      </w:r>
      <w:proofErr w:type="spellEnd"/>
      <w:r>
        <w:t xml:space="preserve"> of sediments.</w:t>
      </w:r>
      <w:r>
        <w:br/>
      </w:r>
    </w:p>
    <w:p w14:paraId="2BB47AE2" w14:textId="77777777" w:rsidR="00FC77C7" w:rsidRDefault="00FC77C7" w:rsidP="008355BD">
      <w:pPr>
        <w:pStyle w:val="ListParagraph"/>
        <w:numPr>
          <w:ilvl w:val="0"/>
          <w:numId w:val="23"/>
        </w:numPr>
      </w:pPr>
      <w:r>
        <w:t xml:space="preserve">Increased nutrient concentrations can affect </w:t>
      </w:r>
      <w:r w:rsidRPr="00DA7C83">
        <w:t xml:space="preserve">food </w:t>
      </w:r>
      <w:r>
        <w:t xml:space="preserve">for aquatic species leading to changes in </w:t>
      </w:r>
      <w:r w:rsidRPr="00DA7C83">
        <w:t xml:space="preserve">community composition. </w:t>
      </w:r>
      <w:r>
        <w:t xml:space="preserve">These changes can be difficult to reverse when species more tolerant to degradation establish, even when conditions revers. </w:t>
      </w:r>
      <w:r>
        <w:br/>
      </w:r>
    </w:p>
    <w:p w14:paraId="45DAF466" w14:textId="77777777" w:rsidR="00FC77C7" w:rsidRDefault="00FC77C7" w:rsidP="008355BD">
      <w:pPr>
        <w:pStyle w:val="ListParagraph"/>
        <w:numPr>
          <w:ilvl w:val="0"/>
          <w:numId w:val="23"/>
        </w:numPr>
      </w:pPr>
      <w:r>
        <w:t xml:space="preserve">For rivers, the frequency of flushing, </w:t>
      </w:r>
      <w:proofErr w:type="spellStart"/>
      <w:r>
        <w:t>eg</w:t>
      </w:r>
      <w:proofErr w:type="spellEnd"/>
      <w:r>
        <w:t xml:space="preserve"> by extreme hydrological events, will affect the extent of accumulation of sediments and biomass. Poorly-flushed systems will have more delayed responses to reduced inputs.</w:t>
      </w:r>
    </w:p>
    <w:p w14:paraId="7BDEC967" w14:textId="77777777" w:rsidR="00FC77C7" w:rsidRDefault="00FC77C7" w:rsidP="00FC77C7">
      <w:pPr>
        <w:pStyle w:val="Heading4"/>
      </w:pPr>
      <w:r>
        <w:t>Estuaries</w:t>
      </w:r>
    </w:p>
    <w:p w14:paraId="2CE15C92" w14:textId="77777777" w:rsidR="00FC77C7" w:rsidRDefault="00FC77C7" w:rsidP="00FC77C7">
      <w:r>
        <w:t xml:space="preserve">The extent of delays or </w:t>
      </w:r>
      <w:proofErr w:type="spellStart"/>
      <w:r>
        <w:t>irreversibilities</w:t>
      </w:r>
      <w:proofErr w:type="spellEnd"/>
      <w:r>
        <w:t xml:space="preserve"> can be more pronounced in estuaries because of the greater accumulation of sediment, including by significant growth of seaweed. However, the effects will depend on the frequency and extent of flushing, including by seawater and river flows.</w:t>
      </w:r>
    </w:p>
    <w:p w14:paraId="5CA91318" w14:textId="77777777" w:rsidR="00FC77C7" w:rsidRDefault="00FC77C7" w:rsidP="00FC77C7"/>
    <w:p w14:paraId="5D4E798D" w14:textId="77777777" w:rsidR="00FC77C7" w:rsidRDefault="00FC77C7" w:rsidP="00FC77C7">
      <w:r>
        <w:t xml:space="preserve">As with rivers, the effects include changes in community structure and losses of species such as seagrasses, </w:t>
      </w:r>
      <w:r w:rsidRPr="00461859">
        <w:t>cockles and pipi</w:t>
      </w:r>
      <w:r>
        <w:t xml:space="preserve">s. </w:t>
      </w:r>
    </w:p>
    <w:p w14:paraId="2699FD67" w14:textId="77777777" w:rsidR="00FC77C7" w:rsidRDefault="00FC77C7" w:rsidP="00FC77C7">
      <w:pPr>
        <w:pStyle w:val="Heading4"/>
      </w:pPr>
      <w:r>
        <w:t>Lakes</w:t>
      </w:r>
    </w:p>
    <w:p w14:paraId="7C9B1076" w14:textId="77777777" w:rsidR="00FC77C7" w:rsidRDefault="00FC77C7" w:rsidP="00FC77C7">
      <w:r w:rsidRPr="00461859">
        <w:t>Lake sediments store large quantities of ‘legacy’ nutrients and organic matter</w:t>
      </w:r>
      <w:r>
        <w:t>. The extent of flushing depends on the lake’s ‘residence time’, which is affected by rates of flows in and out in proportion to lake volume.</w:t>
      </w:r>
    </w:p>
    <w:p w14:paraId="63D379F9" w14:textId="77777777" w:rsidR="00FC77C7" w:rsidRDefault="00FC77C7" w:rsidP="00FC77C7"/>
    <w:p w14:paraId="42FB3015" w14:textId="77777777" w:rsidR="00FC77C7" w:rsidRDefault="00FC77C7" w:rsidP="00FC77C7">
      <w:r>
        <w:t xml:space="preserve">Lakes can switch between </w:t>
      </w:r>
      <w:proofErr w:type="spellStart"/>
      <w:r w:rsidRPr="00D04A19">
        <w:t>macrophyte</w:t>
      </w:r>
      <w:proofErr w:type="spellEnd"/>
      <w:r>
        <w:t>-</w:t>
      </w:r>
      <w:r w:rsidRPr="00D04A19">
        <w:t xml:space="preserve"> and phytoplankton</w:t>
      </w:r>
      <w:r>
        <w:t>-</w:t>
      </w:r>
      <w:r w:rsidRPr="00D04A19">
        <w:t>dominated state</w:t>
      </w:r>
      <w:r>
        <w:t xml:space="preserve">s. When dominated by </w:t>
      </w:r>
      <w:proofErr w:type="spellStart"/>
      <w:r w:rsidRPr="00D04A19">
        <w:t>macrophyte</w:t>
      </w:r>
      <w:r>
        <w:t>s</w:t>
      </w:r>
      <w:proofErr w:type="spellEnd"/>
      <w:r w:rsidRPr="00D04A19">
        <w:t xml:space="preserve"> </w:t>
      </w:r>
      <w:r>
        <w:t xml:space="preserve">(aquatic plants), </w:t>
      </w:r>
      <w:r w:rsidRPr="00D04A19">
        <w:t xml:space="preserve">the water </w:t>
      </w:r>
      <w:r>
        <w:t xml:space="preserve">quality is better and the water </w:t>
      </w:r>
      <w:r w:rsidRPr="00D04A19">
        <w:t>is more transparent</w:t>
      </w:r>
      <w:r>
        <w:t>,</w:t>
      </w:r>
      <w:r w:rsidRPr="00D04A19">
        <w:t xml:space="preserve"> </w:t>
      </w:r>
      <w:r>
        <w:t xml:space="preserve">because the plants </w:t>
      </w:r>
      <w:r w:rsidRPr="00D04A19">
        <w:t xml:space="preserve">stabilize the sediment and reduce resuspension. </w:t>
      </w:r>
      <w:r>
        <w:t>T</w:t>
      </w:r>
      <w:r w:rsidRPr="00D04A19">
        <w:t xml:space="preserve">he </w:t>
      </w:r>
      <w:proofErr w:type="spellStart"/>
      <w:r w:rsidRPr="00D04A19">
        <w:t>macrophytes</w:t>
      </w:r>
      <w:proofErr w:type="spellEnd"/>
      <w:r w:rsidRPr="00D04A19">
        <w:t xml:space="preserve"> rely on water transparency to photosynthesis</w:t>
      </w:r>
      <w:r>
        <w:t xml:space="preserve">e but </w:t>
      </w:r>
      <w:r w:rsidRPr="00D04A19">
        <w:t>nutrient loading driv</w:t>
      </w:r>
      <w:r>
        <w:t>es</w:t>
      </w:r>
      <w:r w:rsidRPr="00D04A19">
        <w:t xml:space="preserve"> phytoplankton </w:t>
      </w:r>
      <w:r>
        <w:t xml:space="preserve">growth, reducing </w:t>
      </w:r>
      <w:r>
        <w:lastRenderedPageBreak/>
        <w:t xml:space="preserve">transparency. This is difficult to reverse. Climate change and higher associated lake temperatures is further driving this change, even without higher nutrient loading. </w:t>
      </w:r>
    </w:p>
    <w:p w14:paraId="39705B50" w14:textId="77777777" w:rsidR="00FC77C7" w:rsidRDefault="00FC77C7" w:rsidP="00FC77C7">
      <w:pPr>
        <w:pStyle w:val="Heading2"/>
      </w:pPr>
      <w:bookmarkStart w:id="111" w:name="_Toc35594005"/>
      <w:bookmarkStart w:id="112" w:name="_Toc35599765"/>
      <w:r>
        <w:t>Lag Effects</w:t>
      </w:r>
      <w:bookmarkEnd w:id="111"/>
      <w:bookmarkEnd w:id="112"/>
    </w:p>
    <w:p w14:paraId="266BE30E" w14:textId="77777777" w:rsidR="00FC77C7" w:rsidRDefault="00FC77C7" w:rsidP="00FC77C7">
      <w:r>
        <w:t xml:space="preserve">In some soil types, and where there are groundwater reserves, there can be significant lags between the time that nutrients are discharged to soil and when they flow into a waterway. </w:t>
      </w:r>
      <w:proofErr w:type="gramStart"/>
      <w:r w:rsidRPr="00C63B69">
        <w:t>in</w:t>
      </w:r>
      <w:proofErr w:type="gramEnd"/>
      <w:r w:rsidRPr="00C63B69">
        <w:t xml:space="preserve"> the Lake </w:t>
      </w:r>
      <w:proofErr w:type="spellStart"/>
      <w:r w:rsidRPr="00C63B69">
        <w:t>Rotorua</w:t>
      </w:r>
      <w:proofErr w:type="spellEnd"/>
      <w:r w:rsidRPr="00C63B69">
        <w:t xml:space="preserve"> catchment, groundwater lags range from 14 to 170 years.</w:t>
      </w:r>
      <w:r>
        <w:rPr>
          <w:rStyle w:val="FootnoteReference"/>
        </w:rPr>
        <w:footnoteReference w:id="79"/>
      </w:r>
      <w:r>
        <w:t xml:space="preserve"> In contrast, </w:t>
      </w:r>
      <w:r w:rsidRPr="00C63B69">
        <w:t xml:space="preserve">in the </w:t>
      </w:r>
      <w:proofErr w:type="spellStart"/>
      <w:r w:rsidRPr="00C63B69">
        <w:t>Aparima</w:t>
      </w:r>
      <w:proofErr w:type="spellEnd"/>
      <w:r w:rsidRPr="00C63B69">
        <w:t xml:space="preserve"> catchment in Southland, </w:t>
      </w:r>
      <w:r>
        <w:t xml:space="preserve">lag times are estimated to be </w:t>
      </w:r>
      <w:r w:rsidRPr="00C63B69">
        <w:t>less than a decade.</w:t>
      </w:r>
      <w:r>
        <w:rPr>
          <w:rStyle w:val="FootnoteReference"/>
        </w:rPr>
        <w:footnoteReference w:id="80"/>
      </w:r>
      <w:r>
        <w:t xml:space="preserve"> </w:t>
      </w:r>
      <w:proofErr w:type="spellStart"/>
      <w:r>
        <w:t>Journeaux</w:t>
      </w:r>
      <w:proofErr w:type="spellEnd"/>
      <w:r>
        <w:t xml:space="preserve"> </w:t>
      </w:r>
      <w:r>
        <w:rPr>
          <w:i/>
          <w:iCs/>
        </w:rPr>
        <w:t>et al</w:t>
      </w:r>
      <w:r>
        <w:t xml:space="preserve"> (2011) suggest that “a farm alongside the Waikato River may have a lag of only 1–3 years, whereas a farm at the top of the catchment may have a lag period of 50–60 years, and the overall mean lag period for the catchment may be (say) 30 years.” For their analysis of the Waikato, they assumed </w:t>
      </w:r>
      <w:r w:rsidRPr="00BE314E">
        <w:t>a mean lag period for nitrogen leached from dairy farms of 15 years</w:t>
      </w:r>
      <w:r>
        <w:t xml:space="preserve">, with the proportion increasing over time, </w:t>
      </w:r>
      <w:proofErr w:type="spellStart"/>
      <w:r>
        <w:t>eg</w:t>
      </w:r>
      <w:proofErr w:type="spellEnd"/>
      <w:r>
        <w:t xml:space="preserve">  a reduction of 1 unit of N via leaching may see a reduction of 0.001 unit in groundwater flows into the river in year one, 0.002 in year 2, etc.</w:t>
      </w:r>
    </w:p>
    <w:p w14:paraId="13F26582" w14:textId="77777777" w:rsidR="00FC77C7" w:rsidRDefault="00FC77C7" w:rsidP="00FC77C7"/>
    <w:p w14:paraId="552CE266" w14:textId="77777777" w:rsidR="00FC77C7" w:rsidRDefault="00FC77C7" w:rsidP="00FC77C7">
      <w:r>
        <w:t>The systems studied in New Zealand tend to be those with long lags, but there is no systematic understanding of the extent of lags across New Zealand as whole. But the implications are that the consequences of current levels of nutrient discharge may not be known for some time and they will be effectively unavoidable until these systems are fully discharged.</w:t>
      </w:r>
    </w:p>
    <w:p w14:paraId="35F64968" w14:textId="77777777" w:rsidR="00FC77C7" w:rsidRDefault="00FC77C7" w:rsidP="00FC77C7"/>
    <w:p w14:paraId="446AF944" w14:textId="77777777" w:rsidR="00FC77C7" w:rsidRDefault="00FC77C7" w:rsidP="00FC77C7"/>
    <w:p w14:paraId="56E9816A" w14:textId="77777777" w:rsidR="00FC77C7" w:rsidRDefault="00FC77C7" w:rsidP="00FC77C7"/>
    <w:p w14:paraId="5716A5EF" w14:textId="77777777" w:rsidR="00FC77C7" w:rsidRDefault="00FC77C7" w:rsidP="00FC77C7"/>
    <w:p w14:paraId="1AE8A748" w14:textId="77777777" w:rsidR="00FC77C7" w:rsidRDefault="00FC77C7" w:rsidP="00FC77C7">
      <w:r>
        <w:br w:type="page"/>
      </w:r>
    </w:p>
    <w:p w14:paraId="6A662662" w14:textId="77777777" w:rsidR="00FC77C7" w:rsidRDefault="00FC77C7" w:rsidP="00FC77C7">
      <w:pPr>
        <w:pStyle w:val="Heading1"/>
      </w:pPr>
      <w:bookmarkStart w:id="113" w:name="_Toc35594006"/>
      <w:bookmarkStart w:id="114" w:name="_Toc35599766"/>
      <w:r>
        <w:lastRenderedPageBreak/>
        <w:t>Conclusions</w:t>
      </w:r>
      <w:bookmarkEnd w:id="113"/>
      <w:bookmarkEnd w:id="114"/>
    </w:p>
    <w:p w14:paraId="6BDB6467" w14:textId="77777777" w:rsidR="00FC77C7" w:rsidRDefault="00FC77C7" w:rsidP="00FC77C7">
      <w:pPr>
        <w:pStyle w:val="Heading2"/>
      </w:pPr>
      <w:bookmarkStart w:id="115" w:name="_Toc35594007"/>
      <w:bookmarkStart w:id="116" w:name="_Toc35599767"/>
      <w:r>
        <w:t>The Benefits of the EF Package</w:t>
      </w:r>
      <w:bookmarkEnd w:id="115"/>
      <w:bookmarkEnd w:id="116"/>
    </w:p>
    <w:p w14:paraId="5AA7A559" w14:textId="3AE39BAD" w:rsidR="00FC77C7" w:rsidRDefault="00FC77C7" w:rsidP="00FC77C7">
      <w:r>
        <w:t xml:space="preserve">The Essential Freshwater package is expected to have wide ranging benefits as summarised in </w:t>
      </w:r>
      <w:r>
        <w:fldChar w:fldCharType="begin"/>
      </w:r>
      <w:r>
        <w:instrText xml:space="preserve"> REF _Ref35592013 \h </w:instrText>
      </w:r>
      <w:r>
        <w:fldChar w:fldCharType="separate"/>
      </w:r>
      <w:r w:rsidR="00024EB5">
        <w:t xml:space="preserve">Table </w:t>
      </w:r>
      <w:r w:rsidR="00024EB5">
        <w:rPr>
          <w:noProof/>
        </w:rPr>
        <w:t>32</w:t>
      </w:r>
      <w:r>
        <w:fldChar w:fldCharType="end"/>
      </w:r>
      <w:r>
        <w:t xml:space="preserve">. </w:t>
      </w:r>
    </w:p>
    <w:p w14:paraId="6C7F30C1" w14:textId="2408DD69" w:rsidR="00FC77C7" w:rsidRDefault="00FC77C7" w:rsidP="0093011F">
      <w:pPr>
        <w:pStyle w:val="Caption"/>
      </w:pPr>
      <w:bookmarkStart w:id="117" w:name="_Ref35592013"/>
      <w:r>
        <w:t xml:space="preserve">Table </w:t>
      </w:r>
      <w:r w:rsidR="00313617">
        <w:fldChar w:fldCharType="begin"/>
      </w:r>
      <w:r w:rsidR="00313617">
        <w:instrText xml:space="preserve"> SEQ Table \* ARABIC </w:instrText>
      </w:r>
      <w:r w:rsidR="00313617">
        <w:fldChar w:fldCharType="separate"/>
      </w:r>
      <w:r w:rsidR="00024EB5">
        <w:rPr>
          <w:noProof/>
        </w:rPr>
        <w:t>32</w:t>
      </w:r>
      <w:r w:rsidR="00313617">
        <w:rPr>
          <w:noProof/>
        </w:rPr>
        <w:fldChar w:fldCharType="end"/>
      </w:r>
      <w:bookmarkEnd w:id="117"/>
      <w:r>
        <w:t xml:space="preserve"> Benefits of the Essential Freshwater Package</w:t>
      </w:r>
    </w:p>
    <w:tbl>
      <w:tblPr>
        <w:tblStyle w:val="CovecTables"/>
        <w:tblW w:w="0" w:type="auto"/>
        <w:tblLook w:val="04E0" w:firstRow="1" w:lastRow="1" w:firstColumn="1" w:lastColumn="0" w:noHBand="0" w:noVBand="1"/>
      </w:tblPr>
      <w:tblGrid>
        <w:gridCol w:w="1903"/>
        <w:gridCol w:w="3513"/>
        <w:gridCol w:w="1275"/>
        <w:gridCol w:w="1417"/>
      </w:tblGrid>
      <w:tr w:rsidR="00894143" w14:paraId="7532E826" w14:textId="171E6AEE" w:rsidTr="00936C2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03" w:type="dxa"/>
            <w:vAlign w:val="top"/>
          </w:tcPr>
          <w:p w14:paraId="667E4BC1" w14:textId="77777777" w:rsidR="00894143" w:rsidRDefault="00894143" w:rsidP="00894143">
            <w:pPr>
              <w:pStyle w:val="TableText"/>
              <w:jc w:val="left"/>
            </w:pPr>
            <w:r>
              <w:t>Benefit Category</w:t>
            </w:r>
          </w:p>
        </w:tc>
        <w:tc>
          <w:tcPr>
            <w:tcW w:w="3513" w:type="dxa"/>
            <w:vAlign w:val="top"/>
          </w:tcPr>
          <w:p w14:paraId="162D1DD5" w14:textId="77777777" w:rsidR="00894143" w:rsidRDefault="00894143" w:rsidP="00894143">
            <w:pPr>
              <w:pStyle w:val="TableText"/>
              <w:jc w:val="left"/>
              <w:cnfStyle w:val="100000000000" w:firstRow="1" w:lastRow="0" w:firstColumn="0" w:lastColumn="0" w:oddVBand="0" w:evenVBand="0" w:oddHBand="0" w:evenHBand="0" w:firstRowFirstColumn="0" w:firstRowLastColumn="0" w:lastRowFirstColumn="0" w:lastRowLastColumn="0"/>
            </w:pPr>
            <w:r>
              <w:t>Value</w:t>
            </w:r>
          </w:p>
        </w:tc>
        <w:tc>
          <w:tcPr>
            <w:tcW w:w="2692" w:type="dxa"/>
            <w:gridSpan w:val="2"/>
            <w:vAlign w:val="top"/>
          </w:tcPr>
          <w:p w14:paraId="3EDB7B64" w14:textId="77777777" w:rsidR="00936C2F" w:rsidRDefault="00936C2F" w:rsidP="00894143">
            <w:pPr>
              <w:pStyle w:val="TableText"/>
              <w:jc w:val="center"/>
              <w:cnfStyle w:val="100000000000" w:firstRow="1" w:lastRow="0" w:firstColumn="0" w:lastColumn="0" w:oddVBand="0" w:evenVBand="0" w:oddHBand="0" w:evenHBand="0" w:firstRowFirstColumn="0" w:firstRowLastColumn="0" w:lastRowFirstColumn="0" w:lastRowLastColumn="0"/>
              <w:rPr>
                <w:b w:val="0"/>
              </w:rPr>
            </w:pPr>
            <w:r>
              <w:t xml:space="preserve">Median </w:t>
            </w:r>
            <w:r w:rsidR="00894143">
              <w:t>Monetary value</w:t>
            </w:r>
            <w:r>
              <w:t xml:space="preserve"> </w:t>
            </w:r>
          </w:p>
          <w:p w14:paraId="04F8D899" w14:textId="09AA46AF" w:rsidR="00894143" w:rsidRPr="00936C2F" w:rsidRDefault="00936C2F" w:rsidP="00894143">
            <w:pPr>
              <w:pStyle w:val="TableText"/>
              <w:jc w:val="center"/>
              <w:cnfStyle w:val="100000000000" w:firstRow="1" w:lastRow="0" w:firstColumn="0" w:lastColumn="0" w:oddVBand="0" w:evenVBand="0" w:oddHBand="0" w:evenHBand="0" w:firstRowFirstColumn="0" w:firstRowLastColumn="0" w:lastRowFirstColumn="0" w:lastRowLastColumn="0"/>
            </w:pPr>
            <w:r>
              <w:t>(and range)</w:t>
            </w:r>
            <w:r>
              <w:rPr>
                <w:vertAlign w:val="superscript"/>
              </w:rPr>
              <w:t>*</w:t>
            </w:r>
          </w:p>
        </w:tc>
      </w:tr>
      <w:tr w:rsidR="00894143" w14:paraId="2B237FD6" w14:textId="599A1888" w:rsidTr="00936C2F">
        <w:trPr>
          <w:trHeight w:val="170"/>
        </w:trPr>
        <w:tc>
          <w:tcPr>
            <w:cnfStyle w:val="001000000000" w:firstRow="0" w:lastRow="0" w:firstColumn="1" w:lastColumn="0" w:oddVBand="0" w:evenVBand="0" w:oddHBand="0" w:evenHBand="0" w:firstRowFirstColumn="0" w:firstRowLastColumn="0" w:lastRowFirstColumn="0" w:lastRowLastColumn="0"/>
            <w:tcW w:w="5416" w:type="dxa"/>
            <w:gridSpan w:val="2"/>
            <w:shd w:val="pct10" w:color="auto" w:fill="auto"/>
            <w:vAlign w:val="top"/>
          </w:tcPr>
          <w:p w14:paraId="3D00F7AF" w14:textId="77777777" w:rsidR="00894143" w:rsidRDefault="00894143" w:rsidP="00894143">
            <w:pPr>
              <w:pStyle w:val="TableText"/>
            </w:pPr>
            <w:r>
              <w:t>Monetarised Non-Market Values</w:t>
            </w:r>
          </w:p>
        </w:tc>
        <w:tc>
          <w:tcPr>
            <w:tcW w:w="1275" w:type="dxa"/>
            <w:shd w:val="pct10" w:color="auto" w:fill="auto"/>
            <w:vAlign w:val="top"/>
          </w:tcPr>
          <w:p w14:paraId="2AE1BCA2" w14:textId="77777777" w:rsidR="00936C2F"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t xml:space="preserve">Annual in </w:t>
            </w:r>
          </w:p>
          <w:p w14:paraId="692AD468" w14:textId="6CE5119E"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t>2050 ($m)</w:t>
            </w:r>
          </w:p>
        </w:tc>
        <w:tc>
          <w:tcPr>
            <w:tcW w:w="1417" w:type="dxa"/>
            <w:shd w:val="pct10" w:color="auto" w:fill="auto"/>
          </w:tcPr>
          <w:p w14:paraId="07AC0708" w14:textId="7A54C397" w:rsidR="00894143" w:rsidRP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Present value to 2050 ($m)</w:t>
            </w:r>
            <w:r w:rsidR="00936C2F">
              <w:rPr>
                <w:vertAlign w:val="superscript"/>
              </w:rPr>
              <w:t>**</w:t>
            </w:r>
          </w:p>
        </w:tc>
      </w:tr>
      <w:tr w:rsidR="00894143" w14:paraId="64483CD3" w14:textId="6D96676A" w:rsidTr="00936C2F">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vAlign w:val="top"/>
          </w:tcPr>
          <w:p w14:paraId="0BEBF75B" w14:textId="77777777" w:rsidR="00894143" w:rsidRDefault="00894143" w:rsidP="00894143">
            <w:pPr>
              <w:pStyle w:val="TableText"/>
            </w:pPr>
            <w:r>
              <w:t>Human health</w:t>
            </w:r>
          </w:p>
        </w:tc>
        <w:tc>
          <w:tcPr>
            <w:tcW w:w="3513" w:type="dxa"/>
            <w:tcBorders>
              <w:top w:val="single" w:sz="8" w:space="0" w:color="A6A6A6" w:themeColor="background1" w:themeShade="A6"/>
              <w:bottom w:val="single" w:sz="8" w:space="0" w:color="A6A6A6" w:themeColor="background1" w:themeShade="A6"/>
            </w:tcBorders>
            <w:vAlign w:val="top"/>
          </w:tcPr>
          <w:p w14:paraId="767D23E4" w14:textId="77777777" w:rsidR="00894143" w:rsidRDefault="00894143" w:rsidP="00894143">
            <w:pPr>
              <w:pStyle w:val="TableText"/>
              <w:jc w:val="left"/>
              <w:cnfStyle w:val="000000000000" w:firstRow="0" w:lastRow="0" w:firstColumn="0" w:lastColumn="0" w:oddVBand="0" w:evenVBand="0" w:oddHBand="0" w:evenHBand="0" w:firstRowFirstColumn="0" w:firstRowLastColumn="0" w:lastRowFirstColumn="0" w:lastRowLastColumn="0"/>
            </w:pPr>
            <w:r>
              <w:t>Reduced risk of infection for swimmers</w:t>
            </w:r>
          </w:p>
          <w:p w14:paraId="39D6C6C2" w14:textId="77777777" w:rsidR="00894143" w:rsidRDefault="00894143" w:rsidP="00894143">
            <w:pPr>
              <w:pStyle w:val="TableText"/>
              <w:jc w:val="left"/>
              <w:cnfStyle w:val="000000000000" w:firstRow="0" w:lastRow="0" w:firstColumn="0" w:lastColumn="0" w:oddVBand="0" w:evenVBand="0" w:oddHBand="0" w:evenHBand="0" w:firstRowFirstColumn="0" w:firstRowLastColumn="0" w:lastRowFirstColumn="0" w:lastRowLastColumn="0"/>
            </w:pPr>
            <w:r>
              <w:t>Valued also by non-users.</w:t>
            </w:r>
          </w:p>
        </w:tc>
        <w:tc>
          <w:tcPr>
            <w:tcW w:w="1275" w:type="dxa"/>
            <w:tcBorders>
              <w:top w:val="single" w:sz="8" w:space="0" w:color="A6A6A6" w:themeColor="background1" w:themeShade="A6"/>
              <w:bottom w:val="single" w:sz="8" w:space="0" w:color="A6A6A6" w:themeColor="background1" w:themeShade="A6"/>
            </w:tcBorders>
            <w:vAlign w:val="top"/>
          </w:tcPr>
          <w:p w14:paraId="63D201C1"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t>$138</w:t>
            </w:r>
          </w:p>
          <w:p w14:paraId="7F93CDB9" w14:textId="1DC2D8AC" w:rsidR="00EF6123"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($74-$203)</w:t>
            </w:r>
          </w:p>
        </w:tc>
        <w:tc>
          <w:tcPr>
            <w:tcW w:w="1417" w:type="dxa"/>
            <w:tcBorders>
              <w:top w:val="single" w:sz="8" w:space="0" w:color="A6A6A6" w:themeColor="background1" w:themeShade="A6"/>
              <w:bottom w:val="single" w:sz="8" w:space="0" w:color="A6A6A6" w:themeColor="background1" w:themeShade="A6"/>
            </w:tcBorders>
            <w:vAlign w:val="top"/>
          </w:tcPr>
          <w:p w14:paraId="0F61275A"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rsidRPr="0046514A">
              <w:t>$</w:t>
            </w:r>
            <w:r>
              <w:t>2</w:t>
            </w:r>
            <w:r w:rsidRPr="0046514A">
              <w:t>,</w:t>
            </w:r>
            <w:r>
              <w:t xml:space="preserve">366 </w:t>
            </w:r>
          </w:p>
          <w:p w14:paraId="3E0A3F79" w14:textId="11AB0BB2" w:rsidR="00EF6123" w:rsidRPr="0046514A"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($1,272-$3,487)</w:t>
            </w:r>
          </w:p>
        </w:tc>
      </w:tr>
      <w:tr w:rsidR="00894143" w14:paraId="025DBEF3" w14:textId="2A31E970" w:rsidTr="00936C2F">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vAlign w:val="top"/>
          </w:tcPr>
          <w:p w14:paraId="425245FD" w14:textId="77777777" w:rsidR="00894143" w:rsidRDefault="00894143" w:rsidP="00894143">
            <w:pPr>
              <w:pStyle w:val="TableText"/>
            </w:pPr>
            <w:r>
              <w:t>Increased water clarity</w:t>
            </w:r>
          </w:p>
        </w:tc>
        <w:tc>
          <w:tcPr>
            <w:tcW w:w="3513" w:type="dxa"/>
            <w:tcBorders>
              <w:top w:val="single" w:sz="8" w:space="0" w:color="A6A6A6" w:themeColor="background1" w:themeShade="A6"/>
              <w:bottom w:val="single" w:sz="8" w:space="0" w:color="A6A6A6" w:themeColor="background1" w:themeShade="A6"/>
            </w:tcBorders>
            <w:vAlign w:val="top"/>
          </w:tcPr>
          <w:p w14:paraId="6953E4DB" w14:textId="77777777" w:rsidR="00894143" w:rsidRDefault="00894143" w:rsidP="00894143">
            <w:pPr>
              <w:pStyle w:val="TableText"/>
              <w:jc w:val="left"/>
              <w:cnfStyle w:val="000000000000" w:firstRow="0" w:lastRow="0" w:firstColumn="0" w:lastColumn="0" w:oddVBand="0" w:evenVBand="0" w:oddHBand="0" w:evenHBand="0" w:firstRowFirstColumn="0" w:firstRowLastColumn="0" w:lastRowFirstColumn="0" w:lastRowLastColumn="0"/>
            </w:pPr>
            <w:r>
              <w:t>Increased value of recreational use of water</w:t>
            </w:r>
          </w:p>
          <w:p w14:paraId="527F9F9E" w14:textId="2FC8C80A" w:rsidR="00894143" w:rsidRDefault="00894143" w:rsidP="00894143">
            <w:pPr>
              <w:pStyle w:val="TableText"/>
              <w:jc w:val="left"/>
              <w:cnfStyle w:val="000000000000" w:firstRow="0" w:lastRow="0" w:firstColumn="0" w:lastColumn="0" w:oddVBand="0" w:evenVBand="0" w:oddHBand="0" w:evenHBand="0" w:firstRowFirstColumn="0" w:firstRowLastColumn="0" w:lastRowFirstColumn="0" w:lastRowLastColumn="0"/>
            </w:pPr>
            <w:r>
              <w:t>Valued also by non-users</w:t>
            </w:r>
            <w:r w:rsidR="00B76016">
              <w:t>. Stock exclusion policy impacts counted only.</w:t>
            </w:r>
          </w:p>
        </w:tc>
        <w:tc>
          <w:tcPr>
            <w:tcW w:w="1275" w:type="dxa"/>
            <w:tcBorders>
              <w:top w:val="single" w:sz="8" w:space="0" w:color="A6A6A6" w:themeColor="background1" w:themeShade="A6"/>
              <w:bottom w:val="single" w:sz="8" w:space="0" w:color="A6A6A6" w:themeColor="background1" w:themeShade="A6"/>
            </w:tcBorders>
            <w:vAlign w:val="top"/>
          </w:tcPr>
          <w:p w14:paraId="330955FD"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t>$13</w:t>
            </w:r>
          </w:p>
          <w:p w14:paraId="051B461F" w14:textId="5FEAD1BB" w:rsidR="00EF6123"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($11-$14)</w:t>
            </w:r>
          </w:p>
        </w:tc>
        <w:tc>
          <w:tcPr>
            <w:tcW w:w="1417" w:type="dxa"/>
            <w:tcBorders>
              <w:top w:val="single" w:sz="8" w:space="0" w:color="A6A6A6" w:themeColor="background1" w:themeShade="A6"/>
              <w:bottom w:val="single" w:sz="8" w:space="0" w:color="A6A6A6" w:themeColor="background1" w:themeShade="A6"/>
            </w:tcBorders>
            <w:vAlign w:val="top"/>
          </w:tcPr>
          <w:p w14:paraId="290FC855"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rsidRPr="0046514A">
              <w:t>$</w:t>
            </w:r>
            <w:r>
              <w:t xml:space="preserve">221 </w:t>
            </w:r>
          </w:p>
          <w:p w14:paraId="57D5376A" w14:textId="509E302B" w:rsidR="00EF6123" w:rsidRPr="0046514A"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($195-$247)</w:t>
            </w:r>
          </w:p>
        </w:tc>
      </w:tr>
      <w:tr w:rsidR="00894143" w14:paraId="0A1493EC" w14:textId="29BBD386" w:rsidTr="00936C2F">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tcBorders>
            <w:vAlign w:val="top"/>
          </w:tcPr>
          <w:p w14:paraId="61731FC8" w14:textId="77777777" w:rsidR="00894143" w:rsidRDefault="00894143" w:rsidP="00894143">
            <w:pPr>
              <w:pStyle w:val="TableText"/>
            </w:pPr>
            <w:r>
              <w:t>Ecological health</w:t>
            </w:r>
          </w:p>
        </w:tc>
        <w:tc>
          <w:tcPr>
            <w:tcW w:w="3513" w:type="dxa"/>
            <w:tcBorders>
              <w:top w:val="single" w:sz="8" w:space="0" w:color="A6A6A6" w:themeColor="background1" w:themeShade="A6"/>
            </w:tcBorders>
            <w:vAlign w:val="top"/>
          </w:tcPr>
          <w:p w14:paraId="18971BA5" w14:textId="77777777" w:rsidR="00894143" w:rsidRDefault="00894143" w:rsidP="00894143">
            <w:pPr>
              <w:pStyle w:val="TableText"/>
              <w:jc w:val="left"/>
              <w:cnfStyle w:val="000000000000" w:firstRow="0" w:lastRow="0" w:firstColumn="0" w:lastColumn="0" w:oddVBand="0" w:evenVBand="0" w:oddHBand="0" w:evenHBand="0" w:firstRowFirstColumn="0" w:firstRowLastColumn="0" w:lastRowFirstColumn="0" w:lastRowLastColumn="0"/>
            </w:pPr>
            <w:r>
              <w:t>WTP for improved MCI score by users and non-users</w:t>
            </w:r>
          </w:p>
        </w:tc>
        <w:tc>
          <w:tcPr>
            <w:tcW w:w="1275" w:type="dxa"/>
            <w:tcBorders>
              <w:top w:val="single" w:sz="8" w:space="0" w:color="A6A6A6" w:themeColor="background1" w:themeShade="A6"/>
            </w:tcBorders>
            <w:vAlign w:val="top"/>
          </w:tcPr>
          <w:p w14:paraId="3D704CD4"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t>$</w:t>
            </w:r>
            <w:r w:rsidR="00EF4764">
              <w:t>7</w:t>
            </w:r>
            <w:r>
              <w:t>9</w:t>
            </w:r>
          </w:p>
          <w:p w14:paraId="780C4734" w14:textId="05156A42" w:rsidR="00EF6123"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($64-$94)</w:t>
            </w:r>
          </w:p>
        </w:tc>
        <w:tc>
          <w:tcPr>
            <w:tcW w:w="1417" w:type="dxa"/>
            <w:tcBorders>
              <w:top w:val="single" w:sz="8" w:space="0" w:color="A6A6A6" w:themeColor="background1" w:themeShade="A6"/>
            </w:tcBorders>
            <w:vAlign w:val="top"/>
          </w:tcPr>
          <w:p w14:paraId="331498FB" w14:textId="77777777" w:rsidR="00894143" w:rsidRDefault="00894143" w:rsidP="00894143">
            <w:pPr>
              <w:pStyle w:val="TableText"/>
              <w:jc w:val="center"/>
              <w:cnfStyle w:val="000000000000" w:firstRow="0" w:lastRow="0" w:firstColumn="0" w:lastColumn="0" w:oddVBand="0" w:evenVBand="0" w:oddHBand="0" w:evenHBand="0" w:firstRowFirstColumn="0" w:firstRowLastColumn="0" w:lastRowFirstColumn="0" w:lastRowLastColumn="0"/>
            </w:pPr>
            <w:r w:rsidRPr="0046514A">
              <w:t>$</w:t>
            </w:r>
            <w:r w:rsidR="00EF4764">
              <w:t>661</w:t>
            </w:r>
            <w:r>
              <w:t xml:space="preserve"> </w:t>
            </w:r>
          </w:p>
          <w:p w14:paraId="25AE7261" w14:textId="5E2F86C3" w:rsidR="00EF6123" w:rsidRPr="0046514A" w:rsidRDefault="00EF6123" w:rsidP="00894143">
            <w:pPr>
              <w:pStyle w:val="TableText"/>
              <w:jc w:val="center"/>
              <w:cnfStyle w:val="000000000000" w:firstRow="0" w:lastRow="0" w:firstColumn="0" w:lastColumn="0" w:oddVBand="0" w:evenVBand="0" w:oddHBand="0" w:evenHBand="0" w:firstRowFirstColumn="0" w:firstRowLastColumn="0" w:lastRowFirstColumn="0" w:lastRowLastColumn="0"/>
            </w:pPr>
            <w:r>
              <w:t>($535-$785)</w:t>
            </w:r>
          </w:p>
        </w:tc>
      </w:tr>
      <w:tr w:rsidR="00894143" w14:paraId="7086A7F8" w14:textId="3066BDA5" w:rsidTr="00936C2F">
        <w:trPr>
          <w:trHeight w:val="170"/>
        </w:trPr>
        <w:tc>
          <w:tcPr>
            <w:cnfStyle w:val="001000000000" w:firstRow="0" w:lastRow="0" w:firstColumn="1" w:lastColumn="0" w:oddVBand="0" w:evenVBand="0" w:oddHBand="0" w:evenHBand="0" w:firstRowFirstColumn="0" w:firstRowLastColumn="0" w:lastRowFirstColumn="0" w:lastRowLastColumn="0"/>
            <w:tcW w:w="5416" w:type="dxa"/>
            <w:gridSpan w:val="2"/>
            <w:shd w:val="pct10" w:color="auto" w:fill="auto"/>
            <w:vAlign w:val="top"/>
          </w:tcPr>
          <w:p w14:paraId="527B8C4A" w14:textId="77777777" w:rsidR="00894143" w:rsidRDefault="00894143" w:rsidP="0093011F">
            <w:pPr>
              <w:pStyle w:val="TableText"/>
            </w:pPr>
            <w:r w:rsidRPr="00E65391">
              <w:t>Other Non-Market Values</w:t>
            </w:r>
          </w:p>
        </w:tc>
        <w:tc>
          <w:tcPr>
            <w:tcW w:w="1275" w:type="dxa"/>
            <w:shd w:val="pct10" w:color="auto" w:fill="auto"/>
            <w:vAlign w:val="top"/>
          </w:tcPr>
          <w:p w14:paraId="68C1DEA1"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c>
          <w:tcPr>
            <w:tcW w:w="1417" w:type="dxa"/>
            <w:shd w:val="pct10" w:color="auto" w:fill="auto"/>
          </w:tcPr>
          <w:p w14:paraId="70862493"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r>
      <w:tr w:rsidR="00936C2F" w14:paraId="6157AEC8" w14:textId="65362019" w:rsidTr="00506EB5">
        <w:trPr>
          <w:trHeight w:val="170"/>
        </w:trPr>
        <w:tc>
          <w:tcPr>
            <w:cnfStyle w:val="001000000000" w:firstRow="0" w:lastRow="0" w:firstColumn="1" w:lastColumn="0" w:oddVBand="0" w:evenVBand="0" w:oddHBand="0" w:evenHBand="0" w:firstRowFirstColumn="0" w:firstRowLastColumn="0" w:lastRowFirstColumn="0" w:lastRowLastColumn="0"/>
            <w:tcW w:w="1903" w:type="dxa"/>
            <w:tcBorders>
              <w:bottom w:val="single" w:sz="8" w:space="0" w:color="A6A6A6" w:themeColor="background1" w:themeShade="A6"/>
            </w:tcBorders>
            <w:vAlign w:val="top"/>
          </w:tcPr>
          <w:p w14:paraId="78E6BAFE" w14:textId="77777777" w:rsidR="00936C2F" w:rsidRDefault="00936C2F" w:rsidP="0093011F">
            <w:pPr>
              <w:pStyle w:val="TableText"/>
            </w:pPr>
            <w:r>
              <w:t>Water clarity and ecological health</w:t>
            </w:r>
          </w:p>
        </w:tc>
        <w:tc>
          <w:tcPr>
            <w:tcW w:w="6205" w:type="dxa"/>
            <w:gridSpan w:val="3"/>
            <w:tcBorders>
              <w:bottom w:val="single" w:sz="8" w:space="0" w:color="A6A6A6" w:themeColor="background1" w:themeShade="A6"/>
            </w:tcBorders>
            <w:vAlign w:val="top"/>
          </w:tcPr>
          <w:p w14:paraId="687A534B" w14:textId="6370D5EB"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Additional benefits from N &amp; P bottom lines not quantifiable.</w:t>
            </w:r>
          </w:p>
        </w:tc>
      </w:tr>
      <w:tr w:rsidR="00936C2F" w14:paraId="309A4B8A" w14:textId="37DA59E2" w:rsidTr="004B65E4">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tcBorders>
            <w:vAlign w:val="top"/>
          </w:tcPr>
          <w:p w14:paraId="7BD9251D" w14:textId="77777777" w:rsidR="00936C2F" w:rsidRDefault="00936C2F" w:rsidP="0093011F">
            <w:pPr>
              <w:pStyle w:val="TableText"/>
            </w:pPr>
            <w:r>
              <w:t>Ecosystem services</w:t>
            </w:r>
          </w:p>
        </w:tc>
        <w:tc>
          <w:tcPr>
            <w:tcW w:w="6205" w:type="dxa"/>
            <w:gridSpan w:val="3"/>
            <w:tcBorders>
              <w:top w:val="single" w:sz="8" w:space="0" w:color="A6A6A6" w:themeColor="background1" w:themeShade="A6"/>
            </w:tcBorders>
            <w:vAlign w:val="top"/>
          </w:tcPr>
          <w:p w14:paraId="4EB713AF" w14:textId="26578AA8"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Water quality is the basis for the functioning of other ecological systems that are the basis for other human values.</w:t>
            </w:r>
          </w:p>
        </w:tc>
      </w:tr>
      <w:tr w:rsidR="00894143" w14:paraId="61DDC7A6" w14:textId="607AFF95" w:rsidTr="00936C2F">
        <w:trPr>
          <w:trHeight w:val="170"/>
        </w:trPr>
        <w:tc>
          <w:tcPr>
            <w:cnfStyle w:val="001000000000" w:firstRow="0" w:lastRow="0" w:firstColumn="1" w:lastColumn="0" w:oddVBand="0" w:evenVBand="0" w:oddHBand="0" w:evenHBand="0" w:firstRowFirstColumn="0" w:firstRowLastColumn="0" w:lastRowFirstColumn="0" w:lastRowLastColumn="0"/>
            <w:tcW w:w="5416" w:type="dxa"/>
            <w:gridSpan w:val="2"/>
            <w:shd w:val="pct10" w:color="auto" w:fill="auto"/>
            <w:vAlign w:val="top"/>
          </w:tcPr>
          <w:p w14:paraId="2A50B657" w14:textId="77777777" w:rsidR="00894143" w:rsidRDefault="00894143" w:rsidP="0093011F">
            <w:pPr>
              <w:pStyle w:val="TableText"/>
            </w:pPr>
            <w:r>
              <w:t>Protection of financial values at risk</w:t>
            </w:r>
          </w:p>
        </w:tc>
        <w:tc>
          <w:tcPr>
            <w:tcW w:w="1275" w:type="dxa"/>
            <w:shd w:val="pct10" w:color="auto" w:fill="auto"/>
            <w:vAlign w:val="top"/>
          </w:tcPr>
          <w:p w14:paraId="756FECD6"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c>
          <w:tcPr>
            <w:tcW w:w="1417" w:type="dxa"/>
            <w:shd w:val="pct10" w:color="auto" w:fill="auto"/>
          </w:tcPr>
          <w:p w14:paraId="69ABDD41"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r>
      <w:tr w:rsidR="00936C2F" w14:paraId="020B747B" w14:textId="0153F68F" w:rsidTr="00852E10">
        <w:trPr>
          <w:trHeight w:val="170"/>
        </w:trPr>
        <w:tc>
          <w:tcPr>
            <w:cnfStyle w:val="001000000000" w:firstRow="0" w:lastRow="0" w:firstColumn="1" w:lastColumn="0" w:oddVBand="0" w:evenVBand="0" w:oddHBand="0" w:evenHBand="0" w:firstRowFirstColumn="0" w:firstRowLastColumn="0" w:lastRowFirstColumn="0" w:lastRowLastColumn="0"/>
            <w:tcW w:w="1903" w:type="dxa"/>
            <w:tcBorders>
              <w:bottom w:val="single" w:sz="8" w:space="0" w:color="A6A6A6" w:themeColor="background1" w:themeShade="A6"/>
            </w:tcBorders>
            <w:vAlign w:val="top"/>
          </w:tcPr>
          <w:p w14:paraId="14411987" w14:textId="77777777" w:rsidR="00936C2F" w:rsidRDefault="00936C2F" w:rsidP="0093011F">
            <w:pPr>
              <w:pStyle w:val="TableText"/>
            </w:pPr>
            <w:r>
              <w:t>Commercial value</w:t>
            </w:r>
          </w:p>
        </w:tc>
        <w:tc>
          <w:tcPr>
            <w:tcW w:w="6205" w:type="dxa"/>
            <w:gridSpan w:val="3"/>
            <w:tcBorders>
              <w:bottom w:val="single" w:sz="8" w:space="0" w:color="A6A6A6" w:themeColor="background1" w:themeShade="A6"/>
            </w:tcBorders>
            <w:vAlign w:val="top"/>
          </w:tcPr>
          <w:p w14:paraId="0D268DAA" w14:textId="12448561"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Protection of the value of commercial angling (guided fishing) enterprises, in particular. Also, other water-based activities such as boat trips.</w:t>
            </w:r>
          </w:p>
        </w:tc>
      </w:tr>
      <w:tr w:rsidR="00936C2F" w14:paraId="5775DBD9" w14:textId="1B1571B4" w:rsidTr="008D576D">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vAlign w:val="top"/>
          </w:tcPr>
          <w:p w14:paraId="0C803946" w14:textId="77777777" w:rsidR="00936C2F" w:rsidRDefault="00936C2F" w:rsidP="0093011F">
            <w:pPr>
              <w:pStyle w:val="TableText"/>
            </w:pPr>
            <w:r>
              <w:t>Reputational value</w:t>
            </w:r>
          </w:p>
        </w:tc>
        <w:tc>
          <w:tcPr>
            <w:tcW w:w="6205" w:type="dxa"/>
            <w:gridSpan w:val="3"/>
            <w:tcBorders>
              <w:top w:val="single" w:sz="8" w:space="0" w:color="A6A6A6" w:themeColor="background1" w:themeShade="A6"/>
              <w:bottom w:val="single" w:sz="8" w:space="0" w:color="A6A6A6" w:themeColor="background1" w:themeShade="A6"/>
            </w:tcBorders>
            <w:vAlign w:val="top"/>
          </w:tcPr>
          <w:p w14:paraId="20B7B530" w14:textId="278E0456"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Consumers in other countries are willing to pay a price premium for NZ products and for certified reduced water pollution. Some of this premium is at risk in the absence of improvements in water quality.</w:t>
            </w:r>
          </w:p>
        </w:tc>
      </w:tr>
      <w:tr w:rsidR="00894143" w14:paraId="75D7CDBA" w14:textId="42AEA367" w:rsidTr="00936C2F">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shd w:val="pct10" w:color="auto" w:fill="auto"/>
            <w:vAlign w:val="top"/>
          </w:tcPr>
          <w:p w14:paraId="5F7FECD8" w14:textId="77777777" w:rsidR="00894143" w:rsidRPr="001C108C" w:rsidRDefault="00894143" w:rsidP="0093011F">
            <w:pPr>
              <w:pStyle w:val="TableText"/>
            </w:pPr>
            <w:r>
              <w:t>Avoided costs</w:t>
            </w:r>
          </w:p>
        </w:tc>
        <w:tc>
          <w:tcPr>
            <w:tcW w:w="3513" w:type="dxa"/>
            <w:tcBorders>
              <w:top w:val="single" w:sz="8" w:space="0" w:color="A6A6A6" w:themeColor="background1" w:themeShade="A6"/>
              <w:bottom w:val="single" w:sz="8" w:space="0" w:color="A6A6A6" w:themeColor="background1" w:themeShade="A6"/>
            </w:tcBorders>
            <w:shd w:val="pct10" w:color="auto" w:fill="auto"/>
            <w:vAlign w:val="top"/>
          </w:tcPr>
          <w:p w14:paraId="49AE1294" w14:textId="77777777" w:rsidR="00894143" w:rsidRDefault="00894143" w:rsidP="0093011F">
            <w:pPr>
              <w:pStyle w:val="TableText"/>
              <w:jc w:val="left"/>
              <w:cnfStyle w:val="000000000000" w:firstRow="0" w:lastRow="0" w:firstColumn="0" w:lastColumn="0" w:oddVBand="0" w:evenVBand="0" w:oddHBand="0" w:evenHBand="0" w:firstRowFirstColumn="0" w:firstRowLastColumn="0" w:lastRowFirstColumn="0" w:lastRowLastColumn="0"/>
            </w:pPr>
          </w:p>
        </w:tc>
        <w:tc>
          <w:tcPr>
            <w:tcW w:w="1275" w:type="dxa"/>
            <w:tcBorders>
              <w:top w:val="single" w:sz="8" w:space="0" w:color="A6A6A6" w:themeColor="background1" w:themeShade="A6"/>
              <w:bottom w:val="single" w:sz="8" w:space="0" w:color="A6A6A6" w:themeColor="background1" w:themeShade="A6"/>
            </w:tcBorders>
            <w:shd w:val="pct10" w:color="auto" w:fill="auto"/>
            <w:vAlign w:val="top"/>
          </w:tcPr>
          <w:p w14:paraId="360B9820"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c>
          <w:tcPr>
            <w:tcW w:w="1417" w:type="dxa"/>
            <w:tcBorders>
              <w:top w:val="single" w:sz="8" w:space="0" w:color="A6A6A6" w:themeColor="background1" w:themeShade="A6"/>
              <w:bottom w:val="single" w:sz="8" w:space="0" w:color="A6A6A6" w:themeColor="background1" w:themeShade="A6"/>
            </w:tcBorders>
            <w:shd w:val="pct10" w:color="auto" w:fill="auto"/>
          </w:tcPr>
          <w:p w14:paraId="40BF8803"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r>
      <w:tr w:rsidR="00936C2F" w14:paraId="521D323B" w14:textId="0ED1B84E" w:rsidTr="00CD0487">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vAlign w:val="top"/>
          </w:tcPr>
          <w:p w14:paraId="72FC4B0F" w14:textId="77777777" w:rsidR="00936C2F" w:rsidRDefault="00936C2F" w:rsidP="0093011F">
            <w:pPr>
              <w:pStyle w:val="TableText"/>
            </w:pPr>
            <w:r>
              <w:t>Protection of drinking water quality in underground aquifers</w:t>
            </w:r>
          </w:p>
        </w:tc>
        <w:tc>
          <w:tcPr>
            <w:tcW w:w="6205" w:type="dxa"/>
            <w:gridSpan w:val="3"/>
            <w:tcBorders>
              <w:top w:val="single" w:sz="8" w:space="0" w:color="A6A6A6" w:themeColor="background1" w:themeShade="A6"/>
              <w:bottom w:val="single" w:sz="8" w:space="0" w:color="A6A6A6" w:themeColor="background1" w:themeShade="A6"/>
            </w:tcBorders>
            <w:vAlign w:val="top"/>
          </w:tcPr>
          <w:p w14:paraId="1E983A51" w14:textId="65801B66"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Protection of human health for babies and adults, or avoided costs of denitrification</w:t>
            </w:r>
          </w:p>
        </w:tc>
      </w:tr>
      <w:tr w:rsidR="00936C2F" w14:paraId="11282F91" w14:textId="5101EED2" w:rsidTr="00C93BD1">
        <w:trPr>
          <w:trHeight w:val="170"/>
        </w:trPr>
        <w:tc>
          <w:tcPr>
            <w:cnfStyle w:val="001000000000" w:firstRow="0" w:lastRow="0" w:firstColumn="1" w:lastColumn="0" w:oddVBand="0" w:evenVBand="0" w:oddHBand="0" w:evenHBand="0" w:firstRowFirstColumn="0" w:firstRowLastColumn="0" w:lastRowFirstColumn="0" w:lastRowLastColumn="0"/>
            <w:tcW w:w="1903" w:type="dxa"/>
            <w:tcBorders>
              <w:top w:val="single" w:sz="8" w:space="0" w:color="A6A6A6" w:themeColor="background1" w:themeShade="A6"/>
              <w:bottom w:val="single" w:sz="8" w:space="0" w:color="A6A6A6" w:themeColor="background1" w:themeShade="A6"/>
            </w:tcBorders>
            <w:vAlign w:val="top"/>
          </w:tcPr>
          <w:p w14:paraId="451CE7B6" w14:textId="77777777" w:rsidR="00936C2F" w:rsidRDefault="00936C2F" w:rsidP="0093011F">
            <w:pPr>
              <w:pStyle w:val="TableText"/>
            </w:pPr>
            <w:r>
              <w:t>Greenhouse gas reduction co-benefits</w:t>
            </w:r>
          </w:p>
        </w:tc>
        <w:tc>
          <w:tcPr>
            <w:tcW w:w="6205" w:type="dxa"/>
            <w:gridSpan w:val="3"/>
            <w:tcBorders>
              <w:top w:val="single" w:sz="8" w:space="0" w:color="A6A6A6" w:themeColor="background1" w:themeShade="A6"/>
              <w:bottom w:val="single" w:sz="8" w:space="0" w:color="A6A6A6" w:themeColor="background1" w:themeShade="A6"/>
            </w:tcBorders>
            <w:vAlign w:val="top"/>
          </w:tcPr>
          <w:p w14:paraId="5233CD5F" w14:textId="0577E450" w:rsidR="00936C2F" w:rsidRDefault="00936C2F" w:rsidP="00936C2F">
            <w:pPr>
              <w:pStyle w:val="TableText"/>
              <w:jc w:val="left"/>
              <w:cnfStyle w:val="000000000000" w:firstRow="0" w:lastRow="0" w:firstColumn="0" w:lastColumn="0" w:oddVBand="0" w:evenVBand="0" w:oddHBand="0" w:evenHBand="0" w:firstRowFirstColumn="0" w:firstRowLastColumn="0" w:lastRowFirstColumn="0" w:lastRowLastColumn="0"/>
            </w:pPr>
            <w:r>
              <w:t>Water quality policy is expected to lead to increased afforestation and other planting. This will absorb CO</w:t>
            </w:r>
            <w:r>
              <w:rPr>
                <w:vertAlign w:val="subscript"/>
              </w:rPr>
              <w:t>2</w:t>
            </w:r>
            <w:r>
              <w:t xml:space="preserve"> and reduce the need for other emission reductions to meet NZ’s emissions cap.</w:t>
            </w:r>
          </w:p>
        </w:tc>
      </w:tr>
      <w:tr w:rsidR="00894143" w14:paraId="6ABED467" w14:textId="285AA29C" w:rsidTr="00936C2F">
        <w:trPr>
          <w:trHeight w:val="170"/>
        </w:trPr>
        <w:tc>
          <w:tcPr>
            <w:cnfStyle w:val="001000000000" w:firstRow="0" w:lastRow="0" w:firstColumn="1" w:lastColumn="0" w:oddVBand="0" w:evenVBand="0" w:oddHBand="0" w:evenHBand="0" w:firstRowFirstColumn="0" w:firstRowLastColumn="0" w:lastRowFirstColumn="0" w:lastRowLastColumn="0"/>
            <w:tcW w:w="5416" w:type="dxa"/>
            <w:gridSpan w:val="2"/>
            <w:tcBorders>
              <w:top w:val="single" w:sz="8" w:space="0" w:color="A6A6A6" w:themeColor="background1" w:themeShade="A6"/>
              <w:bottom w:val="single" w:sz="8" w:space="0" w:color="A6A6A6" w:themeColor="background1" w:themeShade="A6"/>
            </w:tcBorders>
            <w:shd w:val="pct10" w:color="auto" w:fill="auto"/>
            <w:vAlign w:val="top"/>
          </w:tcPr>
          <w:p w14:paraId="4DB58B7E" w14:textId="77777777" w:rsidR="00894143" w:rsidRDefault="00894143" w:rsidP="0093011F">
            <w:pPr>
              <w:pStyle w:val="TableText"/>
            </w:pPr>
            <w:r>
              <w:t>Avoided costs of delay</w:t>
            </w:r>
          </w:p>
        </w:tc>
        <w:tc>
          <w:tcPr>
            <w:tcW w:w="1275" w:type="dxa"/>
            <w:tcBorders>
              <w:top w:val="single" w:sz="8" w:space="0" w:color="A6A6A6" w:themeColor="background1" w:themeShade="A6"/>
              <w:bottom w:val="single" w:sz="8" w:space="0" w:color="A6A6A6" w:themeColor="background1" w:themeShade="A6"/>
            </w:tcBorders>
            <w:shd w:val="pct10" w:color="auto" w:fill="auto"/>
            <w:vAlign w:val="top"/>
          </w:tcPr>
          <w:p w14:paraId="48B534FE"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c>
          <w:tcPr>
            <w:tcW w:w="1417" w:type="dxa"/>
            <w:tcBorders>
              <w:top w:val="single" w:sz="8" w:space="0" w:color="A6A6A6" w:themeColor="background1" w:themeShade="A6"/>
              <w:bottom w:val="single" w:sz="8" w:space="0" w:color="A6A6A6" w:themeColor="background1" w:themeShade="A6"/>
            </w:tcBorders>
            <w:shd w:val="pct10" w:color="auto" w:fill="auto"/>
          </w:tcPr>
          <w:p w14:paraId="381D0022" w14:textId="77777777" w:rsidR="00894143" w:rsidRDefault="00894143" w:rsidP="0093011F">
            <w:pPr>
              <w:pStyle w:val="TableText"/>
              <w:cnfStyle w:val="000000000000" w:firstRow="0" w:lastRow="0" w:firstColumn="0" w:lastColumn="0" w:oddVBand="0" w:evenVBand="0" w:oddHBand="0" w:evenHBand="0" w:firstRowFirstColumn="0" w:firstRowLastColumn="0" w:lastRowFirstColumn="0" w:lastRowLastColumn="0"/>
            </w:pPr>
          </w:p>
        </w:tc>
      </w:tr>
      <w:tr w:rsidR="00936C2F" w14:paraId="41EEEA5F" w14:textId="4B9ADA70" w:rsidTr="00233E4D">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903" w:type="dxa"/>
            <w:tcBorders>
              <w:top w:val="single" w:sz="8" w:space="0" w:color="A6A6A6" w:themeColor="background1" w:themeShade="A6"/>
            </w:tcBorders>
            <w:vAlign w:val="top"/>
          </w:tcPr>
          <w:p w14:paraId="35E77558" w14:textId="77777777" w:rsidR="00936C2F" w:rsidRDefault="00936C2F" w:rsidP="0093011F">
            <w:pPr>
              <w:pStyle w:val="TableText"/>
            </w:pPr>
            <w:r>
              <w:t>Irreversible effects and higher future costs</w:t>
            </w:r>
          </w:p>
        </w:tc>
        <w:tc>
          <w:tcPr>
            <w:tcW w:w="6205" w:type="dxa"/>
            <w:gridSpan w:val="3"/>
            <w:tcBorders>
              <w:top w:val="single" w:sz="8" w:space="0" w:color="A6A6A6" w:themeColor="background1" w:themeShade="A6"/>
            </w:tcBorders>
            <w:vAlign w:val="top"/>
          </w:tcPr>
          <w:p w14:paraId="0EBADC79" w14:textId="62302AC1" w:rsidR="00936C2F" w:rsidRDefault="00936C2F" w:rsidP="00936C2F">
            <w:pPr>
              <w:pStyle w:val="TableText"/>
              <w:jc w:val="left"/>
              <w:cnfStyle w:val="010000000000" w:firstRow="0" w:lastRow="1" w:firstColumn="0" w:lastColumn="0" w:oddVBand="0" w:evenVBand="0" w:oddHBand="0" w:evenHBand="0" w:firstRowFirstColumn="0" w:firstRowLastColumn="0" w:lastRowFirstColumn="0" w:lastRowLastColumn="0"/>
            </w:pPr>
            <w:r>
              <w:t xml:space="preserve">Failure to reduce concentrations early can lead to the </w:t>
            </w:r>
            <w:proofErr w:type="spellStart"/>
            <w:r>
              <w:t>build up</w:t>
            </w:r>
            <w:proofErr w:type="spellEnd"/>
            <w:r>
              <w:t xml:space="preserve"> of sediments and contaminants in rivers, lakes and estuaries. This can result in shifts to alternative states which may be irreversible over reasonable time frames or high cost to change.</w:t>
            </w:r>
          </w:p>
        </w:tc>
      </w:tr>
    </w:tbl>
    <w:p w14:paraId="05A205FF" w14:textId="1F71DE78" w:rsidR="00FC77C7" w:rsidRPr="00590B44" w:rsidRDefault="00936C2F" w:rsidP="00936C2F">
      <w:pPr>
        <w:spacing w:line="240" w:lineRule="auto"/>
      </w:pPr>
      <w:r>
        <w:rPr>
          <w:sz w:val="18"/>
          <w:szCs w:val="18"/>
          <w:vertAlign w:val="superscript"/>
        </w:rPr>
        <w:t>*</w:t>
      </w:r>
      <w:r w:rsidR="00FC77C7" w:rsidRPr="00936C2F">
        <w:rPr>
          <w:sz w:val="18"/>
          <w:szCs w:val="18"/>
        </w:rPr>
        <w:t xml:space="preserve"> </w:t>
      </w:r>
      <w:r w:rsidRPr="00936C2F">
        <w:rPr>
          <w:sz w:val="18"/>
          <w:szCs w:val="18"/>
        </w:rPr>
        <w:t>The range is based on the 5</w:t>
      </w:r>
      <w:r w:rsidRPr="00936C2F">
        <w:rPr>
          <w:sz w:val="18"/>
          <w:szCs w:val="18"/>
          <w:vertAlign w:val="superscript"/>
        </w:rPr>
        <w:t>th</w:t>
      </w:r>
      <w:r w:rsidRPr="00936C2F">
        <w:rPr>
          <w:sz w:val="18"/>
          <w:szCs w:val="18"/>
        </w:rPr>
        <w:t xml:space="preserve"> and 95</w:t>
      </w:r>
      <w:r w:rsidRPr="00936C2F">
        <w:rPr>
          <w:sz w:val="18"/>
          <w:szCs w:val="18"/>
          <w:vertAlign w:val="superscript"/>
        </w:rPr>
        <w:t>th</w:t>
      </w:r>
      <w:r w:rsidRPr="00936C2F">
        <w:rPr>
          <w:sz w:val="18"/>
          <w:szCs w:val="18"/>
        </w:rPr>
        <w:t xml:space="preserve"> percentile values in Tait et al (</w:t>
      </w:r>
      <w:r w:rsidRPr="00936C2F">
        <w:rPr>
          <w:sz w:val="18"/>
          <w:szCs w:val="18"/>
        </w:rPr>
        <w:fldChar w:fldCharType="begin"/>
      </w:r>
      <w:r w:rsidRPr="00936C2F">
        <w:rPr>
          <w:sz w:val="18"/>
          <w:szCs w:val="18"/>
        </w:rPr>
        <w:instrText xml:space="preserve"> REF _Ref30413099 \h </w:instrText>
      </w:r>
      <w:r>
        <w:rPr>
          <w:sz w:val="18"/>
          <w:szCs w:val="18"/>
        </w:rPr>
        <w:instrText xml:space="preserve"> \* MERGEFORMAT </w:instrText>
      </w:r>
      <w:r w:rsidRPr="00936C2F">
        <w:rPr>
          <w:sz w:val="18"/>
          <w:szCs w:val="18"/>
        </w:rPr>
      </w:r>
      <w:r w:rsidRPr="00936C2F">
        <w:rPr>
          <w:sz w:val="18"/>
          <w:szCs w:val="18"/>
        </w:rPr>
        <w:fldChar w:fldCharType="separate"/>
      </w:r>
      <w:r w:rsidR="00024EB5" w:rsidRPr="00024EB5">
        <w:rPr>
          <w:sz w:val="18"/>
          <w:szCs w:val="18"/>
        </w:rPr>
        <w:t xml:space="preserve">Table </w:t>
      </w:r>
      <w:r w:rsidR="00024EB5" w:rsidRPr="00024EB5">
        <w:rPr>
          <w:noProof/>
          <w:sz w:val="18"/>
          <w:szCs w:val="18"/>
        </w:rPr>
        <w:t>3</w:t>
      </w:r>
      <w:r w:rsidRPr="00936C2F">
        <w:rPr>
          <w:sz w:val="18"/>
          <w:szCs w:val="18"/>
        </w:rPr>
        <w:fldChar w:fldCharType="end"/>
      </w:r>
      <w:r w:rsidRPr="00936C2F">
        <w:rPr>
          <w:sz w:val="18"/>
          <w:szCs w:val="18"/>
        </w:rPr>
        <w:t>);</w:t>
      </w:r>
      <w:r>
        <w:t xml:space="preserve"> </w:t>
      </w:r>
      <w:r>
        <w:rPr>
          <w:vertAlign w:val="superscript"/>
        </w:rPr>
        <w:t>**</w:t>
      </w:r>
      <w:r>
        <w:t xml:space="preserve"> </w:t>
      </w:r>
      <w:proofErr w:type="gramStart"/>
      <w:r w:rsidR="00FC77C7" w:rsidRPr="0093011F">
        <w:rPr>
          <w:sz w:val="18"/>
          <w:szCs w:val="18"/>
        </w:rPr>
        <w:t>The</w:t>
      </w:r>
      <w:proofErr w:type="gramEnd"/>
      <w:r w:rsidR="00FC77C7" w:rsidRPr="0093011F">
        <w:rPr>
          <w:sz w:val="18"/>
          <w:szCs w:val="18"/>
        </w:rPr>
        <w:t xml:space="preserve"> </w:t>
      </w:r>
      <w:r>
        <w:rPr>
          <w:sz w:val="18"/>
          <w:szCs w:val="18"/>
        </w:rPr>
        <w:t xml:space="preserve">present </w:t>
      </w:r>
      <w:r w:rsidR="00FC77C7" w:rsidRPr="0093011F">
        <w:rPr>
          <w:sz w:val="18"/>
          <w:szCs w:val="18"/>
        </w:rPr>
        <w:t>value is to 2050 discounted at 3%</w:t>
      </w:r>
    </w:p>
    <w:p w14:paraId="33CCC60E" w14:textId="77777777" w:rsidR="00FC77C7" w:rsidRDefault="00FC77C7" w:rsidP="00FC77C7"/>
    <w:p w14:paraId="063C1A53" w14:textId="77777777" w:rsidR="00894143" w:rsidRDefault="00894143" w:rsidP="00FC77C7"/>
    <w:p w14:paraId="51D6C653" w14:textId="33C4213E" w:rsidR="00FC77C7" w:rsidRDefault="00FC77C7" w:rsidP="00FC77C7">
      <w:r>
        <w:t>The values include:</w:t>
      </w:r>
      <w:r>
        <w:br/>
      </w:r>
    </w:p>
    <w:p w14:paraId="378343AE" w14:textId="77777777" w:rsidR="00FC77C7" w:rsidRDefault="00FC77C7" w:rsidP="008355BD">
      <w:pPr>
        <w:pStyle w:val="ListParagraph"/>
        <w:numPr>
          <w:ilvl w:val="0"/>
          <w:numId w:val="25"/>
        </w:numPr>
      </w:pPr>
      <w:r>
        <w:t>Monetarised non-market values based on the expressed willingness to pay of individuals for improvements in human health outcomes from water use, water clarity and ecosystem health.</w:t>
      </w:r>
    </w:p>
    <w:p w14:paraId="41C848C5" w14:textId="77777777" w:rsidR="00FC77C7" w:rsidRDefault="00FC77C7" w:rsidP="00FC77C7"/>
    <w:p w14:paraId="3B9C903F" w14:textId="77777777" w:rsidR="00FC77C7" w:rsidRDefault="00FC77C7" w:rsidP="008355BD">
      <w:pPr>
        <w:pStyle w:val="ListParagraph"/>
        <w:numPr>
          <w:ilvl w:val="0"/>
          <w:numId w:val="25"/>
        </w:numPr>
      </w:pPr>
      <w:r>
        <w:lastRenderedPageBreak/>
        <w:t>Improvements in additional non-market values that we have been unable to quantify, including ecosystem services.</w:t>
      </w:r>
    </w:p>
    <w:p w14:paraId="0056A332" w14:textId="77777777" w:rsidR="00FC77C7" w:rsidRDefault="00FC77C7" w:rsidP="00FC77C7"/>
    <w:p w14:paraId="16BF74A2" w14:textId="77777777" w:rsidR="00FC77C7" w:rsidRDefault="00FC77C7" w:rsidP="008355BD">
      <w:pPr>
        <w:pStyle w:val="ListParagraph"/>
        <w:numPr>
          <w:ilvl w:val="0"/>
          <w:numId w:val="25"/>
        </w:numPr>
      </w:pPr>
      <w:r>
        <w:t xml:space="preserve">Protection of financial values at risk, including </w:t>
      </w:r>
    </w:p>
    <w:p w14:paraId="49EA188F" w14:textId="77777777" w:rsidR="00FC77C7" w:rsidRDefault="00FC77C7" w:rsidP="008355BD">
      <w:pPr>
        <w:pStyle w:val="ListParagraph"/>
        <w:numPr>
          <w:ilvl w:val="1"/>
          <w:numId w:val="25"/>
        </w:numPr>
      </w:pPr>
      <w:r>
        <w:t xml:space="preserve">commercial values from direct use of freshwater, </w:t>
      </w:r>
      <w:proofErr w:type="spellStart"/>
      <w:r>
        <w:t>eg</w:t>
      </w:r>
      <w:proofErr w:type="spellEnd"/>
      <w:r>
        <w:t xml:space="preserve"> guided fishing and commercialised boat trips;</w:t>
      </w:r>
    </w:p>
    <w:p w14:paraId="34BD0684" w14:textId="77777777" w:rsidR="00FC77C7" w:rsidRDefault="00FC77C7" w:rsidP="008355BD">
      <w:pPr>
        <w:pStyle w:val="ListParagraph"/>
        <w:numPr>
          <w:ilvl w:val="1"/>
          <w:numId w:val="25"/>
        </w:numPr>
      </w:pPr>
      <w:r>
        <w:t>the price premium that New Zealand exporters and tourism operators obtain on the basis of New Zealand’s reputation for high environmental quality.</w:t>
      </w:r>
      <w:r>
        <w:br/>
      </w:r>
    </w:p>
    <w:p w14:paraId="52AFB677" w14:textId="77777777" w:rsidR="00FC77C7" w:rsidRDefault="00FC77C7" w:rsidP="008355BD">
      <w:pPr>
        <w:pStyle w:val="ListParagraph"/>
        <w:numPr>
          <w:ilvl w:val="0"/>
          <w:numId w:val="25"/>
        </w:numPr>
      </w:pPr>
      <w:r>
        <w:t>Avoided financial costs, including costs of denitrification of drinking water and greenhouse gas reduction costs.</w:t>
      </w:r>
    </w:p>
    <w:p w14:paraId="39F7DC21" w14:textId="77777777" w:rsidR="00FC77C7" w:rsidRDefault="00FC77C7" w:rsidP="00FC77C7"/>
    <w:p w14:paraId="60DF7EAB" w14:textId="77777777" w:rsidR="00805590" w:rsidRDefault="00FC77C7" w:rsidP="00FC77C7">
      <w:r>
        <w:t>This study has also identified possible irreversible effects or those that are slow or costly to reverse. These include those associated with changes of ecological systems to alternative states. Reducing concentrations early helps to reduce the risks of these events.</w:t>
      </w:r>
    </w:p>
    <w:p w14:paraId="42D1ED50" w14:textId="77777777" w:rsidR="00805590" w:rsidRDefault="00805590" w:rsidP="00FC77C7"/>
    <w:p w14:paraId="74C4C337" w14:textId="6566B525" w:rsidR="00FC77C7" w:rsidRDefault="006A13F9" w:rsidP="00FC77C7">
      <w:r w:rsidRPr="006A13F9">
        <w:t xml:space="preserve">The monetarised benefits are based on willingness to pay analyses which assume a set of existing rights to discharge contaminants. However, such rights are not established in law; rather the RMA states that no person may discharge any contaminant into water unless allowed by a regulation, a plan, or a resource consent. A different set of rights, </w:t>
      </w:r>
      <w:proofErr w:type="spellStart"/>
      <w:r w:rsidRPr="006A13F9">
        <w:t>eg</w:t>
      </w:r>
      <w:proofErr w:type="spellEnd"/>
      <w:r w:rsidRPr="006A13F9">
        <w:t xml:space="preserve"> which established rights for the public to have clean, uncontaminated water (unless appropriately compensated for any loss), could be agreed. It would require a different approach to valuation and would be expected to produce higher values than those presented here.</w:t>
      </w:r>
      <w:r w:rsidR="00FC77C7">
        <w:br/>
      </w:r>
    </w:p>
    <w:p w14:paraId="3B81FE08" w14:textId="77777777" w:rsidR="00FC77C7" w:rsidRPr="00C410AA" w:rsidRDefault="00FC77C7" w:rsidP="00FC77C7"/>
    <w:p w14:paraId="04FB45DD" w14:textId="77777777" w:rsidR="00FC77C7" w:rsidRDefault="00FC77C7" w:rsidP="00FC77C7"/>
    <w:p w14:paraId="36B3D14E" w14:textId="77777777" w:rsidR="00FC77C7" w:rsidRDefault="00FC77C7" w:rsidP="00FC77C7"/>
    <w:p w14:paraId="2B7162A5" w14:textId="77777777" w:rsidR="00FC77C7" w:rsidRDefault="00FC77C7" w:rsidP="00FC77C7"/>
    <w:p w14:paraId="37E22E75" w14:textId="77777777" w:rsidR="00FC77C7" w:rsidRDefault="00FC77C7" w:rsidP="00FC77C7"/>
    <w:p w14:paraId="7B1D0229" w14:textId="77777777" w:rsidR="00FC77C7" w:rsidRDefault="00FC77C7" w:rsidP="00FC77C7"/>
    <w:p w14:paraId="22E8DFEC" w14:textId="77777777" w:rsidR="00FC77C7" w:rsidRDefault="00FC77C7" w:rsidP="00FC77C7">
      <w:pPr>
        <w:pStyle w:val="Heading1"/>
      </w:pPr>
      <w:r>
        <w:br w:type="page"/>
      </w:r>
    </w:p>
    <w:p w14:paraId="5AE3327B" w14:textId="77777777" w:rsidR="00FC77C7" w:rsidRDefault="00FC77C7" w:rsidP="00FC77C7">
      <w:pPr>
        <w:pStyle w:val="Heading1"/>
      </w:pPr>
      <w:bookmarkStart w:id="118" w:name="_Toc35594008"/>
      <w:bookmarkStart w:id="119" w:name="_Toc35599768"/>
      <w:r>
        <w:lastRenderedPageBreak/>
        <w:t>References</w:t>
      </w:r>
      <w:bookmarkEnd w:id="118"/>
      <w:bookmarkEnd w:id="119"/>
    </w:p>
    <w:p w14:paraId="5914790A"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Adler MD (2016) Benefit–Cost Analysis and Distributional Weights: An Overview. Review of Environmental Economics and Policy, 10(2): 264–285.</w:t>
      </w:r>
    </w:p>
    <w:p w14:paraId="0174651B"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Arrow KJ, Cline WR, Maler K-G, </w:t>
      </w:r>
      <w:proofErr w:type="spellStart"/>
      <w:r w:rsidRPr="00020C26">
        <w:rPr>
          <w:rFonts w:asciiTheme="minorHAnsi" w:hAnsiTheme="minorHAnsi"/>
          <w:sz w:val="20"/>
          <w:szCs w:val="24"/>
        </w:rPr>
        <w:t>Munasinghe</w:t>
      </w:r>
      <w:proofErr w:type="spellEnd"/>
      <w:r w:rsidRPr="00020C26">
        <w:rPr>
          <w:rFonts w:asciiTheme="minorHAnsi" w:hAnsiTheme="minorHAnsi"/>
          <w:sz w:val="20"/>
          <w:szCs w:val="24"/>
        </w:rPr>
        <w:t xml:space="preserve"> M and </w:t>
      </w:r>
      <w:proofErr w:type="spellStart"/>
      <w:r w:rsidRPr="00020C26">
        <w:rPr>
          <w:rFonts w:asciiTheme="minorHAnsi" w:hAnsiTheme="minorHAnsi"/>
          <w:sz w:val="20"/>
          <w:szCs w:val="24"/>
        </w:rPr>
        <w:t>Stiglitz</w:t>
      </w:r>
      <w:proofErr w:type="spellEnd"/>
      <w:r w:rsidRPr="00020C26">
        <w:rPr>
          <w:rFonts w:asciiTheme="minorHAnsi" w:hAnsiTheme="minorHAnsi"/>
          <w:sz w:val="20"/>
          <w:szCs w:val="24"/>
        </w:rPr>
        <w:t xml:space="preserve"> JE (1995) Intertemporal Equity, Discounting, and Economic Efficiency. In: </w:t>
      </w:r>
      <w:proofErr w:type="spellStart"/>
      <w:r w:rsidRPr="00020C26">
        <w:rPr>
          <w:rFonts w:asciiTheme="minorHAnsi" w:hAnsiTheme="minorHAnsi"/>
          <w:sz w:val="20"/>
          <w:szCs w:val="24"/>
        </w:rPr>
        <w:t>Munasinghe</w:t>
      </w:r>
      <w:proofErr w:type="spellEnd"/>
      <w:r w:rsidRPr="00020C26">
        <w:rPr>
          <w:rFonts w:asciiTheme="minorHAnsi" w:hAnsiTheme="minorHAnsi"/>
          <w:sz w:val="20"/>
          <w:szCs w:val="24"/>
        </w:rPr>
        <w:t xml:space="preserve"> M (</w:t>
      </w:r>
      <w:proofErr w:type="spellStart"/>
      <w:proofErr w:type="gramStart"/>
      <w:r w:rsidRPr="00020C26">
        <w:rPr>
          <w:rFonts w:asciiTheme="minorHAnsi" w:hAnsiTheme="minorHAnsi"/>
          <w:sz w:val="20"/>
          <w:szCs w:val="24"/>
        </w:rPr>
        <w:t>ed</w:t>
      </w:r>
      <w:proofErr w:type="spellEnd"/>
      <w:proofErr w:type="gramEnd"/>
      <w:r w:rsidRPr="00020C26">
        <w:rPr>
          <w:rFonts w:asciiTheme="minorHAnsi" w:hAnsiTheme="minorHAnsi"/>
          <w:sz w:val="20"/>
          <w:szCs w:val="24"/>
        </w:rPr>
        <w:t>) Global Climate Change: Economic and Policy Issues. World Bank Environment Paper Number 12</w:t>
      </w:r>
    </w:p>
    <w:p w14:paraId="69576292"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Barbera</w:t>
      </w:r>
      <w:proofErr w:type="spellEnd"/>
      <w:r w:rsidRPr="00020C26">
        <w:rPr>
          <w:rFonts w:asciiTheme="minorHAnsi" w:hAnsiTheme="minorHAnsi"/>
          <w:sz w:val="20"/>
          <w:szCs w:val="24"/>
        </w:rPr>
        <w:t xml:space="preserve"> MG (2010) Benefit transfer approaches. Auckland Council.</w:t>
      </w:r>
    </w:p>
    <w:p w14:paraId="586D69DC"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Baskaran</w:t>
      </w:r>
      <w:proofErr w:type="spellEnd"/>
      <w:r w:rsidRPr="00020C26">
        <w:rPr>
          <w:rFonts w:asciiTheme="minorHAnsi" w:hAnsiTheme="minorHAnsi"/>
          <w:sz w:val="20"/>
          <w:szCs w:val="24"/>
        </w:rPr>
        <w:t xml:space="preserve"> R, Colombo S and Cullen C (2013) Public preferences in irrigation and conservation development projects: Does simultaneous consideration of substitutes in choice sets matter? Land Use Policy 33: 214– 226.</w:t>
      </w:r>
    </w:p>
    <w:p w14:paraId="7882F4A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Beckerman W and Hepburn C (2007) Ethics of the Discount Rate in the Stern Review on the Economics of Climate Change. World Economics, 8(1): 187-210</w:t>
      </w:r>
    </w:p>
    <w:p w14:paraId="52F0EC2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Bell B and Yap M (2004) The </w:t>
      </w:r>
      <w:proofErr w:type="spellStart"/>
      <w:r w:rsidRPr="00020C26">
        <w:rPr>
          <w:rFonts w:asciiTheme="minorHAnsi" w:hAnsiTheme="minorHAnsi"/>
          <w:sz w:val="20"/>
          <w:szCs w:val="24"/>
        </w:rPr>
        <w:t>Rotorua</w:t>
      </w:r>
      <w:proofErr w:type="spellEnd"/>
      <w:r w:rsidRPr="00020C26">
        <w:rPr>
          <w:rFonts w:asciiTheme="minorHAnsi" w:hAnsiTheme="minorHAnsi"/>
          <w:sz w:val="20"/>
          <w:szCs w:val="24"/>
        </w:rPr>
        <w:t xml:space="preserve"> Lakes: Evaluation of less tangible values. A report prepared for Environment Bay of Plenty. </w:t>
      </w:r>
      <w:proofErr w:type="spellStart"/>
      <w:r w:rsidRPr="00020C26">
        <w:rPr>
          <w:rFonts w:asciiTheme="minorHAnsi" w:hAnsiTheme="minorHAnsi"/>
          <w:sz w:val="20"/>
          <w:szCs w:val="24"/>
        </w:rPr>
        <w:t>Nimmo</w:t>
      </w:r>
      <w:proofErr w:type="spellEnd"/>
      <w:r w:rsidRPr="00020C26">
        <w:rPr>
          <w:rFonts w:asciiTheme="minorHAnsi" w:hAnsiTheme="minorHAnsi"/>
          <w:sz w:val="20"/>
          <w:szCs w:val="24"/>
        </w:rPr>
        <w:t>-Bell.</w:t>
      </w:r>
    </w:p>
    <w:p w14:paraId="7F9FAE30"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Biggs BJF (2000) New Zealand </w:t>
      </w:r>
      <w:proofErr w:type="spellStart"/>
      <w:r w:rsidRPr="00020C26">
        <w:rPr>
          <w:rFonts w:asciiTheme="minorHAnsi" w:hAnsiTheme="minorHAnsi"/>
          <w:sz w:val="20"/>
          <w:szCs w:val="24"/>
        </w:rPr>
        <w:t>Periphyton</w:t>
      </w:r>
      <w:proofErr w:type="spellEnd"/>
      <w:r w:rsidRPr="00020C26">
        <w:rPr>
          <w:rFonts w:asciiTheme="minorHAnsi" w:hAnsiTheme="minorHAnsi"/>
          <w:sz w:val="20"/>
          <w:szCs w:val="24"/>
        </w:rPr>
        <w:t xml:space="preserve"> Guideline: Detecting, Monitoring and Managing Enrichment of Streams. Prepared for Ministry for the Environment. NIWA, Christchurch.</w:t>
      </w:r>
    </w:p>
    <w:p w14:paraId="2BEA5F7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Canterbury District Health Board (2016) Nitrate in Drinking Water “BLUE BABY” Syndrome.</w:t>
      </w:r>
    </w:p>
    <w:p w14:paraId="595D7E7F"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CH2M </w:t>
      </w:r>
      <w:proofErr w:type="spellStart"/>
      <w:r w:rsidRPr="00020C26">
        <w:rPr>
          <w:rFonts w:asciiTheme="minorHAnsi" w:hAnsiTheme="minorHAnsi"/>
          <w:sz w:val="20"/>
          <w:szCs w:val="24"/>
        </w:rPr>
        <w:t>Beca</w:t>
      </w:r>
      <w:proofErr w:type="spellEnd"/>
      <w:r w:rsidRPr="00020C26">
        <w:rPr>
          <w:rFonts w:asciiTheme="minorHAnsi" w:hAnsiTheme="minorHAnsi"/>
          <w:sz w:val="20"/>
          <w:szCs w:val="24"/>
        </w:rPr>
        <w:t xml:space="preserve"> Limited (2010) Drinking Water Standards New Zealand Cost Benefit Analysis - Engineering Input. Report prepared for Ministry of Health.</w:t>
      </w:r>
    </w:p>
    <w:p w14:paraId="72CAAA4C"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Clausen B and Biggs BJF (1997) Relationships between benthic biota and hydrological indices in New Zealand streams. Freshwater Biology 38: 327-342.</w:t>
      </w:r>
    </w:p>
    <w:p w14:paraId="63F40F7B"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Cocklin</w:t>
      </w:r>
      <w:proofErr w:type="spellEnd"/>
      <w:r w:rsidRPr="00020C26">
        <w:rPr>
          <w:rFonts w:asciiTheme="minorHAnsi" w:hAnsiTheme="minorHAnsi"/>
          <w:sz w:val="20"/>
          <w:szCs w:val="24"/>
        </w:rPr>
        <w:t xml:space="preserve"> C, Fraser I and M Harte (1994) </w:t>
      </w:r>
      <w:proofErr w:type="gramStart"/>
      <w:r w:rsidRPr="00020C26">
        <w:rPr>
          <w:rFonts w:asciiTheme="minorHAnsi" w:hAnsiTheme="minorHAnsi"/>
          <w:sz w:val="20"/>
          <w:szCs w:val="24"/>
        </w:rPr>
        <w:t>The</w:t>
      </w:r>
      <w:proofErr w:type="gramEnd"/>
      <w:r w:rsidRPr="00020C26">
        <w:rPr>
          <w:rFonts w:asciiTheme="minorHAnsi" w:hAnsiTheme="minorHAnsi"/>
          <w:sz w:val="20"/>
          <w:szCs w:val="24"/>
        </w:rPr>
        <w:t xml:space="preserve"> recreational value of in-stream flows: the Upper Wanganui and Whakapapa Rivers. New Zealand Geographer 50(1): 20-29</w:t>
      </w:r>
    </w:p>
    <w:p w14:paraId="2502D4DA"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Cooke J and Phillips N (2014) Preliminary Health Risk Assessment of NZ Groundwater with Particular Reference to Infant </w:t>
      </w:r>
      <w:proofErr w:type="spellStart"/>
      <w:r w:rsidRPr="00020C26">
        <w:rPr>
          <w:rFonts w:asciiTheme="minorHAnsi" w:hAnsiTheme="minorHAnsi"/>
          <w:sz w:val="20"/>
          <w:szCs w:val="24"/>
        </w:rPr>
        <w:t>Methaemoglobinaemia</w:t>
      </w:r>
      <w:proofErr w:type="spellEnd"/>
      <w:r w:rsidRPr="00020C26">
        <w:rPr>
          <w:rFonts w:asciiTheme="minorHAnsi" w:hAnsiTheme="minorHAnsi"/>
          <w:sz w:val="20"/>
          <w:szCs w:val="24"/>
        </w:rPr>
        <w:t xml:space="preserve">. Presented to Water New Zealand Conference 17-19 September, </w:t>
      </w:r>
      <w:proofErr w:type="spellStart"/>
      <w:r w:rsidRPr="00020C26">
        <w:rPr>
          <w:rFonts w:asciiTheme="minorHAnsi" w:hAnsiTheme="minorHAnsi"/>
          <w:sz w:val="20"/>
          <w:szCs w:val="24"/>
        </w:rPr>
        <w:t>Claudelands</w:t>
      </w:r>
      <w:proofErr w:type="spellEnd"/>
      <w:r w:rsidRPr="00020C26">
        <w:rPr>
          <w:rFonts w:asciiTheme="minorHAnsi" w:hAnsiTheme="minorHAnsi"/>
          <w:sz w:val="20"/>
          <w:szCs w:val="24"/>
        </w:rPr>
        <w:t xml:space="preserve"> Event Centre, </w:t>
      </w:r>
      <w:proofErr w:type="gramStart"/>
      <w:r w:rsidRPr="00020C26">
        <w:rPr>
          <w:rFonts w:asciiTheme="minorHAnsi" w:hAnsiTheme="minorHAnsi"/>
          <w:sz w:val="20"/>
          <w:szCs w:val="24"/>
        </w:rPr>
        <w:t>Hamilton</w:t>
      </w:r>
      <w:proofErr w:type="gramEnd"/>
      <w:r w:rsidRPr="00020C26">
        <w:rPr>
          <w:rFonts w:asciiTheme="minorHAnsi" w:hAnsiTheme="minorHAnsi"/>
          <w:sz w:val="20"/>
          <w:szCs w:val="24"/>
        </w:rPr>
        <w:t>.</w:t>
      </w:r>
    </w:p>
    <w:p w14:paraId="78AC69A3"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Denne T, Hoskins S, Webster G and Jowett I (2013) Non-Market Water Values in Southland. Report for the Ministry for the Environment. </w:t>
      </w:r>
      <w:proofErr w:type="spellStart"/>
      <w:r w:rsidRPr="00020C26">
        <w:rPr>
          <w:rFonts w:asciiTheme="minorHAnsi" w:hAnsiTheme="minorHAnsi"/>
          <w:sz w:val="20"/>
          <w:szCs w:val="24"/>
        </w:rPr>
        <w:t>Covec</w:t>
      </w:r>
      <w:proofErr w:type="spellEnd"/>
      <w:r w:rsidRPr="00020C26">
        <w:rPr>
          <w:rFonts w:asciiTheme="minorHAnsi" w:hAnsiTheme="minorHAnsi"/>
          <w:sz w:val="20"/>
          <w:szCs w:val="24"/>
        </w:rPr>
        <w:t xml:space="preserve"> Ltd.</w:t>
      </w:r>
    </w:p>
    <w:p w14:paraId="095D862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Denne T, </w:t>
      </w:r>
      <w:proofErr w:type="spellStart"/>
      <w:r w:rsidRPr="00020C26">
        <w:rPr>
          <w:rFonts w:asciiTheme="minorHAnsi" w:hAnsiTheme="minorHAnsi"/>
          <w:sz w:val="20"/>
          <w:szCs w:val="24"/>
        </w:rPr>
        <w:t>Scarpa</w:t>
      </w:r>
      <w:proofErr w:type="spellEnd"/>
      <w:r w:rsidRPr="00020C26">
        <w:rPr>
          <w:rFonts w:asciiTheme="minorHAnsi" w:hAnsiTheme="minorHAnsi"/>
          <w:sz w:val="20"/>
          <w:szCs w:val="24"/>
        </w:rPr>
        <w:t xml:space="preserve"> R and </w:t>
      </w:r>
      <w:proofErr w:type="spellStart"/>
      <w:r w:rsidRPr="00020C26">
        <w:rPr>
          <w:rFonts w:asciiTheme="minorHAnsi" w:hAnsiTheme="minorHAnsi"/>
          <w:sz w:val="20"/>
          <w:szCs w:val="24"/>
        </w:rPr>
        <w:t>Beville</w:t>
      </w:r>
      <w:proofErr w:type="spellEnd"/>
      <w:r w:rsidRPr="00020C26">
        <w:rPr>
          <w:rFonts w:asciiTheme="minorHAnsi" w:hAnsiTheme="minorHAnsi"/>
          <w:sz w:val="20"/>
          <w:szCs w:val="24"/>
        </w:rPr>
        <w:t xml:space="preserve"> S (2011) Gap analysis of freshwater valuation information. Report for the Ministry for the Environment. </w:t>
      </w:r>
      <w:proofErr w:type="spellStart"/>
      <w:r w:rsidRPr="00020C26">
        <w:rPr>
          <w:rFonts w:asciiTheme="minorHAnsi" w:hAnsiTheme="minorHAnsi"/>
          <w:sz w:val="20"/>
          <w:szCs w:val="24"/>
        </w:rPr>
        <w:t>Covec</w:t>
      </w:r>
      <w:proofErr w:type="spellEnd"/>
      <w:r w:rsidRPr="00020C26">
        <w:rPr>
          <w:rFonts w:asciiTheme="minorHAnsi" w:hAnsiTheme="minorHAnsi"/>
          <w:sz w:val="20"/>
          <w:szCs w:val="24"/>
        </w:rPr>
        <w:t xml:space="preserve"> Ltd.</w:t>
      </w:r>
    </w:p>
    <w:p w14:paraId="63EF79D3"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Department of Conservation (2013) Exploring Future Opportunities for the </w:t>
      </w:r>
      <w:proofErr w:type="spellStart"/>
      <w:r w:rsidRPr="00020C26">
        <w:rPr>
          <w:rFonts w:asciiTheme="minorHAnsi" w:hAnsiTheme="minorHAnsi"/>
          <w:sz w:val="20"/>
          <w:szCs w:val="24"/>
        </w:rPr>
        <w:t>Taupō</w:t>
      </w:r>
      <w:proofErr w:type="spellEnd"/>
      <w:r w:rsidRPr="00020C26">
        <w:rPr>
          <w:rFonts w:asciiTheme="minorHAnsi" w:hAnsiTheme="minorHAnsi"/>
          <w:sz w:val="20"/>
          <w:szCs w:val="24"/>
        </w:rPr>
        <w:t xml:space="preserve"> Fishery: Review of the </w:t>
      </w:r>
      <w:proofErr w:type="spellStart"/>
      <w:r w:rsidRPr="00020C26">
        <w:rPr>
          <w:rFonts w:asciiTheme="minorHAnsi" w:hAnsiTheme="minorHAnsi"/>
          <w:sz w:val="20"/>
          <w:szCs w:val="24"/>
        </w:rPr>
        <w:t>Taupō</w:t>
      </w:r>
      <w:proofErr w:type="spellEnd"/>
      <w:r w:rsidRPr="00020C26">
        <w:rPr>
          <w:rFonts w:asciiTheme="minorHAnsi" w:hAnsiTheme="minorHAnsi"/>
          <w:sz w:val="20"/>
          <w:szCs w:val="24"/>
        </w:rPr>
        <w:t xml:space="preserve"> Sports Fishery.</w:t>
      </w:r>
    </w:p>
    <w:p w14:paraId="75218BAF"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Elliot R (1992) Intrinsic Value, Environmental Obligation and Naturalness. The Monist, 75(2): 138-160.</w:t>
      </w:r>
    </w:p>
    <w:p w14:paraId="22F8B854"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Environment Canterbury (2016) Factsheet. Recreational Water Quality.</w:t>
      </w:r>
    </w:p>
    <w:p w14:paraId="3AC43CD1"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ESR (2019) Notifiable Diseases in New Zealand Annual Report 2017. Report for Ministry of Health Client Report No: FW18030.</w:t>
      </w:r>
    </w:p>
    <w:p w14:paraId="155DF0A6"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Foote KJ (2014) </w:t>
      </w:r>
      <w:proofErr w:type="gramStart"/>
      <w:r w:rsidRPr="00020C26">
        <w:rPr>
          <w:rFonts w:asciiTheme="minorHAnsi" w:hAnsiTheme="minorHAnsi"/>
          <w:sz w:val="20"/>
          <w:szCs w:val="24"/>
        </w:rPr>
        <w:t>The</w:t>
      </w:r>
      <w:proofErr w:type="gramEnd"/>
      <w:r w:rsidRPr="00020C26">
        <w:rPr>
          <w:rFonts w:asciiTheme="minorHAnsi" w:hAnsiTheme="minorHAnsi"/>
          <w:sz w:val="20"/>
          <w:szCs w:val="24"/>
        </w:rPr>
        <w:t xml:space="preserve"> Cost of Milk: Environmental Deterioration versus Profit in the New Zealand Dairy Industry. A thesis submitted in partial fulfilment of the requirements for the degree of Master of Environmental Management. Institute of Agriculture and Environment, Massey University.</w:t>
      </w:r>
    </w:p>
    <w:p w14:paraId="4FE5D829"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Gluckman</w:t>
      </w:r>
      <w:proofErr w:type="spellEnd"/>
      <w:r w:rsidRPr="00020C26">
        <w:rPr>
          <w:rFonts w:asciiTheme="minorHAnsi" w:hAnsiTheme="minorHAnsi"/>
          <w:sz w:val="20"/>
          <w:szCs w:val="24"/>
        </w:rPr>
        <w:t xml:space="preserve"> P (2017) New Zealand’s fresh waters: Values, state, trends and human impacts. Office of the Prime Minister’s Chief Science Advisor.</w:t>
      </w:r>
    </w:p>
    <w:p w14:paraId="3FA27E27"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lastRenderedPageBreak/>
        <w:t xml:space="preserve">Graham E, Woodward B, Dudley B, Stevens L, </w:t>
      </w:r>
      <w:proofErr w:type="spellStart"/>
      <w:r w:rsidRPr="00020C26">
        <w:rPr>
          <w:rFonts w:asciiTheme="minorHAnsi" w:hAnsiTheme="minorHAnsi"/>
          <w:sz w:val="20"/>
          <w:szCs w:val="24"/>
        </w:rPr>
        <w:t>Verburg</w:t>
      </w:r>
      <w:proofErr w:type="spellEnd"/>
      <w:r w:rsidRPr="00020C26">
        <w:rPr>
          <w:rFonts w:asciiTheme="minorHAnsi" w:hAnsiTheme="minorHAnsi"/>
          <w:sz w:val="20"/>
          <w:szCs w:val="24"/>
        </w:rPr>
        <w:t xml:space="preserve"> P, </w:t>
      </w:r>
      <w:proofErr w:type="spellStart"/>
      <w:r w:rsidRPr="00020C26">
        <w:rPr>
          <w:rFonts w:asciiTheme="minorHAnsi" w:hAnsiTheme="minorHAnsi"/>
          <w:sz w:val="20"/>
          <w:szCs w:val="24"/>
        </w:rPr>
        <w:t>Zeldis</w:t>
      </w:r>
      <w:proofErr w:type="spellEnd"/>
      <w:r w:rsidRPr="00020C26">
        <w:rPr>
          <w:rFonts w:asciiTheme="minorHAnsi" w:hAnsiTheme="minorHAnsi"/>
          <w:sz w:val="20"/>
          <w:szCs w:val="24"/>
        </w:rPr>
        <w:t xml:space="preserve"> J, </w:t>
      </w:r>
      <w:proofErr w:type="spellStart"/>
      <w:r w:rsidRPr="00020C26">
        <w:rPr>
          <w:rFonts w:asciiTheme="minorHAnsi" w:hAnsiTheme="minorHAnsi"/>
          <w:sz w:val="20"/>
          <w:szCs w:val="24"/>
        </w:rPr>
        <w:t>Hofstra</w:t>
      </w:r>
      <w:proofErr w:type="spellEnd"/>
      <w:r w:rsidRPr="00020C26">
        <w:rPr>
          <w:rFonts w:asciiTheme="minorHAnsi" w:hAnsiTheme="minorHAnsi"/>
          <w:sz w:val="20"/>
          <w:szCs w:val="24"/>
        </w:rPr>
        <w:t xml:space="preserve"> D, Matheson F and Elliott S (2020) Consequences of Inaction. Potential ramifications of delaying proposed nutrient limitations on New Zealand lakes, rivers, and estuaries. Report prepared for Ministry for the Environment. NIWA.</w:t>
      </w:r>
    </w:p>
    <w:p w14:paraId="57CE6F2A" w14:textId="77777777" w:rsidR="00FC77C7" w:rsidRPr="00020C26" w:rsidRDefault="00FC77C7" w:rsidP="00FC77C7">
      <w:pPr>
        <w:pStyle w:val="NoSpacing"/>
        <w:spacing w:after="60" w:line="280" w:lineRule="atLeast"/>
        <w:ind w:left="539" w:hanging="539"/>
        <w:rPr>
          <w:rFonts w:asciiTheme="minorHAnsi" w:hAnsiTheme="minorHAnsi"/>
          <w:sz w:val="20"/>
          <w:szCs w:val="24"/>
        </w:rPr>
      </w:pPr>
      <w:bookmarkStart w:id="120" w:name="_Hlk34294772"/>
      <w:proofErr w:type="spellStart"/>
      <w:r w:rsidRPr="00020C26">
        <w:rPr>
          <w:rFonts w:asciiTheme="minorHAnsi" w:hAnsiTheme="minorHAnsi"/>
          <w:sz w:val="20"/>
          <w:szCs w:val="24"/>
        </w:rPr>
        <w:t>Grinter</w:t>
      </w:r>
      <w:proofErr w:type="spellEnd"/>
      <w:r w:rsidRPr="00020C26">
        <w:rPr>
          <w:rFonts w:asciiTheme="minorHAnsi" w:hAnsiTheme="minorHAnsi"/>
          <w:sz w:val="20"/>
          <w:szCs w:val="24"/>
        </w:rPr>
        <w:t xml:space="preserve"> J and White J (2016) National Stock Exclusion Study: analysis of the costs and benefits of excluding stock from New Zealand waterways. MPI.</w:t>
      </w:r>
    </w:p>
    <w:bookmarkEnd w:id="120"/>
    <w:p w14:paraId="258B85A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Harris SR, Kerr GN and </w:t>
      </w:r>
      <w:proofErr w:type="spellStart"/>
      <w:r w:rsidRPr="00020C26">
        <w:rPr>
          <w:rFonts w:asciiTheme="minorHAnsi" w:hAnsiTheme="minorHAnsi"/>
          <w:sz w:val="20"/>
          <w:szCs w:val="24"/>
        </w:rPr>
        <w:t>Doole</w:t>
      </w:r>
      <w:proofErr w:type="spellEnd"/>
      <w:r w:rsidRPr="00020C26">
        <w:rPr>
          <w:rFonts w:asciiTheme="minorHAnsi" w:hAnsiTheme="minorHAnsi"/>
          <w:sz w:val="20"/>
          <w:szCs w:val="24"/>
        </w:rPr>
        <w:t xml:space="preserve"> GJ (2016) Economics of fresh waters. In </w:t>
      </w:r>
      <w:proofErr w:type="spellStart"/>
      <w:r w:rsidRPr="00020C26">
        <w:rPr>
          <w:rFonts w:asciiTheme="minorHAnsi" w:hAnsiTheme="minorHAnsi"/>
          <w:sz w:val="20"/>
          <w:szCs w:val="24"/>
        </w:rPr>
        <w:t>Jellyman</w:t>
      </w:r>
      <w:proofErr w:type="spellEnd"/>
      <w:r w:rsidRPr="00020C26">
        <w:rPr>
          <w:rFonts w:asciiTheme="minorHAnsi" w:hAnsiTheme="minorHAnsi"/>
          <w:sz w:val="20"/>
          <w:szCs w:val="24"/>
        </w:rPr>
        <w:t xml:space="preserve"> PG, Davie TJA, Pearson CP and Harding JS (</w:t>
      </w:r>
      <w:proofErr w:type="spellStart"/>
      <w:r w:rsidRPr="00020C26">
        <w:rPr>
          <w:rFonts w:asciiTheme="minorHAnsi" w:hAnsiTheme="minorHAnsi"/>
          <w:sz w:val="20"/>
          <w:szCs w:val="24"/>
        </w:rPr>
        <w:t>Eds</w:t>
      </w:r>
      <w:proofErr w:type="spellEnd"/>
      <w:r w:rsidRPr="00020C26">
        <w:rPr>
          <w:rFonts w:asciiTheme="minorHAnsi" w:hAnsiTheme="minorHAnsi"/>
          <w:sz w:val="20"/>
          <w:szCs w:val="24"/>
        </w:rPr>
        <w:t xml:space="preserve">) Advances in New Zealand Freshwater Science. New Zealand: New Zealand Hydrological Society and New Zealand </w:t>
      </w:r>
      <w:proofErr w:type="spellStart"/>
      <w:r w:rsidRPr="00020C26">
        <w:rPr>
          <w:rFonts w:asciiTheme="minorHAnsi" w:hAnsiTheme="minorHAnsi"/>
          <w:sz w:val="20"/>
          <w:szCs w:val="24"/>
        </w:rPr>
        <w:t>Limnological</w:t>
      </w:r>
      <w:proofErr w:type="spellEnd"/>
      <w:r w:rsidRPr="00020C26">
        <w:rPr>
          <w:rFonts w:asciiTheme="minorHAnsi" w:hAnsiTheme="minorHAnsi"/>
          <w:sz w:val="20"/>
          <w:szCs w:val="24"/>
        </w:rPr>
        <w:t xml:space="preserve"> Society, pp. 639-662.</w:t>
      </w:r>
    </w:p>
    <w:p w14:paraId="74937158"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Harris BS and AD Meister (1981) </w:t>
      </w:r>
      <w:proofErr w:type="gramStart"/>
      <w:r w:rsidRPr="00020C26">
        <w:rPr>
          <w:rFonts w:asciiTheme="minorHAnsi" w:hAnsiTheme="minorHAnsi"/>
          <w:sz w:val="20"/>
          <w:szCs w:val="24"/>
        </w:rPr>
        <w:t>A</w:t>
      </w:r>
      <w:proofErr w:type="gramEnd"/>
      <w:r w:rsidRPr="00020C26">
        <w:rPr>
          <w:rFonts w:asciiTheme="minorHAnsi" w:hAnsiTheme="minorHAnsi"/>
          <w:sz w:val="20"/>
          <w:szCs w:val="24"/>
        </w:rPr>
        <w:t xml:space="preserve"> report on the use of a travel cost demand model for recreation analysis in New Zealand: an evaluation of </w:t>
      </w:r>
      <w:proofErr w:type="spellStart"/>
      <w:r w:rsidRPr="00020C26">
        <w:rPr>
          <w:rFonts w:asciiTheme="minorHAnsi" w:hAnsiTheme="minorHAnsi"/>
          <w:sz w:val="20"/>
          <w:szCs w:val="24"/>
        </w:rPr>
        <w:t>LakeTutira</w:t>
      </w:r>
      <w:proofErr w:type="spellEnd"/>
      <w:r w:rsidRPr="00020C26">
        <w:rPr>
          <w:rFonts w:asciiTheme="minorHAnsi" w:hAnsiTheme="minorHAnsi"/>
          <w:sz w:val="20"/>
          <w:szCs w:val="24"/>
        </w:rPr>
        <w:t>. Discussion Paper in Natural Resource Economics No. 4. Massey University</w:t>
      </w:r>
    </w:p>
    <w:p w14:paraId="57702BB6"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Hawker T (2013) Evidence in Chief of Tony Hawker on Behalf of Nelson/Marlborough, North Canterbury and Central South Island Fish and Game Councils Before the Independent Commissioners in the Matter of the Resource Management Act 1991 and in the Matter of the Proposed Canterbury Land and Water Regional Plan. 8 April 2013.</w:t>
      </w:r>
    </w:p>
    <w:p w14:paraId="0549D0F1"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Hay J, Hayes J and Young R (2006) Water Quality Guidelines to Protect Trout Fishery Values. Report Prepared for Horizons Regional Council. </w:t>
      </w:r>
      <w:proofErr w:type="spellStart"/>
      <w:r w:rsidRPr="00020C26">
        <w:rPr>
          <w:rFonts w:asciiTheme="minorHAnsi" w:hAnsiTheme="minorHAnsi"/>
          <w:sz w:val="20"/>
          <w:szCs w:val="24"/>
        </w:rPr>
        <w:t>Cawthron</w:t>
      </w:r>
      <w:proofErr w:type="spellEnd"/>
      <w:r w:rsidRPr="00020C26">
        <w:rPr>
          <w:rFonts w:asciiTheme="minorHAnsi" w:hAnsiTheme="minorHAnsi"/>
          <w:sz w:val="20"/>
          <w:szCs w:val="24"/>
        </w:rPr>
        <w:t xml:space="preserve"> Report No.25.</w:t>
      </w:r>
    </w:p>
    <w:p w14:paraId="7BE16FA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Hayes S and Lovelock B (2016) Analysis of the recreational freshwater angling behaviours of overseas visitors to New Zealand. Centre for Recreation Research, Otago Business School University of Otago.</w:t>
      </w:r>
    </w:p>
    <w:p w14:paraId="1284A200"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Hicks DM, </w:t>
      </w:r>
      <w:proofErr w:type="spellStart"/>
      <w:r w:rsidRPr="00020C26">
        <w:rPr>
          <w:rFonts w:asciiTheme="minorHAnsi" w:hAnsiTheme="minorHAnsi"/>
          <w:sz w:val="20"/>
          <w:szCs w:val="24"/>
        </w:rPr>
        <w:t>Haddadchi</w:t>
      </w:r>
      <w:proofErr w:type="spellEnd"/>
      <w:r w:rsidRPr="00020C26">
        <w:rPr>
          <w:rFonts w:asciiTheme="minorHAnsi" w:hAnsiTheme="minorHAnsi"/>
          <w:sz w:val="20"/>
          <w:szCs w:val="24"/>
        </w:rPr>
        <w:t xml:space="preserve"> A, Whitehead A and Shankar U (2019) Sediment load reductions to meet suspended and deposited sediment thresholds. Report prepared for Ministry for the Environment.</w:t>
      </w:r>
    </w:p>
    <w:p w14:paraId="05478F21"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Hicks M (2020) Effect of stock exclusion Scenario 3b on sediment load reduction and visual clarity. NIWA Memo prepared for Ministry for the Environment, 9 March 2020.</w:t>
      </w:r>
    </w:p>
    <w:p w14:paraId="254A9026" w14:textId="77777777" w:rsidR="00FC77C7" w:rsidRPr="00020C26" w:rsidRDefault="00FC77C7" w:rsidP="00FC77C7">
      <w:pPr>
        <w:pStyle w:val="NoSpacing"/>
        <w:spacing w:after="60" w:line="280" w:lineRule="atLeast"/>
        <w:ind w:left="539" w:hanging="539"/>
        <w:rPr>
          <w:rFonts w:asciiTheme="minorHAnsi" w:hAnsiTheme="minorHAnsi"/>
          <w:sz w:val="20"/>
          <w:szCs w:val="24"/>
        </w:rPr>
      </w:pPr>
      <w:bookmarkStart w:id="121" w:name="_Hlk34293394"/>
      <w:r w:rsidRPr="00020C26">
        <w:rPr>
          <w:rFonts w:asciiTheme="minorHAnsi" w:hAnsiTheme="minorHAnsi"/>
          <w:sz w:val="20"/>
          <w:szCs w:val="24"/>
        </w:rPr>
        <w:t>Hicks M and Shankar U (2020) Sediment load reduction to meet visual clarity bottom lines. NIWA Memo prepared for Ministry for the Environment, 21 February 2020.</w:t>
      </w:r>
    </w:p>
    <w:bookmarkEnd w:id="121"/>
    <w:p w14:paraId="3888CD4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Hicks JR (1939) Foundations of welfare economics, Economic Journal 49:696–712.</w:t>
      </w:r>
    </w:p>
    <w:p w14:paraId="73373371"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Jellyman</w:t>
      </w:r>
      <w:proofErr w:type="spellEnd"/>
      <w:r w:rsidRPr="00020C26">
        <w:rPr>
          <w:rFonts w:asciiTheme="minorHAnsi" w:hAnsiTheme="minorHAnsi"/>
          <w:sz w:val="20"/>
          <w:szCs w:val="24"/>
        </w:rPr>
        <w:t xml:space="preserve"> DJ, Unwin MJ and James GD (2003) Anglers’ perceptions of the status of New Zealand lowland rivers and their trout fisheries. NIWA Technical Report.</w:t>
      </w:r>
    </w:p>
    <w:p w14:paraId="27BD676B"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Jensen VB, Darby JL, Seidel C and Gorman C (2012) Drinking Water Treatment for Nitrate. Technical Report 6. Addressing Nitrate in California’s Drinking Water with a Focus on Tulare Lake Basin and Salinas Valley Groundwater. Report for the State Water Resources Control Board Report to the Legislature of UC Davis.</w:t>
      </w:r>
    </w:p>
    <w:p w14:paraId="283546F8"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Jiang L (2014) Economic Value of Freshwater Recreational Angling in Otago: A Travel Cost Method Approach. Master of Commerce Thesis, University of Otago.</w:t>
      </w:r>
    </w:p>
    <w:p w14:paraId="1EF05C6E"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Jonsson</w:t>
      </w:r>
      <w:proofErr w:type="spellEnd"/>
      <w:r w:rsidRPr="00020C26">
        <w:rPr>
          <w:rFonts w:asciiTheme="minorHAnsi" w:hAnsiTheme="minorHAnsi"/>
          <w:sz w:val="20"/>
          <w:szCs w:val="24"/>
        </w:rPr>
        <w:t xml:space="preserve"> B, </w:t>
      </w:r>
      <w:proofErr w:type="spellStart"/>
      <w:r w:rsidRPr="00020C26">
        <w:rPr>
          <w:rFonts w:asciiTheme="minorHAnsi" w:hAnsiTheme="minorHAnsi"/>
          <w:sz w:val="20"/>
          <w:szCs w:val="24"/>
        </w:rPr>
        <w:t>Jonsson</w:t>
      </w:r>
      <w:proofErr w:type="spellEnd"/>
      <w:r w:rsidRPr="00020C26">
        <w:rPr>
          <w:rFonts w:asciiTheme="minorHAnsi" w:hAnsiTheme="minorHAnsi"/>
          <w:sz w:val="20"/>
          <w:szCs w:val="24"/>
        </w:rPr>
        <w:t xml:space="preserve"> N and </w:t>
      </w:r>
      <w:proofErr w:type="spellStart"/>
      <w:r w:rsidRPr="00020C26">
        <w:rPr>
          <w:rFonts w:asciiTheme="minorHAnsi" w:hAnsiTheme="minorHAnsi"/>
          <w:sz w:val="20"/>
          <w:szCs w:val="24"/>
        </w:rPr>
        <w:t>Ugedal</w:t>
      </w:r>
      <w:proofErr w:type="spellEnd"/>
      <w:r w:rsidRPr="00020C26">
        <w:rPr>
          <w:rFonts w:asciiTheme="minorHAnsi" w:hAnsiTheme="minorHAnsi"/>
          <w:sz w:val="20"/>
          <w:szCs w:val="24"/>
        </w:rPr>
        <w:t xml:space="preserve"> O (2011) Production of juvenile salmonids in small Norwegian streams is affected by agricultural land use. Freshwater Biology, 56: 2529-2542.</w:t>
      </w:r>
    </w:p>
    <w:p w14:paraId="0616B49E"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Jowett IG, Richardson J, Biggs BJF, Hickey CW and Quinn JM (1991) Microhabitat preferences of benthic invertebrates and the development of generalised </w:t>
      </w:r>
      <w:proofErr w:type="spellStart"/>
      <w:r w:rsidRPr="00020C26">
        <w:rPr>
          <w:rFonts w:asciiTheme="minorHAnsi" w:hAnsiTheme="minorHAnsi"/>
          <w:sz w:val="20"/>
          <w:szCs w:val="24"/>
        </w:rPr>
        <w:t>Deleatidium</w:t>
      </w:r>
      <w:proofErr w:type="spellEnd"/>
      <w:r w:rsidRPr="00020C26">
        <w:rPr>
          <w:rFonts w:asciiTheme="minorHAnsi" w:hAnsiTheme="minorHAnsi"/>
          <w:sz w:val="20"/>
          <w:szCs w:val="24"/>
        </w:rPr>
        <w:t xml:space="preserve"> spp. habitat suitability curves, applied to four New Zealand </w:t>
      </w:r>
      <w:proofErr w:type="gramStart"/>
      <w:r w:rsidRPr="00020C26">
        <w:rPr>
          <w:rFonts w:asciiTheme="minorHAnsi" w:hAnsiTheme="minorHAnsi"/>
          <w:sz w:val="20"/>
          <w:szCs w:val="24"/>
        </w:rPr>
        <w:t>rivers</w:t>
      </w:r>
      <w:proofErr w:type="gramEnd"/>
      <w:r w:rsidRPr="00020C26">
        <w:rPr>
          <w:rFonts w:asciiTheme="minorHAnsi" w:hAnsiTheme="minorHAnsi"/>
          <w:sz w:val="20"/>
          <w:szCs w:val="24"/>
        </w:rPr>
        <w:t>. New Zealand Journal of Marine and Freshwater Research 25: 187-199.</w:t>
      </w:r>
    </w:p>
    <w:p w14:paraId="301BBDE8"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lastRenderedPageBreak/>
        <w:t xml:space="preserve">Jowett IG and Duncan MJ (1990) Flow variability in New Zealand </w:t>
      </w:r>
      <w:proofErr w:type="gramStart"/>
      <w:r w:rsidRPr="00020C26">
        <w:rPr>
          <w:rFonts w:asciiTheme="minorHAnsi" w:hAnsiTheme="minorHAnsi"/>
          <w:sz w:val="20"/>
          <w:szCs w:val="24"/>
        </w:rPr>
        <w:t>rivers</w:t>
      </w:r>
      <w:proofErr w:type="gramEnd"/>
      <w:r w:rsidRPr="00020C26">
        <w:rPr>
          <w:rFonts w:asciiTheme="minorHAnsi" w:hAnsiTheme="minorHAnsi"/>
          <w:sz w:val="20"/>
          <w:szCs w:val="24"/>
        </w:rPr>
        <w:t xml:space="preserve"> and its relationship to in-stream habitat and biota. New Zealand Journal of Marine and Freshwater Research 24: 305-317.</w:t>
      </w:r>
    </w:p>
    <w:p w14:paraId="33514313"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Journeaux</w:t>
      </w:r>
      <w:proofErr w:type="spellEnd"/>
      <w:r w:rsidRPr="00020C26">
        <w:rPr>
          <w:rFonts w:asciiTheme="minorHAnsi" w:hAnsiTheme="minorHAnsi"/>
          <w:sz w:val="20"/>
          <w:szCs w:val="24"/>
        </w:rPr>
        <w:t xml:space="preserve"> P, </w:t>
      </w:r>
      <w:proofErr w:type="spellStart"/>
      <w:r w:rsidRPr="00020C26">
        <w:rPr>
          <w:rFonts w:asciiTheme="minorHAnsi" w:hAnsiTheme="minorHAnsi"/>
          <w:sz w:val="20"/>
          <w:szCs w:val="24"/>
        </w:rPr>
        <w:t>Schischka</w:t>
      </w:r>
      <w:proofErr w:type="spellEnd"/>
      <w:r w:rsidRPr="00020C26">
        <w:rPr>
          <w:rFonts w:asciiTheme="minorHAnsi" w:hAnsiTheme="minorHAnsi"/>
          <w:sz w:val="20"/>
          <w:szCs w:val="24"/>
        </w:rPr>
        <w:t xml:space="preserve"> T and Phillips Y (2011) Economic analysis of reducing nitrogen input into the Upper Waikato River catchment. MAF Technical Paper No: 2011/98.</w:t>
      </w:r>
    </w:p>
    <w:p w14:paraId="4F8708EB"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Joy MK and Death RG (2013) Freshwater Biodiversity. In: </w:t>
      </w:r>
      <w:proofErr w:type="spellStart"/>
      <w:r w:rsidRPr="00020C26">
        <w:rPr>
          <w:rFonts w:asciiTheme="minorHAnsi" w:hAnsiTheme="minorHAnsi"/>
          <w:sz w:val="20"/>
          <w:szCs w:val="24"/>
        </w:rPr>
        <w:t>Dymond</w:t>
      </w:r>
      <w:proofErr w:type="spellEnd"/>
      <w:r w:rsidRPr="00020C26">
        <w:rPr>
          <w:rFonts w:asciiTheme="minorHAnsi" w:hAnsiTheme="minorHAnsi"/>
          <w:sz w:val="20"/>
          <w:szCs w:val="24"/>
        </w:rPr>
        <w:t xml:space="preserve"> J (Ed) Ecosystem Services in New Zealand. </w:t>
      </w:r>
      <w:proofErr w:type="spellStart"/>
      <w:r w:rsidRPr="00020C26">
        <w:rPr>
          <w:rFonts w:asciiTheme="minorHAnsi" w:hAnsiTheme="minorHAnsi"/>
          <w:sz w:val="20"/>
          <w:szCs w:val="24"/>
        </w:rPr>
        <w:t>Landcare</w:t>
      </w:r>
      <w:proofErr w:type="spellEnd"/>
      <w:r w:rsidRPr="00020C26">
        <w:rPr>
          <w:rFonts w:asciiTheme="minorHAnsi" w:hAnsiTheme="minorHAnsi"/>
          <w:sz w:val="20"/>
          <w:szCs w:val="24"/>
        </w:rPr>
        <w:t xml:space="preserve"> Research New Zealand Ltd, pp448-459.</w:t>
      </w:r>
    </w:p>
    <w:p w14:paraId="0A6DF11F"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Juntakut</w:t>
      </w:r>
      <w:proofErr w:type="spellEnd"/>
      <w:r w:rsidRPr="00020C26">
        <w:rPr>
          <w:rFonts w:asciiTheme="minorHAnsi" w:hAnsiTheme="minorHAnsi"/>
          <w:sz w:val="20"/>
          <w:szCs w:val="24"/>
        </w:rPr>
        <w:t xml:space="preserve"> P, </w:t>
      </w:r>
      <w:proofErr w:type="spellStart"/>
      <w:proofErr w:type="gramStart"/>
      <w:r w:rsidRPr="00020C26">
        <w:rPr>
          <w:rFonts w:asciiTheme="minorHAnsi" w:hAnsiTheme="minorHAnsi"/>
          <w:sz w:val="20"/>
          <w:szCs w:val="24"/>
        </w:rPr>
        <w:t>Haacker</w:t>
      </w:r>
      <w:proofErr w:type="spellEnd"/>
      <w:r w:rsidRPr="00020C26">
        <w:rPr>
          <w:rFonts w:asciiTheme="minorHAnsi" w:hAnsiTheme="minorHAnsi"/>
          <w:sz w:val="20"/>
          <w:szCs w:val="24"/>
        </w:rPr>
        <w:t xml:space="preserve">  EMK</w:t>
      </w:r>
      <w:proofErr w:type="gramEnd"/>
      <w:r w:rsidRPr="00020C26">
        <w:rPr>
          <w:rFonts w:asciiTheme="minorHAnsi" w:hAnsiTheme="minorHAnsi"/>
          <w:sz w:val="20"/>
          <w:szCs w:val="24"/>
        </w:rPr>
        <w:t xml:space="preserve">, Snow DD and Ray C (2020) Risk and Cost Assessment of Nitrate Contamination in Domestic Wells. Water, 12: 428-442. </w:t>
      </w:r>
      <w:proofErr w:type="gramStart"/>
      <w:r w:rsidRPr="00020C26">
        <w:rPr>
          <w:rFonts w:asciiTheme="minorHAnsi" w:hAnsiTheme="minorHAnsi"/>
          <w:sz w:val="20"/>
          <w:szCs w:val="24"/>
        </w:rPr>
        <w:t>doi:</w:t>
      </w:r>
      <w:proofErr w:type="gramEnd"/>
      <w:r w:rsidRPr="00020C26">
        <w:rPr>
          <w:rFonts w:asciiTheme="minorHAnsi" w:hAnsiTheme="minorHAnsi"/>
          <w:sz w:val="20"/>
          <w:szCs w:val="24"/>
        </w:rPr>
        <w:t>10.3390/w12020428</w:t>
      </w:r>
    </w:p>
    <w:p w14:paraId="36C7EC42"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Kaefer</w:t>
      </w:r>
      <w:proofErr w:type="spellEnd"/>
      <w:r w:rsidRPr="00020C26">
        <w:rPr>
          <w:rFonts w:asciiTheme="minorHAnsi" w:hAnsiTheme="minorHAnsi"/>
          <w:sz w:val="20"/>
          <w:szCs w:val="24"/>
        </w:rPr>
        <w:t xml:space="preserve"> F (2014) Credibility at Stake? News Representations and Discursive Constructions of National Environmental Reputation and Place Brand Image: The Case of Clean, Green New Zealand. A thesis submitted in fulfilment of the requirements for the degree of Doctor of Philosophy in Management Communication. University of Waikato.</w:t>
      </w:r>
    </w:p>
    <w:p w14:paraId="2EBF6A15"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Keelera</w:t>
      </w:r>
      <w:proofErr w:type="spellEnd"/>
      <w:r w:rsidRPr="00020C26">
        <w:rPr>
          <w:rFonts w:asciiTheme="minorHAnsi" w:hAnsiTheme="minorHAnsi"/>
          <w:sz w:val="20"/>
          <w:szCs w:val="24"/>
        </w:rPr>
        <w:t xml:space="preserve"> BL, </w:t>
      </w:r>
      <w:proofErr w:type="spellStart"/>
      <w:r w:rsidRPr="00020C26">
        <w:rPr>
          <w:rFonts w:asciiTheme="minorHAnsi" w:hAnsiTheme="minorHAnsi"/>
          <w:sz w:val="20"/>
          <w:szCs w:val="24"/>
        </w:rPr>
        <w:t>Polaskya</w:t>
      </w:r>
      <w:proofErr w:type="spellEnd"/>
      <w:r w:rsidRPr="00020C26">
        <w:rPr>
          <w:rFonts w:asciiTheme="minorHAnsi" w:hAnsiTheme="minorHAnsi"/>
          <w:sz w:val="20"/>
          <w:szCs w:val="24"/>
        </w:rPr>
        <w:t xml:space="preserve"> S, </w:t>
      </w:r>
      <w:proofErr w:type="spellStart"/>
      <w:r w:rsidRPr="00020C26">
        <w:rPr>
          <w:rFonts w:asciiTheme="minorHAnsi" w:hAnsiTheme="minorHAnsi"/>
          <w:sz w:val="20"/>
          <w:szCs w:val="24"/>
        </w:rPr>
        <w:t>Braumana</w:t>
      </w:r>
      <w:proofErr w:type="spellEnd"/>
      <w:r w:rsidRPr="00020C26">
        <w:rPr>
          <w:rFonts w:asciiTheme="minorHAnsi" w:hAnsiTheme="minorHAnsi"/>
          <w:sz w:val="20"/>
          <w:szCs w:val="24"/>
        </w:rPr>
        <w:t xml:space="preserve"> KA, </w:t>
      </w:r>
      <w:proofErr w:type="spellStart"/>
      <w:r w:rsidRPr="00020C26">
        <w:rPr>
          <w:rFonts w:asciiTheme="minorHAnsi" w:hAnsiTheme="minorHAnsi"/>
          <w:sz w:val="20"/>
          <w:szCs w:val="24"/>
        </w:rPr>
        <w:t>Johnsond</w:t>
      </w:r>
      <w:proofErr w:type="spellEnd"/>
      <w:r w:rsidRPr="00020C26">
        <w:rPr>
          <w:rFonts w:asciiTheme="minorHAnsi" w:hAnsiTheme="minorHAnsi"/>
          <w:sz w:val="20"/>
          <w:szCs w:val="24"/>
        </w:rPr>
        <w:t xml:space="preserve"> KA, </w:t>
      </w:r>
      <w:proofErr w:type="spellStart"/>
      <w:r w:rsidRPr="00020C26">
        <w:rPr>
          <w:rFonts w:asciiTheme="minorHAnsi" w:hAnsiTheme="minorHAnsi"/>
          <w:sz w:val="20"/>
          <w:szCs w:val="24"/>
        </w:rPr>
        <w:t>Finlayc</w:t>
      </w:r>
      <w:proofErr w:type="spellEnd"/>
      <w:r w:rsidRPr="00020C26">
        <w:rPr>
          <w:rFonts w:asciiTheme="minorHAnsi" w:hAnsiTheme="minorHAnsi"/>
          <w:sz w:val="20"/>
          <w:szCs w:val="24"/>
        </w:rPr>
        <w:t xml:space="preserve"> JC, </w:t>
      </w:r>
      <w:proofErr w:type="spellStart"/>
      <w:r w:rsidRPr="00020C26">
        <w:rPr>
          <w:rFonts w:asciiTheme="minorHAnsi" w:hAnsiTheme="minorHAnsi"/>
          <w:sz w:val="20"/>
          <w:szCs w:val="24"/>
        </w:rPr>
        <w:t>O’Neille</w:t>
      </w:r>
      <w:proofErr w:type="spellEnd"/>
      <w:r w:rsidRPr="00020C26">
        <w:rPr>
          <w:rFonts w:asciiTheme="minorHAnsi" w:hAnsiTheme="minorHAnsi"/>
          <w:sz w:val="20"/>
          <w:szCs w:val="24"/>
        </w:rPr>
        <w:t xml:space="preserve"> A, </w:t>
      </w:r>
      <w:proofErr w:type="spellStart"/>
      <w:r w:rsidRPr="00020C26">
        <w:rPr>
          <w:rFonts w:asciiTheme="minorHAnsi" w:hAnsiTheme="minorHAnsi"/>
          <w:sz w:val="20"/>
          <w:szCs w:val="24"/>
        </w:rPr>
        <w:t>Kovacsf</w:t>
      </w:r>
      <w:proofErr w:type="spellEnd"/>
      <w:r w:rsidRPr="00020C26">
        <w:rPr>
          <w:rFonts w:asciiTheme="minorHAnsi" w:hAnsiTheme="minorHAnsi"/>
          <w:sz w:val="20"/>
          <w:szCs w:val="24"/>
        </w:rPr>
        <w:t xml:space="preserve"> K and </w:t>
      </w:r>
      <w:proofErr w:type="spellStart"/>
      <w:r w:rsidRPr="00020C26">
        <w:rPr>
          <w:rFonts w:asciiTheme="minorHAnsi" w:hAnsiTheme="minorHAnsi"/>
          <w:sz w:val="20"/>
          <w:szCs w:val="24"/>
        </w:rPr>
        <w:t>Dalzellg</w:t>
      </w:r>
      <w:proofErr w:type="spellEnd"/>
      <w:r w:rsidRPr="00020C26">
        <w:rPr>
          <w:rFonts w:asciiTheme="minorHAnsi" w:hAnsiTheme="minorHAnsi"/>
          <w:sz w:val="20"/>
          <w:szCs w:val="24"/>
        </w:rPr>
        <w:t xml:space="preserve"> B (2012) Linking water quality and well-being for improved assessment and valuation of ecosystem services. Proceedings of the National Academy of Sciences, 109(45): 18619–18624.</w:t>
      </w:r>
    </w:p>
    <w:p w14:paraId="005573C3" w14:textId="77777777" w:rsidR="00FC77C7" w:rsidRPr="006A3DFE" w:rsidRDefault="00FC77C7" w:rsidP="00FC77C7">
      <w:pPr>
        <w:pStyle w:val="NoSpacing"/>
        <w:spacing w:after="60" w:line="280" w:lineRule="atLeast"/>
        <w:ind w:left="539" w:hanging="539"/>
        <w:rPr>
          <w:rFonts w:asciiTheme="minorHAnsi" w:hAnsiTheme="minorHAnsi"/>
          <w:sz w:val="20"/>
          <w:szCs w:val="24"/>
        </w:rPr>
      </w:pPr>
      <w:r w:rsidRPr="006A3DFE">
        <w:rPr>
          <w:rFonts w:asciiTheme="minorHAnsi" w:hAnsiTheme="minorHAnsi"/>
          <w:sz w:val="20"/>
          <w:szCs w:val="24"/>
        </w:rPr>
        <w:t>Kerr GN and Sharp BMH (2003a).Transfer of choice model benefits: a case study of stream mitigation. Occasional Paper No.4, Environmental Management and Development Programme, National Centre for Development Studies, Australian National University</w:t>
      </w:r>
    </w:p>
    <w:p w14:paraId="6946A1EE" w14:textId="77777777" w:rsidR="00FC77C7" w:rsidRDefault="00FC77C7" w:rsidP="00FC77C7">
      <w:pPr>
        <w:pStyle w:val="NoSpacing"/>
        <w:spacing w:after="60" w:line="280" w:lineRule="atLeast"/>
        <w:ind w:left="539" w:hanging="539"/>
        <w:rPr>
          <w:rFonts w:asciiTheme="minorHAnsi" w:hAnsiTheme="minorHAnsi"/>
          <w:sz w:val="20"/>
          <w:szCs w:val="24"/>
        </w:rPr>
      </w:pPr>
      <w:r w:rsidRPr="006A3DFE">
        <w:rPr>
          <w:rFonts w:asciiTheme="minorHAnsi" w:hAnsiTheme="minorHAnsi"/>
          <w:sz w:val="20"/>
          <w:szCs w:val="24"/>
        </w:rPr>
        <w:t xml:space="preserve">Kerr GN and Sharp BMH (2003b). Community Mitigation Preferences: A Choice Modelling Study of Auckland Streams. Research Report No. 256, Agribusiness and Economics Research Unit, Lincoln University. </w:t>
      </w:r>
    </w:p>
    <w:p w14:paraId="55BF1A1A" w14:textId="77777777" w:rsidR="00FC77C7" w:rsidRDefault="00FC77C7" w:rsidP="00FC77C7">
      <w:pPr>
        <w:pStyle w:val="NoSpacing"/>
        <w:spacing w:after="60" w:line="280" w:lineRule="atLeast"/>
        <w:ind w:left="539" w:hanging="539"/>
        <w:rPr>
          <w:rFonts w:asciiTheme="minorHAnsi" w:hAnsiTheme="minorHAnsi"/>
          <w:sz w:val="20"/>
          <w:szCs w:val="24"/>
        </w:rPr>
      </w:pPr>
      <w:r w:rsidRPr="003B3439">
        <w:rPr>
          <w:rFonts w:asciiTheme="minorHAnsi" w:hAnsiTheme="minorHAnsi"/>
          <w:sz w:val="20"/>
          <w:szCs w:val="24"/>
        </w:rPr>
        <w:t xml:space="preserve">Kerr GN and </w:t>
      </w:r>
      <w:proofErr w:type="spellStart"/>
      <w:r w:rsidRPr="003B3439">
        <w:rPr>
          <w:rFonts w:asciiTheme="minorHAnsi" w:hAnsiTheme="minorHAnsi"/>
          <w:sz w:val="20"/>
          <w:szCs w:val="24"/>
        </w:rPr>
        <w:t>Swaffield</w:t>
      </w:r>
      <w:proofErr w:type="spellEnd"/>
      <w:r w:rsidRPr="003B3439">
        <w:rPr>
          <w:rFonts w:asciiTheme="minorHAnsi" w:hAnsiTheme="minorHAnsi"/>
          <w:sz w:val="20"/>
          <w:szCs w:val="24"/>
        </w:rPr>
        <w:t xml:space="preserve"> S (2007). Amenity values of spring fed streams and rivers in Canterbury, New Zealand: A methodological exploration. </w:t>
      </w:r>
      <w:r w:rsidRPr="003B3439">
        <w:rPr>
          <w:rFonts w:asciiTheme="minorHAnsi" w:hAnsiTheme="minorHAnsi"/>
          <w:i/>
          <w:iCs/>
          <w:sz w:val="20"/>
          <w:szCs w:val="24"/>
        </w:rPr>
        <w:t>AERU Research Report No</w:t>
      </w:r>
      <w:r w:rsidRPr="003B3439">
        <w:rPr>
          <w:rFonts w:asciiTheme="minorHAnsi" w:hAnsiTheme="minorHAnsi"/>
          <w:sz w:val="20"/>
          <w:szCs w:val="24"/>
        </w:rPr>
        <w:t>. 298. Agribusiness and Economics Research Unit, Lincoln University.</w:t>
      </w:r>
    </w:p>
    <w:p w14:paraId="1F593C3A" w14:textId="77777777" w:rsidR="00FC77C7" w:rsidRDefault="00FC77C7" w:rsidP="00FC77C7">
      <w:pPr>
        <w:pStyle w:val="NoSpacing"/>
        <w:spacing w:after="60" w:line="280" w:lineRule="atLeast"/>
        <w:ind w:left="539" w:hanging="539"/>
        <w:rPr>
          <w:rFonts w:asciiTheme="minorHAnsi" w:hAnsiTheme="minorHAnsi"/>
          <w:sz w:val="20"/>
          <w:szCs w:val="24"/>
        </w:rPr>
      </w:pPr>
      <w:r w:rsidRPr="002E429E">
        <w:rPr>
          <w:rFonts w:asciiTheme="minorHAnsi" w:hAnsiTheme="minorHAnsi"/>
          <w:sz w:val="20"/>
          <w:szCs w:val="24"/>
        </w:rPr>
        <w:t xml:space="preserve">Lake R, </w:t>
      </w:r>
      <w:proofErr w:type="spellStart"/>
      <w:r w:rsidRPr="002E429E">
        <w:rPr>
          <w:rFonts w:asciiTheme="minorHAnsi" w:hAnsiTheme="minorHAnsi"/>
          <w:sz w:val="20"/>
          <w:szCs w:val="24"/>
        </w:rPr>
        <w:t>Adlam</w:t>
      </w:r>
      <w:proofErr w:type="spellEnd"/>
      <w:r w:rsidRPr="002E429E">
        <w:rPr>
          <w:rFonts w:asciiTheme="minorHAnsi" w:hAnsiTheme="minorHAnsi"/>
          <w:sz w:val="20"/>
          <w:szCs w:val="24"/>
        </w:rPr>
        <w:t xml:space="preserve"> B, </w:t>
      </w:r>
      <w:proofErr w:type="spellStart"/>
      <w:r w:rsidRPr="002E429E">
        <w:rPr>
          <w:rFonts w:asciiTheme="minorHAnsi" w:hAnsiTheme="minorHAnsi"/>
          <w:sz w:val="20"/>
          <w:szCs w:val="24"/>
        </w:rPr>
        <w:t>Perera</w:t>
      </w:r>
      <w:proofErr w:type="spellEnd"/>
      <w:r w:rsidRPr="002E429E">
        <w:rPr>
          <w:rFonts w:asciiTheme="minorHAnsi" w:hAnsiTheme="minorHAnsi"/>
          <w:sz w:val="20"/>
          <w:szCs w:val="24"/>
        </w:rPr>
        <w:t xml:space="preserve"> S (2009) </w:t>
      </w:r>
      <w:r w:rsidRPr="002E429E">
        <w:rPr>
          <w:rFonts w:asciiTheme="minorHAnsi" w:hAnsiTheme="minorHAnsi"/>
          <w:i/>
          <w:iCs/>
          <w:sz w:val="20"/>
          <w:szCs w:val="24"/>
        </w:rPr>
        <w:t>Acute Gastrointestinal Illness (AGI) Study: Final Study Report.</w:t>
      </w:r>
      <w:r w:rsidRPr="002E429E">
        <w:rPr>
          <w:rFonts w:asciiTheme="minorHAnsi" w:hAnsiTheme="minorHAnsi"/>
          <w:sz w:val="20"/>
          <w:szCs w:val="24"/>
        </w:rPr>
        <w:t xml:space="preserve"> Prepared as part of a New Zealand Food Safety Authority contract for scientific services. Institute of Environmental Science and Research Ltd (ESR) Client Report FW0753.</w:t>
      </w:r>
    </w:p>
    <w:p w14:paraId="3D683C4F" w14:textId="77777777" w:rsidR="00FC77C7" w:rsidRDefault="00FC77C7" w:rsidP="00FC77C7">
      <w:pPr>
        <w:pStyle w:val="NoSpacing"/>
        <w:spacing w:after="60" w:line="280" w:lineRule="atLeast"/>
        <w:ind w:left="539" w:hanging="539"/>
        <w:rPr>
          <w:rFonts w:asciiTheme="minorHAnsi" w:hAnsiTheme="minorHAnsi"/>
          <w:sz w:val="20"/>
          <w:szCs w:val="24"/>
        </w:rPr>
      </w:pPr>
      <w:proofErr w:type="spellStart"/>
      <w:r w:rsidRPr="00E3377D">
        <w:rPr>
          <w:rFonts w:asciiTheme="minorHAnsi" w:hAnsiTheme="minorHAnsi"/>
          <w:sz w:val="20"/>
          <w:szCs w:val="24"/>
        </w:rPr>
        <w:t>Larned</w:t>
      </w:r>
      <w:proofErr w:type="spellEnd"/>
      <w:r w:rsidRPr="00E3377D">
        <w:rPr>
          <w:rFonts w:asciiTheme="minorHAnsi" w:hAnsiTheme="minorHAnsi"/>
          <w:sz w:val="20"/>
          <w:szCs w:val="24"/>
        </w:rPr>
        <w:t xml:space="preserve"> S, Booker D, Dudley B, </w:t>
      </w:r>
      <w:proofErr w:type="spellStart"/>
      <w:r w:rsidRPr="00E3377D">
        <w:rPr>
          <w:rFonts w:asciiTheme="minorHAnsi" w:hAnsiTheme="minorHAnsi"/>
          <w:sz w:val="20"/>
          <w:szCs w:val="24"/>
        </w:rPr>
        <w:t>Moores</w:t>
      </w:r>
      <w:proofErr w:type="spellEnd"/>
      <w:r w:rsidRPr="00E3377D">
        <w:rPr>
          <w:rFonts w:asciiTheme="minorHAnsi" w:hAnsiTheme="minorHAnsi"/>
          <w:sz w:val="20"/>
          <w:szCs w:val="24"/>
        </w:rPr>
        <w:t xml:space="preserve"> J, Monaghan R, Baillie B, </w:t>
      </w:r>
      <w:proofErr w:type="spellStart"/>
      <w:r w:rsidRPr="00E3377D">
        <w:rPr>
          <w:rFonts w:asciiTheme="minorHAnsi" w:hAnsiTheme="minorHAnsi"/>
          <w:sz w:val="20"/>
          <w:szCs w:val="24"/>
        </w:rPr>
        <w:t>Schallenberg</w:t>
      </w:r>
      <w:proofErr w:type="spellEnd"/>
      <w:r w:rsidRPr="00E3377D">
        <w:rPr>
          <w:rFonts w:asciiTheme="minorHAnsi" w:hAnsiTheme="minorHAnsi"/>
          <w:sz w:val="20"/>
          <w:szCs w:val="24"/>
        </w:rPr>
        <w:t xml:space="preserve"> M, Moriarty E, </w:t>
      </w:r>
      <w:proofErr w:type="spellStart"/>
      <w:r w:rsidRPr="00E3377D">
        <w:rPr>
          <w:rFonts w:asciiTheme="minorHAnsi" w:hAnsiTheme="minorHAnsi"/>
          <w:sz w:val="20"/>
          <w:szCs w:val="24"/>
        </w:rPr>
        <w:t>Zeldis</w:t>
      </w:r>
      <w:proofErr w:type="spellEnd"/>
      <w:r w:rsidRPr="00E3377D">
        <w:rPr>
          <w:rFonts w:asciiTheme="minorHAnsi" w:hAnsiTheme="minorHAnsi"/>
          <w:sz w:val="20"/>
          <w:szCs w:val="24"/>
        </w:rPr>
        <w:t xml:space="preserve"> J and Short K (2018) </w:t>
      </w:r>
      <w:r w:rsidRPr="00E3377D">
        <w:rPr>
          <w:rFonts w:asciiTheme="minorHAnsi" w:hAnsiTheme="minorHAnsi"/>
          <w:i/>
          <w:iCs/>
          <w:sz w:val="20"/>
          <w:szCs w:val="24"/>
        </w:rPr>
        <w:t>Land-use impacts on freshwater and marine environments in New Zealand</w:t>
      </w:r>
      <w:r>
        <w:rPr>
          <w:rFonts w:asciiTheme="minorHAnsi" w:hAnsiTheme="minorHAnsi"/>
          <w:sz w:val="20"/>
          <w:szCs w:val="24"/>
        </w:rPr>
        <w:t>.</w:t>
      </w:r>
      <w:r w:rsidRPr="00E3377D">
        <w:rPr>
          <w:rFonts w:asciiTheme="minorHAnsi" w:hAnsiTheme="minorHAnsi"/>
          <w:sz w:val="20"/>
          <w:szCs w:val="24"/>
        </w:rPr>
        <w:t xml:space="preserve"> Prepared for Ministry for the Environment. NIWA.</w:t>
      </w:r>
    </w:p>
    <w:p w14:paraId="62DE883A" w14:textId="77777777" w:rsidR="00FC77C7" w:rsidRDefault="00FC77C7" w:rsidP="00FC77C7">
      <w:pPr>
        <w:pStyle w:val="NoSpacing"/>
        <w:spacing w:after="60" w:line="280" w:lineRule="atLeast"/>
        <w:ind w:left="539" w:hanging="539"/>
        <w:rPr>
          <w:rFonts w:asciiTheme="minorHAnsi" w:hAnsiTheme="minorHAnsi"/>
          <w:sz w:val="20"/>
          <w:szCs w:val="24"/>
        </w:rPr>
      </w:pPr>
      <w:r w:rsidRPr="00497A34">
        <w:rPr>
          <w:rFonts w:asciiTheme="minorHAnsi" w:hAnsiTheme="minorHAnsi"/>
          <w:sz w:val="20"/>
          <w:szCs w:val="24"/>
        </w:rPr>
        <w:t xml:space="preserve">Lo AY and </w:t>
      </w:r>
      <w:proofErr w:type="spellStart"/>
      <w:r w:rsidRPr="00497A34">
        <w:rPr>
          <w:rFonts w:asciiTheme="minorHAnsi" w:hAnsiTheme="minorHAnsi"/>
          <w:sz w:val="20"/>
          <w:szCs w:val="24"/>
        </w:rPr>
        <w:t>Spash</w:t>
      </w:r>
      <w:proofErr w:type="spellEnd"/>
      <w:r w:rsidRPr="00497A34">
        <w:rPr>
          <w:rFonts w:asciiTheme="minorHAnsi" w:hAnsiTheme="minorHAnsi"/>
          <w:sz w:val="20"/>
          <w:szCs w:val="24"/>
        </w:rPr>
        <w:t xml:space="preserve"> CL (2011) </w:t>
      </w:r>
      <w:r w:rsidRPr="00497A34">
        <w:rPr>
          <w:rFonts w:asciiTheme="minorHAnsi" w:hAnsiTheme="minorHAnsi"/>
          <w:i/>
          <w:iCs/>
          <w:sz w:val="20"/>
          <w:szCs w:val="24"/>
        </w:rPr>
        <w:t>Articulation of Plural Values in Deliberative Monetary Valuation; Beyond Preference Economisation and Moralisation</w:t>
      </w:r>
      <w:r w:rsidRPr="00497A34">
        <w:rPr>
          <w:rFonts w:asciiTheme="minorHAnsi" w:hAnsiTheme="minorHAnsi"/>
          <w:sz w:val="20"/>
          <w:szCs w:val="24"/>
        </w:rPr>
        <w:t xml:space="preserve">. Munich Personal </w:t>
      </w:r>
      <w:proofErr w:type="spellStart"/>
      <w:r w:rsidRPr="00497A34">
        <w:rPr>
          <w:rFonts w:asciiTheme="minorHAnsi" w:hAnsiTheme="minorHAnsi"/>
          <w:sz w:val="20"/>
          <w:szCs w:val="24"/>
        </w:rPr>
        <w:t>RePEc</w:t>
      </w:r>
      <w:proofErr w:type="spellEnd"/>
      <w:r w:rsidRPr="00497A34">
        <w:rPr>
          <w:rFonts w:asciiTheme="minorHAnsi" w:hAnsiTheme="minorHAnsi"/>
          <w:sz w:val="20"/>
          <w:szCs w:val="24"/>
        </w:rPr>
        <w:t xml:space="preserve"> Archive Paper No. 30002.</w:t>
      </w:r>
    </w:p>
    <w:p w14:paraId="0E1CF7A2" w14:textId="77777777" w:rsidR="00FC77C7" w:rsidRPr="006A3DFE" w:rsidRDefault="00FC77C7" w:rsidP="00FC77C7">
      <w:pPr>
        <w:pStyle w:val="NoSpacing"/>
        <w:spacing w:after="60" w:line="280" w:lineRule="atLeast"/>
        <w:ind w:left="539" w:hanging="539"/>
        <w:rPr>
          <w:rFonts w:asciiTheme="minorHAnsi" w:hAnsiTheme="minorHAnsi"/>
          <w:sz w:val="20"/>
          <w:szCs w:val="24"/>
        </w:rPr>
      </w:pPr>
      <w:r w:rsidRPr="003B3439">
        <w:rPr>
          <w:rFonts w:asciiTheme="minorHAnsi" w:hAnsiTheme="minorHAnsi"/>
          <w:sz w:val="20"/>
          <w:szCs w:val="24"/>
        </w:rPr>
        <w:t xml:space="preserve">Marsh D (2010) </w:t>
      </w:r>
      <w:r w:rsidRPr="006560E8">
        <w:rPr>
          <w:rFonts w:asciiTheme="minorHAnsi" w:hAnsiTheme="minorHAnsi"/>
          <w:i/>
          <w:iCs/>
          <w:sz w:val="20"/>
          <w:szCs w:val="24"/>
        </w:rPr>
        <w:t>Water Resource Management in New Zealand: Jobs or Algal Blooms?</w:t>
      </w:r>
      <w:r w:rsidRPr="003B3439">
        <w:rPr>
          <w:rFonts w:asciiTheme="minorHAnsi" w:hAnsiTheme="minorHAnsi"/>
          <w:sz w:val="20"/>
          <w:szCs w:val="24"/>
        </w:rPr>
        <w:t xml:space="preserve"> Presented at the Conference of the New Zealand Association of Economists Auckland 2 July 2010</w:t>
      </w:r>
    </w:p>
    <w:p w14:paraId="0854BE2C" w14:textId="77777777" w:rsidR="00FC77C7" w:rsidRDefault="00FC77C7" w:rsidP="00FC77C7">
      <w:pPr>
        <w:pStyle w:val="NoSpacing"/>
        <w:spacing w:after="60" w:line="280" w:lineRule="atLeast"/>
        <w:ind w:left="539" w:hanging="539"/>
        <w:rPr>
          <w:rFonts w:asciiTheme="minorHAnsi" w:hAnsiTheme="minorHAnsi"/>
          <w:sz w:val="20"/>
          <w:szCs w:val="24"/>
        </w:rPr>
      </w:pPr>
      <w:r w:rsidRPr="006A3DFE">
        <w:rPr>
          <w:rFonts w:asciiTheme="minorHAnsi" w:hAnsiTheme="minorHAnsi"/>
          <w:sz w:val="20"/>
          <w:szCs w:val="24"/>
        </w:rPr>
        <w:t xml:space="preserve">Marsh D and </w:t>
      </w:r>
      <w:proofErr w:type="spellStart"/>
      <w:r w:rsidRPr="006A3DFE">
        <w:rPr>
          <w:rFonts w:asciiTheme="minorHAnsi" w:hAnsiTheme="minorHAnsi"/>
          <w:sz w:val="20"/>
          <w:szCs w:val="24"/>
        </w:rPr>
        <w:t>Mkwara</w:t>
      </w:r>
      <w:proofErr w:type="spellEnd"/>
      <w:r w:rsidRPr="006A3DFE">
        <w:rPr>
          <w:rFonts w:asciiTheme="minorHAnsi" w:hAnsiTheme="minorHAnsi"/>
          <w:sz w:val="20"/>
          <w:szCs w:val="24"/>
        </w:rPr>
        <w:t xml:space="preserve"> L (2013) Review of Freshwater Non-Market Value Studies. Department of Economics. University of Waikato.</w:t>
      </w:r>
    </w:p>
    <w:p w14:paraId="361059EE" w14:textId="77777777" w:rsidR="00FC77C7" w:rsidRDefault="00FC77C7" w:rsidP="00FC77C7">
      <w:pPr>
        <w:pStyle w:val="NoSpacing"/>
        <w:spacing w:after="60" w:line="280" w:lineRule="atLeast"/>
        <w:ind w:left="539" w:hanging="539"/>
        <w:rPr>
          <w:rFonts w:asciiTheme="minorHAnsi" w:hAnsiTheme="minorHAnsi"/>
          <w:sz w:val="20"/>
          <w:szCs w:val="24"/>
        </w:rPr>
      </w:pPr>
      <w:r w:rsidRPr="003B3439">
        <w:rPr>
          <w:rFonts w:asciiTheme="minorHAnsi" w:hAnsiTheme="minorHAnsi"/>
          <w:sz w:val="20"/>
          <w:szCs w:val="24"/>
        </w:rPr>
        <w:t xml:space="preserve">Marsh D and Phillips Y (2012). </w:t>
      </w:r>
      <w:r w:rsidRPr="003B3439">
        <w:rPr>
          <w:rFonts w:asciiTheme="minorHAnsi" w:hAnsiTheme="minorHAnsi"/>
          <w:i/>
          <w:iCs/>
          <w:sz w:val="20"/>
          <w:szCs w:val="24"/>
        </w:rPr>
        <w:t>Which Future for the Hurunui? Combining Choice Analysis with Stakeholder Consultation</w:t>
      </w:r>
      <w:r w:rsidRPr="003B3439">
        <w:rPr>
          <w:rFonts w:asciiTheme="minorHAnsi" w:hAnsiTheme="minorHAnsi"/>
          <w:sz w:val="20"/>
          <w:szCs w:val="24"/>
        </w:rPr>
        <w:t>. Department of Economics Working Paper in Economics 17/12</w:t>
      </w:r>
      <w:proofErr w:type="gramStart"/>
      <w:r w:rsidRPr="003B3439">
        <w:rPr>
          <w:rFonts w:asciiTheme="minorHAnsi" w:hAnsiTheme="minorHAnsi"/>
          <w:sz w:val="20"/>
          <w:szCs w:val="24"/>
        </w:rPr>
        <w:t>,  University</w:t>
      </w:r>
      <w:proofErr w:type="gramEnd"/>
      <w:r w:rsidRPr="003B3439">
        <w:rPr>
          <w:rFonts w:asciiTheme="minorHAnsi" w:hAnsiTheme="minorHAnsi"/>
          <w:sz w:val="20"/>
          <w:szCs w:val="24"/>
        </w:rPr>
        <w:t xml:space="preserve"> of Waikato.</w:t>
      </w:r>
    </w:p>
    <w:p w14:paraId="2C56BEED" w14:textId="77777777" w:rsidR="00FC77C7" w:rsidRDefault="00FC77C7" w:rsidP="00FC77C7">
      <w:pPr>
        <w:pStyle w:val="NoSpacing"/>
        <w:spacing w:after="60" w:line="280" w:lineRule="atLeast"/>
        <w:ind w:left="539" w:hanging="539"/>
        <w:rPr>
          <w:rFonts w:asciiTheme="minorHAnsi" w:hAnsiTheme="minorHAnsi"/>
          <w:sz w:val="20"/>
          <w:szCs w:val="24"/>
        </w:rPr>
      </w:pPr>
      <w:r w:rsidRPr="007E43FC">
        <w:rPr>
          <w:rFonts w:asciiTheme="minorHAnsi" w:hAnsiTheme="minorHAnsi"/>
          <w:sz w:val="20"/>
          <w:szCs w:val="24"/>
        </w:rPr>
        <w:t xml:space="preserve">Meyer F (1994) </w:t>
      </w:r>
      <w:proofErr w:type="gramStart"/>
      <w:r w:rsidRPr="007E43FC">
        <w:rPr>
          <w:rFonts w:asciiTheme="minorHAnsi" w:hAnsiTheme="minorHAnsi"/>
          <w:i/>
          <w:iCs/>
          <w:sz w:val="20"/>
          <w:szCs w:val="24"/>
        </w:rPr>
        <w:t>The</w:t>
      </w:r>
      <w:proofErr w:type="gramEnd"/>
      <w:r w:rsidRPr="007E43FC">
        <w:rPr>
          <w:rFonts w:asciiTheme="minorHAnsi" w:hAnsiTheme="minorHAnsi"/>
          <w:i/>
          <w:iCs/>
          <w:sz w:val="20"/>
          <w:szCs w:val="24"/>
        </w:rPr>
        <w:t xml:space="preserve"> dichotomous choice approach to the contingent valuation method</w:t>
      </w:r>
      <w:r w:rsidRPr="007E43FC">
        <w:rPr>
          <w:rFonts w:asciiTheme="minorHAnsi" w:hAnsiTheme="minorHAnsi"/>
          <w:sz w:val="20"/>
          <w:szCs w:val="24"/>
        </w:rPr>
        <w:t>. Master of Commerce and Management thesis, Lincoln University.</w:t>
      </w:r>
    </w:p>
    <w:p w14:paraId="16E75E2C" w14:textId="77777777" w:rsidR="00FC77C7" w:rsidRDefault="00FC77C7" w:rsidP="00FC77C7">
      <w:pPr>
        <w:pStyle w:val="NoSpacing"/>
        <w:spacing w:after="60" w:line="280" w:lineRule="atLeast"/>
        <w:ind w:left="539" w:hanging="539"/>
        <w:rPr>
          <w:rFonts w:asciiTheme="minorHAnsi" w:hAnsiTheme="minorHAnsi"/>
          <w:sz w:val="20"/>
          <w:szCs w:val="24"/>
        </w:rPr>
      </w:pPr>
      <w:proofErr w:type="spellStart"/>
      <w:r w:rsidRPr="0036525C">
        <w:rPr>
          <w:rFonts w:asciiTheme="minorHAnsi" w:hAnsiTheme="minorHAnsi"/>
          <w:sz w:val="20"/>
          <w:szCs w:val="24"/>
        </w:rPr>
        <w:t>Millenium</w:t>
      </w:r>
      <w:proofErr w:type="spellEnd"/>
      <w:r w:rsidRPr="0036525C">
        <w:rPr>
          <w:rFonts w:asciiTheme="minorHAnsi" w:hAnsiTheme="minorHAnsi"/>
          <w:sz w:val="20"/>
          <w:szCs w:val="24"/>
        </w:rPr>
        <w:t xml:space="preserve"> Ecosystem Assessment (2005) </w:t>
      </w:r>
      <w:r w:rsidRPr="0036525C">
        <w:rPr>
          <w:rFonts w:asciiTheme="minorHAnsi" w:hAnsiTheme="minorHAnsi"/>
          <w:i/>
          <w:iCs/>
          <w:sz w:val="20"/>
          <w:szCs w:val="24"/>
        </w:rPr>
        <w:t>Ecosystems and human well-being: A framework for assessment</w:t>
      </w:r>
      <w:r>
        <w:rPr>
          <w:rFonts w:asciiTheme="minorHAnsi" w:hAnsiTheme="minorHAnsi"/>
          <w:i/>
          <w:iCs/>
          <w:sz w:val="20"/>
          <w:szCs w:val="24"/>
        </w:rPr>
        <w:t>.</w:t>
      </w:r>
      <w:r w:rsidRPr="0036525C">
        <w:rPr>
          <w:rFonts w:asciiTheme="minorHAnsi" w:hAnsiTheme="minorHAnsi"/>
          <w:sz w:val="20"/>
          <w:szCs w:val="24"/>
        </w:rPr>
        <w:t xml:space="preserve"> Island Press, Washington.</w:t>
      </w:r>
    </w:p>
    <w:p w14:paraId="451469D1" w14:textId="77777777" w:rsidR="00FC77C7" w:rsidRDefault="00FC77C7" w:rsidP="00FC77C7">
      <w:pPr>
        <w:pStyle w:val="NoSpacing"/>
        <w:spacing w:after="60" w:line="280" w:lineRule="atLeast"/>
        <w:ind w:left="539" w:hanging="539"/>
        <w:rPr>
          <w:rFonts w:asciiTheme="minorHAnsi" w:hAnsiTheme="minorHAnsi"/>
          <w:sz w:val="20"/>
          <w:szCs w:val="24"/>
        </w:rPr>
      </w:pPr>
      <w:r w:rsidRPr="00886774">
        <w:rPr>
          <w:rFonts w:asciiTheme="minorHAnsi" w:hAnsiTheme="minorHAnsi"/>
          <w:sz w:val="20"/>
          <w:szCs w:val="24"/>
        </w:rPr>
        <w:lastRenderedPageBreak/>
        <w:t xml:space="preserve">Miller S, Tait P and Saunders C (2015) Estimating indigenous cultural values of freshwater: A choice experiment approach to Māori values in New Zealand. </w:t>
      </w:r>
      <w:r w:rsidRPr="00886774">
        <w:rPr>
          <w:rFonts w:asciiTheme="minorHAnsi" w:hAnsiTheme="minorHAnsi"/>
          <w:i/>
          <w:iCs/>
          <w:sz w:val="20"/>
          <w:szCs w:val="24"/>
        </w:rPr>
        <w:t>Ecological Economics</w:t>
      </w:r>
      <w:r w:rsidRPr="00886774">
        <w:rPr>
          <w:rFonts w:asciiTheme="minorHAnsi" w:hAnsiTheme="minorHAnsi"/>
          <w:sz w:val="20"/>
          <w:szCs w:val="24"/>
        </w:rPr>
        <w:t xml:space="preserve"> 118: (2015) 207–214.</w:t>
      </w:r>
    </w:p>
    <w:p w14:paraId="3B2C5ABB" w14:textId="77777777" w:rsidR="00FC77C7" w:rsidRDefault="00FC77C7" w:rsidP="00FC77C7">
      <w:pPr>
        <w:pStyle w:val="NoSpacing"/>
        <w:spacing w:after="60"/>
        <w:ind w:left="539" w:hanging="539"/>
        <w:rPr>
          <w:rFonts w:asciiTheme="minorHAnsi" w:hAnsiTheme="minorHAnsi"/>
          <w:sz w:val="20"/>
          <w:szCs w:val="24"/>
        </w:rPr>
      </w:pPr>
      <w:r>
        <w:rPr>
          <w:rFonts w:asciiTheme="minorHAnsi" w:hAnsiTheme="minorHAnsi"/>
          <w:sz w:val="20"/>
          <w:szCs w:val="24"/>
        </w:rPr>
        <w:t xml:space="preserve">Ministry of Health (2007) </w:t>
      </w:r>
      <w:r w:rsidRPr="005D2B43">
        <w:rPr>
          <w:rFonts w:asciiTheme="minorHAnsi" w:hAnsiTheme="minorHAnsi"/>
          <w:i/>
          <w:iCs/>
          <w:sz w:val="20"/>
          <w:szCs w:val="24"/>
        </w:rPr>
        <w:t>Treatment Options for Small Drinking-water Supplies</w:t>
      </w:r>
      <w:r>
        <w:rPr>
          <w:rFonts w:asciiTheme="minorHAnsi" w:hAnsiTheme="minorHAnsi"/>
          <w:sz w:val="20"/>
          <w:szCs w:val="24"/>
        </w:rPr>
        <w:t xml:space="preserve">. </w:t>
      </w:r>
      <w:r w:rsidRPr="005D2B43">
        <w:rPr>
          <w:rFonts w:asciiTheme="minorHAnsi" w:hAnsiTheme="minorHAnsi"/>
          <w:sz w:val="20"/>
          <w:szCs w:val="24"/>
        </w:rPr>
        <w:t>Resources for Drinking-water</w:t>
      </w:r>
      <w:r>
        <w:rPr>
          <w:rFonts w:asciiTheme="minorHAnsi" w:hAnsiTheme="minorHAnsi"/>
          <w:sz w:val="20"/>
          <w:szCs w:val="24"/>
        </w:rPr>
        <w:t xml:space="preserve"> </w:t>
      </w:r>
      <w:r w:rsidRPr="005D2B43">
        <w:rPr>
          <w:rFonts w:asciiTheme="minorHAnsi" w:hAnsiTheme="minorHAnsi"/>
          <w:sz w:val="20"/>
          <w:szCs w:val="24"/>
        </w:rPr>
        <w:t>Assistance Programme</w:t>
      </w:r>
      <w:r>
        <w:rPr>
          <w:rFonts w:asciiTheme="minorHAnsi" w:hAnsiTheme="minorHAnsi"/>
          <w:sz w:val="20"/>
          <w:szCs w:val="24"/>
        </w:rPr>
        <w:t>.</w:t>
      </w:r>
    </w:p>
    <w:p w14:paraId="2FA18FAD" w14:textId="77777777" w:rsidR="00FC77C7" w:rsidRDefault="00FC77C7" w:rsidP="00FC77C7">
      <w:pPr>
        <w:pStyle w:val="NoSpacing"/>
        <w:spacing w:after="60" w:line="280" w:lineRule="atLeast"/>
        <w:ind w:left="539" w:hanging="539"/>
        <w:rPr>
          <w:rFonts w:asciiTheme="minorHAnsi" w:hAnsiTheme="minorHAnsi"/>
          <w:sz w:val="20"/>
          <w:szCs w:val="24"/>
        </w:rPr>
      </w:pPr>
      <w:r w:rsidRPr="0037039F">
        <w:rPr>
          <w:rFonts w:asciiTheme="minorHAnsi" w:hAnsiTheme="minorHAnsi"/>
          <w:sz w:val="20"/>
          <w:szCs w:val="24"/>
        </w:rPr>
        <w:t xml:space="preserve">Ministry for the Environment (2001) </w:t>
      </w:r>
      <w:proofErr w:type="gramStart"/>
      <w:r w:rsidRPr="0037039F">
        <w:rPr>
          <w:rFonts w:asciiTheme="minorHAnsi" w:hAnsiTheme="minorHAnsi"/>
          <w:i/>
          <w:iCs/>
          <w:sz w:val="20"/>
          <w:szCs w:val="24"/>
        </w:rPr>
        <w:t>Our</w:t>
      </w:r>
      <w:proofErr w:type="gramEnd"/>
      <w:r w:rsidRPr="0037039F">
        <w:rPr>
          <w:rFonts w:asciiTheme="minorHAnsi" w:hAnsiTheme="minorHAnsi"/>
          <w:i/>
          <w:iCs/>
          <w:sz w:val="20"/>
          <w:szCs w:val="24"/>
        </w:rPr>
        <w:t xml:space="preserve"> clean green image: What’s it worth?</w:t>
      </w:r>
    </w:p>
    <w:p w14:paraId="6411AE39" w14:textId="77777777" w:rsidR="00FC77C7" w:rsidRPr="006A3DFE" w:rsidRDefault="00FC77C7" w:rsidP="00FC77C7">
      <w:pPr>
        <w:pStyle w:val="NoSpacing"/>
        <w:spacing w:after="60" w:line="280" w:lineRule="atLeast"/>
        <w:ind w:left="539" w:hanging="539"/>
        <w:rPr>
          <w:rFonts w:asciiTheme="minorHAnsi" w:hAnsiTheme="minorHAnsi"/>
          <w:sz w:val="20"/>
          <w:szCs w:val="24"/>
        </w:rPr>
      </w:pPr>
      <w:r>
        <w:rPr>
          <w:rFonts w:asciiTheme="minorHAnsi" w:hAnsiTheme="minorHAnsi"/>
          <w:sz w:val="20"/>
          <w:szCs w:val="24"/>
        </w:rPr>
        <w:t xml:space="preserve">Ministry for the Environment (2017) </w:t>
      </w:r>
      <w:r w:rsidRPr="00FE5E43">
        <w:rPr>
          <w:rFonts w:asciiTheme="minorHAnsi" w:hAnsiTheme="minorHAnsi"/>
          <w:i/>
          <w:iCs/>
          <w:sz w:val="20"/>
          <w:szCs w:val="24"/>
        </w:rPr>
        <w:t>Swimming categories for E. coli in the Clean Water package. A summary of the categories and their relationship to human health risk from swimming</w:t>
      </w:r>
      <w:r>
        <w:rPr>
          <w:rFonts w:asciiTheme="minorHAnsi" w:hAnsiTheme="minorHAnsi"/>
          <w:sz w:val="20"/>
          <w:szCs w:val="24"/>
        </w:rPr>
        <w:t xml:space="preserve">. </w:t>
      </w:r>
      <w:proofErr w:type="spellStart"/>
      <w:r>
        <w:rPr>
          <w:rFonts w:asciiTheme="minorHAnsi" w:hAnsiTheme="minorHAnsi"/>
          <w:sz w:val="20"/>
          <w:szCs w:val="24"/>
        </w:rPr>
        <w:t>MfE</w:t>
      </w:r>
      <w:proofErr w:type="spellEnd"/>
      <w:r>
        <w:rPr>
          <w:rFonts w:asciiTheme="minorHAnsi" w:hAnsiTheme="minorHAnsi"/>
          <w:sz w:val="20"/>
          <w:szCs w:val="24"/>
        </w:rPr>
        <w:t xml:space="preserve"> Publication ME1308.</w:t>
      </w:r>
    </w:p>
    <w:p w14:paraId="15559A66"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Ministry for the Environment (2018) A Guide to Attributes in Appendix 2 of the National Policy Statement for Freshwater Management (as amended 2017). Wellington: Ministry for the Environment. </w:t>
      </w:r>
      <w:proofErr w:type="spellStart"/>
      <w:r w:rsidRPr="00020C26">
        <w:rPr>
          <w:rFonts w:asciiTheme="minorHAnsi" w:hAnsiTheme="minorHAnsi"/>
          <w:sz w:val="20"/>
          <w:szCs w:val="24"/>
        </w:rPr>
        <w:t>MfE</w:t>
      </w:r>
      <w:proofErr w:type="spellEnd"/>
      <w:r w:rsidRPr="00020C26">
        <w:rPr>
          <w:rFonts w:asciiTheme="minorHAnsi" w:hAnsiTheme="minorHAnsi"/>
          <w:sz w:val="20"/>
          <w:szCs w:val="24"/>
        </w:rPr>
        <w:t xml:space="preserve"> Publication ME1346.</w:t>
      </w:r>
    </w:p>
    <w:p w14:paraId="1010FECB"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Ministry for the Environment (2019a) Essential Freshwater: Impact of existing </w:t>
      </w:r>
      <w:proofErr w:type="spellStart"/>
      <w:r w:rsidRPr="00020C26">
        <w:rPr>
          <w:rFonts w:asciiTheme="minorHAnsi" w:hAnsiTheme="minorHAnsi"/>
          <w:sz w:val="20"/>
          <w:szCs w:val="24"/>
        </w:rPr>
        <w:t>periphyton</w:t>
      </w:r>
      <w:proofErr w:type="spellEnd"/>
      <w:r w:rsidRPr="00020C26">
        <w:rPr>
          <w:rFonts w:asciiTheme="minorHAnsi" w:hAnsiTheme="minorHAnsi"/>
          <w:sz w:val="20"/>
          <w:szCs w:val="24"/>
        </w:rPr>
        <w:t xml:space="preserve"> and proposed dissolved inorganic nitrogen bottom lines. Wellington: Ministry for the Environment.</w:t>
      </w:r>
    </w:p>
    <w:p w14:paraId="770B6D03"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Ministry for the Environment (2019b) Essential Freshwater: Impact of existing </w:t>
      </w:r>
      <w:proofErr w:type="spellStart"/>
      <w:r w:rsidRPr="00020C26">
        <w:rPr>
          <w:rFonts w:asciiTheme="minorHAnsi" w:hAnsiTheme="minorHAnsi"/>
          <w:sz w:val="20"/>
          <w:szCs w:val="24"/>
        </w:rPr>
        <w:t>periphyton</w:t>
      </w:r>
      <w:proofErr w:type="spellEnd"/>
      <w:r w:rsidRPr="00020C26">
        <w:rPr>
          <w:rFonts w:asciiTheme="minorHAnsi" w:hAnsiTheme="minorHAnsi"/>
          <w:sz w:val="20"/>
          <w:szCs w:val="24"/>
        </w:rPr>
        <w:t xml:space="preserve"> and proposed dissolved inorganic nitrogen bottom lines. Wellington: Ministry for the Environment</w:t>
      </w:r>
    </w:p>
    <w:p w14:paraId="0C61FFEF"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Ministry for the Environment (2019c) Interim Regulatory Impact Analysis for Consultation: Essential Freshwater Part I: Summary and Overview.</w:t>
      </w:r>
    </w:p>
    <w:p w14:paraId="26A4206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Ministry for the Environment (2019d) Interim Regulatory Impact Analysis for Consultation: Essential Freshwater Part II: Detailed Analysis.</w:t>
      </w:r>
    </w:p>
    <w:p w14:paraId="017C128C"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Ministry for the Environment (2019e) Draft National Policy Statement for Freshwater Management. Proposals for consultation September 2019</w:t>
      </w:r>
    </w:p>
    <w:p w14:paraId="0FE03365"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Ministry for the Environment and Ministry for Primary Industries (2018) Essential Freshwater: Healthy Water, Fairly Allocated. Wellington: Ministry for the Environment and Ministry for Primary Industries.</w:t>
      </w:r>
    </w:p>
    <w:p w14:paraId="27205574"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Ministry for the Environment &amp; Stats NZ (2019) Environment </w:t>
      </w:r>
      <w:proofErr w:type="spellStart"/>
      <w:r w:rsidRPr="00020C26">
        <w:rPr>
          <w:rFonts w:asciiTheme="minorHAnsi" w:hAnsiTheme="minorHAnsi"/>
          <w:sz w:val="20"/>
          <w:szCs w:val="24"/>
        </w:rPr>
        <w:t>Aotearoa</w:t>
      </w:r>
      <w:proofErr w:type="spellEnd"/>
      <w:r w:rsidRPr="00020C26">
        <w:rPr>
          <w:rFonts w:asciiTheme="minorHAnsi" w:hAnsiTheme="minorHAnsi"/>
          <w:sz w:val="20"/>
          <w:szCs w:val="24"/>
        </w:rPr>
        <w:t xml:space="preserve"> 2019. New Zealand’s Environmental Reporting Series.</w:t>
      </w:r>
    </w:p>
    <w:p w14:paraId="1E7B051E"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Moore D, Drew R, Davies P and Rippon R (2017) The Economic Costs of the Havelock North August 2016 Waterborne Disease Outbreak. Report prepared for the Ministry of Health. </w:t>
      </w:r>
      <w:proofErr w:type="spellStart"/>
      <w:r w:rsidRPr="00020C26">
        <w:rPr>
          <w:rFonts w:asciiTheme="minorHAnsi" w:hAnsiTheme="minorHAnsi"/>
          <w:sz w:val="20"/>
          <w:szCs w:val="24"/>
        </w:rPr>
        <w:t>Sapere</w:t>
      </w:r>
      <w:proofErr w:type="spellEnd"/>
      <w:r w:rsidRPr="00020C26">
        <w:rPr>
          <w:rFonts w:asciiTheme="minorHAnsi" w:hAnsiTheme="minorHAnsi"/>
          <w:sz w:val="20"/>
          <w:szCs w:val="24"/>
        </w:rPr>
        <w:t xml:space="preserve"> Research Group.</w:t>
      </w:r>
    </w:p>
    <w:p w14:paraId="7080140B" w14:textId="77777777" w:rsidR="00FC77C7" w:rsidRPr="00020C26" w:rsidRDefault="00FC77C7" w:rsidP="00FC77C7">
      <w:pPr>
        <w:pStyle w:val="NoSpacing"/>
        <w:spacing w:after="60" w:line="280" w:lineRule="atLeast"/>
        <w:ind w:left="539" w:hanging="539"/>
        <w:rPr>
          <w:rFonts w:asciiTheme="minorHAnsi" w:hAnsiTheme="minorHAnsi"/>
          <w:sz w:val="20"/>
          <w:szCs w:val="24"/>
        </w:rPr>
      </w:pPr>
      <w:bookmarkStart w:id="122" w:name="_Hlk34293369"/>
      <w:proofErr w:type="spellStart"/>
      <w:r w:rsidRPr="00020C26">
        <w:rPr>
          <w:rFonts w:asciiTheme="minorHAnsi" w:hAnsiTheme="minorHAnsi"/>
          <w:sz w:val="20"/>
          <w:szCs w:val="24"/>
        </w:rPr>
        <w:t>Neverman</w:t>
      </w:r>
      <w:proofErr w:type="spellEnd"/>
      <w:r w:rsidRPr="00020C26">
        <w:rPr>
          <w:rFonts w:asciiTheme="minorHAnsi" w:hAnsiTheme="minorHAnsi"/>
          <w:sz w:val="20"/>
          <w:szCs w:val="24"/>
        </w:rPr>
        <w:t xml:space="preserve"> A, </w:t>
      </w:r>
      <w:proofErr w:type="spellStart"/>
      <w:r w:rsidRPr="00020C26">
        <w:rPr>
          <w:rFonts w:asciiTheme="minorHAnsi" w:hAnsiTheme="minorHAnsi"/>
          <w:sz w:val="20"/>
          <w:szCs w:val="24"/>
        </w:rPr>
        <w:t>Djanibekov</w:t>
      </w:r>
      <w:proofErr w:type="spellEnd"/>
      <w:r w:rsidRPr="00020C26">
        <w:rPr>
          <w:rFonts w:asciiTheme="minorHAnsi" w:hAnsiTheme="minorHAnsi"/>
          <w:sz w:val="20"/>
          <w:szCs w:val="24"/>
        </w:rPr>
        <w:t xml:space="preserve"> U, </w:t>
      </w:r>
      <w:proofErr w:type="spellStart"/>
      <w:r w:rsidRPr="00020C26">
        <w:rPr>
          <w:rFonts w:asciiTheme="minorHAnsi" w:hAnsiTheme="minorHAnsi"/>
          <w:sz w:val="20"/>
          <w:szCs w:val="24"/>
        </w:rPr>
        <w:t>Soliman</w:t>
      </w:r>
      <w:proofErr w:type="spellEnd"/>
      <w:r w:rsidRPr="00020C26">
        <w:rPr>
          <w:rFonts w:asciiTheme="minorHAnsi" w:hAnsiTheme="minorHAnsi"/>
          <w:sz w:val="20"/>
          <w:szCs w:val="24"/>
        </w:rPr>
        <w:t xml:space="preserve"> T, Walsh P, </w:t>
      </w:r>
      <w:proofErr w:type="spellStart"/>
      <w:r w:rsidRPr="00020C26">
        <w:rPr>
          <w:rFonts w:asciiTheme="minorHAnsi" w:hAnsiTheme="minorHAnsi"/>
          <w:sz w:val="20"/>
          <w:szCs w:val="24"/>
        </w:rPr>
        <w:t>Spiekermann</w:t>
      </w:r>
      <w:proofErr w:type="spellEnd"/>
      <w:r w:rsidRPr="00020C26">
        <w:rPr>
          <w:rFonts w:asciiTheme="minorHAnsi" w:hAnsiTheme="minorHAnsi"/>
          <w:sz w:val="20"/>
          <w:szCs w:val="24"/>
        </w:rPr>
        <w:t xml:space="preserve"> R and Basher L (2019) Impact testing of a proposed sediment attribute: identifying erosion and sediment control mitigations to meet proposed sediment attribute bottom lines and the costs and benefits of those mitigations. </w:t>
      </w:r>
      <w:proofErr w:type="spellStart"/>
      <w:r w:rsidRPr="00020C26">
        <w:rPr>
          <w:rFonts w:asciiTheme="minorHAnsi" w:hAnsiTheme="minorHAnsi"/>
          <w:sz w:val="20"/>
          <w:szCs w:val="24"/>
        </w:rPr>
        <w:t>Landcare</w:t>
      </w:r>
      <w:proofErr w:type="spellEnd"/>
      <w:r w:rsidRPr="00020C26">
        <w:rPr>
          <w:rFonts w:asciiTheme="minorHAnsi" w:hAnsiTheme="minorHAnsi"/>
          <w:sz w:val="20"/>
          <w:szCs w:val="24"/>
        </w:rPr>
        <w:t xml:space="preserve"> Research Contract Report: LC3574. Prepared for the Ministry for the Environment.</w:t>
      </w:r>
    </w:p>
    <w:bookmarkEnd w:id="122"/>
    <w:p w14:paraId="7C8DDEC5" w14:textId="77777777" w:rsidR="00FC77C7" w:rsidRDefault="00FC77C7" w:rsidP="00FC77C7">
      <w:pPr>
        <w:pStyle w:val="NoSpacing"/>
        <w:spacing w:after="60" w:line="280" w:lineRule="atLeast"/>
        <w:ind w:left="539" w:hanging="539"/>
        <w:rPr>
          <w:rFonts w:asciiTheme="minorHAnsi" w:hAnsiTheme="minorHAnsi"/>
          <w:sz w:val="20"/>
          <w:szCs w:val="24"/>
        </w:rPr>
      </w:pPr>
      <w:proofErr w:type="spellStart"/>
      <w:r w:rsidRPr="006A3DFE">
        <w:rPr>
          <w:rFonts w:asciiTheme="minorHAnsi" w:hAnsiTheme="minorHAnsi"/>
          <w:sz w:val="20"/>
          <w:szCs w:val="24"/>
        </w:rPr>
        <w:t>Nimmo</w:t>
      </w:r>
      <w:proofErr w:type="spellEnd"/>
      <w:r w:rsidRPr="006A3DFE">
        <w:rPr>
          <w:rFonts w:asciiTheme="minorHAnsi" w:hAnsiTheme="minorHAnsi"/>
          <w:sz w:val="20"/>
          <w:szCs w:val="24"/>
        </w:rPr>
        <w:t>-Bell (2009) Biodiversity Valuation Manual. A technical manual for MAF BNZ.</w:t>
      </w:r>
    </w:p>
    <w:p w14:paraId="69A81C08" w14:textId="77777777" w:rsidR="00FC77C7" w:rsidRDefault="00FC77C7" w:rsidP="00FC77C7">
      <w:pPr>
        <w:pStyle w:val="NoSpacing"/>
        <w:spacing w:after="60" w:line="280" w:lineRule="atLeast"/>
        <w:ind w:left="539" w:hanging="539"/>
        <w:rPr>
          <w:rFonts w:asciiTheme="minorHAnsi" w:hAnsiTheme="minorHAnsi"/>
          <w:sz w:val="20"/>
          <w:szCs w:val="24"/>
        </w:rPr>
      </w:pPr>
      <w:r w:rsidRPr="00807341">
        <w:rPr>
          <w:rFonts w:asciiTheme="minorHAnsi" w:hAnsiTheme="minorHAnsi"/>
          <w:sz w:val="20"/>
          <w:szCs w:val="24"/>
        </w:rPr>
        <w:t xml:space="preserve">NZ Government (2017) </w:t>
      </w:r>
      <w:r w:rsidRPr="00020C26">
        <w:rPr>
          <w:rFonts w:asciiTheme="minorHAnsi" w:hAnsiTheme="minorHAnsi"/>
          <w:sz w:val="20"/>
          <w:szCs w:val="24"/>
        </w:rPr>
        <w:t>National Policy Statement for Freshwater Management 2014 Updated August 2017 to incorporate amendments from the National Policy Statement for Freshwater Amendment Order 2017</w:t>
      </w:r>
      <w:r w:rsidRPr="00807341">
        <w:rPr>
          <w:rFonts w:asciiTheme="minorHAnsi" w:hAnsiTheme="minorHAnsi"/>
          <w:sz w:val="20"/>
          <w:szCs w:val="24"/>
        </w:rPr>
        <w:t>.</w:t>
      </w:r>
    </w:p>
    <w:p w14:paraId="71485178" w14:textId="77777777" w:rsidR="00FC77C7" w:rsidRDefault="00FC77C7" w:rsidP="00FC77C7">
      <w:pPr>
        <w:pStyle w:val="NoSpacing"/>
        <w:spacing w:after="60" w:line="280" w:lineRule="atLeast"/>
        <w:ind w:left="539" w:hanging="539"/>
        <w:rPr>
          <w:rFonts w:asciiTheme="minorHAnsi" w:hAnsiTheme="minorHAnsi"/>
          <w:sz w:val="20"/>
          <w:szCs w:val="24"/>
        </w:rPr>
      </w:pPr>
      <w:r w:rsidRPr="00AB40A8">
        <w:rPr>
          <w:rFonts w:asciiTheme="minorHAnsi" w:hAnsiTheme="minorHAnsi"/>
          <w:sz w:val="20"/>
          <w:szCs w:val="24"/>
        </w:rPr>
        <w:t xml:space="preserve">NZ Treasury (2015) </w:t>
      </w:r>
      <w:r w:rsidRPr="00020C26">
        <w:rPr>
          <w:rFonts w:asciiTheme="minorHAnsi" w:hAnsiTheme="minorHAnsi"/>
          <w:sz w:val="20"/>
          <w:szCs w:val="24"/>
        </w:rPr>
        <w:t>Guide to Social Cost Benefit Analysis</w:t>
      </w:r>
      <w:r w:rsidRPr="00AB40A8">
        <w:rPr>
          <w:rFonts w:asciiTheme="minorHAnsi" w:hAnsiTheme="minorHAnsi"/>
          <w:sz w:val="20"/>
          <w:szCs w:val="24"/>
        </w:rPr>
        <w:t>.</w:t>
      </w:r>
    </w:p>
    <w:p w14:paraId="7E6A5E61" w14:textId="77777777" w:rsidR="00FC77C7" w:rsidRDefault="00FC77C7" w:rsidP="00FC77C7">
      <w:pPr>
        <w:pStyle w:val="NoSpacing"/>
        <w:spacing w:after="60" w:line="280" w:lineRule="atLeast"/>
        <w:ind w:left="539" w:hanging="539"/>
        <w:rPr>
          <w:rFonts w:asciiTheme="minorHAnsi" w:hAnsiTheme="minorHAnsi"/>
          <w:sz w:val="20"/>
          <w:szCs w:val="24"/>
        </w:rPr>
      </w:pPr>
      <w:r>
        <w:rPr>
          <w:rFonts w:asciiTheme="minorHAnsi" w:hAnsiTheme="minorHAnsi"/>
          <w:sz w:val="20"/>
          <w:szCs w:val="24"/>
        </w:rPr>
        <w:t xml:space="preserve">NZ Treasury (2019) </w:t>
      </w:r>
      <w:proofErr w:type="spellStart"/>
      <w:r w:rsidRPr="00020C26">
        <w:rPr>
          <w:rFonts w:asciiTheme="minorHAnsi" w:hAnsiTheme="minorHAnsi"/>
          <w:sz w:val="20"/>
          <w:szCs w:val="24"/>
        </w:rPr>
        <w:t>CBAx</w:t>
      </w:r>
      <w:proofErr w:type="spellEnd"/>
      <w:r w:rsidRPr="00020C26">
        <w:rPr>
          <w:rFonts w:asciiTheme="minorHAnsi" w:hAnsiTheme="minorHAnsi"/>
          <w:sz w:val="20"/>
          <w:szCs w:val="24"/>
        </w:rPr>
        <w:t xml:space="preserve"> Tool User Guidance. Guide for departments and agencies using Treasury’s </w:t>
      </w:r>
      <w:proofErr w:type="spellStart"/>
      <w:r w:rsidRPr="00020C26">
        <w:rPr>
          <w:rFonts w:asciiTheme="minorHAnsi" w:hAnsiTheme="minorHAnsi"/>
          <w:sz w:val="20"/>
          <w:szCs w:val="24"/>
        </w:rPr>
        <w:t>CBAx</w:t>
      </w:r>
      <w:proofErr w:type="spellEnd"/>
      <w:r w:rsidRPr="00020C26">
        <w:rPr>
          <w:rFonts w:asciiTheme="minorHAnsi" w:hAnsiTheme="minorHAnsi"/>
          <w:sz w:val="20"/>
          <w:szCs w:val="24"/>
        </w:rPr>
        <w:t xml:space="preserve"> tool for cost benefit analysis</w:t>
      </w:r>
      <w:r>
        <w:rPr>
          <w:rFonts w:asciiTheme="minorHAnsi" w:hAnsiTheme="minorHAnsi"/>
          <w:sz w:val="20"/>
          <w:szCs w:val="24"/>
        </w:rPr>
        <w:t>.</w:t>
      </w:r>
    </w:p>
    <w:p w14:paraId="51B39DC2" w14:textId="77777777" w:rsidR="00FC77C7" w:rsidRDefault="00FC77C7" w:rsidP="00FC77C7">
      <w:pPr>
        <w:pStyle w:val="NoSpacing"/>
        <w:spacing w:after="60" w:line="280" w:lineRule="atLeast"/>
        <w:ind w:left="539" w:hanging="539"/>
        <w:rPr>
          <w:rFonts w:asciiTheme="minorHAnsi" w:hAnsiTheme="minorHAnsi"/>
          <w:sz w:val="20"/>
          <w:szCs w:val="24"/>
        </w:rPr>
      </w:pPr>
      <w:proofErr w:type="spellStart"/>
      <w:r w:rsidRPr="00BC4254">
        <w:rPr>
          <w:rFonts w:asciiTheme="minorHAnsi" w:hAnsiTheme="minorHAnsi"/>
          <w:sz w:val="20"/>
          <w:szCs w:val="24"/>
        </w:rPr>
        <w:t>Pascual</w:t>
      </w:r>
      <w:proofErr w:type="spellEnd"/>
      <w:r w:rsidRPr="00BC4254">
        <w:rPr>
          <w:rFonts w:asciiTheme="minorHAnsi" w:hAnsiTheme="minorHAnsi"/>
          <w:sz w:val="20"/>
          <w:szCs w:val="24"/>
        </w:rPr>
        <w:t xml:space="preserve"> U, </w:t>
      </w:r>
      <w:proofErr w:type="spellStart"/>
      <w:r w:rsidRPr="00BC4254">
        <w:rPr>
          <w:rFonts w:asciiTheme="minorHAnsi" w:hAnsiTheme="minorHAnsi"/>
          <w:sz w:val="20"/>
          <w:szCs w:val="24"/>
        </w:rPr>
        <w:t>Muradian</w:t>
      </w:r>
      <w:proofErr w:type="spellEnd"/>
      <w:r w:rsidRPr="00BC4254">
        <w:rPr>
          <w:rFonts w:asciiTheme="minorHAnsi" w:hAnsiTheme="minorHAnsi"/>
          <w:sz w:val="20"/>
          <w:szCs w:val="24"/>
        </w:rPr>
        <w:t xml:space="preserve"> R, Brander L, Gómez-</w:t>
      </w:r>
      <w:proofErr w:type="spellStart"/>
      <w:r w:rsidRPr="00BC4254">
        <w:rPr>
          <w:rFonts w:asciiTheme="minorHAnsi" w:hAnsiTheme="minorHAnsi"/>
          <w:sz w:val="20"/>
          <w:szCs w:val="24"/>
        </w:rPr>
        <w:t>Baggethun</w:t>
      </w:r>
      <w:proofErr w:type="spellEnd"/>
      <w:r w:rsidRPr="00BC4254">
        <w:rPr>
          <w:rFonts w:asciiTheme="minorHAnsi" w:hAnsiTheme="minorHAnsi"/>
          <w:sz w:val="20"/>
          <w:szCs w:val="24"/>
        </w:rPr>
        <w:t xml:space="preserve"> E, Martín-</w:t>
      </w:r>
      <w:proofErr w:type="spellStart"/>
      <w:r w:rsidRPr="00BC4254">
        <w:rPr>
          <w:rFonts w:asciiTheme="minorHAnsi" w:hAnsiTheme="minorHAnsi"/>
          <w:sz w:val="20"/>
          <w:szCs w:val="24"/>
        </w:rPr>
        <w:t>López</w:t>
      </w:r>
      <w:proofErr w:type="spellEnd"/>
      <w:r w:rsidRPr="00BC4254">
        <w:rPr>
          <w:rFonts w:asciiTheme="minorHAnsi" w:hAnsiTheme="minorHAnsi"/>
          <w:sz w:val="20"/>
          <w:szCs w:val="24"/>
        </w:rPr>
        <w:t xml:space="preserve"> B, </w:t>
      </w:r>
      <w:proofErr w:type="spellStart"/>
      <w:r w:rsidRPr="00BC4254">
        <w:rPr>
          <w:rFonts w:asciiTheme="minorHAnsi" w:hAnsiTheme="minorHAnsi"/>
          <w:sz w:val="20"/>
          <w:szCs w:val="24"/>
        </w:rPr>
        <w:t>Verma</w:t>
      </w:r>
      <w:proofErr w:type="spellEnd"/>
      <w:r w:rsidRPr="00BC4254">
        <w:rPr>
          <w:rFonts w:asciiTheme="minorHAnsi" w:hAnsiTheme="minorHAnsi"/>
          <w:sz w:val="20"/>
          <w:szCs w:val="24"/>
        </w:rPr>
        <w:t xml:space="preserve"> M, </w:t>
      </w:r>
      <w:proofErr w:type="spellStart"/>
      <w:r w:rsidRPr="00BC4254">
        <w:rPr>
          <w:rFonts w:asciiTheme="minorHAnsi" w:hAnsiTheme="minorHAnsi"/>
          <w:sz w:val="20"/>
          <w:szCs w:val="24"/>
        </w:rPr>
        <w:t>Armsworth</w:t>
      </w:r>
      <w:proofErr w:type="spellEnd"/>
      <w:r w:rsidRPr="00BC4254">
        <w:rPr>
          <w:rFonts w:asciiTheme="minorHAnsi" w:hAnsiTheme="minorHAnsi"/>
          <w:sz w:val="20"/>
          <w:szCs w:val="24"/>
        </w:rPr>
        <w:t xml:space="preserve"> P, Christie M, Cornelissen H, </w:t>
      </w:r>
      <w:proofErr w:type="spellStart"/>
      <w:r w:rsidRPr="00BC4254">
        <w:rPr>
          <w:rFonts w:asciiTheme="minorHAnsi" w:hAnsiTheme="minorHAnsi"/>
          <w:sz w:val="20"/>
          <w:szCs w:val="24"/>
        </w:rPr>
        <w:t>Eppink</w:t>
      </w:r>
      <w:proofErr w:type="spellEnd"/>
      <w:r w:rsidRPr="00BC4254">
        <w:rPr>
          <w:rFonts w:asciiTheme="minorHAnsi" w:hAnsiTheme="minorHAnsi"/>
          <w:sz w:val="20"/>
          <w:szCs w:val="24"/>
        </w:rPr>
        <w:t xml:space="preserve"> F, Farley J, Loomis J, Pearson L, </w:t>
      </w:r>
      <w:proofErr w:type="spellStart"/>
      <w:r w:rsidRPr="00BC4254">
        <w:rPr>
          <w:rFonts w:asciiTheme="minorHAnsi" w:hAnsiTheme="minorHAnsi"/>
          <w:sz w:val="20"/>
          <w:szCs w:val="24"/>
        </w:rPr>
        <w:t>Perrings</w:t>
      </w:r>
      <w:proofErr w:type="spellEnd"/>
      <w:r w:rsidRPr="00BC4254">
        <w:rPr>
          <w:rFonts w:asciiTheme="minorHAnsi" w:hAnsiTheme="minorHAnsi"/>
          <w:sz w:val="20"/>
          <w:szCs w:val="24"/>
        </w:rPr>
        <w:t xml:space="preserve"> C and </w:t>
      </w:r>
      <w:proofErr w:type="spellStart"/>
      <w:r w:rsidRPr="00BC4254">
        <w:rPr>
          <w:rFonts w:asciiTheme="minorHAnsi" w:hAnsiTheme="minorHAnsi"/>
          <w:sz w:val="20"/>
          <w:szCs w:val="24"/>
        </w:rPr>
        <w:t>Polasky</w:t>
      </w:r>
      <w:proofErr w:type="spellEnd"/>
      <w:r w:rsidRPr="00BC4254">
        <w:rPr>
          <w:rFonts w:asciiTheme="minorHAnsi" w:hAnsiTheme="minorHAnsi"/>
          <w:sz w:val="20"/>
          <w:szCs w:val="24"/>
        </w:rPr>
        <w:t xml:space="preserve"> S (2010) The economics of valuing ecosystem services and biodiversity. Chapter 5 in: Kumar P </w:t>
      </w:r>
      <w:r w:rsidRPr="00BC4254">
        <w:rPr>
          <w:rFonts w:asciiTheme="minorHAnsi" w:hAnsiTheme="minorHAnsi"/>
          <w:sz w:val="20"/>
          <w:szCs w:val="24"/>
        </w:rPr>
        <w:lastRenderedPageBreak/>
        <w:t>(</w:t>
      </w:r>
      <w:proofErr w:type="spellStart"/>
      <w:proofErr w:type="gramStart"/>
      <w:r w:rsidRPr="00BC4254">
        <w:rPr>
          <w:rFonts w:asciiTheme="minorHAnsi" w:hAnsiTheme="minorHAnsi"/>
          <w:sz w:val="20"/>
          <w:szCs w:val="24"/>
        </w:rPr>
        <w:t>ed</w:t>
      </w:r>
      <w:proofErr w:type="spellEnd"/>
      <w:proofErr w:type="gramEnd"/>
      <w:r w:rsidRPr="00BC4254">
        <w:rPr>
          <w:rFonts w:asciiTheme="minorHAnsi" w:hAnsiTheme="minorHAnsi"/>
          <w:sz w:val="20"/>
          <w:szCs w:val="24"/>
        </w:rPr>
        <w:t xml:space="preserve">) </w:t>
      </w:r>
      <w:r w:rsidRPr="00020C26">
        <w:rPr>
          <w:rFonts w:asciiTheme="minorHAnsi" w:hAnsiTheme="minorHAnsi"/>
          <w:sz w:val="20"/>
          <w:szCs w:val="24"/>
        </w:rPr>
        <w:t>The Economics of Ecosystems and Biodiversity Ecological and Economic Foundations</w:t>
      </w:r>
      <w:r w:rsidRPr="00BC4254">
        <w:rPr>
          <w:rFonts w:asciiTheme="minorHAnsi" w:hAnsiTheme="minorHAnsi"/>
          <w:sz w:val="20"/>
          <w:szCs w:val="24"/>
        </w:rPr>
        <w:t xml:space="preserve">. TEEB.  </w:t>
      </w:r>
      <w:proofErr w:type="spellStart"/>
      <w:r w:rsidRPr="00BC4254">
        <w:rPr>
          <w:rFonts w:asciiTheme="minorHAnsi" w:hAnsiTheme="minorHAnsi"/>
          <w:sz w:val="20"/>
          <w:szCs w:val="24"/>
        </w:rPr>
        <w:t>Earthscan</w:t>
      </w:r>
      <w:proofErr w:type="spellEnd"/>
      <w:r w:rsidRPr="00BC4254">
        <w:rPr>
          <w:rFonts w:asciiTheme="minorHAnsi" w:hAnsiTheme="minorHAnsi"/>
          <w:sz w:val="20"/>
          <w:szCs w:val="24"/>
        </w:rPr>
        <w:t>, London and Washington</w:t>
      </w:r>
    </w:p>
    <w:p w14:paraId="72B7F251" w14:textId="77777777" w:rsidR="00FC77C7" w:rsidRDefault="00FC77C7" w:rsidP="00FC77C7">
      <w:pPr>
        <w:pStyle w:val="NoSpacing"/>
        <w:spacing w:after="60" w:line="280" w:lineRule="atLeast"/>
        <w:ind w:left="539" w:hanging="539"/>
        <w:rPr>
          <w:rFonts w:asciiTheme="minorHAnsi" w:hAnsiTheme="minorHAnsi"/>
          <w:sz w:val="20"/>
          <w:szCs w:val="24"/>
        </w:rPr>
      </w:pPr>
      <w:r w:rsidRPr="00373AD4">
        <w:rPr>
          <w:rFonts w:asciiTheme="minorHAnsi" w:hAnsiTheme="minorHAnsi"/>
          <w:sz w:val="20"/>
          <w:szCs w:val="24"/>
        </w:rPr>
        <w:t xml:space="preserve">Pearce D, Atkinson G and </w:t>
      </w:r>
      <w:proofErr w:type="spellStart"/>
      <w:r w:rsidRPr="00373AD4">
        <w:rPr>
          <w:rFonts w:asciiTheme="minorHAnsi" w:hAnsiTheme="minorHAnsi"/>
          <w:sz w:val="20"/>
          <w:szCs w:val="24"/>
        </w:rPr>
        <w:t>Mourato</w:t>
      </w:r>
      <w:proofErr w:type="spellEnd"/>
      <w:r w:rsidRPr="00373AD4">
        <w:rPr>
          <w:rFonts w:asciiTheme="minorHAnsi" w:hAnsiTheme="minorHAnsi"/>
          <w:sz w:val="20"/>
          <w:szCs w:val="24"/>
        </w:rPr>
        <w:t xml:space="preserve"> S (2006) </w:t>
      </w:r>
      <w:r w:rsidRPr="00020C26">
        <w:rPr>
          <w:rFonts w:asciiTheme="minorHAnsi" w:hAnsiTheme="minorHAnsi"/>
          <w:sz w:val="20"/>
          <w:szCs w:val="24"/>
        </w:rPr>
        <w:t>Cost-Benefit Analysis and the Environment. Recent Developments</w:t>
      </w:r>
      <w:r w:rsidRPr="00373AD4">
        <w:rPr>
          <w:rFonts w:asciiTheme="minorHAnsi" w:hAnsiTheme="minorHAnsi"/>
          <w:sz w:val="20"/>
          <w:szCs w:val="24"/>
        </w:rPr>
        <w:t>. OECD.</w:t>
      </w:r>
    </w:p>
    <w:p w14:paraId="15D7FB46" w14:textId="77777777" w:rsidR="00FC77C7" w:rsidRDefault="00FC77C7" w:rsidP="00FC77C7">
      <w:pPr>
        <w:pStyle w:val="NoSpacing"/>
        <w:spacing w:after="60" w:line="280" w:lineRule="atLeast"/>
        <w:ind w:left="539" w:hanging="539"/>
        <w:rPr>
          <w:rFonts w:asciiTheme="minorHAnsi" w:hAnsiTheme="minorHAnsi"/>
          <w:sz w:val="20"/>
          <w:szCs w:val="24"/>
        </w:rPr>
      </w:pPr>
      <w:r w:rsidRPr="00C56120">
        <w:rPr>
          <w:rFonts w:asciiTheme="minorHAnsi" w:hAnsiTheme="minorHAnsi"/>
          <w:sz w:val="20"/>
          <w:szCs w:val="24"/>
        </w:rPr>
        <w:t xml:space="preserve">Phillips Y (2014) </w:t>
      </w:r>
      <w:r w:rsidRPr="00020C26">
        <w:rPr>
          <w:rFonts w:asciiTheme="minorHAnsi" w:hAnsiTheme="minorHAnsi"/>
          <w:sz w:val="20"/>
          <w:szCs w:val="24"/>
        </w:rPr>
        <w:t>Non-market values for fresh water in the Waikato region: a combined revealed and stated preference approach</w:t>
      </w:r>
      <w:r w:rsidRPr="00C56120">
        <w:rPr>
          <w:rFonts w:asciiTheme="minorHAnsi" w:hAnsiTheme="minorHAnsi"/>
          <w:sz w:val="20"/>
          <w:szCs w:val="24"/>
        </w:rPr>
        <w:t>. Waikato Regional Council Technical Report 2014/17</w:t>
      </w:r>
      <w:r>
        <w:rPr>
          <w:rFonts w:asciiTheme="minorHAnsi" w:hAnsiTheme="minorHAnsi"/>
          <w:sz w:val="20"/>
          <w:szCs w:val="24"/>
        </w:rPr>
        <w:t>.</w:t>
      </w:r>
    </w:p>
    <w:p w14:paraId="19CF6AFF"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Pigou AC (1932) </w:t>
      </w:r>
      <w:proofErr w:type="gramStart"/>
      <w:r w:rsidRPr="00020C26">
        <w:rPr>
          <w:rFonts w:asciiTheme="minorHAnsi" w:hAnsiTheme="minorHAnsi"/>
          <w:sz w:val="20"/>
          <w:szCs w:val="24"/>
        </w:rPr>
        <w:t>The</w:t>
      </w:r>
      <w:proofErr w:type="gramEnd"/>
      <w:r w:rsidRPr="00020C26">
        <w:rPr>
          <w:rFonts w:asciiTheme="minorHAnsi" w:hAnsiTheme="minorHAnsi"/>
          <w:sz w:val="20"/>
          <w:szCs w:val="24"/>
        </w:rPr>
        <w:t xml:space="preserve"> Economics of Welfare. 4th Edition. Macmillan And Co. London.</w:t>
      </w:r>
    </w:p>
    <w:p w14:paraId="454885D0"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Quinn JM, Davies-Colley RJ, Hickey CW, Vickers ML and Ryan PA (1992) Effects of clay discharges on streams. 2. Benthic invertebrates. </w:t>
      </w:r>
      <w:proofErr w:type="spellStart"/>
      <w:r w:rsidRPr="00020C26">
        <w:rPr>
          <w:rFonts w:asciiTheme="minorHAnsi" w:hAnsiTheme="minorHAnsi"/>
          <w:sz w:val="20"/>
          <w:szCs w:val="24"/>
        </w:rPr>
        <w:t>Hydrobiologia</w:t>
      </w:r>
      <w:proofErr w:type="spellEnd"/>
      <w:r w:rsidRPr="00020C26">
        <w:rPr>
          <w:rFonts w:asciiTheme="minorHAnsi" w:hAnsiTheme="minorHAnsi"/>
          <w:sz w:val="20"/>
          <w:szCs w:val="24"/>
        </w:rPr>
        <w:t xml:space="preserve"> 248:235- 247.</w:t>
      </w:r>
    </w:p>
    <w:p w14:paraId="0A4259DA"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Quinn JM and Hickey CW (1990a) Characterisation and classification of benthic invertebrates in 88 New Zealand rivers in relation to environmental factors. New Zealand Journal of Marine and Freshwater Research 24: 387-406.</w:t>
      </w:r>
    </w:p>
    <w:p w14:paraId="2E7DB924"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Quinn JM and Hickey CW (1990b) Magnitude of effects of substrate particle size, recent flooding, and catchment development on benthic invertebrates in 88 New Zealand rivers. New Zealand Journal of Marine and Freshwater Research, 24:411-427.</w:t>
      </w:r>
    </w:p>
    <w:p w14:paraId="283475B8"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Quinn JM and Hickey CW (1993) Effects of sewage waste stabilization lagoon effluent on stream invertebrates. Journal of Aquatic Ecosystem Health 2: 205-219.</w:t>
      </w:r>
    </w:p>
    <w:p w14:paraId="7F94CCF0"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Ramsey FP (1928) A Mathematical Theory of Saving. Economic Journal, 38: 543–559.</w:t>
      </w:r>
    </w:p>
    <w:p w14:paraId="0A86FCC4"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Rolfe J, Bennett J and Kerr G (2015) Applied Benefit Transfer: An Australian and New Zealand Policy Perspective. In: Johnston RJ, Rolfe J, Rosenberger RS and </w:t>
      </w:r>
      <w:proofErr w:type="spellStart"/>
      <w:r w:rsidRPr="00020C26">
        <w:rPr>
          <w:rFonts w:asciiTheme="minorHAnsi" w:hAnsiTheme="minorHAnsi"/>
          <w:sz w:val="20"/>
          <w:szCs w:val="24"/>
        </w:rPr>
        <w:t>Brouwer</w:t>
      </w:r>
      <w:proofErr w:type="spellEnd"/>
      <w:r w:rsidRPr="00020C26">
        <w:rPr>
          <w:rFonts w:asciiTheme="minorHAnsi" w:hAnsiTheme="minorHAnsi"/>
          <w:sz w:val="20"/>
          <w:szCs w:val="24"/>
        </w:rPr>
        <w:t xml:space="preserve"> R (</w:t>
      </w:r>
      <w:proofErr w:type="spellStart"/>
      <w:r w:rsidRPr="00020C26">
        <w:rPr>
          <w:rFonts w:asciiTheme="minorHAnsi" w:hAnsiTheme="minorHAnsi"/>
          <w:sz w:val="20"/>
          <w:szCs w:val="24"/>
        </w:rPr>
        <w:t>Eds</w:t>
      </w:r>
      <w:proofErr w:type="spellEnd"/>
      <w:r w:rsidRPr="00020C26">
        <w:rPr>
          <w:rFonts w:asciiTheme="minorHAnsi" w:hAnsiTheme="minorHAnsi"/>
          <w:sz w:val="20"/>
          <w:szCs w:val="24"/>
        </w:rPr>
        <w:t>) Benefit Transfer of Environmental and Resource Values. A Guide for Researchers and Practitioners. The Economics of Non-Market Goods and Resources Volume 14. Springer, pp 85-100.</w:t>
      </w:r>
    </w:p>
    <w:p w14:paraId="779B9C21"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Rutherford JC, Palliser CC and </w:t>
      </w:r>
      <w:proofErr w:type="spellStart"/>
      <w:r w:rsidRPr="00020C26">
        <w:rPr>
          <w:rFonts w:asciiTheme="minorHAnsi" w:hAnsiTheme="minorHAnsi"/>
          <w:sz w:val="20"/>
          <w:szCs w:val="24"/>
        </w:rPr>
        <w:t>MacCormick</w:t>
      </w:r>
      <w:proofErr w:type="spellEnd"/>
      <w:r w:rsidRPr="00020C26">
        <w:rPr>
          <w:rFonts w:asciiTheme="minorHAnsi" w:hAnsiTheme="minorHAnsi"/>
          <w:sz w:val="20"/>
          <w:szCs w:val="24"/>
        </w:rPr>
        <w:t xml:space="preserve"> A (2019) Eutrophication in Lake </w:t>
      </w:r>
      <w:proofErr w:type="spellStart"/>
      <w:r w:rsidRPr="00020C26">
        <w:rPr>
          <w:rFonts w:asciiTheme="minorHAnsi" w:hAnsiTheme="minorHAnsi"/>
          <w:sz w:val="20"/>
          <w:szCs w:val="24"/>
        </w:rPr>
        <w:t>Rotorua</w:t>
      </w:r>
      <w:proofErr w:type="spellEnd"/>
      <w:r w:rsidRPr="00020C26">
        <w:rPr>
          <w:rFonts w:asciiTheme="minorHAnsi" w:hAnsiTheme="minorHAnsi"/>
          <w:sz w:val="20"/>
          <w:szCs w:val="24"/>
        </w:rPr>
        <w:t>. 2. Using ROTAN and OVERSEER to model historic, present and future nitrogen loads. New Zealand Journal of Marine and Freshwater Research, 53(1): 128-161. DOI: 10.1080/00288330.2018.1505643</w:t>
      </w:r>
    </w:p>
    <w:p w14:paraId="27C18F48"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Sagoff</w:t>
      </w:r>
      <w:proofErr w:type="spellEnd"/>
      <w:r w:rsidRPr="00020C26">
        <w:rPr>
          <w:rFonts w:asciiTheme="minorHAnsi" w:hAnsiTheme="minorHAnsi"/>
          <w:sz w:val="20"/>
          <w:szCs w:val="24"/>
        </w:rPr>
        <w:t xml:space="preserve"> M (1988) </w:t>
      </w:r>
      <w:proofErr w:type="gramStart"/>
      <w:r w:rsidRPr="00020C26">
        <w:rPr>
          <w:rFonts w:asciiTheme="minorHAnsi" w:hAnsiTheme="minorHAnsi"/>
          <w:sz w:val="20"/>
          <w:szCs w:val="24"/>
        </w:rPr>
        <w:t>The</w:t>
      </w:r>
      <w:proofErr w:type="gramEnd"/>
      <w:r w:rsidRPr="00020C26">
        <w:rPr>
          <w:rFonts w:asciiTheme="minorHAnsi" w:hAnsiTheme="minorHAnsi"/>
          <w:sz w:val="20"/>
          <w:szCs w:val="24"/>
        </w:rPr>
        <w:t xml:space="preserve"> Economy of the Earth. Cambridge University Press. Cambridge.</w:t>
      </w:r>
    </w:p>
    <w:p w14:paraId="47A28935"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Samuelson PD (1937) A Note on Measurement of Utility. The Review of Economic Studies 4(2): 155–161</w:t>
      </w:r>
    </w:p>
    <w:p w14:paraId="41769E1B"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Sandrey</w:t>
      </w:r>
      <w:proofErr w:type="spellEnd"/>
      <w:r w:rsidRPr="00020C26">
        <w:rPr>
          <w:rFonts w:asciiTheme="minorHAnsi" w:hAnsiTheme="minorHAnsi"/>
          <w:sz w:val="20"/>
          <w:szCs w:val="24"/>
        </w:rPr>
        <w:t xml:space="preserve"> RA (1986) Non-market valuation in New Zealand: an empirical analysis of vehicle bias. New Zealand Economic Papers 20: 53-60.</w:t>
      </w:r>
    </w:p>
    <w:p w14:paraId="7E9C4234" w14:textId="4F34CB6F" w:rsidR="00FC77C7"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Saunders C, Guenther M, Tait P and Saunders J (2013) Consumer attitudes and willingness to pay for attributes of food, in particular from New Zealand. Agribusiness and Economics Research Unit, Lincoln University. Contributed paper prepared for presentation at the 57th AARES Annual Conference, Sydney, New South Wales, </w:t>
      </w:r>
      <w:proofErr w:type="gramStart"/>
      <w:r w:rsidRPr="00020C26">
        <w:rPr>
          <w:rFonts w:asciiTheme="minorHAnsi" w:hAnsiTheme="minorHAnsi"/>
          <w:sz w:val="20"/>
          <w:szCs w:val="24"/>
        </w:rPr>
        <w:t>5th</w:t>
      </w:r>
      <w:proofErr w:type="gramEnd"/>
      <w:r w:rsidRPr="00020C26">
        <w:rPr>
          <w:rFonts w:asciiTheme="minorHAnsi" w:hAnsiTheme="minorHAnsi"/>
          <w:sz w:val="20"/>
          <w:szCs w:val="24"/>
        </w:rPr>
        <w:t>-8th February, 2013.</w:t>
      </w:r>
    </w:p>
    <w:p w14:paraId="376D467A" w14:textId="75FBF446" w:rsidR="00AD7F11" w:rsidRPr="00020C26" w:rsidRDefault="00AD7F11" w:rsidP="00FC77C7">
      <w:pPr>
        <w:pStyle w:val="NoSpacing"/>
        <w:spacing w:after="60" w:line="280" w:lineRule="atLeast"/>
        <w:ind w:left="539" w:hanging="539"/>
        <w:rPr>
          <w:rFonts w:asciiTheme="minorHAnsi" w:hAnsiTheme="minorHAnsi"/>
          <w:sz w:val="20"/>
          <w:szCs w:val="24"/>
        </w:rPr>
      </w:pPr>
      <w:proofErr w:type="spellStart"/>
      <w:r w:rsidRPr="00AD7F11">
        <w:rPr>
          <w:rFonts w:asciiTheme="minorHAnsi" w:hAnsiTheme="minorHAnsi"/>
          <w:sz w:val="20"/>
          <w:szCs w:val="24"/>
        </w:rPr>
        <w:t>Scarpa</w:t>
      </w:r>
      <w:proofErr w:type="spellEnd"/>
      <w:r w:rsidRPr="00AD7F11">
        <w:rPr>
          <w:rFonts w:asciiTheme="minorHAnsi" w:hAnsiTheme="minorHAnsi"/>
          <w:sz w:val="20"/>
          <w:szCs w:val="24"/>
        </w:rPr>
        <w:t xml:space="preserve"> R (2003) Social &amp; Environmental Benefits of Forestry Phase 2: The Recreation Value of Woodlands. Report to Forestry Commission, Edinburgh. Centre for Research in Environmental Appraisal &amp; Management University of Newcastle, UK.</w:t>
      </w:r>
    </w:p>
    <w:p w14:paraId="4BA4C145"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Schallenberg</w:t>
      </w:r>
      <w:proofErr w:type="spellEnd"/>
      <w:r w:rsidRPr="00020C26">
        <w:rPr>
          <w:rFonts w:asciiTheme="minorHAnsi" w:hAnsiTheme="minorHAnsi"/>
          <w:sz w:val="20"/>
          <w:szCs w:val="24"/>
        </w:rPr>
        <w:t xml:space="preserve"> M, de Winton MD, </w:t>
      </w:r>
      <w:proofErr w:type="spellStart"/>
      <w:r w:rsidRPr="00020C26">
        <w:rPr>
          <w:rFonts w:asciiTheme="minorHAnsi" w:hAnsiTheme="minorHAnsi"/>
          <w:sz w:val="20"/>
          <w:szCs w:val="24"/>
        </w:rPr>
        <w:t>Verburg</w:t>
      </w:r>
      <w:proofErr w:type="spellEnd"/>
      <w:r w:rsidRPr="00020C26">
        <w:rPr>
          <w:rFonts w:asciiTheme="minorHAnsi" w:hAnsiTheme="minorHAnsi"/>
          <w:sz w:val="20"/>
          <w:szCs w:val="24"/>
        </w:rPr>
        <w:t xml:space="preserve"> P, Kelly DJ, Hamill KD and Hamilton DP (2013) Ecosystem Services of Lakes. In: </w:t>
      </w:r>
      <w:proofErr w:type="spellStart"/>
      <w:r w:rsidRPr="00020C26">
        <w:rPr>
          <w:rFonts w:asciiTheme="minorHAnsi" w:hAnsiTheme="minorHAnsi"/>
          <w:sz w:val="20"/>
          <w:szCs w:val="24"/>
        </w:rPr>
        <w:t>Dymond</w:t>
      </w:r>
      <w:proofErr w:type="spellEnd"/>
      <w:r w:rsidRPr="00020C26">
        <w:rPr>
          <w:rFonts w:asciiTheme="minorHAnsi" w:hAnsiTheme="minorHAnsi"/>
          <w:sz w:val="20"/>
          <w:szCs w:val="24"/>
        </w:rPr>
        <w:t xml:space="preserve"> J (Ed) Ecosystem Services in New Zealand. </w:t>
      </w:r>
      <w:proofErr w:type="spellStart"/>
      <w:r w:rsidRPr="00020C26">
        <w:rPr>
          <w:rFonts w:asciiTheme="minorHAnsi" w:hAnsiTheme="minorHAnsi"/>
          <w:sz w:val="20"/>
          <w:szCs w:val="24"/>
        </w:rPr>
        <w:t>Landcare</w:t>
      </w:r>
      <w:proofErr w:type="spellEnd"/>
      <w:r w:rsidRPr="00020C26">
        <w:rPr>
          <w:rFonts w:asciiTheme="minorHAnsi" w:hAnsiTheme="minorHAnsi"/>
          <w:sz w:val="20"/>
          <w:szCs w:val="24"/>
        </w:rPr>
        <w:t xml:space="preserve"> Research New Zealand Ltd, pp203-225.</w:t>
      </w:r>
    </w:p>
    <w:p w14:paraId="0A9761FD"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Schullehner</w:t>
      </w:r>
      <w:proofErr w:type="spellEnd"/>
      <w:r w:rsidRPr="00020C26">
        <w:rPr>
          <w:rFonts w:asciiTheme="minorHAnsi" w:hAnsiTheme="minorHAnsi"/>
          <w:sz w:val="20"/>
          <w:szCs w:val="24"/>
        </w:rPr>
        <w:t xml:space="preserve"> J, Hansen B, </w:t>
      </w:r>
      <w:proofErr w:type="spellStart"/>
      <w:r w:rsidRPr="00020C26">
        <w:rPr>
          <w:rFonts w:asciiTheme="minorHAnsi" w:hAnsiTheme="minorHAnsi"/>
          <w:sz w:val="20"/>
          <w:szCs w:val="24"/>
        </w:rPr>
        <w:t>Thygesen</w:t>
      </w:r>
      <w:proofErr w:type="spellEnd"/>
      <w:r w:rsidRPr="00020C26">
        <w:rPr>
          <w:rFonts w:asciiTheme="minorHAnsi" w:hAnsiTheme="minorHAnsi"/>
          <w:sz w:val="20"/>
          <w:szCs w:val="24"/>
        </w:rPr>
        <w:t xml:space="preserve"> M, Pedersen CB and </w:t>
      </w:r>
      <w:proofErr w:type="spellStart"/>
      <w:r w:rsidRPr="00020C26">
        <w:rPr>
          <w:rFonts w:asciiTheme="minorHAnsi" w:hAnsiTheme="minorHAnsi"/>
          <w:sz w:val="20"/>
          <w:szCs w:val="24"/>
        </w:rPr>
        <w:t>Sigsgaard</w:t>
      </w:r>
      <w:proofErr w:type="spellEnd"/>
      <w:r w:rsidRPr="00020C26">
        <w:rPr>
          <w:rFonts w:asciiTheme="minorHAnsi" w:hAnsiTheme="minorHAnsi"/>
          <w:sz w:val="20"/>
          <w:szCs w:val="24"/>
        </w:rPr>
        <w:t xml:space="preserve"> T (2018) Nitrate in drinking water and colorectal cancer risk: A nationwide population-based cohort study. </w:t>
      </w:r>
      <w:proofErr w:type="spellStart"/>
      <w:r w:rsidRPr="00020C26">
        <w:rPr>
          <w:rFonts w:asciiTheme="minorHAnsi" w:hAnsiTheme="minorHAnsi"/>
          <w:sz w:val="20"/>
          <w:szCs w:val="24"/>
        </w:rPr>
        <w:t>Int</w:t>
      </w:r>
      <w:proofErr w:type="spellEnd"/>
      <w:r w:rsidRPr="00020C26">
        <w:rPr>
          <w:rFonts w:asciiTheme="minorHAnsi" w:hAnsiTheme="minorHAnsi"/>
          <w:sz w:val="20"/>
          <w:szCs w:val="24"/>
        </w:rPr>
        <w:t xml:space="preserve"> J Cancer, 143(1):73-79. </w:t>
      </w:r>
      <w:proofErr w:type="spellStart"/>
      <w:proofErr w:type="gramStart"/>
      <w:r w:rsidRPr="00020C26">
        <w:rPr>
          <w:rFonts w:asciiTheme="minorHAnsi" w:hAnsiTheme="minorHAnsi"/>
          <w:sz w:val="20"/>
          <w:szCs w:val="24"/>
        </w:rPr>
        <w:t>doi</w:t>
      </w:r>
      <w:proofErr w:type="spellEnd"/>
      <w:proofErr w:type="gramEnd"/>
      <w:r w:rsidRPr="00020C26">
        <w:rPr>
          <w:rFonts w:asciiTheme="minorHAnsi" w:hAnsiTheme="minorHAnsi"/>
          <w:sz w:val="20"/>
          <w:szCs w:val="24"/>
        </w:rPr>
        <w:t>: 10.1002/ijc.31306.</w:t>
      </w:r>
    </w:p>
    <w:p w14:paraId="6C96EC4B"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Semadeni</w:t>
      </w:r>
      <w:proofErr w:type="spellEnd"/>
      <w:r w:rsidRPr="00020C26">
        <w:rPr>
          <w:rFonts w:asciiTheme="minorHAnsi" w:hAnsiTheme="minorHAnsi"/>
          <w:sz w:val="20"/>
          <w:szCs w:val="24"/>
        </w:rPr>
        <w:t>-Davies A and Elliott S (2016) Modelling the effect of stock exclusion on E. coli in rivers and streams. National application. Report prepared for Ministry for Primary Industries. NIWA.</w:t>
      </w:r>
    </w:p>
    <w:p w14:paraId="74F3DABA"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lastRenderedPageBreak/>
        <w:t>Semadeni</w:t>
      </w:r>
      <w:proofErr w:type="spellEnd"/>
      <w:r w:rsidRPr="00020C26">
        <w:rPr>
          <w:rFonts w:asciiTheme="minorHAnsi" w:hAnsiTheme="minorHAnsi"/>
          <w:sz w:val="20"/>
          <w:szCs w:val="24"/>
        </w:rPr>
        <w:t xml:space="preserve">-Davies A, </w:t>
      </w:r>
      <w:proofErr w:type="spellStart"/>
      <w:r w:rsidRPr="00020C26">
        <w:rPr>
          <w:rFonts w:asciiTheme="minorHAnsi" w:hAnsiTheme="minorHAnsi"/>
          <w:sz w:val="20"/>
          <w:szCs w:val="24"/>
        </w:rPr>
        <w:t>Haddadchi</w:t>
      </w:r>
      <w:proofErr w:type="spellEnd"/>
      <w:r w:rsidRPr="00020C26">
        <w:rPr>
          <w:rFonts w:asciiTheme="minorHAnsi" w:hAnsiTheme="minorHAnsi"/>
          <w:sz w:val="20"/>
          <w:szCs w:val="24"/>
        </w:rPr>
        <w:t xml:space="preserve"> A and Booker D (2020) Modelling the impacts of the Draft Stock Exclusion Section 360 Regulations on river water quality E. coli and Sediment. Prepared for Ministry for Primary Industries and Ministry for the Environment.</w:t>
      </w:r>
    </w:p>
    <w:p w14:paraId="4A1AF78C" w14:textId="77777777" w:rsidR="00FC77C7" w:rsidRDefault="00FC77C7" w:rsidP="00FC77C7">
      <w:pPr>
        <w:pStyle w:val="NoSpacing"/>
        <w:spacing w:after="60" w:line="280" w:lineRule="atLeast"/>
        <w:ind w:left="539" w:hanging="539"/>
        <w:rPr>
          <w:rFonts w:asciiTheme="minorHAnsi" w:hAnsiTheme="minorHAnsi"/>
          <w:sz w:val="20"/>
          <w:szCs w:val="24"/>
        </w:rPr>
      </w:pPr>
      <w:r w:rsidRPr="006A3DFE">
        <w:rPr>
          <w:rFonts w:asciiTheme="minorHAnsi" w:hAnsiTheme="minorHAnsi"/>
          <w:sz w:val="20"/>
          <w:szCs w:val="24"/>
        </w:rPr>
        <w:t xml:space="preserve">Sharp B and Kerr G (2005) </w:t>
      </w:r>
      <w:r w:rsidRPr="00020C26">
        <w:rPr>
          <w:rFonts w:asciiTheme="minorHAnsi" w:hAnsiTheme="minorHAnsi"/>
          <w:sz w:val="20"/>
          <w:szCs w:val="24"/>
        </w:rPr>
        <w:t xml:space="preserve">Option and Existence Values for the </w:t>
      </w:r>
      <w:proofErr w:type="spellStart"/>
      <w:r w:rsidRPr="00020C26">
        <w:rPr>
          <w:rFonts w:asciiTheme="minorHAnsi" w:hAnsiTheme="minorHAnsi"/>
          <w:sz w:val="20"/>
          <w:szCs w:val="24"/>
        </w:rPr>
        <w:t>Waitaki</w:t>
      </w:r>
      <w:proofErr w:type="spellEnd"/>
      <w:r w:rsidRPr="00020C26">
        <w:rPr>
          <w:rFonts w:asciiTheme="minorHAnsi" w:hAnsiTheme="minorHAnsi"/>
          <w:sz w:val="20"/>
          <w:szCs w:val="24"/>
        </w:rPr>
        <w:t xml:space="preserve"> Catchment</w:t>
      </w:r>
      <w:r w:rsidRPr="006A3DFE">
        <w:rPr>
          <w:rFonts w:asciiTheme="minorHAnsi" w:hAnsiTheme="minorHAnsi"/>
          <w:sz w:val="20"/>
          <w:szCs w:val="24"/>
        </w:rPr>
        <w:t>. Report Prepared for Ministry for the Environment</w:t>
      </w:r>
      <w:r>
        <w:rPr>
          <w:rFonts w:asciiTheme="minorHAnsi" w:hAnsiTheme="minorHAnsi"/>
          <w:sz w:val="20"/>
          <w:szCs w:val="24"/>
        </w:rPr>
        <w:t>.</w:t>
      </w:r>
    </w:p>
    <w:p w14:paraId="079797F2" w14:textId="77777777" w:rsidR="00FC77C7" w:rsidRPr="00001289" w:rsidRDefault="00FC77C7" w:rsidP="00FC77C7">
      <w:pPr>
        <w:pStyle w:val="NoSpacing"/>
        <w:spacing w:after="60" w:line="280" w:lineRule="atLeast"/>
        <w:ind w:left="539" w:hanging="539"/>
        <w:rPr>
          <w:rFonts w:asciiTheme="minorHAnsi" w:hAnsiTheme="minorHAnsi"/>
          <w:sz w:val="20"/>
          <w:szCs w:val="24"/>
        </w:rPr>
      </w:pPr>
      <w:r w:rsidRPr="006A3DFE">
        <w:rPr>
          <w:rFonts w:asciiTheme="minorHAnsi" w:hAnsiTheme="minorHAnsi"/>
          <w:sz w:val="20"/>
          <w:szCs w:val="24"/>
        </w:rPr>
        <w:t xml:space="preserve">Sheppard R, Kerr GN, Cullen R and Ferguson T (1993) </w:t>
      </w:r>
      <w:r w:rsidRPr="00CC2FDF">
        <w:rPr>
          <w:rFonts w:asciiTheme="minorHAnsi" w:hAnsiTheme="minorHAnsi"/>
          <w:i/>
          <w:iCs/>
          <w:sz w:val="20"/>
          <w:szCs w:val="24"/>
        </w:rPr>
        <w:t xml:space="preserve">Contingent valuation of improved water quality in the Lower </w:t>
      </w:r>
      <w:proofErr w:type="spellStart"/>
      <w:r w:rsidRPr="00CC2FDF">
        <w:rPr>
          <w:rFonts w:asciiTheme="minorHAnsi" w:hAnsiTheme="minorHAnsi"/>
          <w:i/>
          <w:iCs/>
          <w:sz w:val="20"/>
          <w:szCs w:val="24"/>
        </w:rPr>
        <w:t>Waimakariri</w:t>
      </w:r>
      <w:proofErr w:type="spellEnd"/>
      <w:r w:rsidRPr="00CC2FDF">
        <w:rPr>
          <w:rFonts w:asciiTheme="minorHAnsi" w:hAnsiTheme="minorHAnsi"/>
          <w:i/>
          <w:iCs/>
          <w:sz w:val="20"/>
          <w:szCs w:val="24"/>
        </w:rPr>
        <w:t xml:space="preserve"> River</w:t>
      </w:r>
      <w:r w:rsidRPr="006A3DFE">
        <w:rPr>
          <w:rFonts w:asciiTheme="minorHAnsi" w:hAnsiTheme="minorHAnsi"/>
          <w:sz w:val="20"/>
          <w:szCs w:val="24"/>
        </w:rPr>
        <w:t xml:space="preserve">. </w:t>
      </w:r>
      <w:r w:rsidRPr="00CC2FDF">
        <w:rPr>
          <w:rFonts w:asciiTheme="minorHAnsi" w:hAnsiTheme="minorHAnsi"/>
          <w:sz w:val="20"/>
          <w:szCs w:val="24"/>
        </w:rPr>
        <w:t>Agribusiness and Economics Research Unit</w:t>
      </w:r>
      <w:r>
        <w:rPr>
          <w:rFonts w:asciiTheme="minorHAnsi" w:hAnsiTheme="minorHAnsi"/>
          <w:sz w:val="20"/>
          <w:szCs w:val="24"/>
        </w:rPr>
        <w:t>, Lincoln University</w:t>
      </w:r>
      <w:proofErr w:type="gramStart"/>
      <w:r>
        <w:rPr>
          <w:rFonts w:asciiTheme="minorHAnsi" w:hAnsiTheme="minorHAnsi"/>
          <w:sz w:val="20"/>
          <w:szCs w:val="24"/>
        </w:rPr>
        <w:t xml:space="preserve">, </w:t>
      </w:r>
      <w:r w:rsidRPr="00CC2FDF">
        <w:rPr>
          <w:rFonts w:asciiTheme="minorHAnsi" w:hAnsiTheme="minorHAnsi"/>
          <w:sz w:val="20"/>
          <w:szCs w:val="24"/>
        </w:rPr>
        <w:t xml:space="preserve"> </w:t>
      </w:r>
      <w:r w:rsidRPr="006A3DFE">
        <w:rPr>
          <w:rFonts w:asciiTheme="minorHAnsi" w:hAnsiTheme="minorHAnsi"/>
          <w:sz w:val="20"/>
          <w:szCs w:val="24"/>
        </w:rPr>
        <w:t>Research</w:t>
      </w:r>
      <w:proofErr w:type="gramEnd"/>
      <w:r w:rsidRPr="006A3DFE">
        <w:rPr>
          <w:rFonts w:asciiTheme="minorHAnsi" w:hAnsiTheme="minorHAnsi"/>
          <w:sz w:val="20"/>
          <w:szCs w:val="24"/>
        </w:rPr>
        <w:t xml:space="preserve"> Report No. 221</w:t>
      </w:r>
      <w:r>
        <w:rPr>
          <w:rFonts w:asciiTheme="minorHAnsi" w:hAnsiTheme="minorHAnsi"/>
          <w:sz w:val="20"/>
          <w:szCs w:val="24"/>
        </w:rPr>
        <w:t>.</w:t>
      </w:r>
    </w:p>
    <w:p w14:paraId="5DACC97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Stark JD (1985) A Macroinvertebrate Community Index of water quality for stony streams. Water and Soil Miscellaneous Publication No. 87, National Water and Soil Conservation Authority, Wellington. 53p. </w:t>
      </w:r>
    </w:p>
    <w:p w14:paraId="48BA0764"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Stark JD and </w:t>
      </w:r>
      <w:proofErr w:type="spellStart"/>
      <w:r w:rsidRPr="00020C26">
        <w:rPr>
          <w:rFonts w:asciiTheme="minorHAnsi" w:hAnsiTheme="minorHAnsi"/>
          <w:sz w:val="20"/>
          <w:szCs w:val="24"/>
        </w:rPr>
        <w:t>Maxted</w:t>
      </w:r>
      <w:proofErr w:type="spellEnd"/>
      <w:r w:rsidRPr="00020C26">
        <w:rPr>
          <w:rFonts w:asciiTheme="minorHAnsi" w:hAnsiTheme="minorHAnsi"/>
          <w:sz w:val="20"/>
          <w:szCs w:val="24"/>
        </w:rPr>
        <w:t xml:space="preserve"> JR (2007) </w:t>
      </w:r>
      <w:proofErr w:type="gramStart"/>
      <w:r w:rsidRPr="00020C26">
        <w:rPr>
          <w:rFonts w:asciiTheme="minorHAnsi" w:hAnsiTheme="minorHAnsi"/>
          <w:sz w:val="20"/>
          <w:szCs w:val="24"/>
        </w:rPr>
        <w:t>A</w:t>
      </w:r>
      <w:proofErr w:type="gramEnd"/>
      <w:r w:rsidRPr="00020C26">
        <w:rPr>
          <w:rFonts w:asciiTheme="minorHAnsi" w:hAnsiTheme="minorHAnsi"/>
          <w:sz w:val="20"/>
          <w:szCs w:val="24"/>
        </w:rPr>
        <w:t xml:space="preserve"> user guide for the Macroinvertebrate Community Index. Prepared for the Ministry for the Environment. </w:t>
      </w:r>
      <w:proofErr w:type="spellStart"/>
      <w:r w:rsidRPr="00020C26">
        <w:rPr>
          <w:rFonts w:asciiTheme="minorHAnsi" w:hAnsiTheme="minorHAnsi"/>
          <w:sz w:val="20"/>
          <w:szCs w:val="24"/>
        </w:rPr>
        <w:t>Cawthron</w:t>
      </w:r>
      <w:proofErr w:type="spellEnd"/>
      <w:r w:rsidRPr="00020C26">
        <w:rPr>
          <w:rFonts w:asciiTheme="minorHAnsi" w:hAnsiTheme="minorHAnsi"/>
          <w:sz w:val="20"/>
          <w:szCs w:val="24"/>
        </w:rPr>
        <w:t xml:space="preserve"> Report No. 1166. </w:t>
      </w:r>
      <w:proofErr w:type="spellStart"/>
      <w:r w:rsidRPr="00020C26">
        <w:rPr>
          <w:rFonts w:asciiTheme="minorHAnsi" w:hAnsiTheme="minorHAnsi"/>
          <w:sz w:val="20"/>
          <w:szCs w:val="24"/>
        </w:rPr>
        <w:t>Cawthron</w:t>
      </w:r>
      <w:proofErr w:type="spellEnd"/>
      <w:r w:rsidRPr="00020C26">
        <w:rPr>
          <w:rFonts w:asciiTheme="minorHAnsi" w:hAnsiTheme="minorHAnsi"/>
          <w:sz w:val="20"/>
          <w:szCs w:val="24"/>
        </w:rPr>
        <w:t xml:space="preserve"> Institute.</w:t>
      </w:r>
    </w:p>
    <w:p w14:paraId="23BA5867"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Stern N (2006) The Economics of Climate Change. The Stern Review. Cabinet Office - HM Treasury.</w:t>
      </w:r>
    </w:p>
    <w:p w14:paraId="3EDE2F6D"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Stewart M (2012) 100% Pure Fantasy? Living up to our brand. Stuff, Dec 01 2012.</w:t>
      </w:r>
    </w:p>
    <w:p w14:paraId="6CCE316D"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Suren AM and Jowett IG (2001) Effects of deposited sediment on invertebrate drift: an experimental study. New Zealand Journal of Marine and Freshwater Research 35: 725-738.</w:t>
      </w:r>
    </w:p>
    <w:p w14:paraId="3D4B11B8"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Sutela</w:t>
      </w:r>
      <w:proofErr w:type="spellEnd"/>
      <w:r w:rsidRPr="00020C26">
        <w:rPr>
          <w:rFonts w:asciiTheme="minorHAnsi" w:hAnsiTheme="minorHAnsi"/>
          <w:sz w:val="20"/>
          <w:szCs w:val="24"/>
        </w:rPr>
        <w:t xml:space="preserve"> T and </w:t>
      </w:r>
      <w:proofErr w:type="spellStart"/>
      <w:r w:rsidRPr="00020C26">
        <w:rPr>
          <w:rFonts w:asciiTheme="minorHAnsi" w:hAnsiTheme="minorHAnsi"/>
          <w:sz w:val="20"/>
          <w:szCs w:val="24"/>
        </w:rPr>
        <w:t>Vehanen</w:t>
      </w:r>
      <w:proofErr w:type="spellEnd"/>
      <w:r w:rsidRPr="00020C26">
        <w:rPr>
          <w:rFonts w:asciiTheme="minorHAnsi" w:hAnsiTheme="minorHAnsi"/>
          <w:sz w:val="20"/>
          <w:szCs w:val="24"/>
        </w:rPr>
        <w:t xml:space="preserve"> T (2010) Responses of fluvial fish assemblages to agriculture within the boreal zone. Fisheries Management and Ecology, 17: 141-145.</w:t>
      </w:r>
    </w:p>
    <w:p w14:paraId="03F381B6"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Tait P, Driver T and Saunders C (2020) Consumer willingness to pay – results from AERU research. Client report prepared for MFE. Lincoln University: Agribusiness and Economics Research Unit.</w:t>
      </w:r>
    </w:p>
    <w:p w14:paraId="2FC3C9A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Tait P, Miller S, Rutherford P and </w:t>
      </w:r>
      <w:proofErr w:type="spellStart"/>
      <w:r w:rsidRPr="00020C26">
        <w:rPr>
          <w:rFonts w:asciiTheme="minorHAnsi" w:hAnsiTheme="minorHAnsi"/>
          <w:sz w:val="20"/>
          <w:szCs w:val="24"/>
        </w:rPr>
        <w:t>Abell</w:t>
      </w:r>
      <w:proofErr w:type="spellEnd"/>
      <w:r w:rsidRPr="00020C26">
        <w:rPr>
          <w:rFonts w:asciiTheme="minorHAnsi" w:hAnsiTheme="minorHAnsi"/>
          <w:sz w:val="20"/>
          <w:szCs w:val="24"/>
        </w:rPr>
        <w:t xml:space="preserve"> W (2016) Non-market valuation of improvements in freshwater quality for New Zealand residents, from changes in stock exclusion policy. MPI Technical Paper No: 2017/08.</w:t>
      </w:r>
    </w:p>
    <w:p w14:paraId="051B0D45"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Tait PR, Rutherford P, Driver T, Li X, Saunders CM Dalziel P and Guenther M (2018a) Consumer insights and willingness to pay for attributes: New Zealand beef products in California, USA. AERU Research Report No. 348, June 2018. Agribusiness and Economics Research Unit, Lincoln University.</w:t>
      </w:r>
    </w:p>
    <w:p w14:paraId="79D8B321"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Tait PR, Rutherford P, Driver T, Li X, Saunders CM Dalziel P and Guenther M (2018b) Consumer insights and willingness to pay for attributes: New Zealand wine in California, USA. AERU Research Report No. 349, June 2018. Agribusiness and Economics Research Unit, Lincoln University.</w:t>
      </w:r>
    </w:p>
    <w:p w14:paraId="095CF97E"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Tait PR, Saunders C, Guenther M and Rutherford P (2016) </w:t>
      </w:r>
      <w:proofErr w:type="gramStart"/>
      <w:r w:rsidRPr="00020C26">
        <w:rPr>
          <w:rFonts w:asciiTheme="minorHAnsi" w:hAnsiTheme="minorHAnsi"/>
          <w:sz w:val="20"/>
          <w:szCs w:val="24"/>
        </w:rPr>
        <w:t>Emerging</w:t>
      </w:r>
      <w:proofErr w:type="gramEnd"/>
      <w:r w:rsidRPr="00020C26">
        <w:rPr>
          <w:rFonts w:asciiTheme="minorHAnsi" w:hAnsiTheme="minorHAnsi"/>
          <w:sz w:val="20"/>
          <w:szCs w:val="24"/>
        </w:rPr>
        <w:t xml:space="preserve"> versus developed economy consumer willingness to pay for environmentally sustainable food production: A choice experiment approach comparing Indian, Chinese and United Kingdom lamb consumers. Journal of Cleaner Production, 124: 65-72.</w:t>
      </w:r>
    </w:p>
    <w:p w14:paraId="4EDC1E08" w14:textId="77777777" w:rsidR="00FC77C7" w:rsidRPr="00020C26" w:rsidRDefault="00FC77C7" w:rsidP="00FC77C7">
      <w:pPr>
        <w:pStyle w:val="NoSpacing"/>
        <w:spacing w:after="60" w:line="280" w:lineRule="atLeast"/>
        <w:ind w:left="539" w:hanging="539"/>
        <w:rPr>
          <w:rFonts w:asciiTheme="minorHAnsi" w:hAnsiTheme="minorHAnsi"/>
          <w:sz w:val="20"/>
          <w:szCs w:val="24"/>
        </w:rPr>
      </w:pPr>
      <w:proofErr w:type="spellStart"/>
      <w:r w:rsidRPr="00020C26">
        <w:rPr>
          <w:rFonts w:asciiTheme="minorHAnsi" w:hAnsiTheme="minorHAnsi"/>
          <w:sz w:val="20"/>
          <w:szCs w:val="24"/>
        </w:rPr>
        <w:t>Tipa</w:t>
      </w:r>
      <w:proofErr w:type="spellEnd"/>
      <w:r w:rsidRPr="00020C26">
        <w:rPr>
          <w:rFonts w:asciiTheme="minorHAnsi" w:hAnsiTheme="minorHAnsi"/>
          <w:sz w:val="20"/>
          <w:szCs w:val="24"/>
        </w:rPr>
        <w:t xml:space="preserve"> G and </w:t>
      </w:r>
      <w:proofErr w:type="spellStart"/>
      <w:r w:rsidRPr="00020C26">
        <w:rPr>
          <w:rFonts w:asciiTheme="minorHAnsi" w:hAnsiTheme="minorHAnsi"/>
          <w:sz w:val="20"/>
          <w:szCs w:val="24"/>
        </w:rPr>
        <w:t>Teirney</w:t>
      </w:r>
      <w:proofErr w:type="spellEnd"/>
      <w:r w:rsidRPr="00020C26">
        <w:rPr>
          <w:rFonts w:asciiTheme="minorHAnsi" w:hAnsiTheme="minorHAnsi"/>
          <w:sz w:val="20"/>
          <w:szCs w:val="24"/>
        </w:rPr>
        <w:t xml:space="preserve"> L (2003) A Cultural Health Index for Streams and Waterways. Indicators for recognising and expressing Maori values. Report prepared for the Ministry for the Environment.</w:t>
      </w:r>
    </w:p>
    <w:p w14:paraId="6D78E8C7"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Townsend M and Thrush S (2010). Ecosystem functioning, goods and services in the coastal environment. Prepared by the National Institute of Water and Atmospheric Research for Auckland Regional Council. Auckland Regional Council Technical Report 2010/033.</w:t>
      </w:r>
    </w:p>
    <w:p w14:paraId="52870C4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Turner RK (2006) Limits to CBA in UK and European Environmental Policy: </w:t>
      </w:r>
      <w:proofErr w:type="spellStart"/>
      <w:r w:rsidRPr="00020C26">
        <w:rPr>
          <w:rFonts w:asciiTheme="minorHAnsi" w:hAnsiTheme="minorHAnsi"/>
          <w:sz w:val="20"/>
          <w:szCs w:val="24"/>
        </w:rPr>
        <w:t>Retrospects</w:t>
      </w:r>
      <w:proofErr w:type="spellEnd"/>
      <w:r w:rsidRPr="00020C26">
        <w:rPr>
          <w:rFonts w:asciiTheme="minorHAnsi" w:hAnsiTheme="minorHAnsi"/>
          <w:sz w:val="20"/>
          <w:szCs w:val="24"/>
        </w:rPr>
        <w:t xml:space="preserve"> &amp; Future Prospects. CSERGE Working Paper EDM 06-17.</w:t>
      </w:r>
    </w:p>
    <w:p w14:paraId="21EE2475"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lastRenderedPageBreak/>
        <w:t>Unwin M (2009) Angler usage of lake and river fisheries managed by Fish &amp; Game New Zealand: results from the 2007/08 National Angling Survey. NIWA Client Report: CHC2009-046 Prepared for Fish &amp; Game NZ Ltd. NIWA.</w:t>
      </w:r>
    </w:p>
    <w:p w14:paraId="47F9663C"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Unwin MJ (2016) Angler usage of New Zealand </w:t>
      </w:r>
      <w:proofErr w:type="gramStart"/>
      <w:r w:rsidRPr="00020C26">
        <w:rPr>
          <w:rFonts w:asciiTheme="minorHAnsi" w:hAnsiTheme="minorHAnsi"/>
          <w:sz w:val="20"/>
          <w:szCs w:val="24"/>
        </w:rPr>
        <w:t>lake</w:t>
      </w:r>
      <w:proofErr w:type="gramEnd"/>
      <w:r w:rsidRPr="00020C26">
        <w:rPr>
          <w:rFonts w:asciiTheme="minorHAnsi" w:hAnsiTheme="minorHAnsi"/>
          <w:sz w:val="20"/>
          <w:szCs w:val="24"/>
        </w:rPr>
        <w:t xml:space="preserve"> and river fisheries. Results from the 2014/15 National Angling Survey. Prepared for Fish &amp; Game New Zealand. NIWA.</w:t>
      </w:r>
    </w:p>
    <w:p w14:paraId="45D3DB72"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Whitehead A (2018) Spatial modelling of river water-quality state. Incorporating monitoring data from 2013 to 2017. Report prepared for Ministry for the Environment. NIWA</w:t>
      </w:r>
    </w:p>
    <w:p w14:paraId="6B968179"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 xml:space="preserve">Wilson MA and Howarth RB (2002) Discourse-based valuation of ecosystem services: establishing fair outcomes through group deliberation. Ecological Economics, 41:431-443. </w:t>
      </w:r>
    </w:p>
    <w:p w14:paraId="07F1EFBA" w14:textId="77777777" w:rsidR="00FC77C7" w:rsidRPr="00020C26" w:rsidRDefault="00FC77C7" w:rsidP="00FC77C7">
      <w:pPr>
        <w:pStyle w:val="NoSpacing"/>
        <w:spacing w:after="60" w:line="280" w:lineRule="atLeast"/>
        <w:ind w:left="539" w:hanging="539"/>
        <w:rPr>
          <w:rFonts w:asciiTheme="minorHAnsi" w:hAnsiTheme="minorHAnsi"/>
          <w:sz w:val="20"/>
          <w:szCs w:val="24"/>
        </w:rPr>
      </w:pPr>
      <w:r w:rsidRPr="00020C26">
        <w:rPr>
          <w:rFonts w:asciiTheme="minorHAnsi" w:hAnsiTheme="minorHAnsi"/>
          <w:sz w:val="20"/>
          <w:szCs w:val="24"/>
        </w:rPr>
        <w:t>World Health Organization (2011) Nitrate and Nitrite in Drinking-water. Background document for development of WHO Guidelines for Drinking-water Quality.</w:t>
      </w:r>
    </w:p>
    <w:p w14:paraId="67867448" w14:textId="77777777" w:rsidR="00FC77C7" w:rsidRDefault="00FC77C7" w:rsidP="00FC77C7"/>
    <w:p w14:paraId="2C27D376" w14:textId="77777777" w:rsidR="00FC77C7" w:rsidRDefault="00FC77C7" w:rsidP="00FC77C7">
      <w:r>
        <w:br w:type="page"/>
      </w:r>
    </w:p>
    <w:p w14:paraId="0EE81F86" w14:textId="77777777" w:rsidR="00FC77C7" w:rsidRDefault="00FC77C7" w:rsidP="00FC77C7">
      <w:pPr>
        <w:pStyle w:val="Heading1"/>
      </w:pPr>
      <w:bookmarkStart w:id="123" w:name="_Toc35594009"/>
      <w:bookmarkStart w:id="124" w:name="_Toc35599769"/>
      <w:r>
        <w:lastRenderedPageBreak/>
        <w:t xml:space="preserve">Annex </w:t>
      </w:r>
      <w:proofErr w:type="gramStart"/>
      <w:r>
        <w:t>A</w:t>
      </w:r>
      <w:proofErr w:type="gramEnd"/>
      <w:r w:rsidRPr="003B4A95">
        <w:tab/>
        <w:t>Recreational Use of Freshwater</w:t>
      </w:r>
      <w:bookmarkEnd w:id="123"/>
      <w:bookmarkEnd w:id="124"/>
    </w:p>
    <w:p w14:paraId="7A0E205B" w14:textId="77777777" w:rsidR="00FC77C7" w:rsidRDefault="00FC77C7" w:rsidP="00FC77C7">
      <w:pPr>
        <w:pStyle w:val="Heading2"/>
      </w:pPr>
      <w:bookmarkStart w:id="125" w:name="_Toc35594010"/>
      <w:bookmarkStart w:id="126" w:name="_Toc35599770"/>
      <w:r w:rsidRPr="00D90A0F">
        <w:t>New Zealand Visitor Activity Forecast</w:t>
      </w:r>
      <w:bookmarkEnd w:id="125"/>
      <w:bookmarkEnd w:id="126"/>
    </w:p>
    <w:p w14:paraId="0AFC4A9C" w14:textId="77777777" w:rsidR="00FC77C7" w:rsidRDefault="00FC77C7" w:rsidP="00FC77C7">
      <w:r>
        <w:t xml:space="preserve">There are no </w:t>
      </w:r>
      <w:r w:rsidRPr="006D13B1">
        <w:t xml:space="preserve">reliable data on </w:t>
      </w:r>
      <w:r>
        <w:t xml:space="preserve">levels of recreational activity at freshwater sites in New Zealand. The </w:t>
      </w:r>
      <w:r w:rsidRPr="00726C54">
        <w:t>New Zealand Visitor Activity Forecast</w:t>
      </w:r>
      <w:r>
        <w:t xml:space="preserve"> (NZVAF)</w:t>
      </w:r>
      <w:r>
        <w:rPr>
          <w:rStyle w:val="FootnoteReference"/>
        </w:rPr>
        <w:footnoteReference w:id="81"/>
      </w:r>
      <w:r>
        <w:t xml:space="preserve"> makes estimates of overnight stays and the related activities, some of which could be related to freshwater. However, in the absence of survey data it makes estimates of potential activity rather than actual activities, while noting that the actual activity levels are likely to be much lower than potential levels, particularly for NZ residents. </w:t>
      </w:r>
    </w:p>
    <w:p w14:paraId="0BC6E66B" w14:textId="77777777" w:rsidR="00FC77C7" w:rsidRDefault="00FC77C7" w:rsidP="00FC77C7"/>
    <w:p w14:paraId="68823CA2" w14:textId="37F718B3" w:rsidR="00FC77C7" w:rsidRDefault="00FC77C7" w:rsidP="00FC77C7">
      <w:r>
        <w:fldChar w:fldCharType="begin"/>
      </w:r>
      <w:r>
        <w:instrText xml:space="preserve"> REF _Ref32235612 \h </w:instrText>
      </w:r>
      <w:r>
        <w:fldChar w:fldCharType="separate"/>
      </w:r>
      <w:r w:rsidR="00024EB5">
        <w:t xml:space="preserve">Table </w:t>
      </w:r>
      <w:r w:rsidR="00024EB5">
        <w:rPr>
          <w:noProof/>
        </w:rPr>
        <w:t>33</w:t>
      </w:r>
      <w:r>
        <w:fldChar w:fldCharType="end"/>
      </w:r>
      <w:r>
        <w:t xml:space="preserve"> summarises levels of potential activity in the NZVAF for rafting, canoeing, kayaking. </w:t>
      </w:r>
      <w:proofErr w:type="spellStart"/>
      <w:r>
        <w:t>Jetboating</w:t>
      </w:r>
      <w:proofErr w:type="spellEnd"/>
      <w:r>
        <w:t xml:space="preserve"> and fishing &amp; hunting combined, all of which might be undertaken on freshwater. </w:t>
      </w:r>
    </w:p>
    <w:p w14:paraId="675D01AB" w14:textId="77777777" w:rsidR="00FC77C7" w:rsidRDefault="00FC77C7" w:rsidP="00FC77C7"/>
    <w:p w14:paraId="7615EFC2" w14:textId="77777777" w:rsidR="00FC77C7" w:rsidRDefault="00FC77C7" w:rsidP="008355BD">
      <w:pPr>
        <w:pStyle w:val="ListParagraph"/>
        <w:numPr>
          <w:ilvl w:val="0"/>
          <w:numId w:val="12"/>
        </w:numPr>
      </w:pPr>
      <w:r>
        <w:t xml:space="preserve">For domestic travellers (which are the larger contributors to the totals), the NZVAF uses the results of a survey of activity preferences (what activities respondents like doing), combined with the </w:t>
      </w:r>
      <w:r w:rsidRPr="00FE19D9">
        <w:t>AA Traveller Monitor (AATM) which is a source of domestic travel data</w:t>
      </w:r>
      <w:r>
        <w:t xml:space="preserve">. The NZVAF assumes NZ residents undertake activities they have expressed a liking for in all places they stay overnight, </w:t>
      </w:r>
      <w:proofErr w:type="spellStart"/>
      <w:r>
        <w:t>eg</w:t>
      </w:r>
      <w:proofErr w:type="spellEnd"/>
      <w:r>
        <w:t xml:space="preserve"> those who have stated an interest in hunting and fishing are assumed to hunt and fish when they stay a night in Auckland (or anywhere else in New Zealand). </w:t>
      </w:r>
    </w:p>
    <w:p w14:paraId="429BE23B" w14:textId="77777777" w:rsidR="00FC77C7" w:rsidRDefault="00FC77C7" w:rsidP="00FC77C7"/>
    <w:p w14:paraId="7142DBE7" w14:textId="77777777" w:rsidR="00FC77C7" w:rsidRDefault="00FC77C7" w:rsidP="008355BD">
      <w:pPr>
        <w:pStyle w:val="ListParagraph"/>
        <w:numPr>
          <w:ilvl w:val="0"/>
          <w:numId w:val="12"/>
        </w:numPr>
      </w:pPr>
      <w:r>
        <w:t xml:space="preserve">For international visitors the activities are based on </w:t>
      </w:r>
      <w:r w:rsidRPr="00466DF3">
        <w:t xml:space="preserve">the International Visitor Survey </w:t>
      </w:r>
      <w:r>
        <w:t xml:space="preserve">(IVS) </w:t>
      </w:r>
      <w:r w:rsidRPr="00466DF3">
        <w:t>which asks visitors where they stayed and what activities they undertook</w:t>
      </w:r>
      <w:r>
        <w:t xml:space="preserve"> in New Zealand (although not where they undertook them)</w:t>
      </w:r>
      <w:r w:rsidRPr="00466DF3">
        <w:t>. They are assumed to undertake the activities they list</w:t>
      </w:r>
      <w:r>
        <w:t xml:space="preserve"> as having done</w:t>
      </w:r>
      <w:r w:rsidRPr="00466DF3">
        <w:t xml:space="preserve"> in all the places they stayed overnight.</w:t>
      </w:r>
    </w:p>
    <w:p w14:paraId="2CFB3165" w14:textId="4E615E47" w:rsidR="00FC77C7" w:rsidRDefault="00FC77C7" w:rsidP="0093011F">
      <w:pPr>
        <w:pStyle w:val="Caption"/>
      </w:pPr>
      <w:bookmarkStart w:id="127" w:name="_Ref32235612"/>
      <w:r>
        <w:t xml:space="preserve">Table </w:t>
      </w:r>
      <w:r w:rsidR="00313617">
        <w:fldChar w:fldCharType="begin"/>
      </w:r>
      <w:r w:rsidR="00313617">
        <w:instrText xml:space="preserve"> SEQ Table \* ARABIC </w:instrText>
      </w:r>
      <w:r w:rsidR="00313617">
        <w:fldChar w:fldCharType="separate"/>
      </w:r>
      <w:r w:rsidR="00024EB5">
        <w:rPr>
          <w:noProof/>
        </w:rPr>
        <w:t>33</w:t>
      </w:r>
      <w:r w:rsidR="00313617">
        <w:rPr>
          <w:noProof/>
        </w:rPr>
        <w:fldChar w:fldCharType="end"/>
      </w:r>
      <w:bookmarkEnd w:id="127"/>
      <w:r>
        <w:t xml:space="preserve"> Potential freshwater visitor numbers (2020)</w:t>
      </w:r>
    </w:p>
    <w:tbl>
      <w:tblPr>
        <w:tblStyle w:val="CovecTables"/>
        <w:tblW w:w="5000" w:type="pct"/>
        <w:tblInd w:w="0" w:type="dxa"/>
        <w:tblLook w:val="04E0" w:firstRow="1" w:lastRow="1" w:firstColumn="1" w:lastColumn="0" w:noHBand="0" w:noVBand="1"/>
      </w:tblPr>
      <w:tblGrid>
        <w:gridCol w:w="3486"/>
        <w:gridCol w:w="1578"/>
        <w:gridCol w:w="1577"/>
        <w:gridCol w:w="1580"/>
      </w:tblGrid>
      <w:tr w:rsidR="00FC77C7" w:rsidRPr="00726C54" w14:paraId="1FDE6460" w14:textId="77777777" w:rsidTr="0093011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20" w:type="pct"/>
            <w:noWrap/>
            <w:hideMark/>
          </w:tcPr>
          <w:p w14:paraId="3BA2A890" w14:textId="77777777" w:rsidR="00FC77C7" w:rsidRPr="00D83E51" w:rsidRDefault="00FC77C7" w:rsidP="0093011F">
            <w:pPr>
              <w:pStyle w:val="TableText"/>
              <w:jc w:val="left"/>
            </w:pPr>
            <w:r w:rsidRPr="00D83E51">
              <w:t>Potential activities</w:t>
            </w:r>
          </w:p>
        </w:tc>
        <w:tc>
          <w:tcPr>
            <w:tcW w:w="960" w:type="pct"/>
            <w:noWrap/>
            <w:hideMark/>
          </w:tcPr>
          <w:p w14:paraId="6A2970FB" w14:textId="77777777" w:rsidR="00FC77C7" w:rsidRPr="00D83E5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83E51">
              <w:t>Domestic</w:t>
            </w:r>
          </w:p>
        </w:tc>
        <w:tc>
          <w:tcPr>
            <w:tcW w:w="959" w:type="pct"/>
            <w:noWrap/>
            <w:hideMark/>
          </w:tcPr>
          <w:p w14:paraId="52E030C3" w14:textId="77777777" w:rsidR="00FC77C7" w:rsidRPr="00D83E5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83E51">
              <w:t>International</w:t>
            </w:r>
          </w:p>
        </w:tc>
        <w:tc>
          <w:tcPr>
            <w:tcW w:w="961" w:type="pct"/>
            <w:noWrap/>
            <w:hideMark/>
          </w:tcPr>
          <w:p w14:paraId="7DBB9209" w14:textId="77777777" w:rsidR="00FC77C7" w:rsidRPr="00D83E51"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rsidRPr="00D83E51">
              <w:t>Total</w:t>
            </w:r>
          </w:p>
        </w:tc>
      </w:tr>
      <w:tr w:rsidR="00FC77C7" w:rsidRPr="00726C54" w14:paraId="6FF4E245" w14:textId="77777777" w:rsidTr="0093011F">
        <w:trPr>
          <w:trHeight w:val="276"/>
        </w:trPr>
        <w:tc>
          <w:tcPr>
            <w:cnfStyle w:val="001000000000" w:firstRow="0" w:lastRow="0" w:firstColumn="1" w:lastColumn="0" w:oddVBand="0" w:evenVBand="0" w:oddHBand="0" w:evenHBand="0" w:firstRowFirstColumn="0" w:firstRowLastColumn="0" w:lastRowFirstColumn="0" w:lastRowLastColumn="0"/>
            <w:tcW w:w="2120" w:type="pct"/>
            <w:tcBorders>
              <w:top w:val="single" w:sz="8" w:space="0" w:color="A6A6A6" w:themeColor="background1" w:themeShade="A6"/>
            </w:tcBorders>
            <w:noWrap/>
            <w:hideMark/>
          </w:tcPr>
          <w:p w14:paraId="31BD6927" w14:textId="77777777" w:rsidR="00FC77C7" w:rsidRPr="00726C54" w:rsidRDefault="00FC77C7" w:rsidP="0093011F">
            <w:pPr>
              <w:pStyle w:val="TableText"/>
              <w:rPr>
                <w:lang w:eastAsia="en-NZ"/>
              </w:rPr>
            </w:pPr>
            <w:r w:rsidRPr="00726C54">
              <w:rPr>
                <w:lang w:eastAsia="en-NZ"/>
              </w:rPr>
              <w:t>Rafting/canoeing/kayaking</w:t>
            </w:r>
          </w:p>
        </w:tc>
        <w:tc>
          <w:tcPr>
            <w:tcW w:w="960" w:type="pct"/>
            <w:tcBorders>
              <w:top w:val="single" w:sz="8" w:space="0" w:color="A6A6A6" w:themeColor="background1" w:themeShade="A6"/>
            </w:tcBorders>
            <w:noWrap/>
            <w:hideMark/>
          </w:tcPr>
          <w:p w14:paraId="4A77D270"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4,018,200</w:t>
            </w:r>
          </w:p>
        </w:tc>
        <w:tc>
          <w:tcPr>
            <w:tcW w:w="959" w:type="pct"/>
            <w:tcBorders>
              <w:top w:val="single" w:sz="8" w:space="0" w:color="A6A6A6" w:themeColor="background1" w:themeShade="A6"/>
            </w:tcBorders>
            <w:noWrap/>
            <w:hideMark/>
          </w:tcPr>
          <w:p w14:paraId="71D0E149"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368,200</w:t>
            </w:r>
          </w:p>
        </w:tc>
        <w:tc>
          <w:tcPr>
            <w:tcW w:w="961" w:type="pct"/>
            <w:tcBorders>
              <w:top w:val="single" w:sz="8" w:space="0" w:color="A6A6A6" w:themeColor="background1" w:themeShade="A6"/>
            </w:tcBorders>
            <w:noWrap/>
            <w:hideMark/>
          </w:tcPr>
          <w:p w14:paraId="755F9C1C"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4,386,400</w:t>
            </w:r>
          </w:p>
        </w:tc>
      </w:tr>
      <w:tr w:rsidR="00FC77C7" w:rsidRPr="00726C54" w14:paraId="1A4F1297" w14:textId="77777777" w:rsidTr="0093011F">
        <w:trPr>
          <w:trHeight w:val="276"/>
        </w:trPr>
        <w:tc>
          <w:tcPr>
            <w:cnfStyle w:val="001000000000" w:firstRow="0" w:lastRow="0" w:firstColumn="1" w:lastColumn="0" w:oddVBand="0" w:evenVBand="0" w:oddHBand="0" w:evenHBand="0" w:firstRowFirstColumn="0" w:firstRowLastColumn="0" w:lastRowFirstColumn="0" w:lastRowLastColumn="0"/>
            <w:tcW w:w="2120" w:type="pct"/>
            <w:noWrap/>
            <w:hideMark/>
          </w:tcPr>
          <w:p w14:paraId="209953E6" w14:textId="77777777" w:rsidR="00FC77C7" w:rsidRPr="00726C54" w:rsidRDefault="00FC77C7" w:rsidP="0093011F">
            <w:pPr>
              <w:pStyle w:val="TableText"/>
              <w:rPr>
                <w:lang w:eastAsia="en-NZ"/>
              </w:rPr>
            </w:pPr>
            <w:proofErr w:type="spellStart"/>
            <w:r w:rsidRPr="00726C54">
              <w:rPr>
                <w:lang w:eastAsia="en-NZ"/>
              </w:rPr>
              <w:t>Jetboating</w:t>
            </w:r>
            <w:proofErr w:type="spellEnd"/>
          </w:p>
        </w:tc>
        <w:tc>
          <w:tcPr>
            <w:tcW w:w="960" w:type="pct"/>
            <w:noWrap/>
            <w:hideMark/>
          </w:tcPr>
          <w:p w14:paraId="35346883"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3,672,400</w:t>
            </w:r>
          </w:p>
        </w:tc>
        <w:tc>
          <w:tcPr>
            <w:tcW w:w="959" w:type="pct"/>
            <w:noWrap/>
            <w:hideMark/>
          </w:tcPr>
          <w:p w14:paraId="369A27C8"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393,500</w:t>
            </w:r>
          </w:p>
        </w:tc>
        <w:tc>
          <w:tcPr>
            <w:tcW w:w="961" w:type="pct"/>
            <w:noWrap/>
            <w:hideMark/>
          </w:tcPr>
          <w:p w14:paraId="52F4F45A"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4,065,900</w:t>
            </w:r>
          </w:p>
        </w:tc>
      </w:tr>
      <w:tr w:rsidR="00FC77C7" w:rsidRPr="00726C54" w14:paraId="12CE66CF" w14:textId="77777777" w:rsidTr="0093011F">
        <w:trPr>
          <w:trHeight w:val="276"/>
        </w:trPr>
        <w:tc>
          <w:tcPr>
            <w:cnfStyle w:val="001000000000" w:firstRow="0" w:lastRow="0" w:firstColumn="1" w:lastColumn="0" w:oddVBand="0" w:evenVBand="0" w:oddHBand="0" w:evenHBand="0" w:firstRowFirstColumn="0" w:firstRowLastColumn="0" w:lastRowFirstColumn="0" w:lastRowLastColumn="0"/>
            <w:tcW w:w="2120" w:type="pct"/>
            <w:tcBorders>
              <w:bottom w:val="single" w:sz="8" w:space="0" w:color="A6A6A6" w:themeColor="background1" w:themeShade="A6"/>
            </w:tcBorders>
            <w:noWrap/>
            <w:hideMark/>
          </w:tcPr>
          <w:p w14:paraId="6688E1ED" w14:textId="77777777" w:rsidR="00FC77C7" w:rsidRPr="00726C54" w:rsidRDefault="00FC77C7" w:rsidP="0093011F">
            <w:pPr>
              <w:pStyle w:val="TableText"/>
              <w:rPr>
                <w:lang w:eastAsia="en-NZ"/>
              </w:rPr>
            </w:pPr>
            <w:r w:rsidRPr="00726C54">
              <w:rPr>
                <w:lang w:eastAsia="en-NZ"/>
              </w:rPr>
              <w:t>Fishing/hunting</w:t>
            </w:r>
          </w:p>
        </w:tc>
        <w:tc>
          <w:tcPr>
            <w:tcW w:w="960" w:type="pct"/>
            <w:tcBorders>
              <w:bottom w:val="single" w:sz="8" w:space="0" w:color="A6A6A6" w:themeColor="background1" w:themeShade="A6"/>
            </w:tcBorders>
            <w:noWrap/>
            <w:hideMark/>
          </w:tcPr>
          <w:p w14:paraId="2C502E58"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2,984,700</w:t>
            </w:r>
          </w:p>
        </w:tc>
        <w:tc>
          <w:tcPr>
            <w:tcW w:w="959" w:type="pct"/>
            <w:tcBorders>
              <w:bottom w:val="single" w:sz="8" w:space="0" w:color="A6A6A6" w:themeColor="background1" w:themeShade="A6"/>
            </w:tcBorders>
            <w:noWrap/>
            <w:hideMark/>
          </w:tcPr>
          <w:p w14:paraId="1B0EB95E"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212,600</w:t>
            </w:r>
          </w:p>
        </w:tc>
        <w:tc>
          <w:tcPr>
            <w:tcW w:w="961" w:type="pct"/>
            <w:tcBorders>
              <w:bottom w:val="single" w:sz="8" w:space="0" w:color="A6A6A6" w:themeColor="background1" w:themeShade="A6"/>
            </w:tcBorders>
            <w:noWrap/>
            <w:hideMark/>
          </w:tcPr>
          <w:p w14:paraId="1EEA04FF" w14:textId="77777777" w:rsidR="00FC77C7" w:rsidRPr="00726C54"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lang w:eastAsia="en-NZ"/>
              </w:rPr>
            </w:pPr>
            <w:r w:rsidRPr="00726C54">
              <w:rPr>
                <w:lang w:eastAsia="en-NZ"/>
              </w:rPr>
              <w:t>3,197,300</w:t>
            </w:r>
          </w:p>
        </w:tc>
      </w:tr>
      <w:tr w:rsidR="00FC77C7" w:rsidRPr="00726C54" w14:paraId="7692B2FF" w14:textId="77777777" w:rsidTr="0093011F">
        <w:trPr>
          <w:cnfStyle w:val="010000000000" w:firstRow="0" w:lastRow="1" w:firstColumn="0" w:lastColumn="0" w:oddVBand="0" w:evenVBand="0" w:oddHBand="0" w:evenHBand="0" w:firstRowFirstColumn="0" w:firstRowLastColumn="0" w:lastRowFirstColumn="0" w:lastRowLastColumn="0"/>
          <w:trHeight w:val="276"/>
        </w:trPr>
        <w:tc>
          <w:tcPr>
            <w:cnfStyle w:val="001000000001" w:firstRow="0" w:lastRow="0" w:firstColumn="1" w:lastColumn="0" w:oddVBand="0" w:evenVBand="0" w:oddHBand="0" w:evenHBand="0" w:firstRowFirstColumn="0" w:firstRowLastColumn="0" w:lastRowFirstColumn="1" w:lastRowLastColumn="0"/>
            <w:tcW w:w="2120" w:type="pct"/>
            <w:tcBorders>
              <w:top w:val="single" w:sz="8" w:space="0" w:color="A6A6A6" w:themeColor="background1" w:themeShade="A6"/>
            </w:tcBorders>
            <w:noWrap/>
            <w:hideMark/>
          </w:tcPr>
          <w:p w14:paraId="134AC135" w14:textId="77777777" w:rsidR="00FC77C7" w:rsidRPr="00726C54" w:rsidRDefault="00FC77C7" w:rsidP="0093011F">
            <w:pPr>
              <w:pStyle w:val="TableText"/>
              <w:rPr>
                <w:lang w:eastAsia="en-NZ"/>
              </w:rPr>
            </w:pPr>
            <w:r w:rsidRPr="00726C54">
              <w:rPr>
                <w:lang w:eastAsia="en-NZ"/>
              </w:rPr>
              <w:t>Total</w:t>
            </w:r>
          </w:p>
        </w:tc>
        <w:tc>
          <w:tcPr>
            <w:tcW w:w="960" w:type="pct"/>
            <w:tcBorders>
              <w:top w:val="single" w:sz="8" w:space="0" w:color="A6A6A6" w:themeColor="background1" w:themeShade="A6"/>
            </w:tcBorders>
            <w:noWrap/>
            <w:hideMark/>
          </w:tcPr>
          <w:p w14:paraId="35E2D5F6" w14:textId="77777777" w:rsidR="00FC77C7" w:rsidRPr="00726C54"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726C54">
              <w:rPr>
                <w:lang w:eastAsia="en-NZ"/>
              </w:rPr>
              <w:t>10,675,300</w:t>
            </w:r>
          </w:p>
        </w:tc>
        <w:tc>
          <w:tcPr>
            <w:tcW w:w="959" w:type="pct"/>
            <w:tcBorders>
              <w:top w:val="single" w:sz="8" w:space="0" w:color="A6A6A6" w:themeColor="background1" w:themeShade="A6"/>
            </w:tcBorders>
            <w:noWrap/>
            <w:hideMark/>
          </w:tcPr>
          <w:p w14:paraId="5A3711B0" w14:textId="77777777" w:rsidR="00FC77C7" w:rsidRPr="00726C54"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726C54">
              <w:rPr>
                <w:lang w:eastAsia="en-NZ"/>
              </w:rPr>
              <w:t>974,300</w:t>
            </w:r>
          </w:p>
        </w:tc>
        <w:tc>
          <w:tcPr>
            <w:tcW w:w="961" w:type="pct"/>
            <w:tcBorders>
              <w:top w:val="single" w:sz="8" w:space="0" w:color="A6A6A6" w:themeColor="background1" w:themeShade="A6"/>
            </w:tcBorders>
            <w:noWrap/>
            <w:hideMark/>
          </w:tcPr>
          <w:p w14:paraId="0DAE662E" w14:textId="77777777" w:rsidR="00FC77C7" w:rsidRPr="00726C54"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rPr>
                <w:lang w:eastAsia="en-NZ"/>
              </w:rPr>
            </w:pPr>
            <w:r w:rsidRPr="00726C54">
              <w:rPr>
                <w:lang w:eastAsia="en-NZ"/>
              </w:rPr>
              <w:t>11,649,600</w:t>
            </w:r>
          </w:p>
        </w:tc>
      </w:tr>
    </w:tbl>
    <w:p w14:paraId="74E9DAFE" w14:textId="77777777" w:rsidR="00FC77C7" w:rsidRPr="00020C26" w:rsidRDefault="00FC77C7" w:rsidP="00FC77C7">
      <w:pPr>
        <w:spacing w:line="240" w:lineRule="auto"/>
        <w:rPr>
          <w:sz w:val="18"/>
          <w:szCs w:val="18"/>
        </w:rPr>
      </w:pPr>
      <w:proofErr w:type="spellStart"/>
      <w:proofErr w:type="gramStart"/>
      <w:r>
        <w:rPr>
          <w:vertAlign w:val="superscript"/>
        </w:rPr>
        <w:t>a</w:t>
      </w:r>
      <w:proofErr w:type="spellEnd"/>
      <w:proofErr w:type="gramEnd"/>
      <w:r>
        <w:t xml:space="preserve"> </w:t>
      </w:r>
      <w:r w:rsidRPr="00020C26">
        <w:rPr>
          <w:sz w:val="18"/>
          <w:szCs w:val="18"/>
        </w:rPr>
        <w:t>the number of adult visitors (15+ years) who stay overnight in the selected demand catchment and have a preference for the selected activity.</w:t>
      </w:r>
    </w:p>
    <w:p w14:paraId="4A8333F0" w14:textId="6F361C76" w:rsidR="00FC77C7" w:rsidRPr="00726C54" w:rsidRDefault="00FC77C7" w:rsidP="00FC77C7">
      <w:pPr>
        <w:spacing w:line="240" w:lineRule="auto"/>
      </w:pPr>
      <w:r w:rsidRPr="00020C26">
        <w:rPr>
          <w:sz w:val="18"/>
          <w:szCs w:val="18"/>
        </w:rPr>
        <w:t xml:space="preserve">Source: New Zealand Visitor Activity Forecast, Fresh Information Co, </w:t>
      </w:r>
      <w:hyperlink r:id="rId23" w:history="1">
        <w:r w:rsidRPr="007540B5">
          <w:rPr>
            <w:rStyle w:val="Hyperlink"/>
            <w:rFonts w:asciiTheme="minorHAnsi" w:hAnsiTheme="minorHAnsi"/>
            <w:sz w:val="18"/>
            <w:szCs w:val="18"/>
          </w:rPr>
          <w:t>https://freshinfo.shinyapps.io/NZVAF/</w:t>
        </w:r>
      </w:hyperlink>
      <w:r>
        <w:t xml:space="preserve"> </w:t>
      </w:r>
    </w:p>
    <w:p w14:paraId="266C6D28" w14:textId="77777777" w:rsidR="00FC77C7" w:rsidRDefault="00FC77C7" w:rsidP="00FC77C7"/>
    <w:p w14:paraId="28A471BF" w14:textId="77777777" w:rsidR="00FC77C7" w:rsidRDefault="00FC77C7" w:rsidP="00FC77C7">
      <w:r>
        <w:t xml:space="preserve">The implications of these assumptions are that these numbers are likely to be significant over-estimates of the number of overnight stays. Set against this, the NZVAF estimates do not include day trips, but only overnight stays. </w:t>
      </w:r>
    </w:p>
    <w:p w14:paraId="47AC7A89" w14:textId="77777777" w:rsidR="00FC77C7" w:rsidRDefault="00FC77C7" w:rsidP="00FC77C7">
      <w:pPr>
        <w:pStyle w:val="Heading2"/>
      </w:pPr>
      <w:bookmarkStart w:id="128" w:name="_Toc35594011"/>
      <w:bookmarkStart w:id="129" w:name="_Toc35599771"/>
      <w:r w:rsidRPr="00D90A0F">
        <w:t>National Angling Survey</w:t>
      </w:r>
      <w:bookmarkEnd w:id="128"/>
      <w:bookmarkEnd w:id="129"/>
    </w:p>
    <w:p w14:paraId="3EE5C4EB" w14:textId="77777777" w:rsidR="00FC77C7" w:rsidRDefault="00FC77C7" w:rsidP="00FC77C7">
      <w:r>
        <w:t xml:space="preserve">There is an alternative data source for freshwater fishing activity. The National Angling Survey undertaken for Fish &amp; Game estimates total “angling effort” for all New Zealand </w:t>
      </w:r>
      <w:proofErr w:type="gramStart"/>
      <w:r>
        <w:t>lake</w:t>
      </w:r>
      <w:proofErr w:type="gramEnd"/>
      <w:r>
        <w:t xml:space="preserve"> and river fisheries over a survey period. Angling effort is measured as angler-days, </w:t>
      </w:r>
      <w:proofErr w:type="spellStart"/>
      <w:r>
        <w:t>ie</w:t>
      </w:r>
      <w:proofErr w:type="spellEnd"/>
      <w:r>
        <w:t xml:space="preserve"> a day (or part day) spent fishing. The latest survey was for the 2014/15 angling season </w:t>
      </w:r>
      <w:bookmarkStart w:id="130" w:name="_Hlk32236411"/>
      <w:r>
        <w:t xml:space="preserve">during which there were an estimated </w:t>
      </w:r>
      <w:r>
        <w:lastRenderedPageBreak/>
        <w:t>1.27 million angler-days</w:t>
      </w:r>
      <w:bookmarkEnd w:id="130"/>
      <w:r>
        <w:t>, including locals and overnight visitors,</w:t>
      </w:r>
      <w:r>
        <w:rPr>
          <w:rStyle w:val="FootnoteReference"/>
        </w:rPr>
        <w:footnoteReference w:id="82"/>
      </w:r>
      <w:r>
        <w:t xml:space="preserve"> the same approximate number as in the </w:t>
      </w:r>
      <w:r w:rsidRPr="005B1AA5">
        <w:t xml:space="preserve">2007/08 </w:t>
      </w:r>
      <w:r>
        <w:t>survey.</w:t>
      </w:r>
      <w:r>
        <w:rPr>
          <w:rStyle w:val="FootnoteReference"/>
        </w:rPr>
        <w:footnoteReference w:id="83"/>
      </w:r>
      <w:r>
        <w:t xml:space="preserve"> These compare to an estimated 2.9 million hunting and fishing trips in 2018 in the NZVAF. </w:t>
      </w:r>
    </w:p>
    <w:p w14:paraId="0FC03B79" w14:textId="77777777" w:rsidR="00FC77C7" w:rsidRDefault="00FC77C7" w:rsidP="00FC77C7"/>
    <w:p w14:paraId="5CB64B1A" w14:textId="77777777" w:rsidR="00FC77C7" w:rsidRDefault="00FC77C7" w:rsidP="00FC77C7">
      <w:r>
        <w:t>Assuming the same ratio (approximately 0.44) of actual (day and overnight) trips (from Fish &amp; Game) to potential (overnight only) trips across the other activities (from the NZVAF) would suggest total visitor interactions with freshwater in 2020 of approximately 5 million, 8% of which are international visitors.</w:t>
      </w:r>
    </w:p>
    <w:p w14:paraId="586BFC7C" w14:textId="77777777" w:rsidR="00FC77C7" w:rsidRDefault="00FC77C7" w:rsidP="00FC77C7">
      <w:pPr>
        <w:pStyle w:val="Heading2"/>
      </w:pPr>
      <w:bookmarkStart w:id="131" w:name="_Toc35594012"/>
      <w:bookmarkStart w:id="132" w:name="_Toc35599772"/>
      <w:r>
        <w:t>Trout Fishing</w:t>
      </w:r>
      <w:bookmarkEnd w:id="131"/>
      <w:bookmarkEnd w:id="132"/>
    </w:p>
    <w:p w14:paraId="41C20B4C" w14:textId="77777777" w:rsidR="00FC77C7" w:rsidRDefault="00FC77C7" w:rsidP="00FC77C7">
      <w:r>
        <w:t>Trout fishing is an important recreational activity, dominated by the male population; they purchased 95% of adult whole season and family licences.</w:t>
      </w:r>
      <w:r>
        <w:rPr>
          <w:rStyle w:val="FootnoteReference"/>
        </w:rPr>
        <w:footnoteReference w:id="84"/>
      </w:r>
      <w:r>
        <w:t xml:space="preserve"> The angler survey showed that 10% of South Island adult male residents bought a whole-season fishing licence for the 2014/15 fishing season, with 18.5% and 17.3% respectively in Central South Island and Southland Fish and Game regions. Licence holding rates are lower in the North Island; approximately 1.5% of North Island adult male residents bought a whole-season fishing licence for the 2014/15 fishing season. </w:t>
      </w:r>
    </w:p>
    <w:p w14:paraId="4C382BD0" w14:textId="77777777" w:rsidR="00FC77C7" w:rsidRDefault="00FC77C7" w:rsidP="00FC77C7">
      <w:r>
        <w:br w:type="page"/>
      </w:r>
    </w:p>
    <w:p w14:paraId="21F5B629" w14:textId="77777777" w:rsidR="00FC77C7" w:rsidRDefault="00FC77C7" w:rsidP="00FC77C7">
      <w:pPr>
        <w:pStyle w:val="Heading1"/>
      </w:pPr>
      <w:bookmarkStart w:id="133" w:name="_Toc35594013"/>
      <w:bookmarkStart w:id="134" w:name="_Toc35599773"/>
      <w:r>
        <w:lastRenderedPageBreak/>
        <w:t>Annex B:  Statistical Analysis of N &amp; P</w:t>
      </w:r>
      <w:bookmarkEnd w:id="133"/>
      <w:bookmarkEnd w:id="134"/>
    </w:p>
    <w:p w14:paraId="6A5A1670" w14:textId="77777777" w:rsidR="00FC77C7" w:rsidRPr="00320DF5" w:rsidRDefault="00FC77C7" w:rsidP="00FC77C7">
      <w:r>
        <w:t>Below we show the results of an analysis of freshwater quality monitoring data (for 2013-2017). The analysis is of the relationship between concentrations of total nitrogen (TN), total phosphorus (TP) and with water quality outcomes: MCI score and water clarity.</w:t>
      </w:r>
    </w:p>
    <w:p w14:paraId="1D1BB4D6" w14:textId="77777777" w:rsidR="00FC77C7" w:rsidRPr="006E3396" w:rsidRDefault="00FC77C7" w:rsidP="00FC77C7">
      <w:pPr>
        <w:pStyle w:val="Heading2"/>
      </w:pPr>
      <w:bookmarkStart w:id="135" w:name="_Ref30435331"/>
      <w:bookmarkStart w:id="136" w:name="_Toc34384732"/>
      <w:bookmarkStart w:id="137" w:name="_Toc35594014"/>
      <w:bookmarkStart w:id="138" w:name="_Toc35599774"/>
      <w:r w:rsidRPr="006E3396">
        <w:t>Macroinvertebrate Community Index (MCI)</w:t>
      </w:r>
      <w:bookmarkEnd w:id="135"/>
      <w:bookmarkEnd w:id="136"/>
      <w:bookmarkEnd w:id="137"/>
      <w:bookmarkEnd w:id="138"/>
    </w:p>
    <w:p w14:paraId="4AF529AB" w14:textId="77777777" w:rsidR="00FC77C7" w:rsidRDefault="00FC77C7" w:rsidP="00FC77C7">
      <w:r>
        <w:t xml:space="preserve">The factors affecting MCI include </w:t>
      </w:r>
      <w:r w:rsidRPr="003E4EA5">
        <w:t>water depth and velocity, flow regime, algal biomass, sediment deposition and water quality.</w:t>
      </w:r>
      <w:r>
        <w:t xml:space="preserve"> An increase of nutrient concentrations will cause an increase in the rate of growth of </w:t>
      </w:r>
      <w:proofErr w:type="spellStart"/>
      <w:r>
        <w:t>periphyton</w:t>
      </w:r>
      <w:proofErr w:type="spellEnd"/>
      <w:r>
        <w:t xml:space="preserve">; an increase in </w:t>
      </w:r>
      <w:proofErr w:type="spellStart"/>
      <w:r>
        <w:t>periphyton</w:t>
      </w:r>
      <w:proofErr w:type="spellEnd"/>
      <w:r>
        <w:t xml:space="preserve"> will decrease MCI. </w:t>
      </w:r>
    </w:p>
    <w:p w14:paraId="3A4C5A3E" w14:textId="77777777" w:rsidR="00FC77C7" w:rsidRDefault="00FC77C7" w:rsidP="00FC77C7"/>
    <w:p w14:paraId="1E2EBD30" w14:textId="20B3728A" w:rsidR="00FC77C7" w:rsidRDefault="00FC77C7" w:rsidP="00FC77C7">
      <w:r>
        <w:t xml:space="preserve">We show the relationship between MCI and total nitrogen (TN) and total phosphorus (TP) in </w:t>
      </w:r>
      <w:r>
        <w:fldChar w:fldCharType="begin"/>
      </w:r>
      <w:r>
        <w:instrText xml:space="preserve"> REF _Ref31367359 \h </w:instrText>
      </w:r>
      <w:r>
        <w:fldChar w:fldCharType="separate"/>
      </w:r>
      <w:r w:rsidR="00024EB5">
        <w:t xml:space="preserve">Figure </w:t>
      </w:r>
      <w:r w:rsidR="00024EB5">
        <w:rPr>
          <w:noProof/>
        </w:rPr>
        <w:t>9</w:t>
      </w:r>
      <w:r>
        <w:fldChar w:fldCharType="end"/>
      </w:r>
      <w:r>
        <w:t xml:space="preserve"> and </w:t>
      </w:r>
      <w:r>
        <w:fldChar w:fldCharType="begin"/>
      </w:r>
      <w:r>
        <w:instrText xml:space="preserve"> REF _Ref31367361 \h </w:instrText>
      </w:r>
      <w:r>
        <w:fldChar w:fldCharType="separate"/>
      </w:r>
      <w:r w:rsidR="00024EB5">
        <w:t xml:space="preserve">Figure </w:t>
      </w:r>
      <w:r w:rsidR="00024EB5">
        <w:rPr>
          <w:noProof/>
        </w:rPr>
        <w:t>10</w:t>
      </w:r>
      <w:r>
        <w:fldChar w:fldCharType="end"/>
      </w:r>
      <w:r>
        <w:t xml:space="preserve"> respectively. High levels of TN and TP are associated with low MCI, and high MCI is associated with generally lower TN and TP concentrations. However, there is a very wide spread of MCI values at low TN and TP concentrations, suggesting other factors are significant.</w:t>
      </w:r>
    </w:p>
    <w:p w14:paraId="021CAAEA" w14:textId="22663F61" w:rsidR="00FC77C7" w:rsidRDefault="00FC77C7" w:rsidP="0093011F">
      <w:pPr>
        <w:pStyle w:val="Caption"/>
      </w:pPr>
      <w:bookmarkStart w:id="139" w:name="_Ref31367359"/>
      <w:r>
        <w:t xml:space="preserve">Figure </w:t>
      </w:r>
      <w:r w:rsidR="00313617">
        <w:fldChar w:fldCharType="begin"/>
      </w:r>
      <w:r w:rsidR="00313617">
        <w:instrText xml:space="preserve"> SEQ Figure \* ARABIC </w:instrText>
      </w:r>
      <w:r w:rsidR="00313617">
        <w:fldChar w:fldCharType="separate"/>
      </w:r>
      <w:r w:rsidR="00024EB5">
        <w:rPr>
          <w:noProof/>
        </w:rPr>
        <w:t>9</w:t>
      </w:r>
      <w:r w:rsidR="00313617">
        <w:rPr>
          <w:noProof/>
        </w:rPr>
        <w:fldChar w:fldCharType="end"/>
      </w:r>
      <w:bookmarkEnd w:id="139"/>
      <w:r>
        <w:t xml:space="preserve"> Relationship between total nitrogen concentration and Macroinvertebrate Community Index (MCI)</w:t>
      </w:r>
    </w:p>
    <w:p w14:paraId="20D589A2" w14:textId="77777777" w:rsidR="00FC77C7" w:rsidRDefault="00FC77C7" w:rsidP="00FC77C7">
      <w:pPr>
        <w:jc w:val="center"/>
      </w:pPr>
      <w:r w:rsidRPr="00A460D2">
        <w:rPr>
          <w:noProof/>
          <w:lang w:eastAsia="en-NZ"/>
        </w:rPr>
        <w:drawing>
          <wp:inline distT="0" distB="0" distL="0" distR="0" wp14:anchorId="38D688BD" wp14:editId="19489A7F">
            <wp:extent cx="3855720" cy="22454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67"/>
                    <a:stretch/>
                  </pic:blipFill>
                  <pic:spPr bwMode="auto">
                    <a:xfrm>
                      <a:off x="0" y="0"/>
                      <a:ext cx="3862594" cy="2249473"/>
                    </a:xfrm>
                    <a:prstGeom prst="rect">
                      <a:avLst/>
                    </a:prstGeom>
                    <a:noFill/>
                    <a:ln>
                      <a:noFill/>
                    </a:ln>
                    <a:extLst>
                      <a:ext uri="{53640926-AAD7-44D8-BBD7-CCE9431645EC}">
                        <a14:shadowObscured xmlns:a14="http://schemas.microsoft.com/office/drawing/2010/main"/>
                      </a:ext>
                    </a:extLst>
                  </pic:spPr>
                </pic:pic>
              </a:graphicData>
            </a:graphic>
          </wp:inline>
        </w:drawing>
      </w:r>
    </w:p>
    <w:p w14:paraId="3B0DCF4A" w14:textId="77777777" w:rsidR="00FC77C7" w:rsidRDefault="00FC77C7" w:rsidP="00FC77C7"/>
    <w:p w14:paraId="1BD626A6" w14:textId="79B62410" w:rsidR="00FC77C7" w:rsidRDefault="00FC77C7" w:rsidP="0093011F">
      <w:pPr>
        <w:pStyle w:val="Caption"/>
      </w:pPr>
      <w:bookmarkStart w:id="140" w:name="_Ref31367361"/>
      <w:r>
        <w:t xml:space="preserve">Figure </w:t>
      </w:r>
      <w:r w:rsidR="00313617">
        <w:fldChar w:fldCharType="begin"/>
      </w:r>
      <w:r w:rsidR="00313617">
        <w:instrText xml:space="preserve"> SEQ Figure \* ARABIC </w:instrText>
      </w:r>
      <w:r w:rsidR="00313617">
        <w:fldChar w:fldCharType="separate"/>
      </w:r>
      <w:r w:rsidR="00024EB5">
        <w:rPr>
          <w:noProof/>
        </w:rPr>
        <w:t>10</w:t>
      </w:r>
      <w:r w:rsidR="00313617">
        <w:rPr>
          <w:noProof/>
        </w:rPr>
        <w:fldChar w:fldCharType="end"/>
      </w:r>
      <w:bookmarkEnd w:id="140"/>
      <w:r>
        <w:t xml:space="preserve"> Relationship between total phosphorus concentration and Macroinvertebrate Community Index (MCI)</w:t>
      </w:r>
    </w:p>
    <w:p w14:paraId="01955CD7" w14:textId="77777777" w:rsidR="00FC77C7" w:rsidRDefault="00FC77C7" w:rsidP="00FC77C7">
      <w:pPr>
        <w:jc w:val="center"/>
      </w:pPr>
      <w:r w:rsidRPr="00A460D2">
        <w:rPr>
          <w:noProof/>
          <w:lang w:eastAsia="en-NZ"/>
        </w:rPr>
        <w:drawing>
          <wp:inline distT="0" distB="0" distL="0" distR="0" wp14:anchorId="115BB9D4" wp14:editId="06F4BCA1">
            <wp:extent cx="4008120" cy="2331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86"/>
                    <a:stretch/>
                  </pic:blipFill>
                  <pic:spPr bwMode="auto">
                    <a:xfrm>
                      <a:off x="0" y="0"/>
                      <a:ext cx="4018560" cy="2337463"/>
                    </a:xfrm>
                    <a:prstGeom prst="rect">
                      <a:avLst/>
                    </a:prstGeom>
                    <a:noFill/>
                    <a:ln>
                      <a:noFill/>
                    </a:ln>
                    <a:extLst>
                      <a:ext uri="{53640926-AAD7-44D8-BBD7-CCE9431645EC}">
                        <a14:shadowObscured xmlns:a14="http://schemas.microsoft.com/office/drawing/2010/main"/>
                      </a:ext>
                    </a:extLst>
                  </pic:spPr>
                </pic:pic>
              </a:graphicData>
            </a:graphic>
          </wp:inline>
        </w:drawing>
      </w:r>
    </w:p>
    <w:p w14:paraId="5A174FDD" w14:textId="77777777" w:rsidR="00FC77C7" w:rsidRDefault="00FC77C7" w:rsidP="00FC77C7"/>
    <w:p w14:paraId="4B5FAE1F" w14:textId="77777777" w:rsidR="00FC77C7" w:rsidRDefault="00FC77C7" w:rsidP="00FC77C7">
      <w:r>
        <w:t>To test this, we try two predictive models using both TN and TP (in g/m</w:t>
      </w:r>
      <w:r>
        <w:rPr>
          <w:vertAlign w:val="superscript"/>
        </w:rPr>
        <w:t>3</w:t>
      </w:r>
      <w:r>
        <w:t>). These are:</w:t>
      </w:r>
    </w:p>
    <w:p w14:paraId="30A7C297" w14:textId="77777777" w:rsidR="00FC77C7" w:rsidRDefault="00FC77C7" w:rsidP="00FC77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6"/>
      </w:tblGrid>
      <w:tr w:rsidR="00FC77C7" w14:paraId="1C740D59" w14:textId="77777777" w:rsidTr="0093011F">
        <w:tc>
          <w:tcPr>
            <w:tcW w:w="4105" w:type="dxa"/>
          </w:tcPr>
          <w:p w14:paraId="2EE0E0D7" w14:textId="77777777" w:rsidR="00FC77C7" w:rsidRPr="00D83726" w:rsidRDefault="00FC77C7" w:rsidP="0093011F">
            <w:r w:rsidRPr="00D83726">
              <w:t>MCI = a.TN + b.TP + x</w:t>
            </w:r>
          </w:p>
          <w:p w14:paraId="041E649C" w14:textId="77777777" w:rsidR="00FC77C7" w:rsidRPr="00D83726" w:rsidRDefault="00FC77C7" w:rsidP="0093011F"/>
        </w:tc>
        <w:tc>
          <w:tcPr>
            <w:tcW w:w="4106" w:type="dxa"/>
          </w:tcPr>
          <w:p w14:paraId="1D06799C" w14:textId="77777777" w:rsidR="00FC77C7" w:rsidRDefault="00FC77C7" w:rsidP="0093011F">
            <w:r>
              <w:t>(1)</w:t>
            </w:r>
          </w:p>
        </w:tc>
      </w:tr>
      <w:tr w:rsidR="00FC77C7" w14:paraId="169AA4B3" w14:textId="77777777" w:rsidTr="0093011F">
        <w:tc>
          <w:tcPr>
            <w:tcW w:w="4105" w:type="dxa"/>
          </w:tcPr>
          <w:p w14:paraId="2B30C13C" w14:textId="77777777" w:rsidR="00FC77C7" w:rsidRPr="00D83726" w:rsidRDefault="00FC77C7" w:rsidP="0093011F">
            <w:r w:rsidRPr="00D83726">
              <w:t xml:space="preserve">MCI = </w:t>
            </w:r>
            <w:proofErr w:type="spellStart"/>
            <w:r w:rsidRPr="00D83726">
              <w:t>a.log</w:t>
            </w:r>
            <w:r w:rsidRPr="00D83726">
              <w:rPr>
                <w:vertAlign w:val="subscript"/>
              </w:rPr>
              <w:t>e</w:t>
            </w:r>
            <w:proofErr w:type="spellEnd"/>
            <w:r w:rsidRPr="00D83726">
              <w:t xml:space="preserve"> (TN) + </w:t>
            </w:r>
            <w:proofErr w:type="spellStart"/>
            <w:r w:rsidRPr="00D83726">
              <w:t>b.log</w:t>
            </w:r>
            <w:r w:rsidRPr="00D83726">
              <w:rPr>
                <w:vertAlign w:val="subscript"/>
              </w:rPr>
              <w:t>e</w:t>
            </w:r>
            <w:proofErr w:type="spellEnd"/>
            <w:r w:rsidRPr="00D83726">
              <w:t>(TP) + x</w:t>
            </w:r>
          </w:p>
        </w:tc>
        <w:tc>
          <w:tcPr>
            <w:tcW w:w="4106" w:type="dxa"/>
          </w:tcPr>
          <w:p w14:paraId="0871F397" w14:textId="77777777" w:rsidR="00FC77C7" w:rsidRDefault="00FC77C7" w:rsidP="0093011F">
            <w:r>
              <w:t>(2)</w:t>
            </w:r>
          </w:p>
        </w:tc>
      </w:tr>
    </w:tbl>
    <w:p w14:paraId="45AD2D63" w14:textId="77777777" w:rsidR="00FC77C7" w:rsidRDefault="00FC77C7" w:rsidP="00FC77C7"/>
    <w:p w14:paraId="1FB2F7F3" w14:textId="2236481B" w:rsidR="00FC77C7" w:rsidRDefault="00FC77C7" w:rsidP="00FC77C7">
      <w:r>
        <w:t xml:space="preserve">We also tested a log model using TN only. The results are shown in </w:t>
      </w:r>
      <w:r>
        <w:fldChar w:fldCharType="begin"/>
      </w:r>
      <w:r>
        <w:instrText xml:space="preserve"> REF _Ref31360297 \h </w:instrText>
      </w:r>
      <w:r>
        <w:fldChar w:fldCharType="separate"/>
      </w:r>
      <w:r w:rsidR="00024EB5">
        <w:t xml:space="preserve">Table </w:t>
      </w:r>
      <w:r w:rsidR="00024EB5">
        <w:rPr>
          <w:noProof/>
        </w:rPr>
        <w:t>34</w:t>
      </w:r>
      <w:r>
        <w:fldChar w:fldCharType="end"/>
      </w:r>
      <w:r>
        <w:t>. None of the models are able to explain much of the variation in MCI suggesting that many other factors are important in determining MCI.</w:t>
      </w:r>
    </w:p>
    <w:p w14:paraId="2FDED59B" w14:textId="2E21A365" w:rsidR="00FC77C7" w:rsidRDefault="00FC77C7" w:rsidP="0093011F">
      <w:pPr>
        <w:pStyle w:val="Caption"/>
      </w:pPr>
      <w:bookmarkStart w:id="141" w:name="_Ref31360297"/>
      <w:r>
        <w:t xml:space="preserve">Table </w:t>
      </w:r>
      <w:r w:rsidR="00313617">
        <w:fldChar w:fldCharType="begin"/>
      </w:r>
      <w:r w:rsidR="00313617">
        <w:instrText xml:space="preserve"> SEQ Table \* ARABIC </w:instrText>
      </w:r>
      <w:r w:rsidR="00313617">
        <w:fldChar w:fldCharType="separate"/>
      </w:r>
      <w:r w:rsidR="00024EB5">
        <w:rPr>
          <w:noProof/>
        </w:rPr>
        <w:t>34</w:t>
      </w:r>
      <w:r w:rsidR="00313617">
        <w:rPr>
          <w:noProof/>
        </w:rPr>
        <w:fldChar w:fldCharType="end"/>
      </w:r>
      <w:bookmarkEnd w:id="141"/>
      <w:r>
        <w:t xml:space="preserve"> Regression results - MCI</w:t>
      </w:r>
    </w:p>
    <w:tbl>
      <w:tblPr>
        <w:tblStyle w:val="CovecTables"/>
        <w:tblW w:w="0" w:type="auto"/>
        <w:tblLook w:val="04E0" w:firstRow="1" w:lastRow="1" w:firstColumn="1" w:lastColumn="0" w:noHBand="0" w:noVBand="1"/>
      </w:tblPr>
      <w:tblGrid>
        <w:gridCol w:w="2081"/>
        <w:gridCol w:w="2120"/>
        <w:gridCol w:w="2068"/>
        <w:gridCol w:w="1839"/>
      </w:tblGrid>
      <w:tr w:rsidR="00FC77C7" w14:paraId="493F619C" w14:textId="77777777" w:rsidTr="009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12B57B38" w14:textId="77777777" w:rsidR="00FC77C7" w:rsidRDefault="00FC77C7" w:rsidP="0093011F">
            <w:pPr>
              <w:pStyle w:val="TableText"/>
            </w:pPr>
          </w:p>
        </w:tc>
        <w:tc>
          <w:tcPr>
            <w:tcW w:w="2120" w:type="dxa"/>
          </w:tcPr>
          <w:p w14:paraId="5744DA00"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Model 1</w:t>
            </w:r>
          </w:p>
        </w:tc>
        <w:tc>
          <w:tcPr>
            <w:tcW w:w="2068" w:type="dxa"/>
          </w:tcPr>
          <w:p w14:paraId="076C16DB"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Model 2</w:t>
            </w:r>
          </w:p>
        </w:tc>
        <w:tc>
          <w:tcPr>
            <w:tcW w:w="1839" w:type="dxa"/>
          </w:tcPr>
          <w:p w14:paraId="58B595C4"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Model 3</w:t>
            </w:r>
          </w:p>
        </w:tc>
      </w:tr>
      <w:tr w:rsidR="00FC77C7" w14:paraId="41F4CABD" w14:textId="77777777" w:rsidTr="0093011F">
        <w:tc>
          <w:tcPr>
            <w:cnfStyle w:val="001000000000" w:firstRow="0" w:lastRow="0" w:firstColumn="1" w:lastColumn="0" w:oddVBand="0" w:evenVBand="0" w:oddHBand="0" w:evenHBand="0" w:firstRowFirstColumn="0" w:firstRowLastColumn="0" w:lastRowFirstColumn="0" w:lastRowLastColumn="0"/>
            <w:tcW w:w="2081" w:type="dxa"/>
          </w:tcPr>
          <w:p w14:paraId="1F907C9C" w14:textId="77777777" w:rsidR="00FC77C7" w:rsidRDefault="00FC77C7" w:rsidP="0093011F">
            <w:pPr>
              <w:pStyle w:val="TableText"/>
            </w:pPr>
            <w:r>
              <w:t>Predicted variable</w:t>
            </w:r>
          </w:p>
        </w:tc>
        <w:tc>
          <w:tcPr>
            <w:tcW w:w="2120" w:type="dxa"/>
          </w:tcPr>
          <w:p w14:paraId="05092579"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MCI</w:t>
            </w:r>
          </w:p>
        </w:tc>
        <w:tc>
          <w:tcPr>
            <w:tcW w:w="2068" w:type="dxa"/>
          </w:tcPr>
          <w:p w14:paraId="4AEF3A4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MCI</w:t>
            </w:r>
          </w:p>
        </w:tc>
        <w:tc>
          <w:tcPr>
            <w:tcW w:w="1839" w:type="dxa"/>
          </w:tcPr>
          <w:p w14:paraId="569C36F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MCI</w:t>
            </w:r>
          </w:p>
        </w:tc>
      </w:tr>
      <w:tr w:rsidR="00FC77C7" w14:paraId="54E1C7F8" w14:textId="77777777" w:rsidTr="0093011F">
        <w:tc>
          <w:tcPr>
            <w:cnfStyle w:val="001000000000" w:firstRow="0" w:lastRow="0" w:firstColumn="1" w:lastColumn="0" w:oddVBand="0" w:evenVBand="0" w:oddHBand="0" w:evenHBand="0" w:firstRowFirstColumn="0" w:firstRowLastColumn="0" w:lastRowFirstColumn="0" w:lastRowLastColumn="0"/>
            <w:tcW w:w="2081" w:type="dxa"/>
          </w:tcPr>
          <w:p w14:paraId="671292EB" w14:textId="77777777" w:rsidR="00FC77C7" w:rsidRDefault="00FC77C7" w:rsidP="0093011F">
            <w:pPr>
              <w:pStyle w:val="TableText"/>
            </w:pPr>
            <w:r>
              <w:t>TN</w:t>
            </w:r>
          </w:p>
        </w:tc>
        <w:tc>
          <w:tcPr>
            <w:tcW w:w="2120" w:type="dxa"/>
          </w:tcPr>
          <w:p w14:paraId="4E9B2E8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-63.66</w:t>
            </w:r>
          </w:p>
        </w:tc>
        <w:tc>
          <w:tcPr>
            <w:tcW w:w="2068" w:type="dxa"/>
          </w:tcPr>
          <w:p w14:paraId="325556ED"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9" w:type="dxa"/>
          </w:tcPr>
          <w:p w14:paraId="0EF48011"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49F2093A" w14:textId="77777777" w:rsidTr="0093011F">
        <w:tc>
          <w:tcPr>
            <w:cnfStyle w:val="001000000000" w:firstRow="0" w:lastRow="0" w:firstColumn="1" w:lastColumn="0" w:oddVBand="0" w:evenVBand="0" w:oddHBand="0" w:evenHBand="0" w:firstRowFirstColumn="0" w:firstRowLastColumn="0" w:lastRowFirstColumn="0" w:lastRowLastColumn="0"/>
            <w:tcW w:w="2081" w:type="dxa"/>
          </w:tcPr>
          <w:p w14:paraId="74C14CFB" w14:textId="77777777" w:rsidR="00FC77C7" w:rsidRDefault="00FC77C7" w:rsidP="0093011F">
            <w:pPr>
              <w:pStyle w:val="TableText"/>
            </w:pPr>
            <w:r>
              <w:t>TP</w:t>
            </w:r>
          </w:p>
        </w:tc>
        <w:tc>
          <w:tcPr>
            <w:tcW w:w="2120" w:type="dxa"/>
          </w:tcPr>
          <w:p w14:paraId="36B33BDC" w14:textId="77777777" w:rsidR="00FC77C7" w:rsidRPr="00D32AF0"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D32AF0">
              <w:t>-3.6</w:t>
            </w:r>
            <w:r>
              <w:rPr>
                <w:vertAlign w:val="superscript"/>
              </w:rPr>
              <w:t>**</w:t>
            </w:r>
          </w:p>
        </w:tc>
        <w:tc>
          <w:tcPr>
            <w:tcW w:w="2068" w:type="dxa"/>
          </w:tcPr>
          <w:p w14:paraId="150C385F"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9" w:type="dxa"/>
          </w:tcPr>
          <w:p w14:paraId="10DB5900"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21920304" w14:textId="77777777" w:rsidTr="0093011F">
        <w:tc>
          <w:tcPr>
            <w:cnfStyle w:val="001000000000" w:firstRow="0" w:lastRow="0" w:firstColumn="1" w:lastColumn="0" w:oddVBand="0" w:evenVBand="0" w:oddHBand="0" w:evenHBand="0" w:firstRowFirstColumn="0" w:firstRowLastColumn="0" w:lastRowFirstColumn="0" w:lastRowLastColumn="0"/>
            <w:tcW w:w="2081" w:type="dxa"/>
          </w:tcPr>
          <w:p w14:paraId="6558C0B2" w14:textId="77777777" w:rsidR="00FC77C7" w:rsidRDefault="00FC77C7" w:rsidP="0093011F">
            <w:pPr>
              <w:pStyle w:val="TableText"/>
            </w:pPr>
            <w:r>
              <w:t>Log TN</w:t>
            </w:r>
          </w:p>
        </w:tc>
        <w:tc>
          <w:tcPr>
            <w:tcW w:w="2120" w:type="dxa"/>
          </w:tcPr>
          <w:p w14:paraId="18E56992"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2068" w:type="dxa"/>
          </w:tcPr>
          <w:p w14:paraId="340FD803"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-2.95</w:t>
            </w:r>
          </w:p>
        </w:tc>
        <w:tc>
          <w:tcPr>
            <w:tcW w:w="1839" w:type="dxa"/>
          </w:tcPr>
          <w:p w14:paraId="5EDEB9FD" w14:textId="77777777" w:rsidR="00FC77C7" w:rsidRPr="00190C7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-6.76</w:t>
            </w:r>
            <w:r>
              <w:rPr>
                <w:vertAlign w:val="superscript"/>
              </w:rPr>
              <w:t>***</w:t>
            </w:r>
          </w:p>
        </w:tc>
      </w:tr>
      <w:tr w:rsidR="00FC77C7" w14:paraId="11F2E0B9" w14:textId="77777777" w:rsidTr="0093011F">
        <w:tc>
          <w:tcPr>
            <w:cnfStyle w:val="001000000000" w:firstRow="0" w:lastRow="0" w:firstColumn="1" w:lastColumn="0" w:oddVBand="0" w:evenVBand="0" w:oddHBand="0" w:evenHBand="0" w:firstRowFirstColumn="0" w:firstRowLastColumn="0" w:lastRowFirstColumn="0" w:lastRowLastColumn="0"/>
            <w:tcW w:w="2081" w:type="dxa"/>
          </w:tcPr>
          <w:p w14:paraId="798A7DB3" w14:textId="77777777" w:rsidR="00FC77C7" w:rsidRDefault="00FC77C7" w:rsidP="0093011F">
            <w:pPr>
              <w:pStyle w:val="TableText"/>
            </w:pPr>
            <w:r>
              <w:t>Log TP</w:t>
            </w:r>
          </w:p>
        </w:tc>
        <w:tc>
          <w:tcPr>
            <w:tcW w:w="2120" w:type="dxa"/>
          </w:tcPr>
          <w:p w14:paraId="510546A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2068" w:type="dxa"/>
          </w:tcPr>
          <w:p w14:paraId="52740347"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-5.35</w:t>
            </w:r>
            <w:r>
              <w:rPr>
                <w:vertAlign w:val="superscript"/>
              </w:rPr>
              <w:t>***</w:t>
            </w:r>
          </w:p>
        </w:tc>
        <w:tc>
          <w:tcPr>
            <w:tcW w:w="1839" w:type="dxa"/>
          </w:tcPr>
          <w:p w14:paraId="47AEA4BE"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33404D04" w14:textId="77777777" w:rsidTr="0093011F">
        <w:tc>
          <w:tcPr>
            <w:cnfStyle w:val="001000000000" w:firstRow="0" w:lastRow="0" w:firstColumn="1" w:lastColumn="0" w:oddVBand="0" w:evenVBand="0" w:oddHBand="0" w:evenHBand="0" w:firstRowFirstColumn="0" w:firstRowLastColumn="0" w:lastRowFirstColumn="0" w:lastRowLastColumn="0"/>
            <w:tcW w:w="2081" w:type="dxa"/>
            <w:tcBorders>
              <w:bottom w:val="single" w:sz="8" w:space="0" w:color="A6A6A6" w:themeColor="background1" w:themeShade="A6"/>
            </w:tcBorders>
          </w:tcPr>
          <w:p w14:paraId="2DA3C890" w14:textId="77777777" w:rsidR="00FC77C7" w:rsidRDefault="00FC77C7" w:rsidP="0093011F">
            <w:pPr>
              <w:pStyle w:val="TableText"/>
            </w:pPr>
            <w:r>
              <w:t>Constant</w:t>
            </w:r>
          </w:p>
        </w:tc>
        <w:tc>
          <w:tcPr>
            <w:tcW w:w="2120" w:type="dxa"/>
            <w:tcBorders>
              <w:bottom w:val="single" w:sz="8" w:space="0" w:color="A6A6A6" w:themeColor="background1" w:themeShade="A6"/>
            </w:tcBorders>
          </w:tcPr>
          <w:p w14:paraId="7F520E5B"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112.35</w:t>
            </w:r>
            <w:r>
              <w:rPr>
                <w:vertAlign w:val="superscript"/>
              </w:rPr>
              <w:t>***</w:t>
            </w:r>
          </w:p>
        </w:tc>
        <w:tc>
          <w:tcPr>
            <w:tcW w:w="2068" w:type="dxa"/>
            <w:tcBorders>
              <w:bottom w:val="single" w:sz="8" w:space="0" w:color="A6A6A6" w:themeColor="background1" w:themeShade="A6"/>
            </w:tcBorders>
          </w:tcPr>
          <w:p w14:paraId="09FDB54B"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91.64</w:t>
            </w:r>
            <w:r>
              <w:rPr>
                <w:vertAlign w:val="superscript"/>
              </w:rPr>
              <w:t>***</w:t>
            </w:r>
          </w:p>
        </w:tc>
        <w:tc>
          <w:tcPr>
            <w:tcW w:w="1839" w:type="dxa"/>
            <w:tcBorders>
              <w:bottom w:val="single" w:sz="8" w:space="0" w:color="A6A6A6" w:themeColor="background1" w:themeShade="A6"/>
            </w:tcBorders>
          </w:tcPr>
          <w:p w14:paraId="6520B804" w14:textId="77777777" w:rsidR="00FC77C7" w:rsidRPr="00190C79"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102.08</w:t>
            </w:r>
            <w:r>
              <w:rPr>
                <w:vertAlign w:val="superscript"/>
              </w:rPr>
              <w:t>***</w:t>
            </w:r>
          </w:p>
        </w:tc>
      </w:tr>
      <w:tr w:rsidR="00FC77C7" w14:paraId="4056C070" w14:textId="77777777" w:rsidTr="0093011F">
        <w:tc>
          <w:tcPr>
            <w:cnfStyle w:val="001000000000" w:firstRow="0" w:lastRow="0" w:firstColumn="1" w:lastColumn="0" w:oddVBand="0" w:evenVBand="0" w:oddHBand="0" w:evenHBand="0" w:firstRowFirstColumn="0" w:firstRowLastColumn="0" w:lastRowFirstColumn="0" w:lastRowLastColumn="0"/>
            <w:tcW w:w="2081" w:type="dxa"/>
            <w:tcBorders>
              <w:top w:val="single" w:sz="8" w:space="0" w:color="A6A6A6" w:themeColor="background1" w:themeShade="A6"/>
            </w:tcBorders>
          </w:tcPr>
          <w:p w14:paraId="44D76AF2" w14:textId="77777777" w:rsidR="00FC77C7" w:rsidRDefault="00FC77C7" w:rsidP="0093011F">
            <w:pPr>
              <w:pStyle w:val="TableText"/>
            </w:pPr>
            <w:r>
              <w:t>N</w:t>
            </w:r>
          </w:p>
        </w:tc>
        <w:tc>
          <w:tcPr>
            <w:tcW w:w="2120" w:type="dxa"/>
            <w:tcBorders>
              <w:top w:val="single" w:sz="8" w:space="0" w:color="A6A6A6" w:themeColor="background1" w:themeShade="A6"/>
            </w:tcBorders>
          </w:tcPr>
          <w:p w14:paraId="172E8D40"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348</w:t>
            </w:r>
          </w:p>
        </w:tc>
        <w:tc>
          <w:tcPr>
            <w:tcW w:w="2068" w:type="dxa"/>
            <w:tcBorders>
              <w:top w:val="single" w:sz="8" w:space="0" w:color="A6A6A6" w:themeColor="background1" w:themeShade="A6"/>
            </w:tcBorders>
          </w:tcPr>
          <w:p w14:paraId="6FED80B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348</w:t>
            </w:r>
          </w:p>
        </w:tc>
        <w:tc>
          <w:tcPr>
            <w:tcW w:w="1839" w:type="dxa"/>
            <w:tcBorders>
              <w:top w:val="single" w:sz="8" w:space="0" w:color="A6A6A6" w:themeColor="background1" w:themeShade="A6"/>
            </w:tcBorders>
          </w:tcPr>
          <w:p w14:paraId="05704D6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348</w:t>
            </w:r>
          </w:p>
        </w:tc>
      </w:tr>
      <w:tr w:rsidR="00FC77C7" w14:paraId="516BE28D" w14:textId="77777777" w:rsidTr="0093011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81" w:type="dxa"/>
          </w:tcPr>
          <w:p w14:paraId="5B2155DD" w14:textId="77777777" w:rsidR="00FC77C7" w:rsidRPr="00C10D45" w:rsidRDefault="00FC77C7" w:rsidP="0093011F">
            <w:pPr>
              <w:pStyle w:val="TableText"/>
              <w:rPr>
                <w:vertAlign w:val="subscript"/>
              </w:rPr>
            </w:pPr>
            <w:r>
              <w:t>R</w:t>
            </w:r>
            <w:r>
              <w:rPr>
                <w:vertAlign w:val="superscript"/>
              </w:rPr>
              <w:t>2</w:t>
            </w:r>
          </w:p>
        </w:tc>
        <w:tc>
          <w:tcPr>
            <w:tcW w:w="2120" w:type="dxa"/>
          </w:tcPr>
          <w:p w14:paraId="28E7DC93"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0.04</w:t>
            </w:r>
          </w:p>
        </w:tc>
        <w:tc>
          <w:tcPr>
            <w:tcW w:w="2068" w:type="dxa"/>
          </w:tcPr>
          <w:p w14:paraId="6205AC59"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0.08</w:t>
            </w:r>
          </w:p>
        </w:tc>
        <w:tc>
          <w:tcPr>
            <w:tcW w:w="1839" w:type="dxa"/>
          </w:tcPr>
          <w:p w14:paraId="0EB1ADF9"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0.07</w:t>
            </w:r>
          </w:p>
        </w:tc>
      </w:tr>
    </w:tbl>
    <w:p w14:paraId="32DF24CC" w14:textId="77777777" w:rsidR="00FC77C7" w:rsidRPr="00C10D45" w:rsidRDefault="00FC77C7" w:rsidP="00FC77C7">
      <w:r>
        <w:rPr>
          <w:vertAlign w:val="superscript"/>
        </w:rPr>
        <w:t>**</w:t>
      </w:r>
      <w:r>
        <w:t xml:space="preserve"> </w:t>
      </w:r>
      <w:r w:rsidRPr="00020C26">
        <w:rPr>
          <w:sz w:val="18"/>
          <w:szCs w:val="18"/>
        </w:rPr>
        <w:t>= significant at the 1% level</w:t>
      </w:r>
      <w:proofErr w:type="gramStart"/>
      <w:r w:rsidRPr="00020C26">
        <w:rPr>
          <w:sz w:val="18"/>
          <w:szCs w:val="18"/>
        </w:rPr>
        <w:t xml:space="preserve">; </w:t>
      </w:r>
      <w:r w:rsidRPr="00020C26">
        <w:rPr>
          <w:sz w:val="18"/>
          <w:szCs w:val="18"/>
          <w:vertAlign w:val="superscript"/>
        </w:rPr>
        <w:t xml:space="preserve"> *</w:t>
      </w:r>
      <w:proofErr w:type="gramEnd"/>
      <w:r w:rsidRPr="00020C26">
        <w:rPr>
          <w:sz w:val="18"/>
          <w:szCs w:val="18"/>
          <w:vertAlign w:val="superscript"/>
        </w:rPr>
        <w:t>**</w:t>
      </w:r>
      <w:r w:rsidRPr="00020C26">
        <w:rPr>
          <w:sz w:val="18"/>
          <w:szCs w:val="18"/>
        </w:rPr>
        <w:t xml:space="preserve"> = significant at the 0.1% level</w:t>
      </w:r>
    </w:p>
    <w:p w14:paraId="35937D54" w14:textId="77777777" w:rsidR="00FC77C7" w:rsidRDefault="00FC77C7" w:rsidP="00FC77C7">
      <w:pPr>
        <w:pStyle w:val="Heading2"/>
      </w:pPr>
      <w:bookmarkStart w:id="142" w:name="_Toc34384733"/>
      <w:bookmarkStart w:id="143" w:name="_Toc35594015"/>
      <w:bookmarkStart w:id="144" w:name="_Toc35599775"/>
      <w:r>
        <w:t>Water Clarity</w:t>
      </w:r>
      <w:bookmarkEnd w:id="142"/>
      <w:bookmarkEnd w:id="143"/>
      <w:bookmarkEnd w:id="144"/>
    </w:p>
    <w:p w14:paraId="763BC379" w14:textId="77777777" w:rsidR="00FC77C7" w:rsidRDefault="00FC77C7" w:rsidP="00FC77C7">
      <w:r w:rsidRPr="006E3396">
        <w:t xml:space="preserve">Water clarity depends on the concentration of particulate organic and inorganic material in the water column. The particulate matter comes from erosion of stream bed and banks, and catchment runoff, both of which vary with flow. </w:t>
      </w:r>
      <w:r>
        <w:t>The predictive data available to us for predicting changes in water clarity are limited to concentrations of nitrogen and phosphorus.</w:t>
      </w:r>
    </w:p>
    <w:p w14:paraId="6DC6EF7E" w14:textId="77777777" w:rsidR="00FC77C7" w:rsidRDefault="00FC77C7" w:rsidP="00FC77C7"/>
    <w:p w14:paraId="03DE9C67" w14:textId="6EA9A4C0" w:rsidR="00FC77C7" w:rsidRDefault="00FC77C7" w:rsidP="00FC77C7">
      <w:r>
        <w:t xml:space="preserve">Using national monitoring data, </w:t>
      </w:r>
      <w:r>
        <w:fldChar w:fldCharType="begin"/>
      </w:r>
      <w:r>
        <w:instrText xml:space="preserve"> REF _Ref31351335 \h </w:instrText>
      </w:r>
      <w:r>
        <w:fldChar w:fldCharType="separate"/>
      </w:r>
      <w:r w:rsidR="00024EB5">
        <w:t xml:space="preserve">Figure </w:t>
      </w:r>
      <w:r w:rsidR="00024EB5">
        <w:rPr>
          <w:noProof/>
        </w:rPr>
        <w:t>11</w:t>
      </w:r>
      <w:r>
        <w:fldChar w:fldCharType="end"/>
      </w:r>
      <w:r>
        <w:t xml:space="preserve"> shows the relationship between TN and water clarity and </w:t>
      </w:r>
      <w:r>
        <w:fldChar w:fldCharType="begin"/>
      </w:r>
      <w:r>
        <w:instrText xml:space="preserve"> REF _Ref31302196 \h </w:instrText>
      </w:r>
      <w:r>
        <w:fldChar w:fldCharType="separate"/>
      </w:r>
      <w:r w:rsidR="00024EB5">
        <w:t xml:space="preserve">Figure </w:t>
      </w:r>
      <w:r w:rsidR="00024EB5">
        <w:rPr>
          <w:noProof/>
        </w:rPr>
        <w:t>12</w:t>
      </w:r>
      <w:r>
        <w:fldChar w:fldCharType="end"/>
      </w:r>
      <w:r>
        <w:t xml:space="preserve"> shows the relationship between TP and water clarity. </w:t>
      </w:r>
    </w:p>
    <w:p w14:paraId="0E22D6FD" w14:textId="6D374514" w:rsidR="00FC77C7" w:rsidRDefault="00FC77C7" w:rsidP="0093011F">
      <w:pPr>
        <w:pStyle w:val="Caption"/>
      </w:pPr>
      <w:bookmarkStart w:id="145" w:name="_Ref31351335"/>
      <w:r>
        <w:t xml:space="preserve">Figure </w:t>
      </w:r>
      <w:r w:rsidR="00313617">
        <w:fldChar w:fldCharType="begin"/>
      </w:r>
      <w:r w:rsidR="00313617">
        <w:instrText xml:space="preserve"> SEQ Figure \* ARABIC </w:instrText>
      </w:r>
      <w:r w:rsidR="00313617">
        <w:fldChar w:fldCharType="separate"/>
      </w:r>
      <w:r w:rsidR="00024EB5">
        <w:rPr>
          <w:noProof/>
        </w:rPr>
        <w:t>11</w:t>
      </w:r>
      <w:r w:rsidR="00313617">
        <w:rPr>
          <w:noProof/>
        </w:rPr>
        <w:fldChar w:fldCharType="end"/>
      </w:r>
      <w:bookmarkEnd w:id="145"/>
      <w:r>
        <w:t xml:space="preserve"> Relationship between total nitrogen concentration and water clarity</w:t>
      </w:r>
    </w:p>
    <w:p w14:paraId="699E6AE5" w14:textId="77777777" w:rsidR="00FC77C7" w:rsidRDefault="00FC77C7" w:rsidP="00FC77C7">
      <w:r w:rsidRPr="00291FE6">
        <w:rPr>
          <w:noProof/>
          <w:lang w:eastAsia="en-NZ"/>
        </w:rPr>
        <w:drawing>
          <wp:inline distT="0" distB="0" distL="0" distR="0" wp14:anchorId="75F53252" wp14:editId="5A9858B7">
            <wp:extent cx="4274820" cy="265840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1846" cy="2662773"/>
                    </a:xfrm>
                    <a:prstGeom prst="rect">
                      <a:avLst/>
                    </a:prstGeom>
                    <a:noFill/>
                    <a:ln>
                      <a:noFill/>
                    </a:ln>
                  </pic:spPr>
                </pic:pic>
              </a:graphicData>
            </a:graphic>
          </wp:inline>
        </w:drawing>
      </w:r>
    </w:p>
    <w:p w14:paraId="7D77BBDD" w14:textId="77777777" w:rsidR="00FC77C7" w:rsidRPr="00020C26" w:rsidRDefault="00FC77C7" w:rsidP="00FC77C7">
      <w:pPr>
        <w:rPr>
          <w:sz w:val="18"/>
          <w:szCs w:val="18"/>
        </w:rPr>
      </w:pPr>
      <w:r w:rsidRPr="00020C26">
        <w:rPr>
          <w:sz w:val="18"/>
          <w:szCs w:val="18"/>
        </w:rPr>
        <w:t xml:space="preserve">Source: analysis of </w:t>
      </w:r>
      <w:proofErr w:type="spellStart"/>
      <w:r w:rsidRPr="00020C26">
        <w:rPr>
          <w:sz w:val="18"/>
          <w:szCs w:val="18"/>
        </w:rPr>
        <w:t>MfE</w:t>
      </w:r>
      <w:proofErr w:type="spellEnd"/>
      <w:r w:rsidRPr="00020C26">
        <w:rPr>
          <w:sz w:val="18"/>
          <w:szCs w:val="18"/>
        </w:rPr>
        <w:t xml:space="preserve"> data – River water quality state 2013-2017.</w:t>
      </w:r>
    </w:p>
    <w:p w14:paraId="756F03F8" w14:textId="77777777" w:rsidR="00FC77C7" w:rsidRDefault="00FC77C7" w:rsidP="00FC77C7"/>
    <w:p w14:paraId="3EF83682" w14:textId="7E5CCA23" w:rsidR="00FC77C7" w:rsidRDefault="00FC77C7" w:rsidP="0093011F">
      <w:pPr>
        <w:pStyle w:val="Caption"/>
      </w:pPr>
      <w:bookmarkStart w:id="146" w:name="_Ref31302196"/>
      <w:r>
        <w:lastRenderedPageBreak/>
        <w:t xml:space="preserve">Figure </w:t>
      </w:r>
      <w:r w:rsidR="00313617">
        <w:fldChar w:fldCharType="begin"/>
      </w:r>
      <w:r w:rsidR="00313617">
        <w:instrText xml:space="preserve"> SEQ Figure \* ARABIC </w:instrText>
      </w:r>
      <w:r w:rsidR="00313617">
        <w:fldChar w:fldCharType="separate"/>
      </w:r>
      <w:r w:rsidR="00024EB5">
        <w:rPr>
          <w:noProof/>
        </w:rPr>
        <w:t>12</w:t>
      </w:r>
      <w:r w:rsidR="00313617">
        <w:rPr>
          <w:noProof/>
        </w:rPr>
        <w:fldChar w:fldCharType="end"/>
      </w:r>
      <w:bookmarkEnd w:id="146"/>
      <w:r>
        <w:t xml:space="preserve"> Relationship between total phosphorus concentration and water clarity</w:t>
      </w:r>
    </w:p>
    <w:p w14:paraId="534FE4FA" w14:textId="77777777" w:rsidR="00FC77C7" w:rsidRDefault="00FC77C7" w:rsidP="00FC77C7">
      <w:r w:rsidRPr="00291FE6">
        <w:rPr>
          <w:noProof/>
          <w:lang w:eastAsia="en-NZ"/>
        </w:rPr>
        <w:drawing>
          <wp:inline distT="0" distB="0" distL="0" distR="0" wp14:anchorId="21905819" wp14:editId="399074F9">
            <wp:extent cx="3985260" cy="2478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8314" cy="2486452"/>
                    </a:xfrm>
                    <a:prstGeom prst="rect">
                      <a:avLst/>
                    </a:prstGeom>
                    <a:noFill/>
                    <a:ln>
                      <a:noFill/>
                    </a:ln>
                  </pic:spPr>
                </pic:pic>
              </a:graphicData>
            </a:graphic>
          </wp:inline>
        </w:drawing>
      </w:r>
    </w:p>
    <w:p w14:paraId="3B103D29" w14:textId="77777777" w:rsidR="00FC77C7" w:rsidRPr="00020C26" w:rsidRDefault="00FC77C7" w:rsidP="00FC77C7">
      <w:pPr>
        <w:rPr>
          <w:sz w:val="18"/>
          <w:szCs w:val="18"/>
        </w:rPr>
      </w:pPr>
      <w:r w:rsidRPr="00020C26">
        <w:rPr>
          <w:sz w:val="18"/>
          <w:szCs w:val="18"/>
        </w:rPr>
        <w:t xml:space="preserve">Source: analysis of </w:t>
      </w:r>
      <w:proofErr w:type="spellStart"/>
      <w:r w:rsidRPr="00020C26">
        <w:rPr>
          <w:sz w:val="18"/>
          <w:szCs w:val="18"/>
        </w:rPr>
        <w:t>MfE</w:t>
      </w:r>
      <w:proofErr w:type="spellEnd"/>
      <w:r w:rsidRPr="00020C26">
        <w:rPr>
          <w:sz w:val="18"/>
          <w:szCs w:val="18"/>
        </w:rPr>
        <w:t xml:space="preserve"> data – River water quality state 2013-2017.</w:t>
      </w:r>
    </w:p>
    <w:p w14:paraId="79072EC6" w14:textId="77777777" w:rsidR="00FC77C7" w:rsidRDefault="00FC77C7" w:rsidP="00FC77C7"/>
    <w:p w14:paraId="239A5CD0" w14:textId="77777777" w:rsidR="00FC77C7" w:rsidRDefault="00FC77C7" w:rsidP="00FC77C7">
      <w:r>
        <w:t>There is little obvious trend with the TN data, but there is with TP.</w:t>
      </w:r>
      <w:r w:rsidRPr="00291FE6">
        <w:t xml:space="preserve"> </w:t>
      </w:r>
      <w:r>
        <w:t>High water clarity is only seen at low TP levels and, at high TP levels, water clarity is only low. However, there is a significant variation in the level of clarity at low levels of TP, suggesting that other factors are significant in explaining the clarity level.</w:t>
      </w:r>
    </w:p>
    <w:p w14:paraId="73E76D34" w14:textId="77777777" w:rsidR="00FC77C7" w:rsidRDefault="00FC77C7" w:rsidP="00FC77C7"/>
    <w:p w14:paraId="10555556" w14:textId="77777777" w:rsidR="00FC77C7" w:rsidRDefault="00FC77C7" w:rsidP="00FC77C7">
      <w:r>
        <w:t>This is confirmed by statistical analysis. Using a simple formula (3), the relationship between TN (in g/m</w:t>
      </w:r>
      <w:r>
        <w:rPr>
          <w:vertAlign w:val="superscript"/>
        </w:rPr>
        <w:t>3</w:t>
      </w:r>
      <w:r>
        <w:t xml:space="preserve">) and water clarity is not significant (p&gt;0.2) but it is for TP (p&lt;0.001). </w:t>
      </w:r>
    </w:p>
    <w:p w14:paraId="34B77805" w14:textId="77777777" w:rsidR="00FC77C7" w:rsidRDefault="00FC77C7" w:rsidP="00FC77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6"/>
      </w:tblGrid>
      <w:tr w:rsidR="00FC77C7" w14:paraId="28CE5144" w14:textId="77777777" w:rsidTr="0093011F">
        <w:tc>
          <w:tcPr>
            <w:tcW w:w="4105" w:type="dxa"/>
          </w:tcPr>
          <w:p w14:paraId="7D841EFF" w14:textId="77777777" w:rsidR="00FC77C7" w:rsidRDefault="00FC77C7" w:rsidP="0093011F">
            <w:r w:rsidRPr="00C10D45">
              <w:t>Water clarity (metres) = a.TN</w:t>
            </w:r>
            <w:r>
              <w:t xml:space="preserve"> + x</w:t>
            </w:r>
          </w:p>
          <w:p w14:paraId="50A60BE8" w14:textId="77777777" w:rsidR="00FC77C7" w:rsidRPr="00C10D45" w:rsidRDefault="00FC77C7" w:rsidP="0093011F">
            <w:r w:rsidRPr="00C10D45">
              <w:t>Water clarity (metres) = a.T</w:t>
            </w:r>
            <w:r>
              <w:t>P + x</w:t>
            </w:r>
          </w:p>
        </w:tc>
        <w:tc>
          <w:tcPr>
            <w:tcW w:w="4106" w:type="dxa"/>
          </w:tcPr>
          <w:p w14:paraId="0D239315" w14:textId="77777777" w:rsidR="00FC77C7" w:rsidRDefault="00FC77C7" w:rsidP="0093011F">
            <w:r>
              <w:t>(3)</w:t>
            </w:r>
          </w:p>
        </w:tc>
      </w:tr>
    </w:tbl>
    <w:p w14:paraId="0E105FDE" w14:textId="77777777" w:rsidR="00FC77C7" w:rsidRDefault="00FC77C7" w:rsidP="00FC77C7"/>
    <w:p w14:paraId="253A8A09" w14:textId="77777777" w:rsidR="00FC77C7" w:rsidRDefault="00FC77C7" w:rsidP="00FC77C7">
      <w:r>
        <w:t>Where:</w:t>
      </w:r>
      <w:r>
        <w:tab/>
        <w:t>a</w:t>
      </w:r>
      <w:r>
        <w:tab/>
        <w:t>= a coefficient on TN or TP</w:t>
      </w:r>
    </w:p>
    <w:p w14:paraId="51CE528F" w14:textId="77777777" w:rsidR="00FC77C7" w:rsidRDefault="00FC77C7" w:rsidP="00FC77C7">
      <w:r>
        <w:t>X</w:t>
      </w:r>
      <w:r>
        <w:tab/>
        <w:t>= a constant</w:t>
      </w:r>
    </w:p>
    <w:p w14:paraId="7342293D" w14:textId="77777777" w:rsidR="00FC77C7" w:rsidRDefault="00FC77C7" w:rsidP="00FC77C7"/>
    <w:p w14:paraId="4C34FB93" w14:textId="77777777" w:rsidR="00FC77C7" w:rsidRDefault="00FC77C7" w:rsidP="00FC77C7">
      <w:r>
        <w:t>We also try a log formula with TP (4).</w:t>
      </w:r>
    </w:p>
    <w:p w14:paraId="27A41E54" w14:textId="77777777" w:rsidR="00FC77C7" w:rsidRDefault="00FC77C7" w:rsidP="00FC77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6"/>
      </w:tblGrid>
      <w:tr w:rsidR="00FC77C7" w14:paraId="0036E2EF" w14:textId="77777777" w:rsidTr="0093011F">
        <w:tc>
          <w:tcPr>
            <w:tcW w:w="4105" w:type="dxa"/>
          </w:tcPr>
          <w:p w14:paraId="5E2C53E1" w14:textId="77777777" w:rsidR="00FC77C7" w:rsidRPr="00C10D45" w:rsidRDefault="00FC77C7" w:rsidP="0093011F">
            <w:r w:rsidRPr="00C10D45">
              <w:t xml:space="preserve">Water clarity (metres) = </w:t>
            </w:r>
            <w:proofErr w:type="spellStart"/>
            <w:r w:rsidRPr="00C10D45">
              <w:t>a.log</w:t>
            </w:r>
            <w:r w:rsidRPr="00C10D45">
              <w:rPr>
                <w:vertAlign w:val="subscript"/>
              </w:rPr>
              <w:t>e</w:t>
            </w:r>
            <w:proofErr w:type="spellEnd"/>
            <w:r>
              <w:t>(</w:t>
            </w:r>
            <w:r w:rsidRPr="00C10D45">
              <w:t>TP</w:t>
            </w:r>
            <w:r>
              <w:t>) + x</w:t>
            </w:r>
          </w:p>
        </w:tc>
        <w:tc>
          <w:tcPr>
            <w:tcW w:w="4106" w:type="dxa"/>
          </w:tcPr>
          <w:p w14:paraId="659AD6FF" w14:textId="77777777" w:rsidR="00FC77C7" w:rsidRDefault="00FC77C7" w:rsidP="0093011F">
            <w:r>
              <w:t>(4)</w:t>
            </w:r>
          </w:p>
        </w:tc>
      </w:tr>
    </w:tbl>
    <w:p w14:paraId="54ACACAF" w14:textId="77777777" w:rsidR="00FC77C7" w:rsidRDefault="00FC77C7" w:rsidP="00FC77C7"/>
    <w:p w14:paraId="7F69A8D0" w14:textId="3B37E2BE" w:rsidR="00FC77C7" w:rsidRDefault="00FC77C7" w:rsidP="00FC77C7">
      <w:r>
        <w:t xml:space="preserve">The predicted relationship is shown in </w:t>
      </w:r>
      <w:r>
        <w:fldChar w:fldCharType="begin"/>
      </w:r>
      <w:r>
        <w:instrText xml:space="preserve"> REF _Ref31353114 \h </w:instrText>
      </w:r>
      <w:r>
        <w:fldChar w:fldCharType="separate"/>
      </w:r>
      <w:r w:rsidR="00024EB5">
        <w:t xml:space="preserve">Figure </w:t>
      </w:r>
      <w:r w:rsidR="00024EB5">
        <w:rPr>
          <w:noProof/>
        </w:rPr>
        <w:t>13</w:t>
      </w:r>
      <w:r>
        <w:fldChar w:fldCharType="end"/>
      </w:r>
      <w:r>
        <w:t>. It is better able to explain the variation in water clarity (R</w:t>
      </w:r>
      <w:r>
        <w:rPr>
          <w:vertAlign w:val="superscript"/>
        </w:rPr>
        <w:t>2</w:t>
      </w:r>
      <w:r>
        <w:t xml:space="preserve"> = 0.32) (</w:t>
      </w:r>
      <w:r>
        <w:fldChar w:fldCharType="begin"/>
      </w:r>
      <w:r>
        <w:instrText xml:space="preserve"> REF _Ref31353083 \h </w:instrText>
      </w:r>
      <w:r>
        <w:fldChar w:fldCharType="separate"/>
      </w:r>
      <w:r w:rsidR="00024EB5">
        <w:t xml:space="preserve">Table </w:t>
      </w:r>
      <w:r w:rsidR="00024EB5">
        <w:rPr>
          <w:noProof/>
        </w:rPr>
        <w:t>35</w:t>
      </w:r>
      <w:r>
        <w:fldChar w:fldCharType="end"/>
      </w:r>
      <w:r>
        <w:t>), but is still not sufficient to be a useful predictive model; that would require more explanatory factors.</w:t>
      </w:r>
    </w:p>
    <w:p w14:paraId="137E29BA" w14:textId="1F895251" w:rsidR="00FC77C7" w:rsidRDefault="00FC77C7" w:rsidP="0093011F">
      <w:pPr>
        <w:pStyle w:val="Caption"/>
      </w:pPr>
      <w:bookmarkStart w:id="147" w:name="_Ref31353114"/>
      <w:r>
        <w:lastRenderedPageBreak/>
        <w:t xml:space="preserve">Figure </w:t>
      </w:r>
      <w:r w:rsidR="00313617">
        <w:fldChar w:fldCharType="begin"/>
      </w:r>
      <w:r w:rsidR="00313617">
        <w:instrText xml:space="preserve"> SEQ Figure \* ARABIC </w:instrText>
      </w:r>
      <w:r w:rsidR="00313617">
        <w:fldChar w:fldCharType="separate"/>
      </w:r>
      <w:r w:rsidR="00024EB5">
        <w:rPr>
          <w:noProof/>
        </w:rPr>
        <w:t>13</w:t>
      </w:r>
      <w:r w:rsidR="00313617">
        <w:rPr>
          <w:noProof/>
        </w:rPr>
        <w:fldChar w:fldCharType="end"/>
      </w:r>
      <w:bookmarkEnd w:id="147"/>
      <w:r>
        <w:t xml:space="preserve"> Relationship between total phosphorus concentration and water clarity – all NZ monitored data</w:t>
      </w:r>
    </w:p>
    <w:p w14:paraId="6A138947" w14:textId="77777777" w:rsidR="00FC77C7" w:rsidRDefault="00FC77C7" w:rsidP="00FC77C7">
      <w:r w:rsidRPr="005B6912">
        <w:rPr>
          <w:noProof/>
          <w:lang w:eastAsia="en-NZ"/>
        </w:rPr>
        <w:drawing>
          <wp:inline distT="0" distB="0" distL="0" distR="0" wp14:anchorId="75E44FA4" wp14:editId="52D048F4">
            <wp:extent cx="4457700" cy="277213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3097" cy="2775488"/>
                    </a:xfrm>
                    <a:prstGeom prst="rect">
                      <a:avLst/>
                    </a:prstGeom>
                    <a:noFill/>
                    <a:ln>
                      <a:noFill/>
                    </a:ln>
                  </pic:spPr>
                </pic:pic>
              </a:graphicData>
            </a:graphic>
          </wp:inline>
        </w:drawing>
      </w:r>
    </w:p>
    <w:p w14:paraId="0A86584A" w14:textId="77777777" w:rsidR="00FC77C7" w:rsidRPr="00020C26" w:rsidRDefault="00FC77C7" w:rsidP="00FC77C7">
      <w:pPr>
        <w:rPr>
          <w:sz w:val="18"/>
          <w:szCs w:val="18"/>
        </w:rPr>
      </w:pPr>
      <w:r w:rsidRPr="00020C26">
        <w:rPr>
          <w:sz w:val="18"/>
          <w:szCs w:val="18"/>
        </w:rPr>
        <w:t xml:space="preserve">Source: analysis of </w:t>
      </w:r>
      <w:proofErr w:type="spellStart"/>
      <w:r w:rsidRPr="00020C26">
        <w:rPr>
          <w:sz w:val="18"/>
          <w:szCs w:val="18"/>
        </w:rPr>
        <w:t>MfE</w:t>
      </w:r>
      <w:proofErr w:type="spellEnd"/>
      <w:r w:rsidRPr="00020C26">
        <w:rPr>
          <w:sz w:val="18"/>
          <w:szCs w:val="18"/>
        </w:rPr>
        <w:t xml:space="preserve"> data – River water quality state 2013-2017.</w:t>
      </w:r>
    </w:p>
    <w:p w14:paraId="5EF5CD26" w14:textId="77777777" w:rsidR="00FC77C7" w:rsidRDefault="00FC77C7" w:rsidP="00FC77C7"/>
    <w:p w14:paraId="16CC0279" w14:textId="3EE3FCB0" w:rsidR="00FC77C7" w:rsidRDefault="00FC77C7" w:rsidP="0093011F">
      <w:pPr>
        <w:pStyle w:val="Caption"/>
      </w:pPr>
      <w:bookmarkStart w:id="148" w:name="_Ref31353083"/>
      <w:r>
        <w:t xml:space="preserve">Table </w:t>
      </w:r>
      <w:r w:rsidR="00313617">
        <w:fldChar w:fldCharType="begin"/>
      </w:r>
      <w:r w:rsidR="00313617">
        <w:instrText xml:space="preserve"> SEQ Table \* ARABIC </w:instrText>
      </w:r>
      <w:r w:rsidR="00313617">
        <w:fldChar w:fldCharType="separate"/>
      </w:r>
      <w:r w:rsidR="00024EB5">
        <w:rPr>
          <w:noProof/>
        </w:rPr>
        <w:t>35</w:t>
      </w:r>
      <w:r w:rsidR="00313617">
        <w:rPr>
          <w:noProof/>
        </w:rPr>
        <w:fldChar w:fldCharType="end"/>
      </w:r>
      <w:bookmarkEnd w:id="148"/>
      <w:r>
        <w:t xml:space="preserve"> Regression results - water clarity</w:t>
      </w:r>
    </w:p>
    <w:tbl>
      <w:tblPr>
        <w:tblStyle w:val="CovecTables"/>
        <w:tblW w:w="0" w:type="auto"/>
        <w:tblLook w:val="04E0" w:firstRow="1" w:lastRow="1" w:firstColumn="1" w:lastColumn="0" w:noHBand="0" w:noVBand="1"/>
      </w:tblPr>
      <w:tblGrid>
        <w:gridCol w:w="2702"/>
        <w:gridCol w:w="2704"/>
        <w:gridCol w:w="2702"/>
      </w:tblGrid>
      <w:tr w:rsidR="00FC77C7" w14:paraId="71AA16B4" w14:textId="77777777" w:rsidTr="009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14:paraId="2B87A35E" w14:textId="77777777" w:rsidR="00FC77C7" w:rsidRDefault="00FC77C7" w:rsidP="0093011F">
            <w:pPr>
              <w:pStyle w:val="TableText"/>
            </w:pPr>
          </w:p>
        </w:tc>
        <w:tc>
          <w:tcPr>
            <w:tcW w:w="2737" w:type="dxa"/>
          </w:tcPr>
          <w:p w14:paraId="0D930499"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Model 1</w:t>
            </w:r>
          </w:p>
        </w:tc>
        <w:tc>
          <w:tcPr>
            <w:tcW w:w="2737" w:type="dxa"/>
          </w:tcPr>
          <w:p w14:paraId="5C2424F1" w14:textId="77777777" w:rsidR="00FC77C7" w:rsidRDefault="00FC77C7" w:rsidP="0093011F">
            <w:pPr>
              <w:pStyle w:val="TableText"/>
              <w:jc w:val="center"/>
              <w:cnfStyle w:val="100000000000" w:firstRow="1" w:lastRow="0" w:firstColumn="0" w:lastColumn="0" w:oddVBand="0" w:evenVBand="0" w:oddHBand="0" w:evenHBand="0" w:firstRowFirstColumn="0" w:firstRowLastColumn="0" w:lastRowFirstColumn="0" w:lastRowLastColumn="0"/>
            </w:pPr>
            <w:r>
              <w:t>Model 2</w:t>
            </w:r>
          </w:p>
        </w:tc>
      </w:tr>
      <w:tr w:rsidR="00FC77C7" w14:paraId="2C6249F3" w14:textId="77777777" w:rsidTr="0093011F">
        <w:tc>
          <w:tcPr>
            <w:cnfStyle w:val="001000000000" w:firstRow="0" w:lastRow="0" w:firstColumn="1" w:lastColumn="0" w:oddVBand="0" w:evenVBand="0" w:oddHBand="0" w:evenHBand="0" w:firstRowFirstColumn="0" w:firstRowLastColumn="0" w:lastRowFirstColumn="0" w:lastRowLastColumn="0"/>
            <w:tcW w:w="2737" w:type="dxa"/>
          </w:tcPr>
          <w:p w14:paraId="2535D979" w14:textId="77777777" w:rsidR="00FC77C7" w:rsidRDefault="00FC77C7" w:rsidP="0093011F">
            <w:pPr>
              <w:pStyle w:val="TableText"/>
            </w:pPr>
            <w:r>
              <w:t>Predicted variable</w:t>
            </w:r>
          </w:p>
        </w:tc>
        <w:tc>
          <w:tcPr>
            <w:tcW w:w="2737" w:type="dxa"/>
          </w:tcPr>
          <w:p w14:paraId="1DE4C7F5"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Water clarity (metres)</w:t>
            </w:r>
          </w:p>
        </w:tc>
        <w:tc>
          <w:tcPr>
            <w:tcW w:w="2737" w:type="dxa"/>
          </w:tcPr>
          <w:p w14:paraId="6CD7C30A"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Water clarity (metres)</w:t>
            </w:r>
          </w:p>
        </w:tc>
      </w:tr>
      <w:tr w:rsidR="00FC77C7" w14:paraId="5288EA25" w14:textId="77777777" w:rsidTr="0093011F">
        <w:tc>
          <w:tcPr>
            <w:cnfStyle w:val="001000000000" w:firstRow="0" w:lastRow="0" w:firstColumn="1" w:lastColumn="0" w:oddVBand="0" w:evenVBand="0" w:oddHBand="0" w:evenHBand="0" w:firstRowFirstColumn="0" w:firstRowLastColumn="0" w:lastRowFirstColumn="0" w:lastRowLastColumn="0"/>
            <w:tcW w:w="2737" w:type="dxa"/>
          </w:tcPr>
          <w:p w14:paraId="51BBB7BB" w14:textId="77777777" w:rsidR="00FC77C7" w:rsidRDefault="00FC77C7" w:rsidP="0093011F">
            <w:pPr>
              <w:pStyle w:val="TableText"/>
            </w:pPr>
            <w:r>
              <w:t>TP</w:t>
            </w:r>
          </w:p>
        </w:tc>
        <w:tc>
          <w:tcPr>
            <w:tcW w:w="2737" w:type="dxa"/>
          </w:tcPr>
          <w:p w14:paraId="29847393"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-11.3175</w:t>
            </w:r>
            <w:r>
              <w:rPr>
                <w:vertAlign w:val="superscript"/>
              </w:rPr>
              <w:t>***</w:t>
            </w:r>
          </w:p>
        </w:tc>
        <w:tc>
          <w:tcPr>
            <w:tcW w:w="2737" w:type="dxa"/>
          </w:tcPr>
          <w:p w14:paraId="5952A4CB"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r>
      <w:tr w:rsidR="00FC77C7" w14:paraId="583338B5" w14:textId="77777777" w:rsidTr="0093011F">
        <w:tc>
          <w:tcPr>
            <w:cnfStyle w:val="001000000000" w:firstRow="0" w:lastRow="0" w:firstColumn="1" w:lastColumn="0" w:oddVBand="0" w:evenVBand="0" w:oddHBand="0" w:evenHBand="0" w:firstRowFirstColumn="0" w:firstRowLastColumn="0" w:lastRowFirstColumn="0" w:lastRowLastColumn="0"/>
            <w:tcW w:w="2737" w:type="dxa"/>
          </w:tcPr>
          <w:p w14:paraId="698B6495" w14:textId="77777777" w:rsidR="00FC77C7" w:rsidRDefault="00FC77C7" w:rsidP="0093011F">
            <w:pPr>
              <w:pStyle w:val="TableText"/>
            </w:pPr>
            <w:r>
              <w:t>Log TP</w:t>
            </w:r>
          </w:p>
        </w:tc>
        <w:tc>
          <w:tcPr>
            <w:tcW w:w="2737" w:type="dxa"/>
          </w:tcPr>
          <w:p w14:paraId="239E8B7C"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p>
        </w:tc>
        <w:tc>
          <w:tcPr>
            <w:tcW w:w="2737" w:type="dxa"/>
          </w:tcPr>
          <w:p w14:paraId="1459E858"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-0.896</w:t>
            </w:r>
            <w:r>
              <w:rPr>
                <w:vertAlign w:val="superscript"/>
              </w:rPr>
              <w:t>***</w:t>
            </w:r>
          </w:p>
        </w:tc>
      </w:tr>
      <w:tr w:rsidR="00FC77C7" w14:paraId="250A8D15" w14:textId="77777777" w:rsidTr="0093011F">
        <w:tc>
          <w:tcPr>
            <w:cnfStyle w:val="001000000000" w:firstRow="0" w:lastRow="0" w:firstColumn="1" w:lastColumn="0" w:oddVBand="0" w:evenVBand="0" w:oddHBand="0" w:evenHBand="0" w:firstRowFirstColumn="0" w:firstRowLastColumn="0" w:lastRowFirstColumn="0" w:lastRowLastColumn="0"/>
            <w:tcW w:w="2737" w:type="dxa"/>
            <w:tcBorders>
              <w:bottom w:val="single" w:sz="8" w:space="0" w:color="A6A6A6" w:themeColor="background1" w:themeShade="A6"/>
            </w:tcBorders>
          </w:tcPr>
          <w:p w14:paraId="40134F32" w14:textId="77777777" w:rsidR="00FC77C7" w:rsidRDefault="00FC77C7" w:rsidP="0093011F">
            <w:pPr>
              <w:pStyle w:val="TableText"/>
            </w:pPr>
            <w:r>
              <w:t>Constant</w:t>
            </w:r>
          </w:p>
        </w:tc>
        <w:tc>
          <w:tcPr>
            <w:tcW w:w="2737" w:type="dxa"/>
            <w:tcBorders>
              <w:bottom w:val="single" w:sz="8" w:space="0" w:color="A6A6A6" w:themeColor="background1" w:themeShade="A6"/>
            </w:tcBorders>
          </w:tcPr>
          <w:p w14:paraId="3FD20A08"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2.619</w:t>
            </w:r>
            <w:r>
              <w:rPr>
                <w:vertAlign w:val="superscript"/>
              </w:rPr>
              <w:t>***</w:t>
            </w:r>
          </w:p>
        </w:tc>
        <w:tc>
          <w:tcPr>
            <w:tcW w:w="2737" w:type="dxa"/>
            <w:tcBorders>
              <w:bottom w:val="single" w:sz="8" w:space="0" w:color="A6A6A6" w:themeColor="background1" w:themeShade="A6"/>
            </w:tcBorders>
          </w:tcPr>
          <w:p w14:paraId="77D798B7" w14:textId="77777777" w:rsidR="00FC77C7" w:rsidRPr="00C10D45"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t>-1.259</w:t>
            </w:r>
            <w:r>
              <w:rPr>
                <w:vertAlign w:val="superscript"/>
              </w:rPr>
              <w:t>***</w:t>
            </w:r>
          </w:p>
        </w:tc>
      </w:tr>
      <w:tr w:rsidR="00FC77C7" w14:paraId="53BE2956" w14:textId="77777777" w:rsidTr="0093011F">
        <w:tc>
          <w:tcPr>
            <w:cnfStyle w:val="001000000000" w:firstRow="0" w:lastRow="0" w:firstColumn="1" w:lastColumn="0" w:oddVBand="0" w:evenVBand="0" w:oddHBand="0" w:evenHBand="0" w:firstRowFirstColumn="0" w:firstRowLastColumn="0" w:lastRowFirstColumn="0" w:lastRowLastColumn="0"/>
            <w:tcW w:w="2737" w:type="dxa"/>
            <w:tcBorders>
              <w:top w:val="single" w:sz="8" w:space="0" w:color="A6A6A6" w:themeColor="background1" w:themeShade="A6"/>
            </w:tcBorders>
          </w:tcPr>
          <w:p w14:paraId="20D327FC" w14:textId="77777777" w:rsidR="00FC77C7" w:rsidRDefault="00FC77C7" w:rsidP="0093011F">
            <w:pPr>
              <w:pStyle w:val="TableText"/>
            </w:pPr>
            <w:r>
              <w:t>N</w:t>
            </w:r>
          </w:p>
        </w:tc>
        <w:tc>
          <w:tcPr>
            <w:tcW w:w="2737" w:type="dxa"/>
            <w:tcBorders>
              <w:top w:val="single" w:sz="8" w:space="0" w:color="A6A6A6" w:themeColor="background1" w:themeShade="A6"/>
            </w:tcBorders>
          </w:tcPr>
          <w:p w14:paraId="5FB1C1B7"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520</w:t>
            </w:r>
          </w:p>
        </w:tc>
        <w:tc>
          <w:tcPr>
            <w:tcW w:w="2737" w:type="dxa"/>
            <w:tcBorders>
              <w:top w:val="single" w:sz="8" w:space="0" w:color="A6A6A6" w:themeColor="background1" w:themeShade="A6"/>
            </w:tcBorders>
          </w:tcPr>
          <w:p w14:paraId="41617B26" w14:textId="77777777" w:rsidR="00FC77C7" w:rsidRDefault="00FC77C7" w:rsidP="0093011F">
            <w:pPr>
              <w:pStyle w:val="TableText"/>
              <w:jc w:val="center"/>
              <w:cnfStyle w:val="000000000000" w:firstRow="0" w:lastRow="0" w:firstColumn="0" w:lastColumn="0" w:oddVBand="0" w:evenVBand="0" w:oddHBand="0" w:evenHBand="0" w:firstRowFirstColumn="0" w:firstRowLastColumn="0" w:lastRowFirstColumn="0" w:lastRowLastColumn="0"/>
            </w:pPr>
            <w:r>
              <w:t>520</w:t>
            </w:r>
          </w:p>
        </w:tc>
      </w:tr>
      <w:tr w:rsidR="00FC77C7" w14:paraId="2C383C2B" w14:textId="77777777" w:rsidTr="0093011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737" w:type="dxa"/>
          </w:tcPr>
          <w:p w14:paraId="41449B7D" w14:textId="77777777" w:rsidR="00FC77C7" w:rsidRPr="00C10D45" w:rsidRDefault="00FC77C7" w:rsidP="0093011F">
            <w:pPr>
              <w:pStyle w:val="TableText"/>
              <w:rPr>
                <w:vertAlign w:val="subscript"/>
              </w:rPr>
            </w:pPr>
            <w:r>
              <w:t>R</w:t>
            </w:r>
            <w:r>
              <w:rPr>
                <w:vertAlign w:val="superscript"/>
              </w:rPr>
              <w:t>2</w:t>
            </w:r>
          </w:p>
        </w:tc>
        <w:tc>
          <w:tcPr>
            <w:tcW w:w="2737" w:type="dxa"/>
          </w:tcPr>
          <w:p w14:paraId="000DDCB0"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0.09</w:t>
            </w:r>
          </w:p>
        </w:tc>
        <w:tc>
          <w:tcPr>
            <w:tcW w:w="2737" w:type="dxa"/>
          </w:tcPr>
          <w:p w14:paraId="2ED7E9FC" w14:textId="77777777" w:rsidR="00FC77C7" w:rsidRDefault="00FC77C7" w:rsidP="0093011F">
            <w:pPr>
              <w:pStyle w:val="TableText"/>
              <w:jc w:val="center"/>
              <w:cnfStyle w:val="010000000000" w:firstRow="0" w:lastRow="1" w:firstColumn="0" w:lastColumn="0" w:oddVBand="0" w:evenVBand="0" w:oddHBand="0" w:evenHBand="0" w:firstRowFirstColumn="0" w:firstRowLastColumn="0" w:lastRowFirstColumn="0" w:lastRowLastColumn="0"/>
            </w:pPr>
            <w:r>
              <w:t>0.32</w:t>
            </w:r>
          </w:p>
        </w:tc>
      </w:tr>
    </w:tbl>
    <w:p w14:paraId="04691A03" w14:textId="77777777" w:rsidR="00FC77C7" w:rsidRPr="00020C26" w:rsidRDefault="00FC77C7" w:rsidP="00FC77C7">
      <w:pPr>
        <w:rPr>
          <w:sz w:val="18"/>
          <w:szCs w:val="18"/>
        </w:rPr>
      </w:pPr>
      <w:r>
        <w:rPr>
          <w:vertAlign w:val="superscript"/>
        </w:rPr>
        <w:t>***</w:t>
      </w:r>
      <w:r>
        <w:t xml:space="preserve"> </w:t>
      </w:r>
      <w:r w:rsidRPr="00020C26">
        <w:rPr>
          <w:sz w:val="18"/>
          <w:szCs w:val="18"/>
        </w:rPr>
        <w:t>= significant at the 0.1% level</w:t>
      </w:r>
    </w:p>
    <w:p w14:paraId="4F179724" w14:textId="77777777" w:rsidR="00FC77C7" w:rsidRDefault="00FC77C7" w:rsidP="00FC77C7"/>
    <w:p w14:paraId="570E26CE" w14:textId="792EC4D2" w:rsidR="00FC77C7" w:rsidRDefault="00FC77C7" w:rsidP="00FC77C7">
      <w:r>
        <w:t>We analysed the data at the regional level for the three major regions of interest (Canterbury, Southland and Waikato). The data for Canterbury and Waikato were similarly unable to predict much of the variation in water clarity (R</w:t>
      </w:r>
      <w:r w:rsidRPr="008F0F1F">
        <w:rPr>
          <w:vertAlign w:val="superscript"/>
        </w:rPr>
        <w:t>2</w:t>
      </w:r>
      <w:r>
        <w:t xml:space="preserve"> = 0.23 and 0.35 respectively) but were for Southland (R</w:t>
      </w:r>
      <w:r>
        <w:rPr>
          <w:vertAlign w:val="superscript"/>
        </w:rPr>
        <w:t>2</w:t>
      </w:r>
      <w:r>
        <w:t xml:space="preserve"> = 0.79). The modelled results using a log model are shown in </w:t>
      </w:r>
      <w:r>
        <w:fldChar w:fldCharType="begin"/>
      </w:r>
      <w:r>
        <w:instrText xml:space="preserve"> REF _Ref31356259 \h </w:instrText>
      </w:r>
      <w:r>
        <w:fldChar w:fldCharType="separate"/>
      </w:r>
      <w:r w:rsidR="00024EB5">
        <w:t xml:space="preserve">Figure </w:t>
      </w:r>
      <w:r w:rsidR="00024EB5">
        <w:rPr>
          <w:noProof/>
        </w:rPr>
        <w:t>14</w:t>
      </w:r>
      <w:r>
        <w:fldChar w:fldCharType="end"/>
      </w:r>
      <w:r>
        <w:t>.</w:t>
      </w:r>
      <w:r>
        <w:rPr>
          <w:rStyle w:val="FootnoteReference"/>
        </w:rPr>
        <w:footnoteReference w:id="85"/>
      </w:r>
      <w:r>
        <w:t xml:space="preserve"> These findings are consistent with those of Ian Jowett who was also able to develop a log model for predicting water clarity in Southland from TP.</w:t>
      </w:r>
      <w:r>
        <w:rPr>
          <w:rStyle w:val="FootnoteReference"/>
        </w:rPr>
        <w:footnoteReference w:id="86"/>
      </w:r>
    </w:p>
    <w:p w14:paraId="54F387CC" w14:textId="5F60DB06" w:rsidR="00FC77C7" w:rsidRDefault="00FC77C7" w:rsidP="0093011F">
      <w:pPr>
        <w:pStyle w:val="Caption"/>
      </w:pPr>
      <w:bookmarkStart w:id="149" w:name="_Ref31356259"/>
      <w:r>
        <w:lastRenderedPageBreak/>
        <w:t xml:space="preserve">Figure </w:t>
      </w:r>
      <w:r w:rsidR="00313617">
        <w:fldChar w:fldCharType="begin"/>
      </w:r>
      <w:r w:rsidR="00313617">
        <w:instrText xml:space="preserve"> SEQ Figure \* ARABIC </w:instrText>
      </w:r>
      <w:r w:rsidR="00313617">
        <w:fldChar w:fldCharType="separate"/>
      </w:r>
      <w:r w:rsidR="00024EB5">
        <w:rPr>
          <w:noProof/>
        </w:rPr>
        <w:t>14</w:t>
      </w:r>
      <w:r w:rsidR="00313617">
        <w:rPr>
          <w:noProof/>
        </w:rPr>
        <w:fldChar w:fldCharType="end"/>
      </w:r>
      <w:bookmarkEnd w:id="149"/>
      <w:r>
        <w:t xml:space="preserve"> Relationship between total phosphorus concentration and water clarity - Southland</w:t>
      </w:r>
    </w:p>
    <w:p w14:paraId="1DAD8A95" w14:textId="77777777" w:rsidR="00FC77C7" w:rsidRDefault="00FC77C7" w:rsidP="00FC77C7">
      <w:r w:rsidRPr="00C94AE7">
        <w:rPr>
          <w:noProof/>
          <w:lang w:eastAsia="en-NZ"/>
        </w:rPr>
        <w:drawing>
          <wp:inline distT="0" distB="0" distL="0" distR="0" wp14:anchorId="1B8B9495" wp14:editId="54CFC6BC">
            <wp:extent cx="4069080" cy="2434666"/>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7381" cy="2439633"/>
                    </a:xfrm>
                    <a:prstGeom prst="rect">
                      <a:avLst/>
                    </a:prstGeom>
                    <a:noFill/>
                    <a:ln>
                      <a:noFill/>
                    </a:ln>
                  </pic:spPr>
                </pic:pic>
              </a:graphicData>
            </a:graphic>
          </wp:inline>
        </w:drawing>
      </w:r>
    </w:p>
    <w:p w14:paraId="25AA3811" w14:textId="77777777" w:rsidR="00FC77C7" w:rsidRPr="00020C26" w:rsidRDefault="00FC77C7" w:rsidP="00FC77C7">
      <w:pPr>
        <w:rPr>
          <w:sz w:val="18"/>
          <w:szCs w:val="18"/>
        </w:rPr>
      </w:pPr>
      <w:r w:rsidRPr="00020C26">
        <w:rPr>
          <w:sz w:val="18"/>
          <w:szCs w:val="18"/>
        </w:rPr>
        <w:t xml:space="preserve">Source: analysis of </w:t>
      </w:r>
      <w:proofErr w:type="spellStart"/>
      <w:r w:rsidRPr="00020C26">
        <w:rPr>
          <w:sz w:val="18"/>
          <w:szCs w:val="18"/>
        </w:rPr>
        <w:t>MfE</w:t>
      </w:r>
      <w:proofErr w:type="spellEnd"/>
      <w:r w:rsidRPr="00020C26">
        <w:rPr>
          <w:sz w:val="18"/>
          <w:szCs w:val="18"/>
        </w:rPr>
        <w:t xml:space="preserve"> data – River water quality state 2013-2017.</w:t>
      </w:r>
    </w:p>
    <w:p w14:paraId="0E35B806" w14:textId="77777777" w:rsidR="00FC77C7" w:rsidRDefault="00FC77C7" w:rsidP="00FC77C7"/>
    <w:p w14:paraId="085D0F23" w14:textId="2608D833" w:rsidR="007F7C24" w:rsidRPr="007F7C24" w:rsidRDefault="00FC77C7" w:rsidP="00FC77C7">
      <w:r>
        <w:t>Although the data for Southland look to provide a useful basis for a predictive model, the national level data, or that for other regions, do not provide an adequate basis for predicting water clarity.</w:t>
      </w:r>
    </w:p>
    <w:sectPr w:rsidR="007F7C24" w:rsidRPr="007F7C24" w:rsidSect="007F7C24">
      <w:footerReference w:type="default" r:id="rId30"/>
      <w:footerReference w:type="first" r:id="rId31"/>
      <w:pgSz w:w="11907" w:h="16840" w:code="9"/>
      <w:pgMar w:top="1678" w:right="1701" w:bottom="1418" w:left="1985" w:header="720" w:footer="8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BAD40" w14:textId="77777777" w:rsidR="00256042" w:rsidRDefault="00256042">
      <w:pPr>
        <w:spacing w:line="240" w:lineRule="auto"/>
      </w:pPr>
      <w:r>
        <w:separator/>
      </w:r>
    </w:p>
  </w:endnote>
  <w:endnote w:type="continuationSeparator" w:id="0">
    <w:p w14:paraId="6AC4D94B" w14:textId="77777777" w:rsidR="00256042" w:rsidRDefault="00256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D8C9" w14:textId="5F546F6A" w:rsidR="00D235A5" w:rsidRPr="00AF0CD8" w:rsidRDefault="00D235A5" w:rsidP="00AF0CD8">
    <w:pPr>
      <w:pStyle w:val="FooterText"/>
    </w:pPr>
    <w:r w:rsidRPr="004E34F5">
      <w:rPr>
        <w:rStyle w:val="PageNumber"/>
      </w:rPr>
      <w:t xml:space="preserve"> </w:t>
    </w:r>
    <w:r w:rsidRPr="004E34F5">
      <w:rPr>
        <w:rStyle w:val="PageNumber"/>
      </w:rPr>
      <w:ptab w:relativeTo="margin" w:alignment="right" w:leader="none"/>
    </w:r>
    <w:r w:rsidRPr="004E34F5">
      <w:rPr>
        <w:rStyle w:val="PageNumber"/>
      </w:rPr>
      <w:fldChar w:fldCharType="begin"/>
    </w:r>
    <w:r w:rsidRPr="004E34F5">
      <w:rPr>
        <w:rStyle w:val="PageNumber"/>
      </w:rPr>
      <w:instrText xml:space="preserve"> PAGE </w:instrText>
    </w:r>
    <w:r w:rsidRPr="004E34F5">
      <w:rPr>
        <w:rStyle w:val="PageNumber"/>
      </w:rPr>
      <w:fldChar w:fldCharType="separate"/>
    </w:r>
    <w:r w:rsidR="00024EB5">
      <w:rPr>
        <w:rStyle w:val="PageNumber"/>
        <w:noProof/>
      </w:rPr>
      <w:t>2</w:t>
    </w:r>
    <w:r w:rsidRPr="004E34F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27C1A" w14:textId="344D066D" w:rsidR="00D235A5" w:rsidRPr="004E34F5" w:rsidRDefault="00D235A5" w:rsidP="001540A7">
    <w:pPr>
      <w:pStyle w:val="FooterText"/>
    </w:pPr>
    <w:r w:rsidRPr="004E34F5">
      <w:rPr>
        <w:rStyle w:val="PageNumber"/>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95AD" w14:textId="00DBEC80" w:rsidR="00FD2638" w:rsidRDefault="00FD2638">
    <w:pPr>
      <w:pStyle w:val="Footer"/>
      <w:jc w:val="right"/>
    </w:pPr>
  </w:p>
  <w:p w14:paraId="78FD38F2" w14:textId="6E5F5284" w:rsidR="00FD2638" w:rsidRPr="00AF0CD8" w:rsidRDefault="00FD2638" w:rsidP="00AF0CD8">
    <w:pPr>
      <w:pStyle w:val="FooterTex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B329" w14:textId="77777777" w:rsidR="00D235A5" w:rsidRPr="004E34F5" w:rsidRDefault="00D235A5" w:rsidP="001540A7">
    <w:pPr>
      <w:pStyle w:val="FooterText"/>
    </w:pPr>
    <w:r w:rsidRPr="004E34F5">
      <w:rPr>
        <w:rStyle w:val="PageNumber"/>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810920"/>
      <w:docPartObj>
        <w:docPartGallery w:val="Page Numbers (Bottom of Page)"/>
        <w:docPartUnique/>
      </w:docPartObj>
    </w:sdtPr>
    <w:sdtEndPr>
      <w:rPr>
        <w:noProof/>
      </w:rPr>
    </w:sdtEndPr>
    <w:sdtContent>
      <w:p w14:paraId="511E3051" w14:textId="45454470" w:rsidR="00FD2638" w:rsidRDefault="00FD2638">
        <w:pPr>
          <w:pStyle w:val="Footer"/>
          <w:jc w:val="right"/>
        </w:pPr>
        <w:r>
          <w:fldChar w:fldCharType="begin"/>
        </w:r>
        <w:r>
          <w:instrText xml:space="preserve"> PAGE   \* MERGEFORMAT </w:instrText>
        </w:r>
        <w:r>
          <w:fldChar w:fldCharType="separate"/>
        </w:r>
        <w:r w:rsidR="00024EB5">
          <w:rPr>
            <w:noProof/>
          </w:rPr>
          <w:t>16</w:t>
        </w:r>
        <w:r>
          <w:rPr>
            <w:noProof/>
          </w:rPr>
          <w:fldChar w:fldCharType="end"/>
        </w:r>
      </w:p>
    </w:sdtContent>
  </w:sdt>
  <w:p w14:paraId="0E306B18" w14:textId="77777777" w:rsidR="00FD2638" w:rsidRPr="00AF0CD8" w:rsidRDefault="00FD2638" w:rsidP="00AF0CD8">
    <w:pPr>
      <w:pStyle w:val="FooterTex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B3487" w14:textId="3BE6B604" w:rsidR="00D235A5" w:rsidRPr="004E34F5" w:rsidRDefault="00D235A5" w:rsidP="001540A7">
    <w:pPr>
      <w:pStyle w:val="FooterText"/>
    </w:pPr>
    <w:r w:rsidRPr="004E34F5">
      <w:rPr>
        <w:rStyle w:val="PageNumber"/>
      </w:rPr>
      <w:ptab w:relativeTo="margin" w:alignment="right" w:leader="none"/>
    </w:r>
    <w:r w:rsidRPr="004E34F5">
      <w:rPr>
        <w:rStyle w:val="PageNumber"/>
      </w:rPr>
      <w:fldChar w:fldCharType="begin"/>
    </w:r>
    <w:r w:rsidRPr="004E34F5">
      <w:rPr>
        <w:rStyle w:val="PageNumber"/>
      </w:rPr>
      <w:instrText xml:space="preserve"> PAGE </w:instrText>
    </w:r>
    <w:r w:rsidRPr="004E34F5">
      <w:rPr>
        <w:rStyle w:val="PageNumber"/>
      </w:rPr>
      <w:fldChar w:fldCharType="separate"/>
    </w:r>
    <w:r w:rsidR="00024EB5">
      <w:rPr>
        <w:rStyle w:val="PageNumber"/>
        <w:noProof/>
      </w:rPr>
      <w:t>1</w:t>
    </w:r>
    <w:r w:rsidRPr="004E34F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0AFEE" w14:textId="77777777" w:rsidR="00256042" w:rsidRDefault="00256042">
      <w:pPr>
        <w:spacing w:line="240" w:lineRule="auto"/>
      </w:pPr>
      <w:r>
        <w:separator/>
      </w:r>
    </w:p>
  </w:footnote>
  <w:footnote w:type="continuationSeparator" w:id="0">
    <w:p w14:paraId="71383C47" w14:textId="77777777" w:rsidR="00256042" w:rsidRDefault="00256042">
      <w:pPr>
        <w:spacing w:line="240" w:lineRule="auto"/>
      </w:pPr>
      <w:r>
        <w:continuationSeparator/>
      </w:r>
    </w:p>
  </w:footnote>
  <w:footnote w:id="1">
    <w:p w14:paraId="4207F363" w14:textId="77777777" w:rsidR="00D235A5" w:rsidRDefault="00D235A5" w:rsidP="0093011F">
      <w:pPr>
        <w:pStyle w:val="FootnoteText"/>
      </w:pPr>
      <w:r>
        <w:rPr>
          <w:rStyle w:val="FootnoteReference"/>
        </w:rPr>
        <w:footnoteRef/>
      </w:r>
      <w:r>
        <w:t xml:space="preserve"> Ministry for the Environment and Ministry for Primary Industries (2018)</w:t>
      </w:r>
    </w:p>
  </w:footnote>
  <w:footnote w:id="2">
    <w:p w14:paraId="4610F5AE" w14:textId="77777777" w:rsidR="00D235A5" w:rsidRDefault="00D235A5" w:rsidP="0093011F">
      <w:pPr>
        <w:pStyle w:val="FootnoteText"/>
      </w:pPr>
      <w:r>
        <w:rPr>
          <w:rStyle w:val="FootnoteReference"/>
        </w:rPr>
        <w:footnoteRef/>
      </w:r>
      <w:r>
        <w:t xml:space="preserve"> </w:t>
      </w:r>
      <w:r w:rsidRPr="00BF54BE">
        <w:t>Ministry for the Environment &amp; Stats NZ (2019)</w:t>
      </w:r>
    </w:p>
  </w:footnote>
  <w:footnote w:id="3">
    <w:p w14:paraId="13ADF073" w14:textId="77777777" w:rsidR="00D235A5" w:rsidRDefault="00D235A5" w:rsidP="0093011F">
      <w:pPr>
        <w:pStyle w:val="FootnoteText"/>
      </w:pPr>
      <w:r>
        <w:rPr>
          <w:rStyle w:val="FootnoteReference"/>
        </w:rPr>
        <w:footnoteRef/>
      </w:r>
      <w:r>
        <w:t xml:space="preserve"> Land is classified into four classes: pastoral (</w:t>
      </w:r>
      <w:proofErr w:type="spellStart"/>
      <w:r>
        <w:t>ie</w:t>
      </w:r>
      <w:proofErr w:type="spellEnd"/>
      <w:r>
        <w:t xml:space="preserve"> agriculture), exotic forest, native and urban.</w:t>
      </w:r>
    </w:p>
  </w:footnote>
  <w:footnote w:id="4">
    <w:p w14:paraId="12EE3642" w14:textId="77777777" w:rsidR="00D235A5" w:rsidRDefault="00D235A5" w:rsidP="0093011F">
      <w:pPr>
        <w:pStyle w:val="FootnoteText"/>
      </w:pPr>
      <w:r>
        <w:rPr>
          <w:rStyle w:val="FootnoteReference"/>
        </w:rPr>
        <w:footnoteRef/>
      </w:r>
      <w:r>
        <w:t xml:space="preserve"> </w:t>
      </w:r>
      <w:r w:rsidRPr="00FE63B2">
        <w:t>Ministry for the Environment &amp; Stats NZ (2019)</w:t>
      </w:r>
    </w:p>
  </w:footnote>
  <w:footnote w:id="5">
    <w:p w14:paraId="57A44A95" w14:textId="77777777" w:rsidR="00D235A5" w:rsidRDefault="00D235A5" w:rsidP="0093011F">
      <w:pPr>
        <w:pStyle w:val="FootnoteText"/>
      </w:pPr>
      <w:r>
        <w:rPr>
          <w:rStyle w:val="FootnoteReference"/>
        </w:rPr>
        <w:footnoteRef/>
      </w:r>
      <w:r>
        <w:t xml:space="preserve"> Ministry for the Environment (2019c)</w:t>
      </w:r>
    </w:p>
  </w:footnote>
  <w:footnote w:id="6">
    <w:p w14:paraId="54CE1057" w14:textId="77777777" w:rsidR="00D235A5" w:rsidRDefault="00D235A5" w:rsidP="0093011F">
      <w:pPr>
        <w:pStyle w:val="FootnoteText"/>
      </w:pPr>
      <w:r>
        <w:rPr>
          <w:rStyle w:val="FootnoteReference"/>
        </w:rPr>
        <w:footnoteRef/>
      </w:r>
      <w:r>
        <w:t xml:space="preserve"> Ministry for the Environment (2019a)</w:t>
      </w:r>
    </w:p>
  </w:footnote>
  <w:footnote w:id="7">
    <w:p w14:paraId="0055CE20" w14:textId="77777777" w:rsidR="00D235A5" w:rsidRDefault="00D235A5" w:rsidP="0093011F">
      <w:pPr>
        <w:pStyle w:val="FootnoteText"/>
      </w:pPr>
      <w:r>
        <w:rPr>
          <w:rStyle w:val="FootnoteReference"/>
        </w:rPr>
        <w:footnoteRef/>
      </w:r>
      <w:r>
        <w:t xml:space="preserve"> Ministry for the Environment (2019c)</w:t>
      </w:r>
    </w:p>
  </w:footnote>
  <w:footnote w:id="8">
    <w:p w14:paraId="76D1400B" w14:textId="77777777" w:rsidR="00D235A5" w:rsidRDefault="00D235A5" w:rsidP="0093011F">
      <w:pPr>
        <w:pStyle w:val="FootnoteText"/>
      </w:pPr>
      <w:r>
        <w:rPr>
          <w:rStyle w:val="FootnoteReference"/>
        </w:rPr>
        <w:footnoteRef/>
      </w:r>
      <w:r>
        <w:t xml:space="preserve"> The regulations would be </w:t>
      </w:r>
      <w:r w:rsidRPr="007B1575">
        <w:t>under Section 360 of the Resource Management Act</w:t>
      </w:r>
      <w:r>
        <w:t xml:space="preserve"> 1991.</w:t>
      </w:r>
    </w:p>
  </w:footnote>
  <w:footnote w:id="9">
    <w:p w14:paraId="5492DC75" w14:textId="77777777" w:rsidR="00D235A5" w:rsidRDefault="00D235A5" w:rsidP="0093011F">
      <w:pPr>
        <w:pStyle w:val="FootnoteText"/>
      </w:pPr>
      <w:r>
        <w:rPr>
          <w:rStyle w:val="FootnoteReference"/>
        </w:rPr>
        <w:footnoteRef/>
      </w:r>
      <w:r>
        <w:t xml:space="preserve"> An alternative set of values is provided by </w:t>
      </w:r>
      <w:proofErr w:type="spellStart"/>
      <w:r w:rsidRPr="000D779C">
        <w:t>Gluckman</w:t>
      </w:r>
      <w:proofErr w:type="spellEnd"/>
      <w:r w:rsidRPr="000D779C">
        <w:t xml:space="preserve"> (2017)</w:t>
      </w:r>
    </w:p>
  </w:footnote>
  <w:footnote w:id="10">
    <w:p w14:paraId="2120637A" w14:textId="77777777" w:rsidR="00D235A5" w:rsidRDefault="00D235A5" w:rsidP="0093011F">
      <w:pPr>
        <w:pStyle w:val="FootnoteText"/>
      </w:pPr>
      <w:r>
        <w:rPr>
          <w:rStyle w:val="FootnoteReference"/>
        </w:rPr>
        <w:footnoteRef/>
      </w:r>
      <w:r>
        <w:t xml:space="preserve"> Sharp and Kerr (2005)</w:t>
      </w:r>
    </w:p>
  </w:footnote>
  <w:footnote w:id="11">
    <w:p w14:paraId="7294F32B" w14:textId="77777777" w:rsidR="00D235A5" w:rsidRDefault="00D235A5" w:rsidP="0093011F">
      <w:pPr>
        <w:pStyle w:val="FootnoteText"/>
      </w:pPr>
      <w:r>
        <w:rPr>
          <w:rStyle w:val="FootnoteReference"/>
        </w:rPr>
        <w:footnoteRef/>
      </w:r>
      <w:r>
        <w:t xml:space="preserve"> </w:t>
      </w:r>
      <w:r w:rsidRPr="009D4099">
        <w:t>Arthur Pigou (1932) argued that someone’s satisfaction obtained from consuming this year rather than next, is balanced by the satisfaction obtained next year from consuming then, rather than this year! He suggests “</w:t>
      </w:r>
      <w:r w:rsidRPr="009D4099">
        <w:rPr>
          <w:i/>
          <w:iCs/>
        </w:rPr>
        <w:t>it implies that people distribute their resources between the present, the near future and the remote future on the basis of a wholly irrational preference</w:t>
      </w:r>
      <w:r w:rsidRPr="009D4099">
        <w:t>”</w:t>
      </w:r>
      <w:r>
        <w:t xml:space="preserve"> (p25).</w:t>
      </w:r>
    </w:p>
  </w:footnote>
  <w:footnote w:id="12">
    <w:p w14:paraId="5741AD22" w14:textId="77777777" w:rsidR="00D235A5" w:rsidRPr="003805E0" w:rsidRDefault="00D235A5" w:rsidP="0093011F">
      <w:pPr>
        <w:pStyle w:val="FootnoteText"/>
      </w:pPr>
      <w:r>
        <w:rPr>
          <w:rStyle w:val="FootnoteReference"/>
        </w:rPr>
        <w:footnoteRef/>
      </w:r>
      <w:r>
        <w:t xml:space="preserve"> Arrow </w:t>
      </w:r>
      <w:r>
        <w:rPr>
          <w:i/>
          <w:iCs/>
        </w:rPr>
        <w:t>et al</w:t>
      </w:r>
      <w:r>
        <w:t xml:space="preserve"> (1995)</w:t>
      </w:r>
    </w:p>
  </w:footnote>
  <w:footnote w:id="13">
    <w:p w14:paraId="0D9BDC94" w14:textId="77777777" w:rsidR="00D235A5" w:rsidRDefault="00D235A5" w:rsidP="0093011F">
      <w:pPr>
        <w:pStyle w:val="FootnoteText"/>
      </w:pPr>
      <w:r>
        <w:rPr>
          <w:rStyle w:val="FootnoteReference"/>
        </w:rPr>
        <w:footnoteRef/>
      </w:r>
      <w:r>
        <w:t xml:space="preserve"> Stern (2006)</w:t>
      </w:r>
    </w:p>
  </w:footnote>
  <w:footnote w:id="14">
    <w:p w14:paraId="2F69CA78" w14:textId="77777777" w:rsidR="00D235A5" w:rsidRDefault="00D235A5" w:rsidP="0093011F">
      <w:pPr>
        <w:pStyle w:val="FootnoteText"/>
      </w:pPr>
      <w:r>
        <w:rPr>
          <w:rStyle w:val="FootnoteReference"/>
        </w:rPr>
        <w:footnoteRef/>
      </w:r>
      <w:r>
        <w:t xml:space="preserve"> Recent analyses in the context of climate change have questioned this assumption.</w:t>
      </w:r>
    </w:p>
  </w:footnote>
  <w:footnote w:id="15">
    <w:p w14:paraId="088939FC" w14:textId="77777777" w:rsidR="00D235A5" w:rsidRDefault="00D235A5" w:rsidP="0093011F">
      <w:pPr>
        <w:pStyle w:val="FootnoteText"/>
      </w:pPr>
      <w:r>
        <w:rPr>
          <w:rStyle w:val="FootnoteReference"/>
        </w:rPr>
        <w:footnoteRef/>
      </w:r>
      <w:r>
        <w:t xml:space="preserve"> </w:t>
      </w:r>
      <w:r w:rsidRPr="00B026F2">
        <w:t>NZ Treasury (2015)</w:t>
      </w:r>
    </w:p>
  </w:footnote>
  <w:footnote w:id="16">
    <w:p w14:paraId="13822A9A" w14:textId="77777777" w:rsidR="00D235A5" w:rsidRDefault="00D235A5" w:rsidP="0093011F">
      <w:pPr>
        <w:pStyle w:val="FootnoteText"/>
      </w:pPr>
      <w:r>
        <w:rPr>
          <w:rStyle w:val="FootnoteReference"/>
        </w:rPr>
        <w:footnoteRef/>
      </w:r>
      <w:r>
        <w:t xml:space="preserve"> </w:t>
      </w:r>
      <w:r w:rsidRPr="00B026F2">
        <w:t>https://treasury.govt.nz/information-and-services/state-sector-leadership/guidance/financial-reporting-policies-and-guidance/discount-rates</w:t>
      </w:r>
    </w:p>
  </w:footnote>
  <w:footnote w:id="17">
    <w:p w14:paraId="03A91650" w14:textId="77777777" w:rsidR="00D235A5" w:rsidRDefault="00D235A5" w:rsidP="0093011F">
      <w:pPr>
        <w:pStyle w:val="FootnoteText"/>
      </w:pPr>
      <w:r>
        <w:rPr>
          <w:rStyle w:val="FootnoteReference"/>
        </w:rPr>
        <w:footnoteRef/>
      </w:r>
      <w:r>
        <w:t xml:space="preserve"> </w:t>
      </w:r>
      <w:r w:rsidRPr="00596D19">
        <w:t>NZ Treasury (2019)</w:t>
      </w:r>
    </w:p>
  </w:footnote>
  <w:footnote w:id="18">
    <w:p w14:paraId="08C9AFAA" w14:textId="77777777" w:rsidR="00D235A5" w:rsidRDefault="00D235A5" w:rsidP="0093011F">
      <w:pPr>
        <w:pStyle w:val="FootnoteText"/>
      </w:pPr>
      <w:r>
        <w:rPr>
          <w:rStyle w:val="FootnoteReference"/>
        </w:rPr>
        <w:footnoteRef/>
      </w:r>
      <w:r>
        <w:t xml:space="preserve"> Ministry of Economic Development (2006)</w:t>
      </w:r>
    </w:p>
  </w:footnote>
  <w:footnote w:id="19">
    <w:p w14:paraId="3C64D3DE" w14:textId="77777777" w:rsidR="00D235A5" w:rsidRDefault="00D235A5" w:rsidP="0093011F">
      <w:pPr>
        <w:pStyle w:val="FootnoteText"/>
      </w:pPr>
      <w:r>
        <w:rPr>
          <w:rStyle w:val="FootnoteReference"/>
        </w:rPr>
        <w:footnoteRef/>
      </w:r>
      <w:r>
        <w:t xml:space="preserve"> Castalia (2006)</w:t>
      </w:r>
    </w:p>
  </w:footnote>
  <w:footnote w:id="20">
    <w:p w14:paraId="0320AD97" w14:textId="77777777" w:rsidR="00D235A5" w:rsidRDefault="00D235A5" w:rsidP="0093011F">
      <w:pPr>
        <w:pStyle w:val="FootnoteText"/>
      </w:pPr>
      <w:r>
        <w:rPr>
          <w:rStyle w:val="FootnoteReference"/>
        </w:rPr>
        <w:footnoteRef/>
      </w:r>
      <w:r>
        <w:t xml:space="preserve"> </w:t>
      </w:r>
      <w:r w:rsidRPr="00E17A23">
        <w:t>Parker (2009)</w:t>
      </w:r>
    </w:p>
  </w:footnote>
  <w:footnote w:id="21">
    <w:p w14:paraId="17B02757" w14:textId="77777777" w:rsidR="00D235A5" w:rsidRDefault="00D235A5" w:rsidP="0093011F">
      <w:pPr>
        <w:pStyle w:val="FootnoteText"/>
      </w:pPr>
      <w:r>
        <w:rPr>
          <w:rStyle w:val="FootnoteReference"/>
        </w:rPr>
        <w:footnoteRef/>
      </w:r>
      <w:r>
        <w:t xml:space="preserve"> Chief Economist Unit (2013)</w:t>
      </w:r>
    </w:p>
  </w:footnote>
  <w:footnote w:id="22">
    <w:p w14:paraId="5BE1F1E6" w14:textId="77777777" w:rsidR="00D235A5" w:rsidRDefault="00D235A5" w:rsidP="0093011F">
      <w:pPr>
        <w:pStyle w:val="FootnoteText"/>
      </w:pPr>
      <w:r>
        <w:rPr>
          <w:rStyle w:val="FootnoteReference"/>
        </w:rPr>
        <w:footnoteRef/>
      </w:r>
      <w:r>
        <w:t xml:space="preserve"> intrinsic values are defined in the RMA (Article 2) in relation to ecosystems as “</w:t>
      </w:r>
      <w:r w:rsidRPr="00836190">
        <w:t>those aspects of ecosystems and their constituent parts which have value in their own right, including—(a) their biological and genetic diversity; and</w:t>
      </w:r>
      <w:r>
        <w:t xml:space="preserve"> </w:t>
      </w:r>
      <w:r w:rsidRPr="00836190">
        <w:t>(b) the essential characteristics that determine an ecosystem’s integrity, form, functioning, and resilience</w:t>
      </w:r>
      <w:r>
        <w:t>”</w:t>
      </w:r>
    </w:p>
  </w:footnote>
  <w:footnote w:id="23">
    <w:p w14:paraId="0609E55E" w14:textId="77777777" w:rsidR="00D235A5" w:rsidRPr="00373AD4" w:rsidRDefault="00D235A5" w:rsidP="0093011F">
      <w:pPr>
        <w:pStyle w:val="FootnoteText"/>
      </w:pPr>
      <w:r>
        <w:rPr>
          <w:rStyle w:val="FootnoteReference"/>
        </w:rPr>
        <w:footnoteRef/>
      </w:r>
      <w:r>
        <w:t xml:space="preserve"> See discussions of the difference between WTP and willingness to accept (WTA) compensation, </w:t>
      </w:r>
      <w:proofErr w:type="spellStart"/>
      <w:r>
        <w:t>eg</w:t>
      </w:r>
      <w:proofErr w:type="spellEnd"/>
      <w:r>
        <w:t xml:space="preserve"> in Pearce </w:t>
      </w:r>
      <w:r>
        <w:rPr>
          <w:i/>
          <w:iCs/>
        </w:rPr>
        <w:t>et al</w:t>
      </w:r>
      <w:r>
        <w:t xml:space="preserve"> (2006)</w:t>
      </w:r>
    </w:p>
  </w:footnote>
  <w:footnote w:id="24">
    <w:p w14:paraId="44B0EE56" w14:textId="77777777" w:rsidR="00D235A5" w:rsidRDefault="00D235A5" w:rsidP="0093011F">
      <w:pPr>
        <w:pStyle w:val="FootnoteText"/>
      </w:pPr>
      <w:r>
        <w:rPr>
          <w:rStyle w:val="FootnoteReference"/>
        </w:rPr>
        <w:footnoteRef/>
      </w:r>
      <w:r>
        <w:t xml:space="preserve"> </w:t>
      </w:r>
      <w:proofErr w:type="spellStart"/>
      <w:r>
        <w:t>Sagoff</w:t>
      </w:r>
      <w:proofErr w:type="spellEnd"/>
      <w:r>
        <w:t xml:space="preserve"> (1988); Wilson and Howarth (2002); </w:t>
      </w:r>
      <w:r w:rsidRPr="00497A34">
        <w:t xml:space="preserve">Lo and </w:t>
      </w:r>
      <w:proofErr w:type="spellStart"/>
      <w:r w:rsidRPr="00497A34">
        <w:t>Spash</w:t>
      </w:r>
      <w:proofErr w:type="spellEnd"/>
      <w:r w:rsidRPr="00497A34">
        <w:t xml:space="preserve"> (2011)</w:t>
      </w:r>
      <w:r>
        <w:t>; Turner (2006)</w:t>
      </w:r>
    </w:p>
  </w:footnote>
  <w:footnote w:id="25">
    <w:p w14:paraId="52B43301" w14:textId="77777777" w:rsidR="00D235A5" w:rsidRDefault="00D235A5" w:rsidP="0093011F">
      <w:pPr>
        <w:pStyle w:val="FootnoteText"/>
      </w:pPr>
      <w:r>
        <w:rPr>
          <w:rStyle w:val="FootnoteReference"/>
        </w:rPr>
        <w:footnoteRef/>
      </w:r>
      <w:r>
        <w:t xml:space="preserve"> </w:t>
      </w:r>
      <w:proofErr w:type="spellStart"/>
      <w:r w:rsidRPr="009F7B3D">
        <w:t>Semadeni</w:t>
      </w:r>
      <w:proofErr w:type="spellEnd"/>
      <w:r w:rsidRPr="009F7B3D">
        <w:t>-Davies and Elliott (2016)</w:t>
      </w:r>
    </w:p>
  </w:footnote>
  <w:footnote w:id="26">
    <w:p w14:paraId="66159E6E" w14:textId="77777777" w:rsidR="00D235A5" w:rsidRDefault="00D235A5" w:rsidP="0093011F">
      <w:pPr>
        <w:pStyle w:val="FootnoteText"/>
      </w:pPr>
      <w:r>
        <w:rPr>
          <w:rStyle w:val="FootnoteReference"/>
        </w:rPr>
        <w:footnoteRef/>
      </w:r>
      <w:r>
        <w:t xml:space="preserve"> </w:t>
      </w:r>
      <w:bookmarkStart w:id="37" w:name="_Hlk34294751"/>
      <w:proofErr w:type="spellStart"/>
      <w:r>
        <w:t>Grinter</w:t>
      </w:r>
      <w:proofErr w:type="spellEnd"/>
      <w:r>
        <w:t xml:space="preserve"> and White (2016)</w:t>
      </w:r>
      <w:bookmarkEnd w:id="37"/>
    </w:p>
  </w:footnote>
  <w:footnote w:id="27">
    <w:p w14:paraId="666BBF78" w14:textId="77777777" w:rsidR="00D235A5" w:rsidRPr="0003533B" w:rsidRDefault="00D235A5" w:rsidP="0093011F">
      <w:pPr>
        <w:pStyle w:val="FootnoteText"/>
      </w:pPr>
      <w:r>
        <w:rPr>
          <w:rStyle w:val="FootnoteReference"/>
        </w:rPr>
        <w:footnoteRef/>
      </w:r>
      <w:r>
        <w:t xml:space="preserve"> </w:t>
      </w:r>
      <w:r w:rsidRPr="0003533B">
        <w:t>The estimated total benefits ($983.4m) correspond to the benefits of $1,847m in Ta</w:t>
      </w:r>
      <w:r>
        <w:t>i</w:t>
      </w:r>
      <w:r w:rsidRPr="0003533B">
        <w:t>t et al (2016) minus the status quo benefits ($863.6m)</w:t>
      </w:r>
      <w:r>
        <w:t xml:space="preserve"> – see Tables 7 and 8 in Tait </w:t>
      </w:r>
      <w:r>
        <w:rPr>
          <w:i/>
          <w:iCs/>
        </w:rPr>
        <w:t>et al</w:t>
      </w:r>
      <w:r>
        <w:t>.</w:t>
      </w:r>
    </w:p>
  </w:footnote>
  <w:footnote w:id="28">
    <w:p w14:paraId="4E9D52CF" w14:textId="77777777" w:rsidR="00D235A5" w:rsidRDefault="00D235A5" w:rsidP="0093011F">
      <w:pPr>
        <w:pStyle w:val="FootnoteText"/>
      </w:pPr>
      <w:r>
        <w:rPr>
          <w:rStyle w:val="FootnoteReference"/>
        </w:rPr>
        <w:footnoteRef/>
      </w:r>
      <w:r>
        <w:t xml:space="preserve"> Ministry for the Environment (2019c)</w:t>
      </w:r>
    </w:p>
  </w:footnote>
  <w:footnote w:id="29">
    <w:p w14:paraId="047E9E7A" w14:textId="77777777" w:rsidR="00D235A5" w:rsidRDefault="00D235A5" w:rsidP="0093011F">
      <w:pPr>
        <w:pStyle w:val="FootnoteText"/>
      </w:pPr>
      <w:r>
        <w:rPr>
          <w:rStyle w:val="FootnoteReference"/>
        </w:rPr>
        <w:footnoteRef/>
      </w:r>
      <w:r>
        <w:t xml:space="preserve"> </w:t>
      </w:r>
      <w:hyperlink r:id="rId1" w:history="1">
        <w:r w:rsidRPr="00CF54BA">
          <w:rPr>
            <w:rStyle w:val="Hyperlink"/>
            <w:rFonts w:asciiTheme="minorHAnsi" w:hAnsiTheme="minorHAnsi"/>
          </w:rPr>
          <w:t>https://www.lawa.org.nz/download-data</w:t>
        </w:r>
      </w:hyperlink>
      <w:r>
        <w:t xml:space="preserve"> </w:t>
      </w:r>
    </w:p>
  </w:footnote>
  <w:footnote w:id="30">
    <w:p w14:paraId="0892688B" w14:textId="77777777" w:rsidR="00D235A5" w:rsidRDefault="00D235A5" w:rsidP="0093011F">
      <w:pPr>
        <w:pStyle w:val="FootnoteText"/>
      </w:pPr>
      <w:r>
        <w:rPr>
          <w:rStyle w:val="FootnoteReference"/>
        </w:rPr>
        <w:footnoteRef/>
      </w:r>
      <w:r>
        <w:t xml:space="preserve"> The data are taken from ESR (2019)</w:t>
      </w:r>
    </w:p>
  </w:footnote>
  <w:footnote w:id="31">
    <w:p w14:paraId="73C15524" w14:textId="77777777" w:rsidR="00D235A5" w:rsidRDefault="00D235A5" w:rsidP="0093011F">
      <w:pPr>
        <w:pStyle w:val="FootnoteText"/>
      </w:pPr>
      <w:r>
        <w:rPr>
          <w:rStyle w:val="FootnoteReference"/>
        </w:rPr>
        <w:footnoteRef/>
      </w:r>
      <w:r>
        <w:t xml:space="preserve"> </w:t>
      </w:r>
      <w:r w:rsidRPr="00796AA3">
        <w:t>https://www.health.govt.nz/our-work/diseases-and-conditions/notifiable-diseases</w:t>
      </w:r>
    </w:p>
  </w:footnote>
  <w:footnote w:id="32">
    <w:p w14:paraId="5AEC2C34" w14:textId="77777777" w:rsidR="00D235A5" w:rsidRDefault="00D235A5" w:rsidP="0093011F">
      <w:pPr>
        <w:pStyle w:val="FootnoteText"/>
      </w:pPr>
      <w:r>
        <w:rPr>
          <w:rStyle w:val="FootnoteReference"/>
        </w:rPr>
        <w:footnoteRef/>
      </w:r>
      <w:r>
        <w:t xml:space="preserve"> 4,512 = 6,482 – 1,970</w:t>
      </w:r>
    </w:p>
  </w:footnote>
  <w:footnote w:id="33">
    <w:p w14:paraId="3168B6E9" w14:textId="77777777" w:rsidR="00D235A5" w:rsidRPr="00D85C06" w:rsidRDefault="00D235A5" w:rsidP="0093011F">
      <w:pPr>
        <w:pStyle w:val="FootnoteText"/>
      </w:pPr>
      <w:r>
        <w:rPr>
          <w:rStyle w:val="FootnoteReference"/>
        </w:rPr>
        <w:footnoteRef/>
      </w:r>
      <w:r>
        <w:t xml:space="preserve"> Moore </w:t>
      </w:r>
      <w:r>
        <w:rPr>
          <w:i/>
          <w:iCs/>
        </w:rPr>
        <w:t>et al</w:t>
      </w:r>
      <w:r>
        <w:t xml:space="preserve"> (2017)</w:t>
      </w:r>
    </w:p>
  </w:footnote>
  <w:footnote w:id="34">
    <w:p w14:paraId="193DD154" w14:textId="77777777" w:rsidR="00D235A5" w:rsidRPr="002E429E" w:rsidRDefault="00D235A5" w:rsidP="0093011F">
      <w:pPr>
        <w:pStyle w:val="FootnoteText"/>
      </w:pPr>
      <w:r>
        <w:rPr>
          <w:rStyle w:val="FootnoteReference"/>
        </w:rPr>
        <w:footnoteRef/>
      </w:r>
      <w:r>
        <w:t xml:space="preserve"> Lake </w:t>
      </w:r>
      <w:r>
        <w:rPr>
          <w:i/>
          <w:iCs/>
        </w:rPr>
        <w:t>et al</w:t>
      </w:r>
      <w:r>
        <w:t xml:space="preserve"> (2009)</w:t>
      </w:r>
    </w:p>
  </w:footnote>
  <w:footnote w:id="35">
    <w:p w14:paraId="73943E55" w14:textId="77777777" w:rsidR="00D235A5" w:rsidRPr="00D85C06" w:rsidRDefault="00D235A5" w:rsidP="0093011F">
      <w:pPr>
        <w:pStyle w:val="FootnoteText"/>
      </w:pPr>
      <w:r>
        <w:rPr>
          <w:rStyle w:val="FootnoteReference"/>
        </w:rPr>
        <w:footnoteRef/>
      </w:r>
      <w:r>
        <w:t xml:space="preserve"> Moore </w:t>
      </w:r>
      <w:r>
        <w:rPr>
          <w:i/>
          <w:iCs/>
        </w:rPr>
        <w:t>et al</w:t>
      </w:r>
      <w:r>
        <w:t xml:space="preserve"> (2017)</w:t>
      </w:r>
    </w:p>
  </w:footnote>
  <w:footnote w:id="36">
    <w:p w14:paraId="19283346" w14:textId="77777777" w:rsidR="00D235A5" w:rsidRPr="005933A5" w:rsidRDefault="00D235A5" w:rsidP="0093011F">
      <w:pPr>
        <w:pStyle w:val="FootnoteText"/>
      </w:pPr>
      <w:r>
        <w:rPr>
          <w:rStyle w:val="FootnoteReference"/>
        </w:rPr>
        <w:footnoteRef/>
      </w:r>
      <w:r>
        <w:t xml:space="preserve"> </w:t>
      </w:r>
      <w:proofErr w:type="spellStart"/>
      <w:r>
        <w:t>Neverman</w:t>
      </w:r>
      <w:proofErr w:type="spellEnd"/>
      <w:r>
        <w:t xml:space="preserve"> </w:t>
      </w:r>
      <w:r>
        <w:rPr>
          <w:i/>
          <w:iCs/>
        </w:rPr>
        <w:t>et al</w:t>
      </w:r>
      <w:r>
        <w:t xml:space="preserve"> (2019)</w:t>
      </w:r>
    </w:p>
  </w:footnote>
  <w:footnote w:id="37">
    <w:p w14:paraId="3643C997" w14:textId="77777777" w:rsidR="00D235A5" w:rsidRPr="005933A5" w:rsidRDefault="00D235A5" w:rsidP="0093011F">
      <w:pPr>
        <w:pStyle w:val="FootnoteText"/>
      </w:pPr>
      <w:r>
        <w:rPr>
          <w:rStyle w:val="FootnoteReference"/>
        </w:rPr>
        <w:footnoteRef/>
      </w:r>
      <w:r>
        <w:t xml:space="preserve"> Hicks </w:t>
      </w:r>
      <w:r>
        <w:rPr>
          <w:i/>
          <w:iCs/>
        </w:rPr>
        <w:t>et al</w:t>
      </w:r>
      <w:r>
        <w:t xml:space="preserve"> (2019)</w:t>
      </w:r>
    </w:p>
  </w:footnote>
  <w:footnote w:id="38">
    <w:p w14:paraId="6199726E" w14:textId="77777777" w:rsidR="00D235A5" w:rsidRPr="003D79B8" w:rsidRDefault="00D235A5" w:rsidP="0093011F">
      <w:pPr>
        <w:pStyle w:val="FootnoteText"/>
      </w:pPr>
      <w:r>
        <w:rPr>
          <w:rStyle w:val="FootnoteReference"/>
        </w:rPr>
        <w:footnoteRef/>
      </w:r>
      <w:r>
        <w:t xml:space="preserve"> Tait </w:t>
      </w:r>
      <w:r>
        <w:rPr>
          <w:i/>
          <w:iCs/>
        </w:rPr>
        <w:t>et al</w:t>
      </w:r>
      <w:r>
        <w:t xml:space="preserve"> (2016) used the adult population multiplied by 79% to account for the 21% of respondents who had a WTP of zero.</w:t>
      </w:r>
    </w:p>
  </w:footnote>
  <w:footnote w:id="39">
    <w:p w14:paraId="56C7D83A" w14:textId="77777777" w:rsidR="00D235A5" w:rsidRDefault="00D235A5" w:rsidP="0093011F">
      <w:pPr>
        <w:pStyle w:val="FootnoteText"/>
      </w:pPr>
      <w:r>
        <w:rPr>
          <w:rStyle w:val="FootnoteReference"/>
        </w:rPr>
        <w:footnoteRef/>
      </w:r>
      <w:r>
        <w:t xml:space="preserve"> Adler (2016)</w:t>
      </w:r>
    </w:p>
  </w:footnote>
  <w:footnote w:id="40">
    <w:p w14:paraId="4BBF02FC" w14:textId="77777777" w:rsidR="00D235A5" w:rsidRDefault="00D235A5" w:rsidP="0093011F">
      <w:pPr>
        <w:pStyle w:val="FootnoteText"/>
      </w:pPr>
      <w:r>
        <w:rPr>
          <w:rStyle w:val="FootnoteReference"/>
        </w:rPr>
        <w:footnoteRef/>
      </w:r>
      <w:r>
        <w:t xml:space="preserve"> NZ Treasury (2015), p47</w:t>
      </w:r>
    </w:p>
  </w:footnote>
  <w:footnote w:id="41">
    <w:p w14:paraId="79E2562F" w14:textId="77777777" w:rsidR="00D235A5" w:rsidRDefault="00D235A5" w:rsidP="0093011F">
      <w:pPr>
        <w:pStyle w:val="FootnoteText"/>
      </w:pPr>
      <w:r>
        <w:rPr>
          <w:rStyle w:val="FootnoteReference"/>
        </w:rPr>
        <w:footnoteRef/>
      </w:r>
      <w:r>
        <w:t xml:space="preserve"> See, for example, </w:t>
      </w:r>
      <w:r w:rsidRPr="00E0521A">
        <w:t xml:space="preserve">Kerr &amp; </w:t>
      </w:r>
      <w:proofErr w:type="spellStart"/>
      <w:r w:rsidRPr="00E0521A">
        <w:t>Swaffield</w:t>
      </w:r>
      <w:proofErr w:type="spellEnd"/>
      <w:r w:rsidRPr="00E0521A">
        <w:t xml:space="preserve"> (2007); Marsh and Phillips (2012); Sheppard et al (1993)</w:t>
      </w:r>
    </w:p>
  </w:footnote>
  <w:footnote w:id="42">
    <w:p w14:paraId="7B1144B4" w14:textId="77777777" w:rsidR="00D235A5" w:rsidRDefault="00D235A5" w:rsidP="0093011F">
      <w:pPr>
        <w:pStyle w:val="FootnoteText"/>
      </w:pPr>
      <w:r>
        <w:rPr>
          <w:rStyle w:val="FootnoteReference"/>
        </w:rPr>
        <w:footnoteRef/>
      </w:r>
      <w:r>
        <w:t xml:space="preserve"> </w:t>
      </w:r>
      <w:r w:rsidRPr="00D91663">
        <w:t xml:space="preserve">Sharp and Kerr </w:t>
      </w:r>
      <w:r>
        <w:t>(</w:t>
      </w:r>
      <w:r w:rsidRPr="00D91663">
        <w:t>2005</w:t>
      </w:r>
      <w:r>
        <w:t>)</w:t>
      </w:r>
      <w:r w:rsidRPr="00D91663">
        <w:t xml:space="preserve">; </w:t>
      </w:r>
      <w:proofErr w:type="spellStart"/>
      <w:r w:rsidRPr="00D91663">
        <w:t>Barbera</w:t>
      </w:r>
      <w:proofErr w:type="spellEnd"/>
      <w:r w:rsidRPr="00D91663">
        <w:t xml:space="preserve"> </w:t>
      </w:r>
      <w:r>
        <w:t>(</w:t>
      </w:r>
      <w:r w:rsidRPr="00D91663">
        <w:t>2010)</w:t>
      </w:r>
    </w:p>
  </w:footnote>
  <w:footnote w:id="43">
    <w:p w14:paraId="6085A280" w14:textId="77777777" w:rsidR="00D235A5" w:rsidRDefault="00D235A5" w:rsidP="0093011F">
      <w:pPr>
        <w:pStyle w:val="FootnoteText"/>
      </w:pPr>
      <w:r>
        <w:rPr>
          <w:rStyle w:val="FootnoteReference"/>
        </w:rPr>
        <w:footnoteRef/>
      </w:r>
      <w:r>
        <w:t xml:space="preserve"> </w:t>
      </w:r>
      <w:r w:rsidRPr="00D91663">
        <w:t xml:space="preserve">Sharp and Kerr </w:t>
      </w:r>
      <w:r>
        <w:t>(</w:t>
      </w:r>
      <w:r w:rsidRPr="00D91663">
        <w:t>2005)</w:t>
      </w:r>
    </w:p>
  </w:footnote>
  <w:footnote w:id="44">
    <w:p w14:paraId="01B8051C" w14:textId="77777777" w:rsidR="00D235A5" w:rsidRDefault="00D235A5" w:rsidP="0093011F">
      <w:pPr>
        <w:pStyle w:val="FootnoteText"/>
      </w:pPr>
      <w:r>
        <w:rPr>
          <w:rStyle w:val="FootnoteReference"/>
        </w:rPr>
        <w:footnoteRef/>
      </w:r>
      <w:r>
        <w:t xml:space="preserve"> </w:t>
      </w:r>
      <w:r w:rsidRPr="00BF6106">
        <w:t xml:space="preserve">Rolfe </w:t>
      </w:r>
      <w:r w:rsidRPr="00BF6106">
        <w:rPr>
          <w:i/>
          <w:iCs/>
        </w:rPr>
        <w:t>et al</w:t>
      </w:r>
      <w:r w:rsidRPr="00BF6106">
        <w:t xml:space="preserve"> (2015); Kerr and Sharp (2003a)</w:t>
      </w:r>
    </w:p>
  </w:footnote>
  <w:footnote w:id="45">
    <w:p w14:paraId="0BA8B946" w14:textId="77777777" w:rsidR="00D235A5" w:rsidRDefault="00D235A5" w:rsidP="0093011F">
      <w:pPr>
        <w:pStyle w:val="FootnoteText"/>
      </w:pPr>
      <w:r>
        <w:rPr>
          <w:rStyle w:val="FootnoteReference"/>
        </w:rPr>
        <w:footnoteRef/>
      </w:r>
      <w:r>
        <w:t xml:space="preserve"> </w:t>
      </w:r>
      <w:r w:rsidRPr="00BB28C2">
        <w:t xml:space="preserve">Denne </w:t>
      </w:r>
      <w:r w:rsidRPr="00BB28C2">
        <w:rPr>
          <w:i/>
          <w:iCs/>
        </w:rPr>
        <w:t>et al</w:t>
      </w:r>
      <w:r>
        <w:t xml:space="preserve"> (</w:t>
      </w:r>
      <w:r w:rsidRPr="00BB28C2">
        <w:t>2011)</w:t>
      </w:r>
    </w:p>
  </w:footnote>
  <w:footnote w:id="46">
    <w:p w14:paraId="62D86B73" w14:textId="77777777" w:rsidR="00D235A5" w:rsidRDefault="00D235A5" w:rsidP="0093011F">
      <w:pPr>
        <w:pStyle w:val="FootnoteText"/>
      </w:pPr>
      <w:r>
        <w:rPr>
          <w:rStyle w:val="FootnoteReference"/>
        </w:rPr>
        <w:footnoteRef/>
      </w:r>
      <w:r>
        <w:t xml:space="preserve"> </w:t>
      </w:r>
      <w:r w:rsidRPr="00BB28C2">
        <w:t xml:space="preserve">Denne </w:t>
      </w:r>
      <w:r w:rsidRPr="00BB28C2">
        <w:rPr>
          <w:i/>
          <w:iCs/>
        </w:rPr>
        <w:t>et al</w:t>
      </w:r>
      <w:r>
        <w:t xml:space="preserve"> (</w:t>
      </w:r>
      <w:r w:rsidRPr="00BB28C2">
        <w:t>201</w:t>
      </w:r>
      <w:r>
        <w:t>3</w:t>
      </w:r>
      <w:r w:rsidRPr="00BB28C2">
        <w:t>)</w:t>
      </w:r>
    </w:p>
  </w:footnote>
  <w:footnote w:id="47">
    <w:p w14:paraId="239F1461" w14:textId="77777777" w:rsidR="00D235A5" w:rsidRDefault="00D235A5" w:rsidP="0093011F">
      <w:pPr>
        <w:pStyle w:val="FootnoteText"/>
      </w:pPr>
      <w:r>
        <w:rPr>
          <w:rStyle w:val="FootnoteReference"/>
        </w:rPr>
        <w:footnoteRef/>
      </w:r>
      <w:r>
        <w:t xml:space="preserve"> </w:t>
      </w:r>
      <w:r w:rsidRPr="00903BB5">
        <w:t xml:space="preserve">Marsh and </w:t>
      </w:r>
      <w:proofErr w:type="spellStart"/>
      <w:r w:rsidRPr="00903BB5">
        <w:t>Mkwara</w:t>
      </w:r>
      <w:proofErr w:type="spellEnd"/>
      <w:r w:rsidRPr="00903BB5">
        <w:t xml:space="preserve"> (2013</w:t>
      </w:r>
      <w:r>
        <w:t>)</w:t>
      </w:r>
    </w:p>
  </w:footnote>
  <w:footnote w:id="48">
    <w:p w14:paraId="28DD903A" w14:textId="77777777" w:rsidR="00D235A5" w:rsidRDefault="00D235A5" w:rsidP="0093011F">
      <w:pPr>
        <w:pStyle w:val="FootnoteText"/>
      </w:pPr>
      <w:r>
        <w:rPr>
          <w:rStyle w:val="FootnoteReference"/>
        </w:rPr>
        <w:footnoteRef/>
      </w:r>
      <w:r>
        <w:t xml:space="preserve"> See, for example, </w:t>
      </w:r>
      <w:r w:rsidRPr="00DE6296">
        <w:t>Marsh (2010)</w:t>
      </w:r>
      <w:r>
        <w:t xml:space="preserve"> and </w:t>
      </w:r>
      <w:proofErr w:type="spellStart"/>
      <w:r w:rsidRPr="00DE6296">
        <w:t>Mkwara</w:t>
      </w:r>
      <w:proofErr w:type="spellEnd"/>
      <w:r w:rsidRPr="00DE6296">
        <w:t xml:space="preserve"> and Marsh (2011) in Marsh and </w:t>
      </w:r>
      <w:proofErr w:type="spellStart"/>
      <w:r w:rsidRPr="00DE6296">
        <w:t>Mkwara</w:t>
      </w:r>
      <w:proofErr w:type="spellEnd"/>
      <w:r w:rsidRPr="00DE6296">
        <w:t xml:space="preserve"> (2013)</w:t>
      </w:r>
    </w:p>
  </w:footnote>
  <w:footnote w:id="49">
    <w:p w14:paraId="56F2C361" w14:textId="77777777" w:rsidR="00D235A5" w:rsidRDefault="00D235A5" w:rsidP="0093011F">
      <w:pPr>
        <w:pStyle w:val="FootnoteText"/>
      </w:pPr>
      <w:r>
        <w:rPr>
          <w:rStyle w:val="FootnoteReference"/>
        </w:rPr>
        <w:footnoteRef/>
      </w:r>
      <w:r>
        <w:t xml:space="preserve"> </w:t>
      </w:r>
      <w:r w:rsidRPr="001A6A84">
        <w:t>: NZ Government (2017); Ministry for the Environment (2017; 2018)</w:t>
      </w:r>
    </w:p>
  </w:footnote>
  <w:footnote w:id="50">
    <w:p w14:paraId="3A3E56ED" w14:textId="77777777" w:rsidR="00D235A5" w:rsidRDefault="00D235A5" w:rsidP="0093011F">
      <w:pPr>
        <w:pStyle w:val="FootnoteText"/>
      </w:pPr>
      <w:r>
        <w:rPr>
          <w:rStyle w:val="FootnoteReference"/>
        </w:rPr>
        <w:footnoteRef/>
      </w:r>
      <w:r>
        <w:t xml:space="preserve"> Defined as “</w:t>
      </w:r>
      <w:r w:rsidRPr="00C60133">
        <w:t>Very high levels of nutrients and algae. Unsuitable for sensitive species.</w:t>
      </w:r>
      <w:r>
        <w:t>”</w:t>
      </w:r>
    </w:p>
  </w:footnote>
  <w:footnote w:id="51">
    <w:p w14:paraId="04999127" w14:textId="77777777" w:rsidR="00D235A5" w:rsidRDefault="00D235A5" w:rsidP="0093011F">
      <w:pPr>
        <w:pStyle w:val="FootnoteText"/>
      </w:pPr>
      <w:r>
        <w:rPr>
          <w:rStyle w:val="FootnoteReference"/>
        </w:rPr>
        <w:footnoteRef/>
      </w:r>
      <w:r>
        <w:t xml:space="preserve"> </w:t>
      </w:r>
      <w:r w:rsidRPr="006560E8">
        <w:t xml:space="preserve">A similar approach </w:t>
      </w:r>
      <w:r>
        <w:t xml:space="preserve">is </w:t>
      </w:r>
      <w:r w:rsidRPr="006560E8">
        <w:t>used by Marsh (2010).</w:t>
      </w:r>
    </w:p>
  </w:footnote>
  <w:footnote w:id="52">
    <w:p w14:paraId="12622A7C" w14:textId="77777777" w:rsidR="00D235A5" w:rsidRDefault="00D235A5" w:rsidP="0093011F">
      <w:pPr>
        <w:pStyle w:val="FootnoteText"/>
      </w:pPr>
      <w:r>
        <w:rPr>
          <w:rStyle w:val="FootnoteReference"/>
        </w:rPr>
        <w:footnoteRef/>
      </w:r>
      <w:r>
        <w:t xml:space="preserve"> See </w:t>
      </w:r>
      <w:r w:rsidRPr="00FC74FB">
        <w:t>Environment Canterbury (2016)</w:t>
      </w:r>
    </w:p>
  </w:footnote>
  <w:footnote w:id="53">
    <w:p w14:paraId="5B049C0E" w14:textId="77777777" w:rsidR="00D235A5" w:rsidRDefault="00D235A5" w:rsidP="0093011F">
      <w:pPr>
        <w:pStyle w:val="FootnoteText"/>
      </w:pPr>
      <w:r>
        <w:rPr>
          <w:rStyle w:val="FootnoteReference"/>
        </w:rPr>
        <w:footnoteRef/>
      </w:r>
      <w:r>
        <w:t xml:space="preserve"> These are </w:t>
      </w:r>
      <w:r w:rsidRPr="008618BD">
        <w:t>indigenous species that have traditionally been used for food, tools, or other resources</w:t>
      </w:r>
      <w:r>
        <w:t xml:space="preserve"> – see </w:t>
      </w:r>
      <w:r w:rsidRPr="008618BD">
        <w:t xml:space="preserve"> </w:t>
      </w:r>
      <w:hyperlink r:id="rId2" w:history="1">
        <w:r w:rsidRPr="0091373B">
          <w:rPr>
            <w:rStyle w:val="Hyperlink"/>
            <w:rFonts w:asciiTheme="minorHAnsi" w:hAnsiTheme="minorHAnsi"/>
          </w:rPr>
          <w:t>https://niwa.co.nz/our-science/freshwater/tools/kaitiaki_tools/species</w:t>
        </w:r>
      </w:hyperlink>
      <w:r>
        <w:t xml:space="preserve"> </w:t>
      </w:r>
    </w:p>
  </w:footnote>
  <w:footnote w:id="54">
    <w:p w14:paraId="5AE3AA17" w14:textId="77777777" w:rsidR="00D235A5" w:rsidRDefault="00D235A5" w:rsidP="0093011F">
      <w:pPr>
        <w:pStyle w:val="FootnoteText"/>
      </w:pPr>
      <w:r>
        <w:rPr>
          <w:rStyle w:val="FootnoteReference"/>
        </w:rPr>
        <w:footnoteRef/>
      </w:r>
      <w:r>
        <w:t xml:space="preserve"> </w:t>
      </w:r>
      <w:proofErr w:type="spellStart"/>
      <w:r w:rsidRPr="00342125">
        <w:t>Tipa</w:t>
      </w:r>
      <w:proofErr w:type="spellEnd"/>
      <w:r w:rsidRPr="00342125">
        <w:t xml:space="preserve"> and </w:t>
      </w:r>
      <w:proofErr w:type="spellStart"/>
      <w:r w:rsidRPr="00342125">
        <w:t>Teirney</w:t>
      </w:r>
      <w:proofErr w:type="spellEnd"/>
      <w:r w:rsidRPr="00342125">
        <w:t xml:space="preserve"> </w:t>
      </w:r>
      <w:r>
        <w:t>(</w:t>
      </w:r>
      <w:r w:rsidRPr="00342125">
        <w:t>2003)</w:t>
      </w:r>
    </w:p>
  </w:footnote>
  <w:footnote w:id="55">
    <w:p w14:paraId="6B01087F" w14:textId="77777777" w:rsidR="00D235A5" w:rsidRDefault="00D235A5" w:rsidP="0093011F">
      <w:pPr>
        <w:pStyle w:val="FootnoteText"/>
      </w:pPr>
      <w:r>
        <w:rPr>
          <w:rStyle w:val="FootnoteReference"/>
        </w:rPr>
        <w:footnoteRef/>
      </w:r>
      <w:r>
        <w:t xml:space="preserve"> </w:t>
      </w:r>
      <w:proofErr w:type="spellStart"/>
      <w:r w:rsidRPr="00BC7053">
        <w:t>NZ.Stat</w:t>
      </w:r>
      <w:proofErr w:type="spellEnd"/>
      <w:r w:rsidRPr="00BC7053">
        <w:t xml:space="preserve"> Subnational population projections, by age and sex, 2013(base)-2043 update</w:t>
      </w:r>
    </w:p>
  </w:footnote>
  <w:footnote w:id="56">
    <w:p w14:paraId="21AFEFAB" w14:textId="77777777" w:rsidR="00D235A5" w:rsidRPr="00B200BB" w:rsidRDefault="00D235A5" w:rsidP="0093011F">
      <w:pPr>
        <w:pStyle w:val="FootnoteText"/>
      </w:pPr>
      <w:r>
        <w:rPr>
          <w:rStyle w:val="FootnoteReference"/>
        </w:rPr>
        <w:footnoteRef/>
      </w:r>
      <w:r>
        <w:t xml:space="preserve"> This is the factor identified and used by Tait </w:t>
      </w:r>
      <w:r>
        <w:rPr>
          <w:i/>
          <w:iCs/>
        </w:rPr>
        <w:t>et al</w:t>
      </w:r>
      <w:r>
        <w:t xml:space="preserve"> (2016)</w:t>
      </w:r>
    </w:p>
  </w:footnote>
  <w:footnote w:id="57">
    <w:p w14:paraId="758A2C97" w14:textId="77777777" w:rsidR="00D235A5" w:rsidRDefault="00D235A5" w:rsidP="0093011F">
      <w:pPr>
        <w:pStyle w:val="FootnoteText"/>
      </w:pPr>
      <w:r>
        <w:rPr>
          <w:rStyle w:val="FootnoteReference"/>
        </w:rPr>
        <w:footnoteRef/>
      </w:r>
      <w:r>
        <w:t xml:space="preserve"> A</w:t>
      </w:r>
      <w:r w:rsidRPr="00C410AA">
        <w:t>ssessed by Hicks and Shankar (2020)</w:t>
      </w:r>
    </w:p>
  </w:footnote>
  <w:footnote w:id="58">
    <w:p w14:paraId="50DD82E8" w14:textId="77777777" w:rsidR="00D235A5" w:rsidRPr="0093011F" w:rsidRDefault="00D235A5" w:rsidP="0093011F">
      <w:pPr>
        <w:pStyle w:val="FootnoteText"/>
      </w:pPr>
      <w:r w:rsidRPr="0093011F">
        <w:rPr>
          <w:rStyle w:val="FootnoteReference"/>
          <w:vertAlign w:val="baseline"/>
        </w:rPr>
        <w:footnoteRef/>
      </w:r>
      <w:r w:rsidRPr="0093011F">
        <w:t xml:space="preserve"> World Health Organization (2011)</w:t>
      </w:r>
    </w:p>
  </w:footnote>
  <w:footnote w:id="59">
    <w:p w14:paraId="5CF3E767" w14:textId="77777777" w:rsidR="00D235A5" w:rsidRPr="0093011F" w:rsidRDefault="00D235A5" w:rsidP="0093011F">
      <w:pPr>
        <w:pStyle w:val="FootnoteText"/>
      </w:pPr>
      <w:r w:rsidRPr="0093011F">
        <w:rPr>
          <w:rStyle w:val="FootnoteReference"/>
          <w:vertAlign w:val="baseline"/>
        </w:rPr>
        <w:footnoteRef/>
      </w:r>
      <w:r w:rsidRPr="0093011F">
        <w:t xml:space="preserve"> </w:t>
      </w:r>
      <w:proofErr w:type="spellStart"/>
      <w:r w:rsidRPr="0093011F">
        <w:t>Schullehner</w:t>
      </w:r>
      <w:proofErr w:type="spellEnd"/>
      <w:r w:rsidRPr="0093011F">
        <w:t xml:space="preserve"> et al (2018)</w:t>
      </w:r>
    </w:p>
  </w:footnote>
  <w:footnote w:id="60">
    <w:p w14:paraId="1401548E" w14:textId="77777777" w:rsidR="00D235A5" w:rsidRPr="0093011F" w:rsidRDefault="00D235A5" w:rsidP="0093011F">
      <w:pPr>
        <w:pStyle w:val="FootnoteText"/>
      </w:pPr>
      <w:r w:rsidRPr="0093011F">
        <w:rPr>
          <w:rStyle w:val="FootnoteReference"/>
          <w:vertAlign w:val="baseline"/>
        </w:rPr>
        <w:footnoteRef/>
      </w:r>
      <w:r w:rsidRPr="0093011F">
        <w:t xml:space="preserve"> Exposure to high nitrate levels in drinking water may prevent the blood from delivering oxygen eff</w:t>
      </w:r>
      <w:r w:rsidRPr="0093011F">
        <w:softHyphen/>
        <w:t>ectively in the body: Canterbury District Health Board (2016)</w:t>
      </w:r>
    </w:p>
  </w:footnote>
  <w:footnote w:id="61">
    <w:p w14:paraId="121581E9" w14:textId="77777777" w:rsidR="00D235A5" w:rsidRPr="0093011F" w:rsidRDefault="00D235A5" w:rsidP="0093011F">
      <w:pPr>
        <w:pStyle w:val="FootnoteText"/>
      </w:pPr>
      <w:r w:rsidRPr="0093011F">
        <w:rPr>
          <w:rStyle w:val="FootnoteReference"/>
          <w:vertAlign w:val="baseline"/>
        </w:rPr>
        <w:footnoteRef/>
      </w:r>
      <w:r w:rsidRPr="0093011F">
        <w:t xml:space="preserve"> World Health Organization (2011)</w:t>
      </w:r>
    </w:p>
  </w:footnote>
  <w:footnote w:id="62">
    <w:p w14:paraId="5E259592" w14:textId="77777777" w:rsidR="00D235A5" w:rsidRPr="0093011F" w:rsidRDefault="00D235A5" w:rsidP="0093011F">
      <w:pPr>
        <w:pStyle w:val="FootnoteText"/>
      </w:pPr>
      <w:r w:rsidRPr="0093011F">
        <w:rPr>
          <w:rStyle w:val="FootnoteReference"/>
          <w:vertAlign w:val="baseline"/>
        </w:rPr>
        <w:footnoteRef/>
      </w:r>
      <w:r w:rsidRPr="0093011F">
        <w:t xml:space="preserve"> Ministry of Health (2007)</w:t>
      </w:r>
    </w:p>
  </w:footnote>
  <w:footnote w:id="63">
    <w:p w14:paraId="62E7D848" w14:textId="77777777" w:rsidR="00D235A5" w:rsidRPr="0093011F" w:rsidRDefault="00D235A5" w:rsidP="0093011F">
      <w:pPr>
        <w:pStyle w:val="FootnoteText"/>
      </w:pPr>
      <w:r w:rsidRPr="0093011F">
        <w:rPr>
          <w:rStyle w:val="FootnoteReference"/>
          <w:vertAlign w:val="baseline"/>
        </w:rPr>
        <w:footnoteRef/>
      </w:r>
      <w:r w:rsidRPr="0093011F">
        <w:t xml:space="preserve"> CH2M </w:t>
      </w:r>
      <w:proofErr w:type="spellStart"/>
      <w:r w:rsidRPr="0093011F">
        <w:t>Beca</w:t>
      </w:r>
      <w:proofErr w:type="spellEnd"/>
      <w:r w:rsidRPr="0093011F">
        <w:t xml:space="preserve"> Limited (2010); Jensen et al (2012)</w:t>
      </w:r>
    </w:p>
  </w:footnote>
  <w:footnote w:id="64">
    <w:p w14:paraId="73611E9D" w14:textId="77777777" w:rsidR="00D235A5" w:rsidRDefault="00D235A5" w:rsidP="0093011F">
      <w:pPr>
        <w:pStyle w:val="FootnoteText"/>
      </w:pPr>
      <w:r w:rsidRPr="0093011F">
        <w:rPr>
          <w:rStyle w:val="FootnoteReference"/>
          <w:vertAlign w:val="baseline"/>
        </w:rPr>
        <w:footnoteRef/>
      </w:r>
      <w:r w:rsidRPr="0093011F">
        <w:t xml:space="preserve"> Jensen et al (2012)</w:t>
      </w:r>
    </w:p>
  </w:footnote>
  <w:footnote w:id="65">
    <w:p w14:paraId="6FE072C8" w14:textId="77777777" w:rsidR="00D235A5" w:rsidRDefault="00D235A5" w:rsidP="0093011F">
      <w:pPr>
        <w:pStyle w:val="FootnoteText"/>
      </w:pPr>
      <w:r>
        <w:rPr>
          <w:rStyle w:val="FootnoteReference"/>
        </w:rPr>
        <w:footnoteRef/>
      </w:r>
      <w:r>
        <w:t xml:space="preserve"> US Bureau of </w:t>
      </w:r>
      <w:proofErr w:type="spellStart"/>
      <w:r>
        <w:t>Labor</w:t>
      </w:r>
      <w:proofErr w:type="spellEnd"/>
      <w:r>
        <w:t xml:space="preserve"> Statistics PPI (2010 = 189.7; 2020 = 196.5)</w:t>
      </w:r>
    </w:p>
  </w:footnote>
  <w:footnote w:id="66">
    <w:p w14:paraId="10A04557" w14:textId="77777777" w:rsidR="00D235A5" w:rsidRDefault="00D235A5" w:rsidP="0093011F">
      <w:pPr>
        <w:pStyle w:val="FootnoteText"/>
      </w:pPr>
      <w:r>
        <w:rPr>
          <w:rStyle w:val="FootnoteReference"/>
        </w:rPr>
        <w:footnoteRef/>
      </w:r>
      <w:r>
        <w:t xml:space="preserve"> Reserve Bank</w:t>
      </w:r>
    </w:p>
  </w:footnote>
  <w:footnote w:id="67">
    <w:p w14:paraId="6F90D69F" w14:textId="77777777" w:rsidR="00D235A5" w:rsidRDefault="00D235A5" w:rsidP="0093011F">
      <w:pPr>
        <w:pStyle w:val="FootnoteText"/>
      </w:pPr>
      <w:r>
        <w:rPr>
          <w:rStyle w:val="FootnoteReference"/>
        </w:rPr>
        <w:footnoteRef/>
      </w:r>
      <w:r>
        <w:t xml:space="preserve"> </w:t>
      </w:r>
      <w:proofErr w:type="spellStart"/>
      <w:r w:rsidRPr="00787919">
        <w:t>Scarpa</w:t>
      </w:r>
      <w:proofErr w:type="spellEnd"/>
      <w:r w:rsidRPr="00787919">
        <w:t xml:space="preserve"> (2003)</w:t>
      </w:r>
      <w:r>
        <w:t xml:space="preserve"> discusses this issue with respect to woodland recreation</w:t>
      </w:r>
    </w:p>
  </w:footnote>
  <w:footnote w:id="68">
    <w:p w14:paraId="22867E8F" w14:textId="77777777" w:rsidR="00D235A5" w:rsidRDefault="00D235A5" w:rsidP="0093011F">
      <w:pPr>
        <w:pStyle w:val="FootnoteText"/>
      </w:pPr>
      <w:r>
        <w:rPr>
          <w:rStyle w:val="FootnoteReference"/>
        </w:rPr>
        <w:footnoteRef/>
      </w:r>
      <w:r>
        <w:t xml:space="preserve"> Jiang (2014)</w:t>
      </w:r>
    </w:p>
  </w:footnote>
  <w:footnote w:id="69">
    <w:p w14:paraId="1CB203E6" w14:textId="77777777" w:rsidR="00D235A5" w:rsidRDefault="00D235A5" w:rsidP="0093011F">
      <w:pPr>
        <w:pStyle w:val="FootnoteText"/>
      </w:pPr>
      <w:r>
        <w:rPr>
          <w:rStyle w:val="FootnoteReference"/>
        </w:rPr>
        <w:footnoteRef/>
      </w:r>
      <w:r>
        <w:t xml:space="preserve"> Combined Fish &amp; Game and DOC </w:t>
      </w:r>
      <w:proofErr w:type="spellStart"/>
      <w:r>
        <w:t>Taupō</w:t>
      </w:r>
      <w:proofErr w:type="spellEnd"/>
      <w:r>
        <w:t xml:space="preserve"> fishing licence sales data for 2016/17 (Michael Gee, </w:t>
      </w:r>
      <w:proofErr w:type="spellStart"/>
      <w:r>
        <w:t>DoC</w:t>
      </w:r>
      <w:proofErr w:type="spellEnd"/>
      <w:r>
        <w:t xml:space="preserve">, </w:t>
      </w:r>
      <w:proofErr w:type="spellStart"/>
      <w:r>
        <w:t>pers</w:t>
      </w:r>
      <w:proofErr w:type="spellEnd"/>
      <w:r>
        <w:t xml:space="preserve"> </w:t>
      </w:r>
      <w:proofErr w:type="spellStart"/>
      <w:r>
        <w:t>comm</w:t>
      </w:r>
      <w:proofErr w:type="spellEnd"/>
      <w:r>
        <w:t>).</w:t>
      </w:r>
    </w:p>
  </w:footnote>
  <w:footnote w:id="70">
    <w:p w14:paraId="744C611F" w14:textId="77777777" w:rsidR="00D235A5" w:rsidRDefault="00D235A5" w:rsidP="0093011F">
      <w:pPr>
        <w:pStyle w:val="FootnoteText"/>
      </w:pPr>
      <w:r>
        <w:rPr>
          <w:rStyle w:val="FootnoteReference"/>
        </w:rPr>
        <w:footnoteRef/>
      </w:r>
      <w:r>
        <w:t xml:space="preserve"> </w:t>
      </w:r>
      <w:proofErr w:type="spellStart"/>
      <w:r>
        <w:t>Taupō</w:t>
      </w:r>
      <w:proofErr w:type="spellEnd"/>
      <w:r>
        <w:t xml:space="preserve"> fishery represents 24% of nationwide licence sales (2016/17 sales data) and 10% of fishing effort (Unwin, 2016).</w:t>
      </w:r>
    </w:p>
  </w:footnote>
  <w:footnote w:id="71">
    <w:p w14:paraId="3136E8E9" w14:textId="77777777" w:rsidR="00D235A5" w:rsidRDefault="00D235A5" w:rsidP="0093011F">
      <w:pPr>
        <w:pStyle w:val="FootnoteText"/>
        <w:rPr>
          <w:rFonts w:ascii="Arial" w:hAnsi="Arial"/>
          <w:lang w:val="en-GB" w:eastAsia="en-GB"/>
        </w:rPr>
      </w:pPr>
      <w:r>
        <w:rPr>
          <w:rStyle w:val="FootnoteReference"/>
        </w:rPr>
        <w:footnoteRef/>
      </w:r>
      <w:r>
        <w:t xml:space="preserve"> </w:t>
      </w:r>
      <w:proofErr w:type="spellStart"/>
      <w:r w:rsidRPr="00363F71">
        <w:t>DoC</w:t>
      </w:r>
      <w:proofErr w:type="spellEnd"/>
      <w:r w:rsidRPr="00363F71">
        <w:t xml:space="preserve"> (2013)</w:t>
      </w:r>
    </w:p>
  </w:footnote>
  <w:footnote w:id="72">
    <w:p w14:paraId="2291F5DB" w14:textId="77777777" w:rsidR="00D235A5" w:rsidRDefault="00D235A5" w:rsidP="0093011F">
      <w:pPr>
        <w:pStyle w:val="FootnoteText"/>
      </w:pPr>
      <w:r>
        <w:rPr>
          <w:rStyle w:val="FootnoteReference"/>
        </w:rPr>
        <w:footnoteRef/>
      </w:r>
      <w:r>
        <w:t xml:space="preserve"> Hayes and Lovelock (2016)</w:t>
      </w:r>
    </w:p>
  </w:footnote>
  <w:footnote w:id="73">
    <w:p w14:paraId="5491A9C6" w14:textId="77777777" w:rsidR="00D235A5" w:rsidRDefault="00D235A5" w:rsidP="0093011F">
      <w:pPr>
        <w:pStyle w:val="FootnoteText"/>
      </w:pPr>
      <w:r>
        <w:rPr>
          <w:rStyle w:val="FootnoteReference"/>
        </w:rPr>
        <w:footnoteRef/>
      </w:r>
      <w:r>
        <w:t xml:space="preserve"> Stewart (2012)</w:t>
      </w:r>
    </w:p>
  </w:footnote>
  <w:footnote w:id="74">
    <w:p w14:paraId="732AFB40" w14:textId="77777777" w:rsidR="00D235A5" w:rsidRDefault="00D235A5" w:rsidP="0093011F">
      <w:pPr>
        <w:pStyle w:val="FootnoteText"/>
      </w:pPr>
      <w:r>
        <w:rPr>
          <w:rStyle w:val="FootnoteReference"/>
        </w:rPr>
        <w:footnoteRef/>
      </w:r>
      <w:r>
        <w:t xml:space="preserve"> </w:t>
      </w:r>
      <w:proofErr w:type="spellStart"/>
      <w:r>
        <w:t>MfE</w:t>
      </w:r>
      <w:proofErr w:type="spellEnd"/>
      <w:r>
        <w:t xml:space="preserve"> (2001)</w:t>
      </w:r>
    </w:p>
  </w:footnote>
  <w:footnote w:id="75">
    <w:p w14:paraId="52F5BCC9" w14:textId="77777777" w:rsidR="00D235A5" w:rsidRDefault="00D235A5" w:rsidP="0093011F">
      <w:pPr>
        <w:pStyle w:val="FootnoteText"/>
      </w:pPr>
      <w:r>
        <w:rPr>
          <w:rStyle w:val="FootnoteReference"/>
        </w:rPr>
        <w:footnoteRef/>
      </w:r>
      <w:r>
        <w:t xml:space="preserve"> </w:t>
      </w:r>
      <w:r w:rsidRPr="00D55BBE">
        <w:t>Foote (2014)</w:t>
      </w:r>
      <w:r>
        <w:t xml:space="preserve">; </w:t>
      </w:r>
      <w:proofErr w:type="spellStart"/>
      <w:r>
        <w:t>Kaefer</w:t>
      </w:r>
      <w:proofErr w:type="spellEnd"/>
      <w:r>
        <w:t xml:space="preserve"> (2014)</w:t>
      </w:r>
    </w:p>
  </w:footnote>
  <w:footnote w:id="76">
    <w:p w14:paraId="385852A5" w14:textId="77777777" w:rsidR="00D235A5" w:rsidRPr="00D51BAD" w:rsidRDefault="00D235A5" w:rsidP="0093011F">
      <w:pPr>
        <w:pStyle w:val="FootnoteText"/>
      </w:pPr>
      <w:r>
        <w:rPr>
          <w:rStyle w:val="FootnoteReference"/>
        </w:rPr>
        <w:footnoteRef/>
      </w:r>
      <w:r>
        <w:t xml:space="preserve"> Tait </w:t>
      </w:r>
      <w:r>
        <w:rPr>
          <w:i/>
          <w:iCs/>
        </w:rPr>
        <w:t>et al</w:t>
      </w:r>
      <w:r>
        <w:t xml:space="preserve"> (2020) </w:t>
      </w:r>
    </w:p>
  </w:footnote>
  <w:footnote w:id="77">
    <w:p w14:paraId="2F6765CD" w14:textId="77777777" w:rsidR="00D235A5" w:rsidRPr="004451C9" w:rsidRDefault="00D235A5" w:rsidP="0093011F">
      <w:pPr>
        <w:pStyle w:val="FootnoteText"/>
      </w:pPr>
      <w:r>
        <w:rPr>
          <w:rStyle w:val="FootnoteReference"/>
        </w:rPr>
        <w:footnoteRef/>
      </w:r>
      <w:r>
        <w:t xml:space="preserve"> See Saunders </w:t>
      </w:r>
      <w:r>
        <w:rPr>
          <w:i/>
          <w:iCs/>
        </w:rPr>
        <w:t xml:space="preserve">et al </w:t>
      </w:r>
      <w:r>
        <w:t xml:space="preserve">(2013) and Tait </w:t>
      </w:r>
      <w:r>
        <w:rPr>
          <w:i/>
          <w:iCs/>
        </w:rPr>
        <w:t>et al</w:t>
      </w:r>
      <w:r>
        <w:t xml:space="preserve"> (2016)</w:t>
      </w:r>
    </w:p>
  </w:footnote>
  <w:footnote w:id="78">
    <w:p w14:paraId="2CB9257E" w14:textId="77777777" w:rsidR="00D235A5" w:rsidRPr="00C757A3" w:rsidRDefault="00D235A5" w:rsidP="0093011F">
      <w:pPr>
        <w:pStyle w:val="FootnoteText"/>
      </w:pPr>
      <w:r>
        <w:rPr>
          <w:rStyle w:val="FootnoteReference"/>
        </w:rPr>
        <w:footnoteRef/>
      </w:r>
      <w:r>
        <w:t xml:space="preserve"> </w:t>
      </w:r>
      <w:r w:rsidRPr="00C757A3">
        <w:t>Graham</w:t>
      </w:r>
      <w:r>
        <w:t xml:space="preserve"> </w:t>
      </w:r>
      <w:r>
        <w:rPr>
          <w:i/>
          <w:iCs/>
        </w:rPr>
        <w:t>et al</w:t>
      </w:r>
      <w:r>
        <w:t xml:space="preserve"> (2020)</w:t>
      </w:r>
    </w:p>
  </w:footnote>
  <w:footnote w:id="79">
    <w:p w14:paraId="55E01934" w14:textId="77777777" w:rsidR="00D235A5" w:rsidRDefault="00D235A5" w:rsidP="0093011F">
      <w:pPr>
        <w:pStyle w:val="FootnoteText"/>
      </w:pPr>
      <w:r>
        <w:rPr>
          <w:rStyle w:val="FootnoteReference"/>
        </w:rPr>
        <w:footnoteRef/>
      </w:r>
      <w:r>
        <w:t xml:space="preserve"> </w:t>
      </w:r>
      <w:r w:rsidRPr="00071C4B">
        <w:t xml:space="preserve">Rutherford </w:t>
      </w:r>
      <w:r w:rsidRPr="00071C4B">
        <w:rPr>
          <w:i/>
          <w:iCs/>
        </w:rPr>
        <w:t>et al</w:t>
      </w:r>
      <w:r w:rsidRPr="00071C4B">
        <w:t xml:space="preserve"> </w:t>
      </w:r>
      <w:r>
        <w:t>(</w:t>
      </w:r>
      <w:r w:rsidRPr="00071C4B">
        <w:t>2019</w:t>
      </w:r>
      <w:r>
        <w:t>)</w:t>
      </w:r>
    </w:p>
  </w:footnote>
  <w:footnote w:id="80">
    <w:p w14:paraId="1133D635" w14:textId="77777777" w:rsidR="00D235A5" w:rsidRDefault="00D235A5" w:rsidP="0093011F">
      <w:pPr>
        <w:pStyle w:val="FootnoteText"/>
      </w:pPr>
      <w:r>
        <w:rPr>
          <w:rStyle w:val="FootnoteReference"/>
        </w:rPr>
        <w:footnoteRef/>
      </w:r>
      <w:r>
        <w:t xml:space="preserve"> </w:t>
      </w:r>
      <w:r w:rsidRPr="00C63B69">
        <w:t>Graham et al (2020)</w:t>
      </w:r>
    </w:p>
  </w:footnote>
  <w:footnote w:id="81">
    <w:p w14:paraId="0CAD5B77" w14:textId="77777777" w:rsidR="00D235A5" w:rsidRDefault="00D235A5" w:rsidP="0093011F">
      <w:pPr>
        <w:pStyle w:val="FootnoteText"/>
      </w:pPr>
      <w:r>
        <w:rPr>
          <w:rStyle w:val="FootnoteReference"/>
        </w:rPr>
        <w:footnoteRef/>
      </w:r>
      <w:r>
        <w:t xml:space="preserve"> The NZVAF is </w:t>
      </w:r>
      <w:r w:rsidRPr="00726C54">
        <w:t xml:space="preserve">developed </w:t>
      </w:r>
      <w:r>
        <w:t xml:space="preserve">by Fresh Information for </w:t>
      </w:r>
      <w:r w:rsidRPr="00726C54">
        <w:t>New Zealand Trade and Enterprise (NZTE), Tourism New Zealand (TNZ) and the Ministry for Business Innovation and Employment (MBIE)</w:t>
      </w:r>
      <w:r>
        <w:t xml:space="preserve">: </w:t>
      </w:r>
      <w:hyperlink r:id="rId3" w:history="1">
        <w:r w:rsidRPr="007540B5">
          <w:rPr>
            <w:rStyle w:val="Hyperlink"/>
            <w:rFonts w:asciiTheme="minorHAnsi" w:hAnsiTheme="minorHAnsi"/>
          </w:rPr>
          <w:t>https://freshinfo.shinyapps.io/NZVAF/</w:t>
        </w:r>
      </w:hyperlink>
      <w:r>
        <w:t xml:space="preserve"> </w:t>
      </w:r>
    </w:p>
  </w:footnote>
  <w:footnote w:id="82">
    <w:p w14:paraId="719A9E26" w14:textId="77777777" w:rsidR="00D235A5" w:rsidRDefault="00D235A5" w:rsidP="0093011F">
      <w:pPr>
        <w:pStyle w:val="FootnoteText"/>
      </w:pPr>
      <w:r>
        <w:rPr>
          <w:rStyle w:val="FootnoteReference"/>
        </w:rPr>
        <w:footnoteRef/>
      </w:r>
      <w:r>
        <w:t xml:space="preserve"> Unwin (2016)</w:t>
      </w:r>
    </w:p>
  </w:footnote>
  <w:footnote w:id="83">
    <w:p w14:paraId="53B2014E" w14:textId="77777777" w:rsidR="00D235A5" w:rsidRDefault="00D235A5" w:rsidP="0093011F">
      <w:pPr>
        <w:pStyle w:val="FootnoteText"/>
      </w:pPr>
      <w:r>
        <w:rPr>
          <w:rStyle w:val="FootnoteReference"/>
        </w:rPr>
        <w:footnoteRef/>
      </w:r>
      <w:r>
        <w:t xml:space="preserve"> Unwin (2009)</w:t>
      </w:r>
    </w:p>
  </w:footnote>
  <w:footnote w:id="84">
    <w:p w14:paraId="6EE8DD95" w14:textId="77777777" w:rsidR="00D235A5" w:rsidRDefault="00D235A5" w:rsidP="0093011F">
      <w:pPr>
        <w:pStyle w:val="FootnoteText"/>
      </w:pPr>
      <w:r>
        <w:rPr>
          <w:rStyle w:val="FootnoteReference"/>
        </w:rPr>
        <w:footnoteRef/>
      </w:r>
      <w:r>
        <w:t xml:space="preserve"> Female anglers were more significant purchasers of 24-hour licences (15% of total sales) and junior whole-season licences (13% of total sales). They accounted for 16% of whole-season licence sales in the </w:t>
      </w:r>
      <w:proofErr w:type="spellStart"/>
      <w:r>
        <w:t>Taupo</w:t>
      </w:r>
      <w:proofErr w:type="spellEnd"/>
      <w:r>
        <w:t xml:space="preserve"> Conservancy.</w:t>
      </w:r>
    </w:p>
  </w:footnote>
  <w:footnote w:id="85">
    <w:p w14:paraId="76898B92" w14:textId="77777777" w:rsidR="00D235A5" w:rsidRPr="003E3743" w:rsidRDefault="00D235A5" w:rsidP="0093011F">
      <w:pPr>
        <w:pStyle w:val="FootnoteText"/>
      </w:pPr>
      <w:r>
        <w:rPr>
          <w:rStyle w:val="FootnoteReference"/>
        </w:rPr>
        <w:footnoteRef/>
      </w:r>
      <w:r>
        <w:t xml:space="preserve"> Water clarity = -1.02589.log</w:t>
      </w:r>
      <w:r>
        <w:rPr>
          <w:vertAlign w:val="subscript"/>
        </w:rPr>
        <w:t>e</w:t>
      </w:r>
      <w:r>
        <w:t>(TP) – 2.34931</w:t>
      </w:r>
    </w:p>
  </w:footnote>
  <w:footnote w:id="86">
    <w:p w14:paraId="15BC565B" w14:textId="77777777" w:rsidR="00D235A5" w:rsidRPr="00C94AE7" w:rsidRDefault="00D235A5" w:rsidP="0093011F">
      <w:pPr>
        <w:pStyle w:val="FootnoteText"/>
      </w:pPr>
      <w:r>
        <w:rPr>
          <w:rStyle w:val="FootnoteReference"/>
        </w:rPr>
        <w:footnoteRef/>
      </w:r>
      <w:r>
        <w:t xml:space="preserve"> Jowett in Denne </w:t>
      </w:r>
      <w:r>
        <w:rPr>
          <w:i/>
          <w:iCs/>
        </w:rPr>
        <w:t>et al</w:t>
      </w:r>
      <w:r>
        <w:t xml:space="preserv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D724" w14:textId="77777777" w:rsidR="00D235A5" w:rsidRPr="004B2CC9" w:rsidRDefault="00D235A5" w:rsidP="007F7C24">
    <w:pPr>
      <w:pStyle w:val="Header"/>
      <w:rPr>
        <w:b/>
        <w:color w:val="780000"/>
        <w:sz w:val="48"/>
        <w:szCs w:val="48"/>
      </w:rPr>
    </w:pPr>
    <w:r w:rsidRPr="004B2CC9">
      <w:rPr>
        <w:b/>
        <w:noProof/>
        <w:color w:val="780000"/>
        <w:sz w:val="48"/>
        <w:szCs w:val="48"/>
        <w:lang w:eastAsia="en-NZ"/>
      </w:rPr>
      <w:t>Resource Economics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483B" w14:textId="77777777" w:rsidR="00D235A5" w:rsidRPr="007F7C24" w:rsidRDefault="00D235A5" w:rsidP="007F7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4A0"/>
    <w:multiLevelType w:val="hybridMultilevel"/>
    <w:tmpl w:val="9F1EBF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11298E"/>
    <w:multiLevelType w:val="hybridMultilevel"/>
    <w:tmpl w:val="DD127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0E229C"/>
    <w:multiLevelType w:val="hybridMultilevel"/>
    <w:tmpl w:val="CAFCE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3223C1"/>
    <w:multiLevelType w:val="hybridMultilevel"/>
    <w:tmpl w:val="964C8960"/>
    <w:lvl w:ilvl="0" w:tplc="8D0A6582">
      <w:start w:val="1"/>
      <w:numFmt w:val="decimal"/>
      <w:pStyle w:val="Numbered"/>
      <w:lvlText w:val="%1."/>
      <w:lvlJc w:val="left"/>
      <w:pPr>
        <w:ind w:left="360" w:hanging="360"/>
      </w:pPr>
      <w:rPr>
        <w:rFonts w:hint="default"/>
        <w:color w:val="808080" w:themeColor="background1" w:themeShade="8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3C231BD"/>
    <w:multiLevelType w:val="hybridMultilevel"/>
    <w:tmpl w:val="802EF0CA"/>
    <w:lvl w:ilvl="0" w:tplc="E7D2FD78">
      <w:start w:val="1"/>
      <w:numFmt w:val="bullet"/>
      <w:pStyle w:val="NormalWeb"/>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243A4B"/>
    <w:multiLevelType w:val="multilevel"/>
    <w:tmpl w:val="CF9ACF38"/>
    <w:styleLink w:val="NZIERBullet1List"/>
    <w:lvl w:ilvl="0">
      <w:start w:val="1"/>
      <w:numFmt w:val="bullet"/>
      <w:pStyle w:val="Bullet"/>
      <w:lvlText w:val=""/>
      <w:lvlJc w:val="left"/>
      <w:pPr>
        <w:tabs>
          <w:tab w:val="num" w:pos="710"/>
        </w:tabs>
        <w:ind w:left="710" w:hanging="426"/>
      </w:pPr>
      <w:rPr>
        <w:rFonts w:ascii="Symbol" w:hAnsi="Symbol" w:hint="default"/>
        <w:color w:val="auto"/>
      </w:rPr>
    </w:lvl>
    <w:lvl w:ilvl="1">
      <w:start w:val="1"/>
      <w:numFmt w:val="bullet"/>
      <w:pStyle w:val="Bullet2ndlevel"/>
      <w:lvlText w:val=""/>
      <w:lvlJc w:val="left"/>
      <w:pPr>
        <w:tabs>
          <w:tab w:val="num" w:pos="1276"/>
        </w:tabs>
        <w:ind w:left="1276" w:hanging="425"/>
      </w:pPr>
      <w:rPr>
        <w:rFonts w:ascii="Symbol" w:hAnsi="Symbol" w:hint="default"/>
        <w:color w:val="auto"/>
      </w:rPr>
    </w:lvl>
    <w:lvl w:ilvl="2">
      <w:start w:val="1"/>
      <w:numFmt w:val="bullet"/>
      <w:pStyle w:val="Bullet3rdlevel"/>
      <w:lvlText w:val=""/>
      <w:lvlJc w:val="left"/>
      <w:pPr>
        <w:tabs>
          <w:tab w:val="num" w:pos="1701"/>
        </w:tabs>
        <w:ind w:left="1701" w:hanging="425"/>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CCF776B"/>
    <w:multiLevelType w:val="multilevel"/>
    <w:tmpl w:val="CD84DFBC"/>
    <w:lvl w:ilvl="0">
      <w:start w:val="1"/>
      <w:numFmt w:val="decimal"/>
      <w:pStyle w:val="Heading1"/>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57"/>
        </w:tabs>
        <w:ind w:left="357" w:hanging="357"/>
      </w:pPr>
      <w:rPr>
        <w:rFonts w:ascii="Century Gothic" w:hAnsi="Century Gothic"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357"/>
        </w:tabs>
        <w:ind w:left="357" w:hanging="357"/>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3240"/>
        </w:tabs>
        <w:ind w:left="2736" w:hanging="2736"/>
      </w:pPr>
      <w:rPr>
        <w:rFonts w:hint="default"/>
      </w:rPr>
    </w:lvl>
    <w:lvl w:ilvl="6">
      <w:start w:val="1"/>
      <w:numFmt w:val="decimal"/>
      <w:lvlText w:val="%1.%2.%3.%4.%5.%6.%7."/>
      <w:lvlJc w:val="left"/>
      <w:pPr>
        <w:tabs>
          <w:tab w:val="num" w:pos="3600"/>
        </w:tabs>
        <w:ind w:left="3240" w:hanging="3240"/>
      </w:pPr>
      <w:rPr>
        <w:rFonts w:hint="default"/>
      </w:rPr>
    </w:lvl>
    <w:lvl w:ilvl="7">
      <w:start w:val="1"/>
      <w:numFmt w:val="decimal"/>
      <w:lvlText w:val="%1.%2.%3.%4.%5.%6.%7.%8."/>
      <w:lvlJc w:val="left"/>
      <w:pPr>
        <w:tabs>
          <w:tab w:val="num" w:pos="4320"/>
        </w:tabs>
        <w:ind w:left="3744" w:hanging="3744"/>
      </w:pPr>
      <w:rPr>
        <w:rFonts w:hint="default"/>
      </w:rPr>
    </w:lvl>
    <w:lvl w:ilvl="8">
      <w:start w:val="1"/>
      <w:numFmt w:val="decimal"/>
      <w:lvlText w:val="%1.%2.%3.%4.%5.%6.%7.%8.%9."/>
      <w:lvlJc w:val="left"/>
      <w:pPr>
        <w:tabs>
          <w:tab w:val="num" w:pos="4680"/>
        </w:tabs>
        <w:ind w:left="4320" w:hanging="4320"/>
      </w:pPr>
      <w:rPr>
        <w:rFonts w:hint="default"/>
      </w:rPr>
    </w:lvl>
  </w:abstractNum>
  <w:abstractNum w:abstractNumId="7" w15:restartNumberingAfterBreak="0">
    <w:nsid w:val="1D784753"/>
    <w:multiLevelType w:val="hybridMultilevel"/>
    <w:tmpl w:val="1A6272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756F7A"/>
    <w:multiLevelType w:val="hybridMultilevel"/>
    <w:tmpl w:val="EC46D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5B5E2D"/>
    <w:multiLevelType w:val="hybridMultilevel"/>
    <w:tmpl w:val="7C94B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1BA1027"/>
    <w:multiLevelType w:val="hybridMultilevel"/>
    <w:tmpl w:val="942A7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E332F6"/>
    <w:multiLevelType w:val="hybridMultilevel"/>
    <w:tmpl w:val="4754D4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C75769"/>
    <w:multiLevelType w:val="hybridMultilevel"/>
    <w:tmpl w:val="4E6298E2"/>
    <w:lvl w:ilvl="0" w:tplc="82208C28">
      <w:start w:val="1"/>
      <w:numFmt w:val="bullet"/>
      <w:pStyle w:val="Lis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21410"/>
    <w:multiLevelType w:val="hybridMultilevel"/>
    <w:tmpl w:val="E618E034"/>
    <w:lvl w:ilvl="0" w:tplc="CFC69626">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92F79BF"/>
    <w:multiLevelType w:val="hybridMultilevel"/>
    <w:tmpl w:val="B24239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926A95"/>
    <w:multiLevelType w:val="hybridMultilevel"/>
    <w:tmpl w:val="2422A8FA"/>
    <w:lvl w:ilvl="0" w:tplc="14090001">
      <w:start w:val="1"/>
      <w:numFmt w:val="bullet"/>
      <w:lvlText w:val=""/>
      <w:lvlJc w:val="left"/>
      <w:pPr>
        <w:ind w:left="720" w:hanging="360"/>
      </w:pPr>
      <w:rPr>
        <w:rFonts w:ascii="Symbol" w:hAnsi="Symbol" w:hint="default"/>
      </w:rPr>
    </w:lvl>
    <w:lvl w:ilvl="1" w:tplc="E7B226D4">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C32759"/>
    <w:multiLevelType w:val="hybridMultilevel"/>
    <w:tmpl w:val="781063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6E0CF6"/>
    <w:multiLevelType w:val="hybridMultilevel"/>
    <w:tmpl w:val="DA2C70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E54419"/>
    <w:multiLevelType w:val="hybridMultilevel"/>
    <w:tmpl w:val="522A8F36"/>
    <w:lvl w:ilvl="0" w:tplc="861E8D50">
      <w:start w:val="1"/>
      <w:numFmt w:val="upperLetter"/>
      <w:pStyle w:val="Heading6"/>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3109BB"/>
    <w:multiLevelType w:val="hybridMultilevel"/>
    <w:tmpl w:val="DA1038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762F81"/>
    <w:multiLevelType w:val="hybridMultilevel"/>
    <w:tmpl w:val="2E18D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A6A5EF5"/>
    <w:multiLevelType w:val="hybridMultilevel"/>
    <w:tmpl w:val="46E09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C97741"/>
    <w:multiLevelType w:val="hybridMultilevel"/>
    <w:tmpl w:val="79EE1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3D6665F"/>
    <w:multiLevelType w:val="hybridMultilevel"/>
    <w:tmpl w:val="3A6CC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0768A7"/>
    <w:multiLevelType w:val="hybridMultilevel"/>
    <w:tmpl w:val="22CAEAA6"/>
    <w:lvl w:ilvl="0" w:tplc="5B740116">
      <w:start w:val="1"/>
      <w:numFmt w:val="decimal"/>
      <w:pStyle w:val="Listnum"/>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80664E"/>
    <w:multiLevelType w:val="hybridMultilevel"/>
    <w:tmpl w:val="F19EF262"/>
    <w:lvl w:ilvl="0" w:tplc="14090001">
      <w:start w:val="1"/>
      <w:numFmt w:val="bullet"/>
      <w:lvlText w:val=""/>
      <w:lvlJc w:val="left"/>
      <w:pPr>
        <w:ind w:left="1074" w:hanging="360"/>
      </w:pPr>
      <w:rPr>
        <w:rFonts w:ascii="Symbol" w:hAnsi="Symbol" w:hint="default"/>
      </w:rPr>
    </w:lvl>
    <w:lvl w:ilvl="1" w:tplc="14090003" w:tentative="1">
      <w:start w:val="1"/>
      <w:numFmt w:val="bullet"/>
      <w:lvlText w:val="o"/>
      <w:lvlJc w:val="left"/>
      <w:pPr>
        <w:ind w:left="1074" w:hanging="360"/>
      </w:pPr>
      <w:rPr>
        <w:rFonts w:ascii="Courier New" w:hAnsi="Courier New" w:cs="Courier New" w:hint="default"/>
      </w:rPr>
    </w:lvl>
    <w:lvl w:ilvl="2" w:tplc="14090005" w:tentative="1">
      <w:start w:val="1"/>
      <w:numFmt w:val="bullet"/>
      <w:lvlText w:val=""/>
      <w:lvlJc w:val="left"/>
      <w:pPr>
        <w:ind w:left="1794" w:hanging="360"/>
      </w:pPr>
      <w:rPr>
        <w:rFonts w:ascii="Wingdings" w:hAnsi="Wingdings" w:hint="default"/>
      </w:rPr>
    </w:lvl>
    <w:lvl w:ilvl="3" w:tplc="14090001" w:tentative="1">
      <w:start w:val="1"/>
      <w:numFmt w:val="bullet"/>
      <w:lvlText w:val=""/>
      <w:lvlJc w:val="left"/>
      <w:pPr>
        <w:ind w:left="2514" w:hanging="360"/>
      </w:pPr>
      <w:rPr>
        <w:rFonts w:ascii="Symbol" w:hAnsi="Symbol" w:hint="default"/>
      </w:rPr>
    </w:lvl>
    <w:lvl w:ilvl="4" w:tplc="14090003" w:tentative="1">
      <w:start w:val="1"/>
      <w:numFmt w:val="bullet"/>
      <w:lvlText w:val="o"/>
      <w:lvlJc w:val="left"/>
      <w:pPr>
        <w:ind w:left="3234" w:hanging="360"/>
      </w:pPr>
      <w:rPr>
        <w:rFonts w:ascii="Courier New" w:hAnsi="Courier New" w:cs="Courier New" w:hint="default"/>
      </w:rPr>
    </w:lvl>
    <w:lvl w:ilvl="5" w:tplc="14090005" w:tentative="1">
      <w:start w:val="1"/>
      <w:numFmt w:val="bullet"/>
      <w:lvlText w:val=""/>
      <w:lvlJc w:val="left"/>
      <w:pPr>
        <w:ind w:left="3954" w:hanging="360"/>
      </w:pPr>
      <w:rPr>
        <w:rFonts w:ascii="Wingdings" w:hAnsi="Wingdings" w:hint="default"/>
      </w:rPr>
    </w:lvl>
    <w:lvl w:ilvl="6" w:tplc="14090001" w:tentative="1">
      <w:start w:val="1"/>
      <w:numFmt w:val="bullet"/>
      <w:lvlText w:val=""/>
      <w:lvlJc w:val="left"/>
      <w:pPr>
        <w:ind w:left="4674" w:hanging="360"/>
      </w:pPr>
      <w:rPr>
        <w:rFonts w:ascii="Symbol" w:hAnsi="Symbol" w:hint="default"/>
      </w:rPr>
    </w:lvl>
    <w:lvl w:ilvl="7" w:tplc="14090003" w:tentative="1">
      <w:start w:val="1"/>
      <w:numFmt w:val="bullet"/>
      <w:lvlText w:val="o"/>
      <w:lvlJc w:val="left"/>
      <w:pPr>
        <w:ind w:left="5394" w:hanging="360"/>
      </w:pPr>
      <w:rPr>
        <w:rFonts w:ascii="Courier New" w:hAnsi="Courier New" w:cs="Courier New" w:hint="default"/>
      </w:rPr>
    </w:lvl>
    <w:lvl w:ilvl="8" w:tplc="14090005" w:tentative="1">
      <w:start w:val="1"/>
      <w:numFmt w:val="bullet"/>
      <w:lvlText w:val=""/>
      <w:lvlJc w:val="left"/>
      <w:pPr>
        <w:ind w:left="6114" w:hanging="360"/>
      </w:pPr>
      <w:rPr>
        <w:rFonts w:ascii="Wingdings" w:hAnsi="Wingdings" w:hint="default"/>
      </w:rPr>
    </w:lvl>
  </w:abstractNum>
  <w:abstractNum w:abstractNumId="26" w15:restartNumberingAfterBreak="0">
    <w:nsid w:val="7B217AB6"/>
    <w:multiLevelType w:val="hybridMultilevel"/>
    <w:tmpl w:val="F6EC3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F441F6"/>
    <w:multiLevelType w:val="hybridMultilevel"/>
    <w:tmpl w:val="55C020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2"/>
  </w:num>
  <w:num w:numId="5">
    <w:abstractNumId w:val="24"/>
  </w:num>
  <w:num w:numId="6">
    <w:abstractNumId w:val="18"/>
  </w:num>
  <w:num w:numId="7">
    <w:abstractNumId w:val="5"/>
  </w:num>
  <w:num w:numId="8">
    <w:abstractNumId w:val="13"/>
  </w:num>
  <w:num w:numId="9">
    <w:abstractNumId w:val="2"/>
  </w:num>
  <w:num w:numId="10">
    <w:abstractNumId w:val="22"/>
  </w:num>
  <w:num w:numId="11">
    <w:abstractNumId w:val="9"/>
  </w:num>
  <w:num w:numId="12">
    <w:abstractNumId w:val="20"/>
  </w:num>
  <w:num w:numId="13">
    <w:abstractNumId w:val="21"/>
  </w:num>
  <w:num w:numId="14">
    <w:abstractNumId w:val="7"/>
  </w:num>
  <w:num w:numId="15">
    <w:abstractNumId w:val="17"/>
  </w:num>
  <w:num w:numId="16">
    <w:abstractNumId w:val="16"/>
  </w:num>
  <w:num w:numId="17">
    <w:abstractNumId w:val="19"/>
  </w:num>
  <w:num w:numId="18">
    <w:abstractNumId w:val="14"/>
  </w:num>
  <w:num w:numId="19">
    <w:abstractNumId w:val="8"/>
  </w:num>
  <w:num w:numId="20">
    <w:abstractNumId w:val="0"/>
  </w:num>
  <w:num w:numId="21">
    <w:abstractNumId w:val="15"/>
  </w:num>
  <w:num w:numId="22">
    <w:abstractNumId w:val="27"/>
  </w:num>
  <w:num w:numId="23">
    <w:abstractNumId w:val="1"/>
  </w:num>
  <w:num w:numId="24">
    <w:abstractNumId w:val="26"/>
  </w:num>
  <w:num w:numId="25">
    <w:abstractNumId w:val="11"/>
  </w:num>
  <w:num w:numId="26">
    <w:abstractNumId w:val="10"/>
  </w:num>
  <w:num w:numId="27">
    <w:abstractNumId w:val="25"/>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357"/>
  <w:drawingGridHorizontalSpacing w:val="105"/>
  <w:drawingGridVerticalSpacing w:val="181"/>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7C7"/>
    <w:rsid w:val="000000CB"/>
    <w:rsid w:val="0000442F"/>
    <w:rsid w:val="00010A6C"/>
    <w:rsid w:val="0001120E"/>
    <w:rsid w:val="000174D0"/>
    <w:rsid w:val="00022382"/>
    <w:rsid w:val="000233B3"/>
    <w:rsid w:val="00024EB5"/>
    <w:rsid w:val="00032BE1"/>
    <w:rsid w:val="00040D70"/>
    <w:rsid w:val="0005785B"/>
    <w:rsid w:val="00057B88"/>
    <w:rsid w:val="00064897"/>
    <w:rsid w:val="00065AEA"/>
    <w:rsid w:val="00080911"/>
    <w:rsid w:val="00094134"/>
    <w:rsid w:val="000A0B7A"/>
    <w:rsid w:val="000B0B05"/>
    <w:rsid w:val="000B2E95"/>
    <w:rsid w:val="000B5024"/>
    <w:rsid w:val="000C1AB2"/>
    <w:rsid w:val="000D07FE"/>
    <w:rsid w:val="000D0F76"/>
    <w:rsid w:val="000D50DD"/>
    <w:rsid w:val="000D7BF2"/>
    <w:rsid w:val="000E05B3"/>
    <w:rsid w:val="000E0B1F"/>
    <w:rsid w:val="000F3A75"/>
    <w:rsid w:val="000F657E"/>
    <w:rsid w:val="001163C9"/>
    <w:rsid w:val="00143993"/>
    <w:rsid w:val="00151414"/>
    <w:rsid w:val="00153B83"/>
    <w:rsid w:val="001540A7"/>
    <w:rsid w:val="00163E15"/>
    <w:rsid w:val="00166CFD"/>
    <w:rsid w:val="00167007"/>
    <w:rsid w:val="00174EF0"/>
    <w:rsid w:val="001760B7"/>
    <w:rsid w:val="00183498"/>
    <w:rsid w:val="00190225"/>
    <w:rsid w:val="001942DF"/>
    <w:rsid w:val="001A1B0D"/>
    <w:rsid w:val="001A605C"/>
    <w:rsid w:val="001B07F3"/>
    <w:rsid w:val="001B24F0"/>
    <w:rsid w:val="001B55D1"/>
    <w:rsid w:val="001C7BA8"/>
    <w:rsid w:val="001D0BCA"/>
    <w:rsid w:val="001D7E0C"/>
    <w:rsid w:val="001F2A04"/>
    <w:rsid w:val="001F2CF4"/>
    <w:rsid w:val="00204A7A"/>
    <w:rsid w:val="00205D1E"/>
    <w:rsid w:val="0020661F"/>
    <w:rsid w:val="002372AC"/>
    <w:rsid w:val="00240F33"/>
    <w:rsid w:val="00243B1A"/>
    <w:rsid w:val="002458B4"/>
    <w:rsid w:val="002472CE"/>
    <w:rsid w:val="00255688"/>
    <w:rsid w:val="00255838"/>
    <w:rsid w:val="00256042"/>
    <w:rsid w:val="00263C35"/>
    <w:rsid w:val="002716B5"/>
    <w:rsid w:val="00272608"/>
    <w:rsid w:val="00284CC7"/>
    <w:rsid w:val="00290D59"/>
    <w:rsid w:val="00291DA6"/>
    <w:rsid w:val="002A1EE5"/>
    <w:rsid w:val="002B2DF3"/>
    <w:rsid w:val="002C0806"/>
    <w:rsid w:val="002C150D"/>
    <w:rsid w:val="002C45EC"/>
    <w:rsid w:val="002C4F15"/>
    <w:rsid w:val="002F582B"/>
    <w:rsid w:val="003035BB"/>
    <w:rsid w:val="00311866"/>
    <w:rsid w:val="00313617"/>
    <w:rsid w:val="00320D0B"/>
    <w:rsid w:val="00324628"/>
    <w:rsid w:val="003326BE"/>
    <w:rsid w:val="003371F3"/>
    <w:rsid w:val="00337CDD"/>
    <w:rsid w:val="003432E8"/>
    <w:rsid w:val="00343B5A"/>
    <w:rsid w:val="00347396"/>
    <w:rsid w:val="00350302"/>
    <w:rsid w:val="003607A4"/>
    <w:rsid w:val="00367C4F"/>
    <w:rsid w:val="00367E12"/>
    <w:rsid w:val="00377017"/>
    <w:rsid w:val="0038648B"/>
    <w:rsid w:val="00387F15"/>
    <w:rsid w:val="0039172C"/>
    <w:rsid w:val="00397A4E"/>
    <w:rsid w:val="003A095F"/>
    <w:rsid w:val="003B0ED0"/>
    <w:rsid w:val="003B2DE3"/>
    <w:rsid w:val="003B6372"/>
    <w:rsid w:val="003C3CF7"/>
    <w:rsid w:val="003C3F2B"/>
    <w:rsid w:val="003D0E4E"/>
    <w:rsid w:val="003E16B1"/>
    <w:rsid w:val="003E49DA"/>
    <w:rsid w:val="003F10CF"/>
    <w:rsid w:val="003F7520"/>
    <w:rsid w:val="00411B89"/>
    <w:rsid w:val="00417429"/>
    <w:rsid w:val="00424226"/>
    <w:rsid w:val="00426F54"/>
    <w:rsid w:val="00432833"/>
    <w:rsid w:val="00435966"/>
    <w:rsid w:val="00435BB2"/>
    <w:rsid w:val="00445DA2"/>
    <w:rsid w:val="0044771F"/>
    <w:rsid w:val="00450110"/>
    <w:rsid w:val="00452371"/>
    <w:rsid w:val="00455960"/>
    <w:rsid w:val="0045645A"/>
    <w:rsid w:val="00461893"/>
    <w:rsid w:val="00464128"/>
    <w:rsid w:val="00471461"/>
    <w:rsid w:val="00474378"/>
    <w:rsid w:val="0047450D"/>
    <w:rsid w:val="0047489D"/>
    <w:rsid w:val="00487343"/>
    <w:rsid w:val="004A5B25"/>
    <w:rsid w:val="004A5F2F"/>
    <w:rsid w:val="004B1BFA"/>
    <w:rsid w:val="004B2CC9"/>
    <w:rsid w:val="004B7055"/>
    <w:rsid w:val="004C284A"/>
    <w:rsid w:val="004C38FA"/>
    <w:rsid w:val="004C3DC7"/>
    <w:rsid w:val="004C7120"/>
    <w:rsid w:val="004E0A76"/>
    <w:rsid w:val="004E34F5"/>
    <w:rsid w:val="004E3952"/>
    <w:rsid w:val="004E40FB"/>
    <w:rsid w:val="004F2076"/>
    <w:rsid w:val="004F4F29"/>
    <w:rsid w:val="004F69CE"/>
    <w:rsid w:val="00505F8F"/>
    <w:rsid w:val="00507C96"/>
    <w:rsid w:val="00507CC7"/>
    <w:rsid w:val="00511AED"/>
    <w:rsid w:val="00515F73"/>
    <w:rsid w:val="00517797"/>
    <w:rsid w:val="005231A6"/>
    <w:rsid w:val="00535EB4"/>
    <w:rsid w:val="005400F5"/>
    <w:rsid w:val="00546C24"/>
    <w:rsid w:val="00553511"/>
    <w:rsid w:val="005601A5"/>
    <w:rsid w:val="00564359"/>
    <w:rsid w:val="00564E54"/>
    <w:rsid w:val="00565425"/>
    <w:rsid w:val="00567489"/>
    <w:rsid w:val="005765AC"/>
    <w:rsid w:val="00577F8B"/>
    <w:rsid w:val="00582087"/>
    <w:rsid w:val="00584EC6"/>
    <w:rsid w:val="00590614"/>
    <w:rsid w:val="005B58B4"/>
    <w:rsid w:val="005C3760"/>
    <w:rsid w:val="005C3E29"/>
    <w:rsid w:val="005C4C0E"/>
    <w:rsid w:val="005D0032"/>
    <w:rsid w:val="005D2AD3"/>
    <w:rsid w:val="005D570C"/>
    <w:rsid w:val="005D6079"/>
    <w:rsid w:val="005E21B5"/>
    <w:rsid w:val="005F04E2"/>
    <w:rsid w:val="005F0E7A"/>
    <w:rsid w:val="005F7A77"/>
    <w:rsid w:val="00604AFA"/>
    <w:rsid w:val="0061525C"/>
    <w:rsid w:val="006233C6"/>
    <w:rsid w:val="00632B60"/>
    <w:rsid w:val="006369C0"/>
    <w:rsid w:val="00640049"/>
    <w:rsid w:val="00643FD8"/>
    <w:rsid w:val="00644734"/>
    <w:rsid w:val="00665FBE"/>
    <w:rsid w:val="00667D93"/>
    <w:rsid w:val="00674361"/>
    <w:rsid w:val="00675A2E"/>
    <w:rsid w:val="006769B1"/>
    <w:rsid w:val="006902D4"/>
    <w:rsid w:val="006A098A"/>
    <w:rsid w:val="006A11A2"/>
    <w:rsid w:val="006A13F9"/>
    <w:rsid w:val="006A3935"/>
    <w:rsid w:val="006A7C7A"/>
    <w:rsid w:val="006D3F80"/>
    <w:rsid w:val="006D5D0B"/>
    <w:rsid w:val="006D605B"/>
    <w:rsid w:val="00704875"/>
    <w:rsid w:val="00704B29"/>
    <w:rsid w:val="00704BFA"/>
    <w:rsid w:val="00707A86"/>
    <w:rsid w:val="00714C55"/>
    <w:rsid w:val="00715834"/>
    <w:rsid w:val="00715AEF"/>
    <w:rsid w:val="00715F74"/>
    <w:rsid w:val="00717646"/>
    <w:rsid w:val="0072102C"/>
    <w:rsid w:val="007211D2"/>
    <w:rsid w:val="00723D8D"/>
    <w:rsid w:val="00733C4D"/>
    <w:rsid w:val="007346E3"/>
    <w:rsid w:val="0074099C"/>
    <w:rsid w:val="0074597D"/>
    <w:rsid w:val="00752A45"/>
    <w:rsid w:val="00752CCD"/>
    <w:rsid w:val="00776D92"/>
    <w:rsid w:val="00777AFC"/>
    <w:rsid w:val="007925DC"/>
    <w:rsid w:val="007972B6"/>
    <w:rsid w:val="007B32F9"/>
    <w:rsid w:val="007B6819"/>
    <w:rsid w:val="007C6619"/>
    <w:rsid w:val="007E710E"/>
    <w:rsid w:val="007E7830"/>
    <w:rsid w:val="007F7C24"/>
    <w:rsid w:val="007F7C56"/>
    <w:rsid w:val="00805590"/>
    <w:rsid w:val="00823AB2"/>
    <w:rsid w:val="00823FAE"/>
    <w:rsid w:val="00824C1C"/>
    <w:rsid w:val="00826952"/>
    <w:rsid w:val="008355BD"/>
    <w:rsid w:val="0084027C"/>
    <w:rsid w:val="00840766"/>
    <w:rsid w:val="00845A04"/>
    <w:rsid w:val="00864197"/>
    <w:rsid w:val="0086546C"/>
    <w:rsid w:val="00870271"/>
    <w:rsid w:val="0087199E"/>
    <w:rsid w:val="00882EEC"/>
    <w:rsid w:val="00882F94"/>
    <w:rsid w:val="00894143"/>
    <w:rsid w:val="008A525D"/>
    <w:rsid w:val="008B24F6"/>
    <w:rsid w:val="008C65F9"/>
    <w:rsid w:val="008C7454"/>
    <w:rsid w:val="008D534B"/>
    <w:rsid w:val="008D7475"/>
    <w:rsid w:val="008E2CCA"/>
    <w:rsid w:val="008E2DE3"/>
    <w:rsid w:val="008E3C90"/>
    <w:rsid w:val="00901117"/>
    <w:rsid w:val="00902582"/>
    <w:rsid w:val="00926FF2"/>
    <w:rsid w:val="0093011F"/>
    <w:rsid w:val="00936C2F"/>
    <w:rsid w:val="009402C5"/>
    <w:rsid w:val="00943856"/>
    <w:rsid w:val="009475B6"/>
    <w:rsid w:val="00950B04"/>
    <w:rsid w:val="00953274"/>
    <w:rsid w:val="00960AF7"/>
    <w:rsid w:val="00962282"/>
    <w:rsid w:val="00984904"/>
    <w:rsid w:val="0098571F"/>
    <w:rsid w:val="00986567"/>
    <w:rsid w:val="00997C51"/>
    <w:rsid w:val="009A3507"/>
    <w:rsid w:val="009A47F7"/>
    <w:rsid w:val="009A5BF1"/>
    <w:rsid w:val="009A6D1B"/>
    <w:rsid w:val="009A6D87"/>
    <w:rsid w:val="009A7E4F"/>
    <w:rsid w:val="009B161C"/>
    <w:rsid w:val="009B36A0"/>
    <w:rsid w:val="009C3DB1"/>
    <w:rsid w:val="009D6E5F"/>
    <w:rsid w:val="009E05E6"/>
    <w:rsid w:val="009E55E9"/>
    <w:rsid w:val="009F6B4B"/>
    <w:rsid w:val="009F6C17"/>
    <w:rsid w:val="00A0221B"/>
    <w:rsid w:val="00A03973"/>
    <w:rsid w:val="00A153EC"/>
    <w:rsid w:val="00A22C31"/>
    <w:rsid w:val="00A25156"/>
    <w:rsid w:val="00A26A6C"/>
    <w:rsid w:val="00A307DB"/>
    <w:rsid w:val="00A4231C"/>
    <w:rsid w:val="00A469BF"/>
    <w:rsid w:val="00A53FAC"/>
    <w:rsid w:val="00A55D26"/>
    <w:rsid w:val="00A66C6B"/>
    <w:rsid w:val="00A719A3"/>
    <w:rsid w:val="00A8049F"/>
    <w:rsid w:val="00A8275D"/>
    <w:rsid w:val="00A8320A"/>
    <w:rsid w:val="00A87F1D"/>
    <w:rsid w:val="00A96720"/>
    <w:rsid w:val="00A976BB"/>
    <w:rsid w:val="00AA5BFC"/>
    <w:rsid w:val="00AB3D2E"/>
    <w:rsid w:val="00AB6572"/>
    <w:rsid w:val="00AC3207"/>
    <w:rsid w:val="00AC4C70"/>
    <w:rsid w:val="00AC55CA"/>
    <w:rsid w:val="00AC5CF0"/>
    <w:rsid w:val="00AD3274"/>
    <w:rsid w:val="00AD7F11"/>
    <w:rsid w:val="00AE3475"/>
    <w:rsid w:val="00AE64D0"/>
    <w:rsid w:val="00AF0CD8"/>
    <w:rsid w:val="00AF2D4C"/>
    <w:rsid w:val="00AF40FE"/>
    <w:rsid w:val="00B075EE"/>
    <w:rsid w:val="00B13574"/>
    <w:rsid w:val="00B21440"/>
    <w:rsid w:val="00B23A37"/>
    <w:rsid w:val="00B32434"/>
    <w:rsid w:val="00B3453F"/>
    <w:rsid w:val="00B35A03"/>
    <w:rsid w:val="00B41FAA"/>
    <w:rsid w:val="00B4769F"/>
    <w:rsid w:val="00B47C09"/>
    <w:rsid w:val="00B535FB"/>
    <w:rsid w:val="00B628E4"/>
    <w:rsid w:val="00B73C35"/>
    <w:rsid w:val="00B74AAA"/>
    <w:rsid w:val="00B76016"/>
    <w:rsid w:val="00B7666D"/>
    <w:rsid w:val="00B77A0E"/>
    <w:rsid w:val="00B81AB7"/>
    <w:rsid w:val="00BA746C"/>
    <w:rsid w:val="00BC0AE3"/>
    <w:rsid w:val="00BC630E"/>
    <w:rsid w:val="00BD32A4"/>
    <w:rsid w:val="00BE73D9"/>
    <w:rsid w:val="00BE76C3"/>
    <w:rsid w:val="00BF19EC"/>
    <w:rsid w:val="00BF364F"/>
    <w:rsid w:val="00C07AF7"/>
    <w:rsid w:val="00C1583B"/>
    <w:rsid w:val="00C30F5C"/>
    <w:rsid w:val="00C32D02"/>
    <w:rsid w:val="00C33D5B"/>
    <w:rsid w:val="00C35BE3"/>
    <w:rsid w:val="00C424BE"/>
    <w:rsid w:val="00C427C9"/>
    <w:rsid w:val="00C434AE"/>
    <w:rsid w:val="00C4686A"/>
    <w:rsid w:val="00C51181"/>
    <w:rsid w:val="00C535E7"/>
    <w:rsid w:val="00C540DF"/>
    <w:rsid w:val="00C552DC"/>
    <w:rsid w:val="00C57C80"/>
    <w:rsid w:val="00C7086B"/>
    <w:rsid w:val="00C7454B"/>
    <w:rsid w:val="00C806D7"/>
    <w:rsid w:val="00C83530"/>
    <w:rsid w:val="00C863F3"/>
    <w:rsid w:val="00C87732"/>
    <w:rsid w:val="00C955FB"/>
    <w:rsid w:val="00C96F5B"/>
    <w:rsid w:val="00CA393E"/>
    <w:rsid w:val="00CA6845"/>
    <w:rsid w:val="00CB4D01"/>
    <w:rsid w:val="00CC5C11"/>
    <w:rsid w:val="00CC6E14"/>
    <w:rsid w:val="00CC7DB6"/>
    <w:rsid w:val="00CD20A6"/>
    <w:rsid w:val="00CD35A7"/>
    <w:rsid w:val="00CE4A67"/>
    <w:rsid w:val="00CE61BC"/>
    <w:rsid w:val="00CF5AC5"/>
    <w:rsid w:val="00D02BA6"/>
    <w:rsid w:val="00D03AA2"/>
    <w:rsid w:val="00D17927"/>
    <w:rsid w:val="00D235A5"/>
    <w:rsid w:val="00D419BD"/>
    <w:rsid w:val="00D46B59"/>
    <w:rsid w:val="00D47077"/>
    <w:rsid w:val="00D55298"/>
    <w:rsid w:val="00D66076"/>
    <w:rsid w:val="00D75537"/>
    <w:rsid w:val="00D76D4E"/>
    <w:rsid w:val="00D83430"/>
    <w:rsid w:val="00D83BF1"/>
    <w:rsid w:val="00D87ABE"/>
    <w:rsid w:val="00D959CB"/>
    <w:rsid w:val="00DA1673"/>
    <w:rsid w:val="00DA1788"/>
    <w:rsid w:val="00DA2A4A"/>
    <w:rsid w:val="00DA36F3"/>
    <w:rsid w:val="00DC4B2A"/>
    <w:rsid w:val="00DC5E7D"/>
    <w:rsid w:val="00DC65F7"/>
    <w:rsid w:val="00DD6923"/>
    <w:rsid w:val="00DD6D67"/>
    <w:rsid w:val="00DD74CC"/>
    <w:rsid w:val="00DD7B48"/>
    <w:rsid w:val="00DE06CB"/>
    <w:rsid w:val="00DE26ED"/>
    <w:rsid w:val="00DE5D1F"/>
    <w:rsid w:val="00DF131C"/>
    <w:rsid w:val="00DF1E2C"/>
    <w:rsid w:val="00DF2E7B"/>
    <w:rsid w:val="00E02F31"/>
    <w:rsid w:val="00E03EC1"/>
    <w:rsid w:val="00E06A5E"/>
    <w:rsid w:val="00E10436"/>
    <w:rsid w:val="00E11107"/>
    <w:rsid w:val="00E2501B"/>
    <w:rsid w:val="00E2573C"/>
    <w:rsid w:val="00E27697"/>
    <w:rsid w:val="00E3299E"/>
    <w:rsid w:val="00E53276"/>
    <w:rsid w:val="00E53694"/>
    <w:rsid w:val="00E53B80"/>
    <w:rsid w:val="00E676AC"/>
    <w:rsid w:val="00E81100"/>
    <w:rsid w:val="00E82EA7"/>
    <w:rsid w:val="00E858D5"/>
    <w:rsid w:val="00E93776"/>
    <w:rsid w:val="00EA3EBE"/>
    <w:rsid w:val="00EA6874"/>
    <w:rsid w:val="00EB1D85"/>
    <w:rsid w:val="00EB4104"/>
    <w:rsid w:val="00EC411A"/>
    <w:rsid w:val="00ED5B04"/>
    <w:rsid w:val="00ED74D9"/>
    <w:rsid w:val="00EE1638"/>
    <w:rsid w:val="00EE174F"/>
    <w:rsid w:val="00EE758E"/>
    <w:rsid w:val="00EF4655"/>
    <w:rsid w:val="00EF4764"/>
    <w:rsid w:val="00EF6123"/>
    <w:rsid w:val="00F06A5C"/>
    <w:rsid w:val="00F079BD"/>
    <w:rsid w:val="00F14415"/>
    <w:rsid w:val="00F15410"/>
    <w:rsid w:val="00F31DB7"/>
    <w:rsid w:val="00F40271"/>
    <w:rsid w:val="00F4358B"/>
    <w:rsid w:val="00F47416"/>
    <w:rsid w:val="00F50A76"/>
    <w:rsid w:val="00F60F58"/>
    <w:rsid w:val="00F745B6"/>
    <w:rsid w:val="00F74735"/>
    <w:rsid w:val="00F76FEB"/>
    <w:rsid w:val="00F84119"/>
    <w:rsid w:val="00F85663"/>
    <w:rsid w:val="00F9744B"/>
    <w:rsid w:val="00FB5FF3"/>
    <w:rsid w:val="00FC61C8"/>
    <w:rsid w:val="00FC77C7"/>
    <w:rsid w:val="00FD2638"/>
    <w:rsid w:val="00FD4787"/>
    <w:rsid w:val="00FD49DD"/>
    <w:rsid w:val="00FD5E6C"/>
    <w:rsid w:val="00FE42F2"/>
    <w:rsid w:val="00FE7E8E"/>
    <w:rsid w:val="00FF4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E20544"/>
  <w15:docId w15:val="{7046F440-5251-4D47-818B-D8FF0703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897"/>
    <w:pPr>
      <w:spacing w:line="280" w:lineRule="atLeast"/>
    </w:pPr>
    <w:rPr>
      <w:rFonts w:asciiTheme="minorHAnsi" w:hAnsiTheme="minorHAnsi"/>
      <w:szCs w:val="24"/>
      <w:lang w:val="en-NZ"/>
    </w:rPr>
  </w:style>
  <w:style w:type="paragraph" w:styleId="Heading1">
    <w:name w:val="heading 1"/>
    <w:aliases w:val="Head 1"/>
    <w:basedOn w:val="Normal"/>
    <w:next w:val="Normal"/>
    <w:link w:val="Heading1Char"/>
    <w:qFormat/>
    <w:rsid w:val="007F7C24"/>
    <w:pPr>
      <w:keepNext/>
      <w:numPr>
        <w:numId w:val="1"/>
      </w:numPr>
      <w:pBdr>
        <w:bottom w:val="single" w:sz="4" w:space="1" w:color="auto"/>
      </w:pBdr>
      <w:spacing w:after="160"/>
      <w:ind w:left="709" w:hanging="709"/>
      <w:outlineLvl w:val="0"/>
    </w:pPr>
    <w:rPr>
      <w:rFonts w:ascii="Century Gothic" w:hAnsi="Century Gothic" w:cs="Arial"/>
      <w:b/>
      <w:bCs/>
      <w:sz w:val="36"/>
      <w:szCs w:val="36"/>
    </w:rPr>
  </w:style>
  <w:style w:type="paragraph" w:styleId="Heading2">
    <w:name w:val="heading 2"/>
    <w:aliases w:val="Head 2"/>
    <w:basedOn w:val="Normal"/>
    <w:next w:val="Normal"/>
    <w:link w:val="Heading2Char"/>
    <w:qFormat/>
    <w:rsid w:val="008D7475"/>
    <w:pPr>
      <w:keepNext/>
      <w:numPr>
        <w:ilvl w:val="1"/>
        <w:numId w:val="1"/>
      </w:numPr>
      <w:tabs>
        <w:tab w:val="clear" w:pos="357"/>
        <w:tab w:val="num" w:pos="709"/>
      </w:tabs>
      <w:spacing w:before="360" w:after="60"/>
      <w:ind w:left="709" w:hanging="709"/>
      <w:outlineLvl w:val="1"/>
    </w:pPr>
    <w:rPr>
      <w:rFonts w:ascii="Century Gothic" w:hAnsi="Century Gothic" w:cs="Arial"/>
      <w:b/>
      <w:bCs/>
      <w:iCs/>
      <w:sz w:val="24"/>
      <w:szCs w:val="28"/>
    </w:rPr>
  </w:style>
  <w:style w:type="paragraph" w:styleId="Heading3">
    <w:name w:val="heading 3"/>
    <w:aliases w:val="Head 3"/>
    <w:basedOn w:val="Normal"/>
    <w:next w:val="Normal"/>
    <w:link w:val="Heading3Char"/>
    <w:qFormat/>
    <w:rsid w:val="008D7475"/>
    <w:pPr>
      <w:keepNext/>
      <w:numPr>
        <w:ilvl w:val="2"/>
        <w:numId w:val="1"/>
      </w:numPr>
      <w:spacing w:before="360" w:after="60"/>
      <w:outlineLvl w:val="2"/>
    </w:pPr>
    <w:rPr>
      <w:rFonts w:ascii="Century Gothic" w:hAnsi="Century Gothic" w:cs="Arial"/>
      <w:b/>
      <w:bCs/>
      <w:szCs w:val="26"/>
    </w:rPr>
  </w:style>
  <w:style w:type="paragraph" w:styleId="Heading4">
    <w:name w:val="heading 4"/>
    <w:aliases w:val="Head 4"/>
    <w:basedOn w:val="Normal"/>
    <w:next w:val="Normal"/>
    <w:link w:val="Heading4Char"/>
    <w:qFormat/>
    <w:rsid w:val="004A5F2F"/>
    <w:pPr>
      <w:keepNext/>
      <w:spacing w:before="240" w:after="60"/>
      <w:outlineLvl w:val="3"/>
    </w:pPr>
    <w:rPr>
      <w:b/>
      <w:bCs/>
      <w:i/>
      <w:szCs w:val="28"/>
    </w:rPr>
  </w:style>
  <w:style w:type="paragraph" w:styleId="Heading5">
    <w:name w:val="heading 5"/>
    <w:basedOn w:val="Normal"/>
    <w:next w:val="Normal"/>
    <w:link w:val="Heading5Char"/>
    <w:uiPriority w:val="9"/>
    <w:qFormat/>
    <w:rsid w:val="004A5F2F"/>
    <w:pPr>
      <w:spacing w:before="240" w:after="60"/>
      <w:outlineLvl w:val="4"/>
    </w:pPr>
    <w:rPr>
      <w:bCs/>
      <w:i/>
      <w:iCs/>
      <w:szCs w:val="26"/>
    </w:rPr>
  </w:style>
  <w:style w:type="paragraph" w:styleId="Heading6">
    <w:name w:val="heading 6"/>
    <w:aliases w:val="zAp Head1"/>
    <w:basedOn w:val="Normal"/>
    <w:next w:val="BodyText"/>
    <w:link w:val="Heading6Char"/>
    <w:uiPriority w:val="9"/>
    <w:qFormat/>
    <w:rsid w:val="00FC77C7"/>
    <w:pPr>
      <w:pageBreakBefore/>
      <w:numPr>
        <w:numId w:val="6"/>
      </w:numPr>
      <w:spacing w:after="240" w:line="264" w:lineRule="auto"/>
      <w:ind w:left="57" w:firstLine="0"/>
      <w:outlineLvl w:val="5"/>
    </w:pPr>
    <w:rPr>
      <w:rFonts w:ascii="Calibri" w:hAnsi="Calibri"/>
      <w:b/>
      <w:iCs/>
      <w:sz w:val="36"/>
      <w:szCs w:val="22"/>
    </w:rPr>
  </w:style>
  <w:style w:type="paragraph" w:styleId="Heading7">
    <w:name w:val="heading 7"/>
    <w:aliases w:val="zAp Head2"/>
    <w:basedOn w:val="Normal"/>
    <w:next w:val="BodyText"/>
    <w:link w:val="Heading7Char"/>
    <w:uiPriority w:val="9"/>
    <w:unhideWhenUsed/>
    <w:qFormat/>
    <w:rsid w:val="00FC77C7"/>
    <w:pPr>
      <w:spacing w:before="240" w:after="240" w:line="264" w:lineRule="auto"/>
      <w:outlineLvl w:val="6"/>
    </w:pPr>
    <w:rPr>
      <w:rFonts w:ascii="Calibri" w:hAnsi="Calibri"/>
      <w:b/>
      <w:iCs/>
      <w:color w:val="404040"/>
      <w:sz w:val="28"/>
      <w:szCs w:val="22"/>
    </w:rPr>
  </w:style>
  <w:style w:type="paragraph" w:styleId="Heading8">
    <w:name w:val="heading 8"/>
    <w:basedOn w:val="Normal"/>
    <w:next w:val="Normal"/>
    <w:link w:val="Heading8Char"/>
    <w:uiPriority w:val="9"/>
    <w:semiHidden/>
    <w:unhideWhenUsed/>
    <w:qFormat/>
    <w:rsid w:val="00FC77C7"/>
    <w:pPr>
      <w:keepNext/>
      <w:keepLines/>
      <w:spacing w:before="200" w:line="264" w:lineRule="auto"/>
      <w:ind w:left="1440" w:hanging="1440"/>
      <w:outlineLvl w:val="7"/>
    </w:pPr>
    <w:rPr>
      <w:rFonts w:ascii="Cambria" w:hAnsi="Cambria"/>
      <w:color w:val="404040"/>
      <w:sz w:val="21"/>
      <w:szCs w:val="20"/>
    </w:rPr>
  </w:style>
  <w:style w:type="paragraph" w:styleId="Heading9">
    <w:name w:val="heading 9"/>
    <w:basedOn w:val="Normal"/>
    <w:next w:val="Normal"/>
    <w:link w:val="Heading9Char"/>
    <w:uiPriority w:val="9"/>
    <w:semiHidden/>
    <w:unhideWhenUsed/>
    <w:qFormat/>
    <w:rsid w:val="00FC77C7"/>
    <w:pPr>
      <w:keepNext/>
      <w:keepLines/>
      <w:spacing w:before="200" w:line="264" w:lineRule="auto"/>
      <w:ind w:left="1584" w:hanging="1584"/>
      <w:outlineLvl w:val="8"/>
    </w:pPr>
    <w:rPr>
      <w:rFonts w:ascii="Cambria" w:hAnsi="Cambria"/>
      <w:i/>
      <w:iCs/>
      <w:color w:val="40404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B628E4"/>
    <w:pPr>
      <w:tabs>
        <w:tab w:val="center" w:pos="4320"/>
        <w:tab w:val="right" w:pos="8640"/>
      </w:tabs>
      <w:spacing w:line="240" w:lineRule="auto"/>
    </w:pPr>
    <w:rPr>
      <w:rFonts w:ascii="Century Gothic" w:hAnsi="Century Gothic"/>
      <w:color w:val="64635B"/>
      <w:sz w:val="18"/>
    </w:rPr>
  </w:style>
  <w:style w:type="paragraph" w:styleId="Footer">
    <w:name w:val="footer"/>
    <w:basedOn w:val="Normal"/>
    <w:link w:val="FooterChar"/>
    <w:uiPriority w:val="99"/>
    <w:rsid w:val="00B628E4"/>
    <w:pPr>
      <w:tabs>
        <w:tab w:val="center" w:pos="4320"/>
        <w:tab w:val="right" w:pos="8640"/>
      </w:tabs>
    </w:pPr>
    <w:rPr>
      <w:rFonts w:ascii="Century Gothic" w:hAnsi="Century Gothic"/>
      <w:color w:val="64635B"/>
      <w:sz w:val="18"/>
    </w:rPr>
  </w:style>
  <w:style w:type="character" w:styleId="Hyperlink">
    <w:name w:val="Hyperlink"/>
    <w:basedOn w:val="DefaultParagraphFont"/>
    <w:uiPriority w:val="99"/>
    <w:rsid w:val="00582087"/>
    <w:rPr>
      <w:rFonts w:ascii="Century Gothic" w:hAnsi="Century Gothic"/>
      <w:color w:val="0000FF"/>
      <w:u w:val="single"/>
    </w:rPr>
  </w:style>
  <w:style w:type="character" w:customStyle="1" w:styleId="CaptionChar">
    <w:name w:val="Caption Char"/>
    <w:basedOn w:val="DefaultParagraphFont"/>
    <w:link w:val="Caption"/>
    <w:rsid w:val="0093011F"/>
    <w:rPr>
      <w:rFonts w:asciiTheme="minorHAnsi" w:hAnsiTheme="minorHAnsi"/>
      <w:bCs/>
      <w:sz w:val="18"/>
      <w:lang w:val="en-NZ"/>
    </w:rPr>
  </w:style>
  <w:style w:type="paragraph" w:styleId="Caption">
    <w:name w:val="caption"/>
    <w:basedOn w:val="Normal"/>
    <w:next w:val="Normal"/>
    <w:link w:val="CaptionChar"/>
    <w:qFormat/>
    <w:rsid w:val="0093011F"/>
    <w:pPr>
      <w:keepNext/>
      <w:spacing w:before="120" w:after="120"/>
    </w:pPr>
    <w:rPr>
      <w:bCs/>
      <w:sz w:val="18"/>
      <w:szCs w:val="20"/>
    </w:rPr>
  </w:style>
  <w:style w:type="paragraph" w:customStyle="1" w:styleId="ContentsHeading">
    <w:name w:val="ContentsHeading"/>
    <w:basedOn w:val="AppendixHeading"/>
    <w:next w:val="Normal"/>
    <w:rsid w:val="00C87732"/>
  </w:style>
  <w:style w:type="paragraph" w:customStyle="1" w:styleId="AppendixHeading">
    <w:name w:val="AppendixHeading"/>
    <w:basedOn w:val="Heading1"/>
    <w:next w:val="Normal"/>
    <w:rsid w:val="00C87732"/>
    <w:pPr>
      <w:numPr>
        <w:numId w:val="0"/>
      </w:numPr>
    </w:pPr>
  </w:style>
  <w:style w:type="paragraph" w:styleId="FootnoteText">
    <w:name w:val="footnote text"/>
    <w:aliases w:val="ALTS FOOTNOTE"/>
    <w:basedOn w:val="Normal"/>
    <w:link w:val="FootnoteTextChar"/>
    <w:qFormat/>
    <w:rsid w:val="0093011F"/>
    <w:pPr>
      <w:spacing w:line="240" w:lineRule="auto"/>
    </w:pPr>
    <w:rPr>
      <w:sz w:val="18"/>
      <w:szCs w:val="20"/>
    </w:rPr>
  </w:style>
  <w:style w:type="paragraph" w:styleId="TOC1">
    <w:name w:val="toc 1"/>
    <w:basedOn w:val="Normal"/>
    <w:next w:val="Normal"/>
    <w:autoRedefine/>
    <w:uiPriority w:val="39"/>
    <w:rsid w:val="004C3DC7"/>
    <w:pPr>
      <w:spacing w:before="240" w:line="360" w:lineRule="auto"/>
    </w:pPr>
    <w:rPr>
      <w:rFonts w:ascii="Century Gothic" w:hAnsi="Century Gothic"/>
      <w:b/>
    </w:rPr>
  </w:style>
  <w:style w:type="paragraph" w:styleId="TOC7">
    <w:name w:val="toc 7"/>
    <w:basedOn w:val="Normal"/>
    <w:next w:val="Normal"/>
    <w:autoRedefine/>
    <w:semiHidden/>
    <w:rsid w:val="0061525C"/>
    <w:pPr>
      <w:ind w:left="1320"/>
    </w:pPr>
  </w:style>
  <w:style w:type="paragraph" w:styleId="TOC2">
    <w:name w:val="toc 2"/>
    <w:basedOn w:val="Normal"/>
    <w:next w:val="Normal"/>
    <w:autoRedefine/>
    <w:uiPriority w:val="39"/>
    <w:rsid w:val="00582087"/>
    <w:pPr>
      <w:spacing w:line="360" w:lineRule="auto"/>
      <w:ind w:left="221"/>
    </w:pPr>
    <w:rPr>
      <w:rFonts w:ascii="Century Gothic" w:hAnsi="Century Gothic"/>
    </w:rPr>
  </w:style>
  <w:style w:type="paragraph" w:styleId="TOC3">
    <w:name w:val="toc 3"/>
    <w:basedOn w:val="Normal"/>
    <w:next w:val="Normal"/>
    <w:autoRedefine/>
    <w:uiPriority w:val="39"/>
    <w:rsid w:val="004C3DC7"/>
    <w:pPr>
      <w:spacing w:line="360" w:lineRule="auto"/>
      <w:ind w:left="442"/>
    </w:pPr>
    <w:rPr>
      <w:rFonts w:ascii="Century Gothic" w:hAnsi="Century Gothic"/>
      <w:sz w:val="18"/>
    </w:rPr>
  </w:style>
  <w:style w:type="character" w:styleId="FootnoteReference">
    <w:name w:val="footnote reference"/>
    <w:basedOn w:val="DefaultParagraphFont"/>
    <w:rsid w:val="005231A6"/>
    <w:rPr>
      <w:vertAlign w:val="superscript"/>
    </w:rPr>
  </w:style>
  <w:style w:type="paragraph" w:styleId="TOC4">
    <w:name w:val="toc 4"/>
    <w:basedOn w:val="Normal"/>
    <w:next w:val="Normal"/>
    <w:autoRedefine/>
    <w:semiHidden/>
    <w:rsid w:val="00C4686A"/>
    <w:pPr>
      <w:spacing w:line="360" w:lineRule="auto"/>
      <w:ind w:left="658"/>
    </w:pPr>
  </w:style>
  <w:style w:type="paragraph" w:styleId="TOC5">
    <w:name w:val="toc 5"/>
    <w:basedOn w:val="Normal"/>
    <w:next w:val="Normal"/>
    <w:autoRedefine/>
    <w:semiHidden/>
    <w:rsid w:val="00C4686A"/>
    <w:pPr>
      <w:ind w:left="880"/>
    </w:pPr>
  </w:style>
  <w:style w:type="paragraph" w:styleId="BalloonText">
    <w:name w:val="Balloon Text"/>
    <w:basedOn w:val="Normal"/>
    <w:link w:val="BalloonTextChar"/>
    <w:semiHidden/>
    <w:rsid w:val="00D419BD"/>
    <w:rPr>
      <w:rFonts w:ascii="Tahoma" w:hAnsi="Tahoma" w:cs="Tahoma"/>
      <w:sz w:val="16"/>
      <w:szCs w:val="16"/>
    </w:rPr>
  </w:style>
  <w:style w:type="character" w:styleId="PageNumber">
    <w:name w:val="page number"/>
    <w:basedOn w:val="DefaultParagraphFont"/>
    <w:rsid w:val="001A605C"/>
    <w:rPr>
      <w:spacing w:val="0"/>
      <w:kern w:val="0"/>
    </w:rPr>
  </w:style>
  <w:style w:type="paragraph" w:customStyle="1" w:styleId="TableText">
    <w:name w:val="TableText"/>
    <w:basedOn w:val="Normal"/>
    <w:qFormat/>
    <w:rsid w:val="00AF0CD8"/>
    <w:pPr>
      <w:spacing w:before="40" w:after="40" w:line="240" w:lineRule="auto"/>
    </w:pPr>
    <w:rPr>
      <w:rFonts w:ascii="Verdana" w:hAnsi="Verdana"/>
      <w:sz w:val="16"/>
      <w:szCs w:val="16"/>
    </w:rPr>
  </w:style>
  <w:style w:type="paragraph" w:customStyle="1" w:styleId="CoverReportType">
    <w:name w:val="Cover Report Type"/>
    <w:basedOn w:val="Normal"/>
    <w:semiHidden/>
    <w:rsid w:val="00CF5AC5"/>
    <w:pPr>
      <w:spacing w:before="500" w:after="500" w:line="240" w:lineRule="auto"/>
      <w:ind w:right="284"/>
      <w:jc w:val="right"/>
      <w:outlineLvl w:val="0"/>
    </w:pPr>
    <w:rPr>
      <w:rFonts w:ascii="Century Gothic" w:hAnsi="Century Gothic" w:cs="Arial"/>
      <w:b/>
      <w:bCs/>
      <w:color w:val="FFFFFF"/>
      <w:kern w:val="28"/>
      <w:sz w:val="36"/>
      <w:szCs w:val="36"/>
    </w:rPr>
  </w:style>
  <w:style w:type="paragraph" w:customStyle="1" w:styleId="Coverdate">
    <w:name w:val="Cover date"/>
    <w:basedOn w:val="Normal"/>
    <w:semiHidden/>
    <w:rsid w:val="00CF5AC5"/>
    <w:pPr>
      <w:spacing w:line="240" w:lineRule="auto"/>
      <w:ind w:right="284"/>
      <w:jc w:val="right"/>
      <w:outlineLvl w:val="0"/>
    </w:pPr>
    <w:rPr>
      <w:rFonts w:ascii="Century Gothic" w:hAnsi="Century Gothic" w:cs="Arial"/>
      <w:b/>
      <w:bCs/>
      <w:color w:val="15589C"/>
      <w:kern w:val="28"/>
      <w:sz w:val="28"/>
      <w:szCs w:val="28"/>
    </w:rPr>
  </w:style>
  <w:style w:type="paragraph" w:customStyle="1" w:styleId="CoverClient">
    <w:name w:val="Cover Client"/>
    <w:basedOn w:val="Normal"/>
    <w:semiHidden/>
    <w:rsid w:val="00CF5AC5"/>
    <w:pPr>
      <w:spacing w:line="240" w:lineRule="auto"/>
      <w:ind w:right="284"/>
      <w:jc w:val="right"/>
      <w:outlineLvl w:val="0"/>
    </w:pPr>
    <w:rPr>
      <w:rFonts w:ascii="Century Gothic" w:hAnsi="Century Gothic"/>
      <w:b/>
      <w:bCs/>
      <w:kern w:val="28"/>
      <w:sz w:val="36"/>
      <w:szCs w:val="20"/>
    </w:rPr>
  </w:style>
  <w:style w:type="paragraph" w:customStyle="1" w:styleId="Coverspacing">
    <w:name w:val="Cover spacing"/>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verprepared">
    <w:name w:val="Cover prepared"/>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pyrighttext">
    <w:name w:val="Copyright text"/>
    <w:basedOn w:val="Normal"/>
    <w:semiHidden/>
    <w:rsid w:val="00DF131C"/>
    <w:pPr>
      <w:spacing w:line="240" w:lineRule="atLeast"/>
    </w:pPr>
    <w:rPr>
      <w:rFonts w:ascii="Century Gothic" w:hAnsi="Century Gothic"/>
      <w:sz w:val="18"/>
      <w:szCs w:val="18"/>
    </w:rPr>
  </w:style>
  <w:style w:type="paragraph" w:styleId="Title">
    <w:name w:val="Title"/>
    <w:basedOn w:val="Normal"/>
    <w:next w:val="Normal"/>
    <w:link w:val="TitleChar"/>
    <w:uiPriority w:val="10"/>
    <w:qFormat/>
    <w:rsid w:val="00B23A37"/>
    <w:pPr>
      <w:autoSpaceDE w:val="0"/>
      <w:autoSpaceDN w:val="0"/>
      <w:adjustRightInd w:val="0"/>
      <w:spacing w:line="216" w:lineRule="auto"/>
    </w:pPr>
    <w:rPr>
      <w:rFonts w:ascii="Century Gothic" w:hAnsi="Century Gothic" w:cs="Futura"/>
      <w:spacing w:val="-10"/>
      <w:kern w:val="81"/>
      <w:sz w:val="40"/>
      <w:szCs w:val="40"/>
    </w:rPr>
  </w:style>
  <w:style w:type="character" w:customStyle="1" w:styleId="TitleChar">
    <w:name w:val="Title Char"/>
    <w:basedOn w:val="DefaultParagraphFont"/>
    <w:link w:val="Title"/>
    <w:uiPriority w:val="10"/>
    <w:rsid w:val="00B23A37"/>
    <w:rPr>
      <w:rFonts w:ascii="Century Gothic" w:hAnsi="Century Gothic" w:cs="Futura"/>
      <w:spacing w:val="-10"/>
      <w:kern w:val="81"/>
      <w:sz w:val="40"/>
      <w:szCs w:val="40"/>
      <w:lang w:val="en-NZ"/>
    </w:rPr>
  </w:style>
  <w:style w:type="character" w:styleId="IntenseEmphasis">
    <w:name w:val="Intense Emphasis"/>
    <w:basedOn w:val="DefaultParagraphFont"/>
    <w:uiPriority w:val="21"/>
    <w:rsid w:val="00B628E4"/>
    <w:rPr>
      <w:rFonts w:ascii="Century Gothic" w:hAnsi="Century Gothic"/>
      <w:b/>
      <w:bCs/>
      <w:i/>
      <w:iCs/>
      <w:color w:val="000000" w:themeColor="text1"/>
      <w:sz w:val="70"/>
    </w:rPr>
  </w:style>
  <w:style w:type="paragraph" w:customStyle="1" w:styleId="FooterText">
    <w:name w:val="Footer Text"/>
    <w:basedOn w:val="Footer"/>
    <w:link w:val="FooterTextChar"/>
    <w:qFormat/>
    <w:rsid w:val="0074597D"/>
    <w:pPr>
      <w:tabs>
        <w:tab w:val="clear" w:pos="8640"/>
        <w:tab w:val="left" w:pos="1373"/>
        <w:tab w:val="left" w:pos="4119"/>
        <w:tab w:val="right" w:pos="4320"/>
        <w:tab w:val="right" w:pos="8222"/>
      </w:tabs>
      <w:ind w:right="-1"/>
    </w:pPr>
    <w:rPr>
      <w:spacing w:val="-10"/>
      <w:kern w:val="18"/>
    </w:rPr>
  </w:style>
  <w:style w:type="character" w:customStyle="1" w:styleId="FooterChar">
    <w:name w:val="Footer Char"/>
    <w:basedOn w:val="DefaultParagraphFont"/>
    <w:link w:val="Footer"/>
    <w:uiPriority w:val="99"/>
    <w:rsid w:val="00B628E4"/>
    <w:rPr>
      <w:rFonts w:ascii="Century Gothic" w:hAnsi="Century Gothic"/>
      <w:color w:val="64635B"/>
      <w:sz w:val="18"/>
      <w:szCs w:val="24"/>
      <w:lang w:val="en-NZ"/>
    </w:rPr>
  </w:style>
  <w:style w:type="character" w:customStyle="1" w:styleId="FooterTextChar">
    <w:name w:val="Footer Text Char"/>
    <w:basedOn w:val="FooterChar"/>
    <w:link w:val="FooterText"/>
    <w:rsid w:val="0074597D"/>
    <w:rPr>
      <w:rFonts w:ascii="Century Gothic" w:hAnsi="Century Gothic"/>
      <w:color w:val="64635B"/>
      <w:spacing w:val="-10"/>
      <w:kern w:val="18"/>
      <w:sz w:val="18"/>
      <w:szCs w:val="24"/>
      <w:lang w:val="en-NZ"/>
    </w:rPr>
  </w:style>
  <w:style w:type="character" w:styleId="PlaceholderText">
    <w:name w:val="Placeholder Text"/>
    <w:basedOn w:val="DefaultParagraphFont"/>
    <w:uiPriority w:val="99"/>
    <w:semiHidden/>
    <w:rsid w:val="004F2076"/>
    <w:rPr>
      <w:color w:val="808080"/>
    </w:rPr>
  </w:style>
  <w:style w:type="table" w:styleId="TableGrid">
    <w:name w:val="Table Grid"/>
    <w:basedOn w:val="TableNormal"/>
    <w:rsid w:val="00F745B6"/>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1A605C"/>
    <w:pPr>
      <w:numPr>
        <w:numId w:val="2"/>
      </w:numPr>
      <w:spacing w:after="280"/>
      <w:ind w:left="0" w:hanging="567"/>
    </w:pPr>
  </w:style>
  <w:style w:type="character" w:customStyle="1" w:styleId="NumberedChar">
    <w:name w:val="Numbered Char"/>
    <w:basedOn w:val="DefaultParagraphFont"/>
    <w:link w:val="Numbered"/>
    <w:rsid w:val="001A605C"/>
    <w:rPr>
      <w:rFonts w:asciiTheme="minorHAnsi" w:hAnsiTheme="minorHAnsi"/>
      <w:szCs w:val="24"/>
      <w:lang w:val="en-NZ"/>
    </w:rPr>
  </w:style>
  <w:style w:type="table" w:customStyle="1" w:styleId="CovecTables">
    <w:name w:val="Covec Tables"/>
    <w:basedOn w:val="TableNormal"/>
    <w:uiPriority w:val="99"/>
    <w:qFormat/>
    <w:rsid w:val="000B0B05"/>
    <w:pPr>
      <w:jc w:val="right"/>
    </w:pPr>
    <w:rPr>
      <w:rFonts w:ascii="Verdana" w:hAnsi="Verdana"/>
      <w:sz w:val="16"/>
    </w:rPr>
    <w:tblPr>
      <w:tblInd w:w="113" w:type="dxa"/>
      <w:tblCellMar>
        <w:left w:w="28" w:type="dxa"/>
        <w:right w:w="28" w:type="dxa"/>
      </w:tblCellMar>
    </w:tblPr>
    <w:tcPr>
      <w:vAlign w:val="center"/>
    </w:tcPr>
    <w:tblStylePr w:type="firstRow">
      <w:pPr>
        <w:jc w:val="right"/>
      </w:pPr>
      <w:rPr>
        <w:rFonts w:ascii="Verdana" w:hAnsi="Verdana"/>
        <w:b/>
        <w:color w:val="780000"/>
        <w:sz w:val="16"/>
      </w:rPr>
      <w:tblPr/>
      <w:tcPr>
        <w:tcBorders>
          <w:bottom w:val="single" w:sz="8" w:space="0" w:color="A6A6A6" w:themeColor="background1" w:themeShade="A6"/>
        </w:tcBorders>
      </w:tcPr>
    </w:tblStylePr>
    <w:tblStylePr w:type="lastRow">
      <w:pPr>
        <w:jc w:val="right"/>
      </w:pPr>
      <w:tblPr/>
      <w:tcPr>
        <w:tcBorders>
          <w:bottom w:val="single" w:sz="12" w:space="0" w:color="A6A6A6" w:themeColor="background1" w:themeShade="A6"/>
        </w:tcBorders>
        <w:vAlign w:val="center"/>
      </w:tcPr>
    </w:tblStylePr>
    <w:tblStylePr w:type="firstCol">
      <w:pPr>
        <w:jc w:val="left"/>
      </w:pPr>
    </w:tblStylePr>
    <w:tblStylePr w:type="swCell">
      <w:pPr>
        <w:jc w:val="left"/>
      </w:pPr>
      <w:tblPr/>
      <w:tcPr>
        <w:vAlign w:val="center"/>
      </w:tcPr>
    </w:tblStylePr>
  </w:style>
  <w:style w:type="character" w:customStyle="1" w:styleId="Heading6Char">
    <w:name w:val="Heading 6 Char"/>
    <w:aliases w:val="zAp Head1 Char"/>
    <w:basedOn w:val="DefaultParagraphFont"/>
    <w:link w:val="Heading6"/>
    <w:uiPriority w:val="9"/>
    <w:rsid w:val="00FC77C7"/>
    <w:rPr>
      <w:rFonts w:ascii="Calibri" w:hAnsi="Calibri"/>
      <w:b/>
      <w:iCs/>
      <w:sz w:val="36"/>
      <w:szCs w:val="22"/>
      <w:lang w:val="en-NZ"/>
    </w:rPr>
  </w:style>
  <w:style w:type="character" w:customStyle="1" w:styleId="Heading7Char">
    <w:name w:val="Heading 7 Char"/>
    <w:aliases w:val="zAp Head2 Char"/>
    <w:basedOn w:val="DefaultParagraphFont"/>
    <w:link w:val="Heading7"/>
    <w:uiPriority w:val="9"/>
    <w:rsid w:val="00FC77C7"/>
    <w:rPr>
      <w:rFonts w:ascii="Calibri" w:hAnsi="Calibri"/>
      <w:b/>
      <w:iCs/>
      <w:color w:val="404040"/>
      <w:sz w:val="28"/>
      <w:szCs w:val="22"/>
      <w:lang w:val="en-NZ"/>
    </w:rPr>
  </w:style>
  <w:style w:type="character" w:customStyle="1" w:styleId="Heading8Char">
    <w:name w:val="Heading 8 Char"/>
    <w:basedOn w:val="DefaultParagraphFont"/>
    <w:link w:val="Heading8"/>
    <w:uiPriority w:val="9"/>
    <w:semiHidden/>
    <w:rsid w:val="00FC77C7"/>
    <w:rPr>
      <w:rFonts w:ascii="Cambria" w:hAnsi="Cambria"/>
      <w:color w:val="404040"/>
      <w:sz w:val="21"/>
      <w:lang w:val="en-NZ"/>
    </w:rPr>
  </w:style>
  <w:style w:type="character" w:customStyle="1" w:styleId="Heading9Char">
    <w:name w:val="Heading 9 Char"/>
    <w:basedOn w:val="DefaultParagraphFont"/>
    <w:link w:val="Heading9"/>
    <w:uiPriority w:val="9"/>
    <w:semiHidden/>
    <w:rsid w:val="00FC77C7"/>
    <w:rPr>
      <w:rFonts w:ascii="Cambria" w:hAnsi="Cambria"/>
      <w:i/>
      <w:iCs/>
      <w:color w:val="404040"/>
      <w:sz w:val="21"/>
      <w:lang w:val="en-NZ"/>
    </w:rPr>
  </w:style>
  <w:style w:type="paragraph" w:styleId="BodyText">
    <w:name w:val="Body Text"/>
    <w:aliases w:val="Text body,A Body text,Body Text Char2,Body Text Char1 Char1,Body Text Char Char Char,Body Text Char1 Char Char Char,Body Text Char Char Char Char Char,Body Text Char1 Char Char Char Char Char Char Char,Body Text Char1 Char Char"/>
    <w:basedOn w:val="Normal"/>
    <w:link w:val="BodyTextChar"/>
    <w:qFormat/>
    <w:rsid w:val="00FC77C7"/>
    <w:pPr>
      <w:widowControl w:val="0"/>
      <w:autoSpaceDE w:val="0"/>
      <w:autoSpaceDN w:val="0"/>
      <w:spacing w:line="240" w:lineRule="auto"/>
    </w:pPr>
    <w:rPr>
      <w:rFonts w:ascii="Arial" w:eastAsia="Arial" w:hAnsi="Arial" w:cs="Arial"/>
      <w:sz w:val="22"/>
      <w:szCs w:val="22"/>
      <w:lang w:eastAsia="en-NZ" w:bidi="en-NZ"/>
    </w:rPr>
  </w:style>
  <w:style w:type="character" w:customStyle="1" w:styleId="BodyTextChar">
    <w:name w:val="Body Text Char"/>
    <w:aliases w:val="Text body Char,A Body text Char,Body Text Char2 Char,Body Text Char1 Char1 Char,Body Text Char Char Char Char,Body Text Char1 Char Char Char Char,Body Text Char Char Char Char Char Char,Body Text Char1 Char Char Char1"/>
    <w:basedOn w:val="DefaultParagraphFont"/>
    <w:link w:val="BodyText"/>
    <w:rsid w:val="00FC77C7"/>
    <w:rPr>
      <w:rFonts w:ascii="Arial" w:eastAsia="Arial" w:hAnsi="Arial" w:cs="Arial"/>
      <w:sz w:val="22"/>
      <w:szCs w:val="22"/>
      <w:lang w:val="en-NZ" w:eastAsia="en-NZ" w:bidi="en-NZ"/>
    </w:rPr>
  </w:style>
  <w:style w:type="paragraph" w:customStyle="1" w:styleId="TableParagraph">
    <w:name w:val="Table Paragraph"/>
    <w:basedOn w:val="Normal"/>
    <w:uiPriority w:val="1"/>
    <w:qFormat/>
    <w:rsid w:val="00FC77C7"/>
    <w:pPr>
      <w:widowControl w:val="0"/>
      <w:autoSpaceDE w:val="0"/>
      <w:autoSpaceDN w:val="0"/>
      <w:spacing w:line="240" w:lineRule="auto"/>
    </w:pPr>
    <w:rPr>
      <w:rFonts w:ascii="Arial" w:eastAsia="Arial" w:hAnsi="Arial" w:cs="Arial"/>
      <w:sz w:val="22"/>
      <w:szCs w:val="22"/>
      <w:lang w:eastAsia="en-NZ" w:bidi="en-NZ"/>
    </w:rPr>
  </w:style>
  <w:style w:type="paragraph" w:styleId="ListParagraph">
    <w:name w:val="List Paragraph"/>
    <w:aliases w:val="List Paragraph1,Recommendation,List Paragraph11,TOC style,lp1,Bullet OSM,Proposal Bullet List,Rec para,Dot pt,F5 List Paragraph,List Paragraph Char Char Char,Indicator Text,Numbered Para 1,Colorful List - Accent 11,L,bulleted list,Bullets"/>
    <w:basedOn w:val="Normal"/>
    <w:link w:val="ListParagraphChar"/>
    <w:uiPriority w:val="34"/>
    <w:qFormat/>
    <w:rsid w:val="0093011F"/>
    <w:pPr>
      <w:numPr>
        <w:numId w:val="8"/>
      </w:numPr>
      <w:contextualSpacing/>
    </w:pPr>
    <w:rPr>
      <w:szCs w:val="20"/>
    </w:rPr>
  </w:style>
  <w:style w:type="character" w:customStyle="1" w:styleId="FootnoteTextChar">
    <w:name w:val="Footnote Text Char"/>
    <w:aliases w:val="ALTS FOOTNOTE Char"/>
    <w:basedOn w:val="DefaultParagraphFont"/>
    <w:link w:val="FootnoteText"/>
    <w:rsid w:val="0093011F"/>
    <w:rPr>
      <w:rFonts w:asciiTheme="minorHAnsi" w:hAnsiTheme="minorHAnsi"/>
      <w:sz w:val="18"/>
      <w:lang w:val="en-NZ"/>
    </w:rPr>
  </w:style>
  <w:style w:type="character" w:customStyle="1" w:styleId="BalloonTextChar">
    <w:name w:val="Balloon Text Char"/>
    <w:basedOn w:val="DefaultParagraphFont"/>
    <w:link w:val="BalloonText"/>
    <w:semiHidden/>
    <w:rsid w:val="00FC77C7"/>
    <w:rPr>
      <w:rFonts w:ascii="Tahoma" w:hAnsi="Tahoma" w:cs="Tahoma"/>
      <w:sz w:val="16"/>
      <w:szCs w:val="16"/>
      <w:lang w:val="en-NZ"/>
    </w:rPr>
  </w:style>
  <w:style w:type="paragraph" w:customStyle="1" w:styleId="Texttable">
    <w:name w:val="Text table"/>
    <w:basedOn w:val="Normal"/>
    <w:link w:val="TexttableChar"/>
    <w:qFormat/>
    <w:rsid w:val="00FC77C7"/>
    <w:pPr>
      <w:spacing w:line="264" w:lineRule="auto"/>
      <w:contextualSpacing/>
    </w:pPr>
    <w:rPr>
      <w:rFonts w:ascii="Calibri" w:eastAsia="Calibri" w:hAnsi="Calibri" w:cs="Arial"/>
      <w:sz w:val="22"/>
      <w:szCs w:val="22"/>
      <w:lang w:eastAsia="en-NZ" w:bidi="en-NZ"/>
    </w:rPr>
  </w:style>
  <w:style w:type="paragraph" w:customStyle="1" w:styleId="SmallPrint">
    <w:name w:val="Small Print"/>
    <w:basedOn w:val="BodyText"/>
    <w:link w:val="SmallPrintChar"/>
    <w:rsid w:val="00FC77C7"/>
    <w:pPr>
      <w:widowControl/>
      <w:autoSpaceDE/>
      <w:autoSpaceDN/>
      <w:spacing w:before="160" w:after="160" w:line="264" w:lineRule="auto"/>
    </w:pPr>
    <w:rPr>
      <w:rFonts w:ascii="Calibri" w:eastAsia="Calibri" w:hAnsi="Calibri"/>
      <w:sz w:val="16"/>
      <w:szCs w:val="16"/>
    </w:rPr>
  </w:style>
  <w:style w:type="character" w:customStyle="1" w:styleId="TexttableChar">
    <w:name w:val="Text table Char"/>
    <w:basedOn w:val="BodyTextChar"/>
    <w:link w:val="Texttable"/>
    <w:rsid w:val="00FC77C7"/>
    <w:rPr>
      <w:rFonts w:ascii="Calibri" w:eastAsia="Calibri" w:hAnsi="Calibri" w:cs="Arial"/>
      <w:sz w:val="22"/>
      <w:szCs w:val="22"/>
      <w:lang w:val="en-NZ" w:eastAsia="en-NZ" w:bidi="en-NZ"/>
    </w:rPr>
  </w:style>
  <w:style w:type="character" w:customStyle="1" w:styleId="Heading1Char">
    <w:name w:val="Heading 1 Char"/>
    <w:aliases w:val="Head 1 Char"/>
    <w:basedOn w:val="DefaultParagraphFont"/>
    <w:link w:val="Heading1"/>
    <w:rsid w:val="00FC77C7"/>
    <w:rPr>
      <w:rFonts w:ascii="Century Gothic" w:hAnsi="Century Gothic" w:cs="Arial"/>
      <w:b/>
      <w:bCs/>
      <w:sz w:val="36"/>
      <w:szCs w:val="36"/>
      <w:lang w:val="en-NZ"/>
    </w:rPr>
  </w:style>
  <w:style w:type="character" w:customStyle="1" w:styleId="SmallPrintChar">
    <w:name w:val="Small Print Char"/>
    <w:basedOn w:val="BodyTextChar"/>
    <w:link w:val="SmallPrint"/>
    <w:rsid w:val="00FC77C7"/>
    <w:rPr>
      <w:rFonts w:ascii="Calibri" w:eastAsia="Calibri" w:hAnsi="Calibri" w:cs="Arial"/>
      <w:sz w:val="16"/>
      <w:szCs w:val="16"/>
      <w:lang w:val="en-NZ" w:eastAsia="en-NZ" w:bidi="en-NZ"/>
    </w:rPr>
  </w:style>
  <w:style w:type="character" w:customStyle="1" w:styleId="Heading2Char">
    <w:name w:val="Heading 2 Char"/>
    <w:aliases w:val="Head 2 Char"/>
    <w:basedOn w:val="DefaultParagraphFont"/>
    <w:link w:val="Heading2"/>
    <w:rsid w:val="00FC77C7"/>
    <w:rPr>
      <w:rFonts w:ascii="Century Gothic" w:hAnsi="Century Gothic" w:cs="Arial"/>
      <w:b/>
      <w:bCs/>
      <w:iCs/>
      <w:sz w:val="24"/>
      <w:szCs w:val="28"/>
      <w:lang w:val="en-NZ"/>
    </w:rPr>
  </w:style>
  <w:style w:type="character" w:customStyle="1" w:styleId="Heading3Char">
    <w:name w:val="Heading 3 Char"/>
    <w:aliases w:val="Head 3 Char"/>
    <w:basedOn w:val="DefaultParagraphFont"/>
    <w:link w:val="Heading3"/>
    <w:rsid w:val="00FC77C7"/>
    <w:rPr>
      <w:rFonts w:ascii="Century Gothic" w:hAnsi="Century Gothic" w:cs="Arial"/>
      <w:b/>
      <w:bCs/>
      <w:szCs w:val="26"/>
      <w:lang w:val="en-NZ"/>
    </w:rPr>
  </w:style>
  <w:style w:type="character" w:customStyle="1" w:styleId="Heading4Char">
    <w:name w:val="Heading 4 Char"/>
    <w:aliases w:val="Head 4 Char"/>
    <w:basedOn w:val="DefaultParagraphFont"/>
    <w:link w:val="Heading4"/>
    <w:rsid w:val="00FC77C7"/>
    <w:rPr>
      <w:rFonts w:asciiTheme="minorHAnsi" w:hAnsiTheme="minorHAnsi"/>
      <w:b/>
      <w:bCs/>
      <w:i/>
      <w:szCs w:val="28"/>
      <w:lang w:val="en-NZ"/>
    </w:rPr>
  </w:style>
  <w:style w:type="character" w:customStyle="1" w:styleId="Heading5Char">
    <w:name w:val="Heading 5 Char"/>
    <w:basedOn w:val="DefaultParagraphFont"/>
    <w:link w:val="Heading5"/>
    <w:uiPriority w:val="9"/>
    <w:rsid w:val="00FC77C7"/>
    <w:rPr>
      <w:rFonts w:asciiTheme="minorHAnsi" w:hAnsiTheme="minorHAnsi"/>
      <w:bCs/>
      <w:i/>
      <w:iCs/>
      <w:szCs w:val="26"/>
      <w:lang w:val="en-NZ"/>
    </w:rPr>
  </w:style>
  <w:style w:type="paragraph" w:customStyle="1" w:styleId="Headno">
    <w:name w:val="Head no#"/>
    <w:basedOn w:val="Normal"/>
    <w:next w:val="BodyText"/>
    <w:link w:val="HeadnoChar"/>
    <w:qFormat/>
    <w:rsid w:val="00FC77C7"/>
    <w:pPr>
      <w:spacing w:before="240" w:after="240" w:line="264" w:lineRule="auto"/>
    </w:pPr>
    <w:rPr>
      <w:rFonts w:ascii="Calibri" w:eastAsia="Calibri" w:hAnsi="Calibri" w:cs="Arial"/>
      <w:b/>
      <w:sz w:val="36"/>
      <w:szCs w:val="22"/>
      <w:lang w:eastAsia="en-NZ" w:bidi="en-NZ"/>
    </w:rPr>
  </w:style>
  <w:style w:type="character" w:customStyle="1" w:styleId="HeadnoChar">
    <w:name w:val="Head no# Char"/>
    <w:basedOn w:val="BodyTextChar"/>
    <w:link w:val="Headno"/>
    <w:rsid w:val="00FC77C7"/>
    <w:rPr>
      <w:rFonts w:ascii="Calibri" w:eastAsia="Calibri" w:hAnsi="Calibri" w:cs="Arial"/>
      <w:b/>
      <w:sz w:val="36"/>
      <w:szCs w:val="22"/>
      <w:lang w:val="en-NZ" w:eastAsia="en-NZ" w:bidi="en-NZ"/>
    </w:rPr>
  </w:style>
  <w:style w:type="character" w:customStyle="1" w:styleId="HeaderChar">
    <w:name w:val="Header Char"/>
    <w:basedOn w:val="DefaultParagraphFont"/>
    <w:link w:val="Header"/>
    <w:rsid w:val="00FC77C7"/>
    <w:rPr>
      <w:rFonts w:ascii="Century Gothic" w:hAnsi="Century Gothic"/>
      <w:color w:val="64635B"/>
      <w:sz w:val="18"/>
      <w:szCs w:val="24"/>
      <w:lang w:val="en-NZ"/>
    </w:rPr>
  </w:style>
  <w:style w:type="paragraph" w:customStyle="1" w:styleId="Equation">
    <w:name w:val="Equation"/>
    <w:basedOn w:val="Normal"/>
    <w:next w:val="BlockText"/>
    <w:link w:val="EquationChar"/>
    <w:rsid w:val="00FC77C7"/>
    <w:pPr>
      <w:spacing w:line="264" w:lineRule="auto"/>
      <w:jc w:val="both"/>
    </w:pPr>
    <w:rPr>
      <w:rFonts w:ascii="Calibri" w:hAnsi="Calibri"/>
      <w:sz w:val="21"/>
      <w:szCs w:val="20"/>
    </w:rPr>
  </w:style>
  <w:style w:type="character" w:customStyle="1" w:styleId="EquationChar">
    <w:name w:val="Equation Char"/>
    <w:basedOn w:val="DefaultParagraphFont"/>
    <w:link w:val="Equation"/>
    <w:rsid w:val="00FC77C7"/>
    <w:rPr>
      <w:rFonts w:ascii="Calibri" w:hAnsi="Calibri"/>
      <w:sz w:val="21"/>
      <w:lang w:val="en-NZ"/>
    </w:rPr>
  </w:style>
  <w:style w:type="paragraph" w:customStyle="1" w:styleId="Textlist">
    <w:name w:val="Text list"/>
    <w:basedOn w:val="Normal"/>
    <w:link w:val="TextlistChar"/>
    <w:qFormat/>
    <w:rsid w:val="00FC77C7"/>
    <w:pPr>
      <w:spacing w:line="264" w:lineRule="auto"/>
      <w:contextualSpacing/>
    </w:pPr>
    <w:rPr>
      <w:rFonts w:ascii="Calibri" w:eastAsia="Calibri" w:hAnsi="Calibri" w:cs="Arial"/>
      <w:sz w:val="22"/>
      <w:szCs w:val="22"/>
      <w:lang w:eastAsia="en-NZ" w:bidi="en-NZ"/>
    </w:rPr>
  </w:style>
  <w:style w:type="paragraph" w:customStyle="1" w:styleId="ListBullet1">
    <w:name w:val="List Bullet1"/>
    <w:basedOn w:val="BodyText"/>
    <w:link w:val="ListbulletChar"/>
    <w:rsid w:val="00FC77C7"/>
    <w:pPr>
      <w:widowControl/>
      <w:numPr>
        <w:numId w:val="4"/>
      </w:numPr>
      <w:autoSpaceDE/>
      <w:autoSpaceDN/>
      <w:spacing w:before="160" w:after="160" w:line="264" w:lineRule="auto"/>
      <w:contextualSpacing/>
    </w:pPr>
    <w:rPr>
      <w:rFonts w:ascii="Calibri" w:eastAsia="Calibri" w:hAnsi="Calibri"/>
    </w:rPr>
  </w:style>
  <w:style w:type="character" w:customStyle="1" w:styleId="TextlistChar">
    <w:name w:val="Text list Char"/>
    <w:basedOn w:val="BodyTextChar"/>
    <w:link w:val="Textlist"/>
    <w:rsid w:val="00FC77C7"/>
    <w:rPr>
      <w:rFonts w:ascii="Calibri" w:eastAsia="Calibri" w:hAnsi="Calibri" w:cs="Arial"/>
      <w:sz w:val="22"/>
      <w:szCs w:val="22"/>
      <w:lang w:val="en-NZ" w:eastAsia="en-NZ" w:bidi="en-NZ"/>
    </w:rPr>
  </w:style>
  <w:style w:type="paragraph" w:styleId="BlockText">
    <w:name w:val="Block Text"/>
    <w:basedOn w:val="Normal"/>
    <w:semiHidden/>
    <w:unhideWhenUsed/>
    <w:rsid w:val="00FC77C7"/>
    <w:pPr>
      <w:pBdr>
        <w:top w:val="single" w:sz="2" w:space="10" w:color="4F81BD" w:shadow="1"/>
        <w:left w:val="single" w:sz="2" w:space="10" w:color="4F81BD" w:shadow="1"/>
        <w:bottom w:val="single" w:sz="2" w:space="10" w:color="4F81BD" w:shadow="1"/>
        <w:right w:val="single" w:sz="2" w:space="10" w:color="4F81BD" w:shadow="1"/>
      </w:pBdr>
      <w:spacing w:line="264" w:lineRule="auto"/>
      <w:ind w:left="1152" w:right="1152"/>
    </w:pPr>
    <w:rPr>
      <w:rFonts w:ascii="Calibri" w:hAnsi="Calibri"/>
      <w:i/>
      <w:iCs/>
      <w:color w:val="4F81BD"/>
      <w:sz w:val="22"/>
      <w:szCs w:val="22"/>
    </w:rPr>
  </w:style>
  <w:style w:type="paragraph" w:customStyle="1" w:styleId="Listnum">
    <w:name w:val="List num"/>
    <w:basedOn w:val="BodyText"/>
    <w:link w:val="ListnumChar"/>
    <w:rsid w:val="00FC77C7"/>
    <w:pPr>
      <w:widowControl/>
      <w:numPr>
        <w:numId w:val="5"/>
      </w:numPr>
      <w:autoSpaceDE/>
      <w:autoSpaceDN/>
      <w:spacing w:before="160" w:after="160" w:line="264" w:lineRule="auto"/>
      <w:contextualSpacing/>
    </w:pPr>
    <w:rPr>
      <w:rFonts w:ascii="Calibri" w:eastAsia="Calibri" w:hAnsi="Calibri"/>
    </w:rPr>
  </w:style>
  <w:style w:type="character" w:customStyle="1" w:styleId="ListbulletChar">
    <w:name w:val="List bullet Char"/>
    <w:basedOn w:val="BodyTextChar"/>
    <w:link w:val="ListBullet1"/>
    <w:rsid w:val="00FC77C7"/>
    <w:rPr>
      <w:rFonts w:ascii="Calibri" w:eastAsia="Calibri" w:hAnsi="Calibri" w:cs="Arial"/>
      <w:sz w:val="22"/>
      <w:szCs w:val="22"/>
      <w:lang w:val="en-NZ" w:eastAsia="en-NZ" w:bidi="en-NZ"/>
    </w:rPr>
  </w:style>
  <w:style w:type="paragraph" w:styleId="TableofFigures">
    <w:name w:val="table of figures"/>
    <w:basedOn w:val="Normal"/>
    <w:next w:val="Normal"/>
    <w:uiPriority w:val="99"/>
    <w:unhideWhenUsed/>
    <w:rsid w:val="00FC77C7"/>
    <w:pPr>
      <w:spacing w:line="264" w:lineRule="auto"/>
    </w:pPr>
    <w:rPr>
      <w:rFonts w:ascii="Calibri" w:eastAsia="Calibri" w:hAnsi="Calibri"/>
      <w:sz w:val="22"/>
      <w:szCs w:val="22"/>
    </w:rPr>
  </w:style>
  <w:style w:type="character" w:customStyle="1" w:styleId="ListnumChar">
    <w:name w:val="List num Char"/>
    <w:basedOn w:val="BodyTextChar"/>
    <w:link w:val="Listnum"/>
    <w:rsid w:val="00FC77C7"/>
    <w:rPr>
      <w:rFonts w:ascii="Calibri" w:eastAsia="Calibri" w:hAnsi="Calibri" w:cs="Arial"/>
      <w:sz w:val="22"/>
      <w:szCs w:val="22"/>
      <w:lang w:val="en-NZ" w:eastAsia="en-NZ" w:bidi="en-NZ"/>
    </w:rPr>
  </w:style>
  <w:style w:type="paragraph" w:styleId="EndnoteText">
    <w:name w:val="endnote text"/>
    <w:basedOn w:val="Normal"/>
    <w:link w:val="EndnoteTextChar"/>
    <w:semiHidden/>
    <w:unhideWhenUsed/>
    <w:rsid w:val="00FC77C7"/>
    <w:pPr>
      <w:spacing w:line="264" w:lineRule="auto"/>
    </w:pPr>
    <w:rPr>
      <w:rFonts w:ascii="Calibri" w:eastAsia="Calibri" w:hAnsi="Calibri"/>
      <w:sz w:val="21"/>
      <w:szCs w:val="20"/>
    </w:rPr>
  </w:style>
  <w:style w:type="character" w:customStyle="1" w:styleId="EndnoteTextChar">
    <w:name w:val="Endnote Text Char"/>
    <w:basedOn w:val="DefaultParagraphFont"/>
    <w:link w:val="EndnoteText"/>
    <w:semiHidden/>
    <w:rsid w:val="00FC77C7"/>
    <w:rPr>
      <w:rFonts w:ascii="Calibri" w:eastAsia="Calibri" w:hAnsi="Calibri"/>
      <w:sz w:val="21"/>
      <w:lang w:val="en-NZ"/>
    </w:rPr>
  </w:style>
  <w:style w:type="character" w:styleId="EndnoteReference">
    <w:name w:val="endnote reference"/>
    <w:basedOn w:val="DefaultParagraphFont"/>
    <w:semiHidden/>
    <w:unhideWhenUsed/>
    <w:rsid w:val="00FC77C7"/>
    <w:rPr>
      <w:vertAlign w:val="superscript"/>
    </w:rPr>
  </w:style>
  <w:style w:type="paragraph" w:customStyle="1" w:styleId="Default">
    <w:name w:val="Default"/>
    <w:rsid w:val="00FC77C7"/>
    <w:pPr>
      <w:autoSpaceDE w:val="0"/>
      <w:autoSpaceDN w:val="0"/>
      <w:adjustRightInd w:val="0"/>
    </w:pPr>
    <w:rPr>
      <w:rFonts w:ascii="Arial" w:eastAsia="Calibri" w:hAnsi="Arial" w:cs="Arial"/>
      <w:color w:val="000000"/>
      <w:sz w:val="24"/>
      <w:szCs w:val="24"/>
    </w:rPr>
  </w:style>
  <w:style w:type="paragraph" w:customStyle="1" w:styleId="Tablehead">
    <w:name w:val="Table head"/>
    <w:basedOn w:val="Texttable"/>
    <w:link w:val="TableheadChar"/>
    <w:rsid w:val="00FC77C7"/>
    <w:rPr>
      <w:b/>
    </w:rPr>
  </w:style>
  <w:style w:type="table" w:customStyle="1" w:styleId="LightShading1">
    <w:name w:val="Light Shading1"/>
    <w:basedOn w:val="TableNormal"/>
    <w:uiPriority w:val="60"/>
    <w:rsid w:val="00FC77C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headChar">
    <w:name w:val="Table head Char"/>
    <w:basedOn w:val="TexttableChar"/>
    <w:link w:val="Tablehead"/>
    <w:rsid w:val="00FC77C7"/>
    <w:rPr>
      <w:rFonts w:ascii="Calibri" w:eastAsia="Calibri" w:hAnsi="Calibri" w:cs="Arial"/>
      <w:b/>
      <w:sz w:val="22"/>
      <w:szCs w:val="22"/>
      <w:lang w:val="en-NZ" w:eastAsia="en-NZ" w:bidi="en-NZ"/>
    </w:rPr>
  </w:style>
  <w:style w:type="table" w:customStyle="1" w:styleId="DefaultTable">
    <w:name w:val="Default Table"/>
    <w:basedOn w:val="TableNormal"/>
    <w:uiPriority w:val="99"/>
    <w:qFormat/>
    <w:rsid w:val="00FC77C7"/>
    <w:pPr>
      <w:spacing w:line="264" w:lineRule="auto"/>
      <w:contextualSpacing/>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table" w:styleId="TableGrid1">
    <w:name w:val="Table Grid 1"/>
    <w:basedOn w:val="TableNormal"/>
    <w:uiPriority w:val="99"/>
    <w:semiHidden/>
    <w:unhideWhenUsed/>
    <w:rsid w:val="00FC77C7"/>
    <w:pPr>
      <w:spacing w:line="312" w:lineRule="auto"/>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0">
    <w:name w:val="Table Text"/>
    <w:basedOn w:val="BodyText"/>
    <w:link w:val="TableTextChar"/>
    <w:rsid w:val="00FC77C7"/>
    <w:pPr>
      <w:widowControl/>
      <w:autoSpaceDE/>
      <w:autoSpaceDN/>
      <w:spacing w:line="264" w:lineRule="auto"/>
      <w:contextualSpacing/>
      <w:jc w:val="center"/>
    </w:pPr>
    <w:rPr>
      <w:rFonts w:ascii="Calibri" w:eastAsia="Calibri" w:hAnsi="Calibri"/>
    </w:rPr>
  </w:style>
  <w:style w:type="character" w:customStyle="1" w:styleId="TableTextChar">
    <w:name w:val="Table Text Char"/>
    <w:basedOn w:val="BodyTextChar"/>
    <w:link w:val="TableText0"/>
    <w:rsid w:val="00FC77C7"/>
    <w:rPr>
      <w:rFonts w:ascii="Calibri" w:eastAsia="Calibri" w:hAnsi="Calibri" w:cs="Arial"/>
      <w:sz w:val="22"/>
      <w:szCs w:val="22"/>
      <w:lang w:val="en-NZ" w:eastAsia="en-NZ" w:bidi="en-NZ"/>
    </w:rPr>
  </w:style>
  <w:style w:type="paragraph" w:customStyle="1" w:styleId="CPTitle">
    <w:name w:val="CP Title"/>
    <w:basedOn w:val="Title"/>
    <w:link w:val="CPTitleChar"/>
    <w:rsid w:val="00FC77C7"/>
    <w:pPr>
      <w:autoSpaceDE/>
      <w:autoSpaceDN/>
      <w:adjustRightInd/>
      <w:spacing w:line="264" w:lineRule="auto"/>
    </w:pPr>
    <w:rPr>
      <w:rFonts w:ascii="Calibri" w:eastAsia="Calibri" w:hAnsi="Calibri"/>
      <w:b/>
      <w:bCs/>
      <w:color w:val="FFFFFF"/>
      <w:sz w:val="48"/>
      <w:szCs w:val="52"/>
    </w:rPr>
  </w:style>
  <w:style w:type="paragraph" w:customStyle="1" w:styleId="CPText">
    <w:name w:val="CP Text"/>
    <w:basedOn w:val="BodyText"/>
    <w:link w:val="CPTextChar"/>
    <w:rsid w:val="00FC77C7"/>
    <w:pPr>
      <w:widowControl/>
      <w:autoSpaceDE/>
      <w:autoSpaceDN/>
      <w:spacing w:before="160" w:after="160" w:line="264" w:lineRule="auto"/>
    </w:pPr>
    <w:rPr>
      <w:rFonts w:ascii="Calibri" w:eastAsia="Calibri" w:hAnsi="Calibri"/>
      <w:color w:val="76923C"/>
      <w:sz w:val="32"/>
      <w:szCs w:val="28"/>
    </w:rPr>
  </w:style>
  <w:style w:type="character" w:customStyle="1" w:styleId="CPTitleChar">
    <w:name w:val="CP Title Char"/>
    <w:basedOn w:val="TitleChar"/>
    <w:link w:val="CPTitle"/>
    <w:rsid w:val="00FC77C7"/>
    <w:rPr>
      <w:rFonts w:ascii="Calibri" w:eastAsia="Calibri" w:hAnsi="Calibri" w:cs="Futura"/>
      <w:b/>
      <w:bCs/>
      <w:color w:val="FFFFFF"/>
      <w:spacing w:val="-10"/>
      <w:kern w:val="81"/>
      <w:sz w:val="48"/>
      <w:szCs w:val="52"/>
      <w:lang w:val="en-NZ"/>
    </w:rPr>
  </w:style>
  <w:style w:type="character" w:customStyle="1" w:styleId="CPTextChar">
    <w:name w:val="CP Text Char"/>
    <w:basedOn w:val="BodyTextChar"/>
    <w:link w:val="CPText"/>
    <w:rsid w:val="00FC77C7"/>
    <w:rPr>
      <w:rFonts w:ascii="Calibri" w:eastAsia="Calibri" w:hAnsi="Calibri" w:cs="Arial"/>
      <w:color w:val="76923C"/>
      <w:sz w:val="32"/>
      <w:szCs w:val="28"/>
      <w:lang w:val="en-NZ" w:eastAsia="en-NZ" w:bidi="en-NZ"/>
    </w:rPr>
  </w:style>
  <w:style w:type="paragraph" w:styleId="DocumentMap">
    <w:name w:val="Document Map"/>
    <w:basedOn w:val="Normal"/>
    <w:link w:val="DocumentMapChar"/>
    <w:semiHidden/>
    <w:unhideWhenUsed/>
    <w:rsid w:val="00FC77C7"/>
    <w:pPr>
      <w:spacing w:line="240" w:lineRule="auto"/>
    </w:pPr>
    <w:rPr>
      <w:rFonts w:ascii="Tahoma" w:eastAsia="Calibri" w:hAnsi="Tahoma" w:cs="Tahoma"/>
      <w:sz w:val="16"/>
      <w:szCs w:val="16"/>
    </w:rPr>
  </w:style>
  <w:style w:type="character" w:customStyle="1" w:styleId="DocumentMapChar">
    <w:name w:val="Document Map Char"/>
    <w:basedOn w:val="DefaultParagraphFont"/>
    <w:link w:val="DocumentMap"/>
    <w:semiHidden/>
    <w:rsid w:val="00FC77C7"/>
    <w:rPr>
      <w:rFonts w:ascii="Tahoma" w:eastAsia="Calibri" w:hAnsi="Tahoma" w:cs="Tahoma"/>
      <w:sz w:val="16"/>
      <w:szCs w:val="16"/>
      <w:lang w:val="en-NZ"/>
    </w:rPr>
  </w:style>
  <w:style w:type="paragraph" w:styleId="NormalWeb">
    <w:name w:val="Normal (Web)"/>
    <w:basedOn w:val="Normal"/>
    <w:uiPriority w:val="99"/>
    <w:unhideWhenUsed/>
    <w:rsid w:val="00FC77C7"/>
    <w:pPr>
      <w:numPr>
        <w:numId w:val="3"/>
      </w:numPr>
      <w:spacing w:line="240" w:lineRule="auto"/>
      <w:ind w:left="0" w:firstLine="0"/>
    </w:pPr>
    <w:rPr>
      <w:rFonts w:ascii="Times New Roman" w:eastAsia="Calibri" w:hAnsi="Times New Roman"/>
      <w:sz w:val="24"/>
      <w:szCs w:val="21"/>
    </w:rPr>
  </w:style>
  <w:style w:type="paragraph" w:styleId="NoSpacing">
    <w:name w:val="No Spacing"/>
    <w:uiPriority w:val="99"/>
    <w:qFormat/>
    <w:rsid w:val="00FC77C7"/>
    <w:rPr>
      <w:rFonts w:ascii="Calibri" w:hAnsi="Calibri"/>
      <w:sz w:val="22"/>
      <w:szCs w:val="22"/>
      <w:lang w:val="en-NZ"/>
    </w:rPr>
  </w:style>
  <w:style w:type="numbering" w:customStyle="1" w:styleId="NZIERBullet1List">
    <w:name w:val="NZIER Bullet 1 List"/>
    <w:basedOn w:val="NoList"/>
    <w:locked/>
    <w:rsid w:val="00FC77C7"/>
    <w:pPr>
      <w:numPr>
        <w:numId w:val="7"/>
      </w:numPr>
    </w:pPr>
  </w:style>
  <w:style w:type="paragraph" w:customStyle="1" w:styleId="Bullet">
    <w:name w:val="Bullet"/>
    <w:basedOn w:val="BodyText"/>
    <w:uiPriority w:val="99"/>
    <w:qFormat/>
    <w:locked/>
    <w:rsid w:val="00FC77C7"/>
    <w:pPr>
      <w:widowControl/>
      <w:numPr>
        <w:numId w:val="7"/>
      </w:numPr>
      <w:autoSpaceDE/>
      <w:autoSpaceDN/>
      <w:spacing w:before="60" w:after="60" w:line="260" w:lineRule="atLeast"/>
    </w:pPr>
    <w:rPr>
      <w:rFonts w:asciiTheme="minorHAnsi" w:eastAsia="Times New Roman" w:hAnsiTheme="minorHAnsi" w:cs="Times New Roman"/>
      <w:lang w:eastAsia="en-GB" w:bidi="ar-SA"/>
    </w:rPr>
  </w:style>
  <w:style w:type="paragraph" w:customStyle="1" w:styleId="Tabletext1">
    <w:name w:val="Table text"/>
    <w:basedOn w:val="BodyText"/>
    <w:uiPriority w:val="99"/>
    <w:qFormat/>
    <w:locked/>
    <w:rsid w:val="00FC77C7"/>
    <w:pPr>
      <w:widowControl/>
      <w:autoSpaceDE/>
      <w:autoSpaceDN/>
      <w:spacing w:before="60" w:after="60" w:line="200" w:lineRule="atLeast"/>
    </w:pPr>
    <w:rPr>
      <w:rFonts w:ascii="Verdana" w:eastAsia="Times New Roman" w:hAnsi="Verdana" w:cs="Times New Roman"/>
      <w:kern w:val="20"/>
      <w:sz w:val="16"/>
      <w:szCs w:val="18"/>
      <w:lang w:eastAsia="en-US" w:bidi="ar-SA"/>
    </w:rPr>
  </w:style>
  <w:style w:type="paragraph" w:customStyle="1" w:styleId="Bullet2ndlevel">
    <w:name w:val="Bullet 2nd level"/>
    <w:basedOn w:val="Bullet"/>
    <w:uiPriority w:val="99"/>
    <w:unhideWhenUsed/>
    <w:locked/>
    <w:rsid w:val="00FC77C7"/>
    <w:pPr>
      <w:numPr>
        <w:ilvl w:val="1"/>
      </w:numPr>
    </w:pPr>
  </w:style>
  <w:style w:type="paragraph" w:customStyle="1" w:styleId="Bullet3rdlevel">
    <w:name w:val="Bullet 3rd level"/>
    <w:basedOn w:val="Bullet"/>
    <w:uiPriority w:val="99"/>
    <w:unhideWhenUsed/>
    <w:locked/>
    <w:rsid w:val="00FC77C7"/>
    <w:pPr>
      <w:numPr>
        <w:ilvl w:val="2"/>
      </w:numPr>
    </w:pPr>
  </w:style>
  <w:style w:type="character" w:styleId="CommentReference">
    <w:name w:val="annotation reference"/>
    <w:basedOn w:val="DefaultParagraphFont"/>
    <w:uiPriority w:val="99"/>
    <w:semiHidden/>
    <w:unhideWhenUsed/>
    <w:rsid w:val="00FC77C7"/>
    <w:rPr>
      <w:sz w:val="16"/>
      <w:szCs w:val="16"/>
    </w:rPr>
  </w:style>
  <w:style w:type="paragraph" w:styleId="CommentText">
    <w:name w:val="annotation text"/>
    <w:basedOn w:val="Normal"/>
    <w:link w:val="CommentTextChar"/>
    <w:uiPriority w:val="99"/>
    <w:semiHidden/>
    <w:unhideWhenUsed/>
    <w:rsid w:val="00FC77C7"/>
    <w:pPr>
      <w:spacing w:line="240" w:lineRule="auto"/>
    </w:pPr>
    <w:rPr>
      <w:rFonts w:ascii="Palatino Linotype" w:hAnsi="Palatino Linotype"/>
      <w:sz w:val="21"/>
      <w:szCs w:val="20"/>
    </w:rPr>
  </w:style>
  <w:style w:type="character" w:customStyle="1" w:styleId="CommentTextChar">
    <w:name w:val="Comment Text Char"/>
    <w:basedOn w:val="DefaultParagraphFont"/>
    <w:link w:val="CommentText"/>
    <w:uiPriority w:val="99"/>
    <w:semiHidden/>
    <w:rsid w:val="00FC77C7"/>
    <w:rPr>
      <w:rFonts w:ascii="Palatino Linotype" w:hAnsi="Palatino Linotype"/>
      <w:sz w:val="21"/>
      <w:lang w:val="en-NZ"/>
    </w:rPr>
  </w:style>
  <w:style w:type="paragraph" w:styleId="CommentSubject">
    <w:name w:val="annotation subject"/>
    <w:basedOn w:val="CommentText"/>
    <w:next w:val="CommentText"/>
    <w:link w:val="CommentSubjectChar"/>
    <w:uiPriority w:val="99"/>
    <w:semiHidden/>
    <w:unhideWhenUsed/>
    <w:rsid w:val="00FC77C7"/>
    <w:rPr>
      <w:b/>
      <w:bCs/>
    </w:rPr>
  </w:style>
  <w:style w:type="character" w:customStyle="1" w:styleId="CommentSubjectChar">
    <w:name w:val="Comment Subject Char"/>
    <w:basedOn w:val="CommentTextChar"/>
    <w:link w:val="CommentSubject"/>
    <w:uiPriority w:val="99"/>
    <w:semiHidden/>
    <w:rsid w:val="00FC77C7"/>
    <w:rPr>
      <w:rFonts w:ascii="Palatino Linotype" w:hAnsi="Palatino Linotype"/>
      <w:b/>
      <w:bCs/>
      <w:sz w:val="21"/>
      <w:lang w:val="en-NZ"/>
    </w:rPr>
  </w:style>
  <w:style w:type="paragraph" w:customStyle="1" w:styleId="labelled">
    <w:name w:val="labelled"/>
    <w:basedOn w:val="Normal"/>
    <w:rsid w:val="00FC77C7"/>
    <w:pPr>
      <w:spacing w:before="100" w:beforeAutospacing="1" w:after="100" w:afterAutospacing="1" w:line="240" w:lineRule="auto"/>
    </w:pPr>
    <w:rPr>
      <w:rFonts w:ascii="Times New Roman" w:hAnsi="Times New Roman"/>
      <w:sz w:val="24"/>
      <w:szCs w:val="21"/>
      <w:lang w:eastAsia="en-NZ"/>
    </w:rPr>
  </w:style>
  <w:style w:type="character" w:customStyle="1" w:styleId="label">
    <w:name w:val="label"/>
    <w:basedOn w:val="DefaultParagraphFont"/>
    <w:rsid w:val="00FC77C7"/>
  </w:style>
  <w:style w:type="character" w:customStyle="1" w:styleId="apple-converted-space">
    <w:name w:val="apple-converted-space"/>
    <w:basedOn w:val="DefaultParagraphFont"/>
    <w:rsid w:val="00FC77C7"/>
  </w:style>
  <w:style w:type="character" w:styleId="HTMLDefinition">
    <w:name w:val="HTML Definition"/>
    <w:basedOn w:val="DefaultParagraphFont"/>
    <w:uiPriority w:val="99"/>
    <w:semiHidden/>
    <w:unhideWhenUsed/>
    <w:rsid w:val="00FC77C7"/>
    <w:rPr>
      <w:i/>
      <w:iCs/>
    </w:rPr>
  </w:style>
  <w:style w:type="character" w:styleId="Strong">
    <w:name w:val="Strong"/>
    <w:basedOn w:val="DefaultParagraphFont"/>
    <w:uiPriority w:val="22"/>
    <w:qFormat/>
    <w:rsid w:val="00FC77C7"/>
    <w:rPr>
      <w:b/>
      <w:bCs/>
    </w:rPr>
  </w:style>
  <w:style w:type="character" w:styleId="Emphasis">
    <w:name w:val="Emphasis"/>
    <w:basedOn w:val="DefaultParagraphFont"/>
    <w:uiPriority w:val="20"/>
    <w:qFormat/>
    <w:rsid w:val="00FC77C7"/>
    <w:rPr>
      <w:i/>
      <w:iCs/>
    </w:rPr>
  </w:style>
  <w:style w:type="character" w:styleId="FollowedHyperlink">
    <w:name w:val="FollowedHyperlink"/>
    <w:basedOn w:val="DefaultParagraphFont"/>
    <w:semiHidden/>
    <w:unhideWhenUsed/>
    <w:rsid w:val="00FC77C7"/>
    <w:rPr>
      <w:color w:val="800080" w:themeColor="followedHyperlink"/>
      <w:u w:val="single"/>
    </w:rPr>
  </w:style>
  <w:style w:type="character" w:customStyle="1" w:styleId="UnresolvedMention">
    <w:name w:val="Unresolved Mention"/>
    <w:basedOn w:val="DefaultParagraphFont"/>
    <w:uiPriority w:val="99"/>
    <w:semiHidden/>
    <w:unhideWhenUsed/>
    <w:rsid w:val="00FC77C7"/>
    <w:rPr>
      <w:color w:val="605E5C"/>
      <w:shd w:val="clear" w:color="auto" w:fill="E1DFDD"/>
    </w:rPr>
  </w:style>
  <w:style w:type="character" w:customStyle="1" w:styleId="ListParagraphChar">
    <w:name w:val="List Paragraph Char"/>
    <w:aliases w:val="List Paragraph1 Char,Recommendation Char,List Paragraph11 Char,TOC style Char,lp1 Char,Bullet OSM Char,Proposal Bullet List Char,Rec para Char,Dot pt Char,F5 List Paragraph Char,List Paragraph Char Char Char Char,Indicator Text Char"/>
    <w:basedOn w:val="DefaultParagraphFont"/>
    <w:link w:val="ListParagraph"/>
    <w:uiPriority w:val="34"/>
    <w:qFormat/>
    <w:rsid w:val="0093011F"/>
    <w:rPr>
      <w:rFonts w:asciiTheme="minorHAnsi" w:hAnsiTheme="minorHAnsi"/>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07339">
      <w:bodyDiv w:val="1"/>
      <w:marLeft w:val="0"/>
      <w:marRight w:val="0"/>
      <w:marTop w:val="0"/>
      <w:marBottom w:val="0"/>
      <w:divBdr>
        <w:top w:val="none" w:sz="0" w:space="0" w:color="auto"/>
        <w:left w:val="none" w:sz="0" w:space="0" w:color="auto"/>
        <w:bottom w:val="none" w:sz="0" w:space="0" w:color="auto"/>
        <w:right w:val="none" w:sz="0" w:space="0" w:color="auto"/>
      </w:divBdr>
    </w:div>
    <w:div w:id="352263568">
      <w:bodyDiv w:val="1"/>
      <w:marLeft w:val="0"/>
      <w:marRight w:val="0"/>
      <w:marTop w:val="0"/>
      <w:marBottom w:val="0"/>
      <w:divBdr>
        <w:top w:val="none" w:sz="0" w:space="0" w:color="auto"/>
        <w:left w:val="none" w:sz="0" w:space="0" w:color="auto"/>
        <w:bottom w:val="none" w:sz="0" w:space="0" w:color="auto"/>
        <w:right w:val="none" w:sz="0" w:space="0" w:color="auto"/>
      </w:divBdr>
    </w:div>
    <w:div w:id="412551444">
      <w:bodyDiv w:val="1"/>
      <w:marLeft w:val="0"/>
      <w:marRight w:val="0"/>
      <w:marTop w:val="0"/>
      <w:marBottom w:val="0"/>
      <w:divBdr>
        <w:top w:val="none" w:sz="0" w:space="0" w:color="auto"/>
        <w:left w:val="none" w:sz="0" w:space="0" w:color="auto"/>
        <w:bottom w:val="none" w:sz="0" w:space="0" w:color="auto"/>
        <w:right w:val="none" w:sz="0" w:space="0" w:color="auto"/>
      </w:divBdr>
    </w:div>
    <w:div w:id="540288147">
      <w:bodyDiv w:val="1"/>
      <w:marLeft w:val="0"/>
      <w:marRight w:val="0"/>
      <w:marTop w:val="0"/>
      <w:marBottom w:val="0"/>
      <w:divBdr>
        <w:top w:val="none" w:sz="0" w:space="0" w:color="auto"/>
        <w:left w:val="none" w:sz="0" w:space="0" w:color="auto"/>
        <w:bottom w:val="none" w:sz="0" w:space="0" w:color="auto"/>
        <w:right w:val="none" w:sz="0" w:space="0" w:color="auto"/>
      </w:divBdr>
    </w:div>
    <w:div w:id="868762882">
      <w:bodyDiv w:val="1"/>
      <w:marLeft w:val="0"/>
      <w:marRight w:val="0"/>
      <w:marTop w:val="0"/>
      <w:marBottom w:val="0"/>
      <w:divBdr>
        <w:top w:val="none" w:sz="0" w:space="0" w:color="auto"/>
        <w:left w:val="none" w:sz="0" w:space="0" w:color="auto"/>
        <w:bottom w:val="none" w:sz="0" w:space="0" w:color="auto"/>
        <w:right w:val="none" w:sz="0" w:space="0" w:color="auto"/>
      </w:divBdr>
    </w:div>
    <w:div w:id="876545556">
      <w:bodyDiv w:val="1"/>
      <w:marLeft w:val="0"/>
      <w:marRight w:val="0"/>
      <w:marTop w:val="0"/>
      <w:marBottom w:val="0"/>
      <w:divBdr>
        <w:top w:val="none" w:sz="0" w:space="0" w:color="auto"/>
        <w:left w:val="none" w:sz="0" w:space="0" w:color="auto"/>
        <w:bottom w:val="none" w:sz="0" w:space="0" w:color="auto"/>
        <w:right w:val="none" w:sz="0" w:space="0" w:color="auto"/>
      </w:divBdr>
    </w:div>
    <w:div w:id="934166496">
      <w:bodyDiv w:val="1"/>
      <w:marLeft w:val="0"/>
      <w:marRight w:val="0"/>
      <w:marTop w:val="0"/>
      <w:marBottom w:val="0"/>
      <w:divBdr>
        <w:top w:val="none" w:sz="0" w:space="0" w:color="auto"/>
        <w:left w:val="none" w:sz="0" w:space="0" w:color="auto"/>
        <w:bottom w:val="none" w:sz="0" w:space="0" w:color="auto"/>
        <w:right w:val="none" w:sz="0" w:space="0" w:color="auto"/>
      </w:divBdr>
    </w:div>
    <w:div w:id="969288441">
      <w:bodyDiv w:val="1"/>
      <w:marLeft w:val="0"/>
      <w:marRight w:val="0"/>
      <w:marTop w:val="0"/>
      <w:marBottom w:val="0"/>
      <w:divBdr>
        <w:top w:val="none" w:sz="0" w:space="0" w:color="auto"/>
        <w:left w:val="none" w:sz="0" w:space="0" w:color="auto"/>
        <w:bottom w:val="none" w:sz="0" w:space="0" w:color="auto"/>
        <w:right w:val="none" w:sz="0" w:space="0" w:color="auto"/>
      </w:divBdr>
    </w:div>
    <w:div w:id="1434470289">
      <w:bodyDiv w:val="1"/>
      <w:marLeft w:val="0"/>
      <w:marRight w:val="0"/>
      <w:marTop w:val="0"/>
      <w:marBottom w:val="0"/>
      <w:divBdr>
        <w:top w:val="none" w:sz="0" w:space="0" w:color="auto"/>
        <w:left w:val="none" w:sz="0" w:space="0" w:color="auto"/>
        <w:bottom w:val="none" w:sz="0" w:space="0" w:color="auto"/>
        <w:right w:val="none" w:sz="0" w:space="0" w:color="auto"/>
      </w:divBdr>
    </w:div>
    <w:div w:id="1705861646">
      <w:bodyDiv w:val="1"/>
      <w:marLeft w:val="0"/>
      <w:marRight w:val="0"/>
      <w:marTop w:val="0"/>
      <w:marBottom w:val="0"/>
      <w:divBdr>
        <w:top w:val="none" w:sz="0" w:space="0" w:color="auto"/>
        <w:left w:val="none" w:sz="0" w:space="0" w:color="auto"/>
        <w:bottom w:val="none" w:sz="0" w:space="0" w:color="auto"/>
        <w:right w:val="none" w:sz="0" w:space="0" w:color="auto"/>
      </w:divBdr>
    </w:div>
    <w:div w:id="1775127913">
      <w:bodyDiv w:val="1"/>
      <w:marLeft w:val="0"/>
      <w:marRight w:val="0"/>
      <w:marTop w:val="0"/>
      <w:marBottom w:val="0"/>
      <w:divBdr>
        <w:top w:val="none" w:sz="0" w:space="0" w:color="auto"/>
        <w:left w:val="none" w:sz="0" w:space="0" w:color="auto"/>
        <w:bottom w:val="none" w:sz="0" w:space="0" w:color="auto"/>
        <w:right w:val="none" w:sz="0" w:space="0" w:color="auto"/>
      </w:divBdr>
    </w:div>
    <w:div w:id="1877542026">
      <w:bodyDiv w:val="1"/>
      <w:marLeft w:val="0"/>
      <w:marRight w:val="0"/>
      <w:marTop w:val="0"/>
      <w:marBottom w:val="0"/>
      <w:divBdr>
        <w:top w:val="none" w:sz="0" w:space="0" w:color="auto"/>
        <w:left w:val="none" w:sz="0" w:space="0" w:color="auto"/>
        <w:bottom w:val="none" w:sz="0" w:space="0" w:color="auto"/>
        <w:right w:val="none" w:sz="0" w:space="0" w:color="auto"/>
      </w:divBdr>
    </w:div>
    <w:div w:id="2020619303">
      <w:bodyDiv w:val="1"/>
      <w:marLeft w:val="0"/>
      <w:marRight w:val="0"/>
      <w:marTop w:val="0"/>
      <w:marBottom w:val="0"/>
      <w:divBdr>
        <w:top w:val="none" w:sz="0" w:space="0" w:color="auto"/>
        <w:left w:val="none" w:sz="0" w:space="0" w:color="auto"/>
        <w:bottom w:val="none" w:sz="0" w:space="0" w:color="auto"/>
        <w:right w:val="none" w:sz="0" w:space="0" w:color="auto"/>
      </w:divBdr>
    </w:div>
    <w:div w:id="2071034951">
      <w:bodyDiv w:val="1"/>
      <w:marLeft w:val="0"/>
      <w:marRight w:val="0"/>
      <w:marTop w:val="0"/>
      <w:marBottom w:val="0"/>
      <w:divBdr>
        <w:top w:val="none" w:sz="0" w:space="0" w:color="auto"/>
        <w:left w:val="none" w:sz="0" w:space="0" w:color="auto"/>
        <w:bottom w:val="none" w:sz="0" w:space="0" w:color="auto"/>
        <w:right w:val="none" w:sz="0" w:space="0" w:color="auto"/>
      </w:divBdr>
    </w:div>
    <w:div w:id="209277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freshinfo.shinyapps.io/NZVAF/" TargetMode="External"/><Relationship Id="rId28"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freshinfo.shinyapps.io/NZVAF/" TargetMode="External"/><Relationship Id="rId2" Type="http://schemas.openxmlformats.org/officeDocument/2006/relationships/hyperlink" Target="https://niwa.co.nz/our-science/freshwater/tools/kaitiaki_tools/species" TargetMode="External"/><Relationship Id="rId1" Type="http://schemas.openxmlformats.org/officeDocument/2006/relationships/hyperlink" Target="https://www.lawa.org.nz/download-da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Roaming\Microsoft\Templates\RE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FA47F-87F1-4600-85C6-375D7CDD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 Report</Template>
  <TotalTime>15</TotalTime>
  <Pages>58</Pages>
  <Words>18936</Words>
  <Characters>105784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Covec</Company>
  <LinksUpToDate>false</LinksUpToDate>
  <CharactersWithSpaces>124472</CharactersWithSpaces>
  <SharedDoc>false</SharedDoc>
  <HLinks>
    <vt:vector size="18" baseType="variant">
      <vt:variant>
        <vt:i4>1507386</vt:i4>
      </vt:variant>
      <vt:variant>
        <vt:i4>14</vt:i4>
      </vt:variant>
      <vt:variant>
        <vt:i4>0</vt:i4>
      </vt:variant>
      <vt:variant>
        <vt:i4>5</vt:i4>
      </vt:variant>
      <vt:variant>
        <vt:lpwstr/>
      </vt:variant>
      <vt:variant>
        <vt:lpwstr>_Toc75237284</vt:lpwstr>
      </vt:variant>
      <vt:variant>
        <vt:i4>1048634</vt:i4>
      </vt:variant>
      <vt:variant>
        <vt:i4>8</vt:i4>
      </vt:variant>
      <vt:variant>
        <vt:i4>0</vt:i4>
      </vt:variant>
      <vt:variant>
        <vt:i4>5</vt:i4>
      </vt:variant>
      <vt:variant>
        <vt:lpwstr/>
      </vt:variant>
      <vt:variant>
        <vt:lpwstr>_Toc75237283</vt:lpwstr>
      </vt:variant>
      <vt:variant>
        <vt:i4>1114170</vt:i4>
      </vt:variant>
      <vt:variant>
        <vt:i4>2</vt:i4>
      </vt:variant>
      <vt:variant>
        <vt:i4>0</vt:i4>
      </vt:variant>
      <vt:variant>
        <vt:i4>5</vt:i4>
      </vt:variant>
      <vt:variant>
        <vt:lpwstr/>
      </vt:variant>
      <vt:variant>
        <vt:lpwstr>_Toc75237282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&lt;Enter Report Title Here and Press Esc&gt;</dc:subject>
  <dc:creator>Tim Denne</dc:creator>
  <cp:lastModifiedBy>Dee Warring</cp:lastModifiedBy>
  <cp:revision>4</cp:revision>
  <cp:lastPrinted>2020-05-07T00:22:00Z</cp:lastPrinted>
  <dcterms:created xsi:type="dcterms:W3CDTF">2020-05-01T01:46:00Z</dcterms:created>
  <dcterms:modified xsi:type="dcterms:W3CDTF">2020-05-07T00:26:00Z</dcterms:modified>
</cp:coreProperties>
</file>