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0A" w:rsidRPr="00EA1FC5" w:rsidRDefault="00274BF6" w:rsidP="00E33D2E">
      <w:pPr>
        <w:pStyle w:val="BodyText"/>
        <w:spacing w:before="0" w:after="600"/>
        <w:jc w:val="center"/>
        <w:rPr>
          <w:b/>
          <w:color w:val="17556C"/>
          <w:sz w:val="56"/>
          <w:szCs w:val="56"/>
        </w:rPr>
      </w:pPr>
      <w:bookmarkStart w:id="0" w:name="_Toc343088790"/>
      <w:bookmarkStart w:id="1" w:name="_Toc343094722"/>
      <w:bookmarkStart w:id="2" w:name="_GoBack"/>
      <w:bookmarkEnd w:id="2"/>
      <w:r w:rsidRPr="00EA1FC5">
        <w:rPr>
          <w:b/>
          <w:color w:val="17556C"/>
          <w:sz w:val="56"/>
          <w:szCs w:val="56"/>
        </w:rPr>
        <w:t>E</w:t>
      </w:r>
      <w:r w:rsidR="00C975F9">
        <w:rPr>
          <w:b/>
          <w:color w:val="17556C"/>
          <w:sz w:val="56"/>
          <w:szCs w:val="56"/>
        </w:rPr>
        <w:t>nvironmental Protection Authority</w:t>
      </w:r>
      <w:r w:rsidR="003A2BDE" w:rsidRPr="00EA1FC5">
        <w:rPr>
          <w:b/>
          <w:color w:val="17556C"/>
          <w:sz w:val="56"/>
          <w:szCs w:val="56"/>
        </w:rPr>
        <w:t xml:space="preserve"> </w:t>
      </w:r>
      <w:r w:rsidR="000B30C8" w:rsidRPr="00E33D2E">
        <w:rPr>
          <w:b/>
          <w:color w:val="17556C"/>
          <w:sz w:val="52"/>
          <w:szCs w:val="52"/>
        </w:rPr>
        <w:t>Cost</w:t>
      </w:r>
      <w:r w:rsidR="000B30C8" w:rsidRPr="00EA1FC5">
        <w:rPr>
          <w:b/>
          <w:color w:val="17556C"/>
          <w:sz w:val="56"/>
          <w:szCs w:val="56"/>
        </w:rPr>
        <w:t xml:space="preserve"> R</w:t>
      </w:r>
      <w:r w:rsidR="001054BC" w:rsidRPr="00EA1FC5">
        <w:rPr>
          <w:b/>
          <w:color w:val="17556C"/>
          <w:sz w:val="56"/>
          <w:szCs w:val="56"/>
        </w:rPr>
        <w:t>ecovery</w:t>
      </w:r>
      <w:r w:rsidR="000B30C8" w:rsidRPr="00EA1FC5">
        <w:rPr>
          <w:b/>
          <w:color w:val="17556C"/>
          <w:sz w:val="56"/>
          <w:szCs w:val="56"/>
        </w:rPr>
        <w:t xml:space="preserve"> P</w:t>
      </w:r>
      <w:r w:rsidR="00D9343A" w:rsidRPr="00EA1FC5">
        <w:rPr>
          <w:b/>
          <w:color w:val="17556C"/>
          <w:sz w:val="56"/>
          <w:szCs w:val="56"/>
        </w:rPr>
        <w:t>ractices</w:t>
      </w:r>
    </w:p>
    <w:p w:rsidR="00265E0C" w:rsidRPr="00E33D2E" w:rsidRDefault="00265E0C" w:rsidP="000A3266">
      <w:pPr>
        <w:pStyle w:val="BodyText"/>
        <w:jc w:val="center"/>
        <w:rPr>
          <w:rFonts w:eastAsiaTheme="majorEastAsia"/>
          <w:b/>
          <w:bCs/>
          <w:color w:val="17556C"/>
          <w:sz w:val="36"/>
          <w:szCs w:val="36"/>
        </w:rPr>
      </w:pPr>
      <w:r w:rsidRPr="00E33D2E">
        <w:rPr>
          <w:rFonts w:eastAsiaTheme="majorEastAsia"/>
          <w:b/>
          <w:bCs/>
          <w:color w:val="17556C"/>
          <w:sz w:val="36"/>
          <w:szCs w:val="36"/>
        </w:rPr>
        <w:t xml:space="preserve">A component of the Review of the Effectiveness of the Environmental Protection </w:t>
      </w:r>
      <w:r w:rsidR="003B5D04">
        <w:rPr>
          <w:rFonts w:eastAsiaTheme="majorEastAsia"/>
          <w:b/>
          <w:bCs/>
          <w:color w:val="17556C"/>
          <w:sz w:val="36"/>
          <w:szCs w:val="36"/>
        </w:rPr>
        <w:t>Authority</w:t>
      </w:r>
    </w:p>
    <w:p w:rsidR="00CC51FF" w:rsidRPr="00CC51FF" w:rsidRDefault="00CC51FF" w:rsidP="00CC51FF"/>
    <w:p w:rsidR="0040640A" w:rsidRPr="00CC1943" w:rsidRDefault="0040640A">
      <w:pPr>
        <w:spacing w:before="0" w:after="200" w:line="276" w:lineRule="auto"/>
        <w:jc w:val="left"/>
      </w:pPr>
    </w:p>
    <w:p w:rsidR="00F866C3" w:rsidRPr="00CC1943" w:rsidRDefault="00F866C3">
      <w:pPr>
        <w:spacing w:before="0" w:after="200" w:line="276" w:lineRule="auto"/>
        <w:jc w:val="left"/>
        <w:sectPr w:rsidR="00F866C3" w:rsidRPr="00CC1943" w:rsidSect="009252B5">
          <w:footerReference w:type="even" r:id="rId9"/>
          <w:footerReference w:type="default" r:id="rId10"/>
          <w:headerReference w:type="first" r:id="rId11"/>
          <w:footerReference w:type="first" r:id="rId12"/>
          <w:endnotePr>
            <w:numFmt w:val="decimal"/>
          </w:endnotePr>
          <w:pgSz w:w="11907" w:h="16840" w:code="9"/>
          <w:pgMar w:top="5670" w:right="1418" w:bottom="1134" w:left="1418" w:header="709" w:footer="709" w:gutter="567"/>
          <w:cols w:space="708"/>
          <w:titlePg/>
          <w:docGrid w:linePitch="360"/>
        </w:sectPr>
      </w:pPr>
    </w:p>
    <w:p w:rsidR="00A011D9" w:rsidRDefault="00A011D9" w:rsidP="004E44DD">
      <w:pPr>
        <w:pStyle w:val="Heading"/>
        <w:rPr>
          <w:sz w:val="48"/>
        </w:rPr>
      </w:pPr>
    </w:p>
    <w:p w:rsidR="00265E0C" w:rsidRDefault="00265E0C" w:rsidP="00265E0C">
      <w:pPr>
        <w:pStyle w:val="Imprint"/>
        <w:spacing w:after="120"/>
      </w:pPr>
      <w:r w:rsidRPr="00CC1943">
        <w:t>This report may be cited as:</w:t>
      </w:r>
      <w:r>
        <w:t xml:space="preserve"> </w:t>
      </w:r>
    </w:p>
    <w:p w:rsidR="00265E0C" w:rsidRPr="00CC1943" w:rsidRDefault="00265E0C" w:rsidP="00265E0C">
      <w:pPr>
        <w:pStyle w:val="Imprint"/>
        <w:spacing w:after="120"/>
      </w:pPr>
      <w:proofErr w:type="gramStart"/>
      <w:r>
        <w:t>Ministry for the Environment.</w:t>
      </w:r>
      <w:proofErr w:type="gramEnd"/>
      <w:r>
        <w:t xml:space="preserve"> 2015. </w:t>
      </w:r>
      <w:r w:rsidR="00B1315C">
        <w:rPr>
          <w:i/>
        </w:rPr>
        <w:t>E</w:t>
      </w:r>
      <w:r w:rsidR="00C975F9">
        <w:rPr>
          <w:i/>
        </w:rPr>
        <w:t>nvironmental Protection Authority</w:t>
      </w:r>
      <w:r w:rsidR="00B1315C">
        <w:rPr>
          <w:i/>
        </w:rPr>
        <w:t xml:space="preserve"> Cost Recovery Practices </w:t>
      </w:r>
      <w:r w:rsidR="00D34C30">
        <w:rPr>
          <w:i/>
        </w:rPr>
        <w:t>–</w:t>
      </w:r>
      <w:r w:rsidR="00B1315C">
        <w:rPr>
          <w:i/>
        </w:rPr>
        <w:t xml:space="preserve"> </w:t>
      </w:r>
      <w:r w:rsidR="00D34C30">
        <w:rPr>
          <w:i/>
        </w:rPr>
        <w:t>A component of the Review of the Effectiveness of th</w:t>
      </w:r>
      <w:r w:rsidR="003B5D04">
        <w:rPr>
          <w:i/>
        </w:rPr>
        <w:t>e Environmental Protection Authority</w:t>
      </w:r>
      <w:r>
        <w:t>. Wellington: Ministry for the Environment.</w:t>
      </w:r>
    </w:p>
    <w:p w:rsidR="00265E0C" w:rsidRPr="00CC1943" w:rsidRDefault="00265E0C" w:rsidP="00265E0C">
      <w:pPr>
        <w:pStyle w:val="Imprint"/>
      </w:pPr>
    </w:p>
    <w:p w:rsidR="00265E0C" w:rsidRPr="00CC1943" w:rsidRDefault="00265E0C" w:rsidP="00265E0C">
      <w:pPr>
        <w:pStyle w:val="Imprint"/>
      </w:pPr>
    </w:p>
    <w:p w:rsidR="00265E0C" w:rsidRPr="00CC1943"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Default="00265E0C" w:rsidP="00265E0C">
      <w:pPr>
        <w:pStyle w:val="Imprint"/>
      </w:pPr>
    </w:p>
    <w:p w:rsidR="00265E0C" w:rsidRPr="00CC1943" w:rsidRDefault="00265E0C" w:rsidP="00265E0C">
      <w:pPr>
        <w:pStyle w:val="Imprint"/>
      </w:pPr>
      <w:r w:rsidRPr="00CC1943">
        <w:t xml:space="preserve">Published in </w:t>
      </w:r>
      <w:r>
        <w:t xml:space="preserve">April 2015 </w:t>
      </w:r>
      <w:r w:rsidRPr="00CC1943">
        <w:t>by the</w:t>
      </w:r>
      <w:r w:rsidRPr="00CC1943">
        <w:br/>
        <w:t xml:space="preserve">Ministry for the Environment </w:t>
      </w:r>
      <w:r w:rsidRPr="00CC1943">
        <w:br/>
      </w:r>
      <w:proofErr w:type="spellStart"/>
      <w:r w:rsidRPr="00CC1943">
        <w:t>Manatū</w:t>
      </w:r>
      <w:proofErr w:type="spellEnd"/>
      <w:r w:rsidRPr="00CC1943">
        <w:t xml:space="preserve"> </w:t>
      </w:r>
      <w:proofErr w:type="spellStart"/>
      <w:r w:rsidRPr="00CC1943">
        <w:t>Mō</w:t>
      </w:r>
      <w:proofErr w:type="spellEnd"/>
      <w:r w:rsidRPr="00CC1943">
        <w:t xml:space="preserve"> Te </w:t>
      </w:r>
      <w:proofErr w:type="spellStart"/>
      <w:r w:rsidRPr="00CC1943">
        <w:t>Taiao</w:t>
      </w:r>
      <w:proofErr w:type="spellEnd"/>
      <w:r w:rsidRPr="00CC1943">
        <w:br/>
        <w:t>PO Box 10362, Wellington 6143, New Zealand</w:t>
      </w:r>
    </w:p>
    <w:p w:rsidR="00265E0C" w:rsidRDefault="00265E0C" w:rsidP="00265E0C">
      <w:pPr>
        <w:pStyle w:val="Imprint"/>
        <w:tabs>
          <w:tab w:val="left" w:pos="720"/>
        </w:tabs>
        <w:spacing w:before="120" w:after="120" w:line="280" w:lineRule="auto"/>
        <w:ind w:left="720" w:hanging="720"/>
      </w:pPr>
      <w:r w:rsidRPr="00CC1943">
        <w:t xml:space="preserve">ISBN: </w:t>
      </w:r>
      <w:r w:rsidRPr="00CC1943">
        <w:tab/>
      </w:r>
      <w:r w:rsidRPr="002A0F25">
        <w:t>978-0-47</w:t>
      </w:r>
      <w:r w:rsidR="00B1315C">
        <w:t>8-41292-5</w:t>
      </w:r>
    </w:p>
    <w:p w:rsidR="00265E0C" w:rsidRPr="00CC1943" w:rsidRDefault="00265E0C" w:rsidP="00265E0C">
      <w:pPr>
        <w:pStyle w:val="Imprint"/>
        <w:tabs>
          <w:tab w:val="left" w:pos="720"/>
        </w:tabs>
        <w:spacing w:before="120" w:after="120" w:line="280" w:lineRule="auto"/>
        <w:ind w:left="720" w:hanging="720"/>
      </w:pPr>
      <w:r w:rsidRPr="00CC1943">
        <w:t xml:space="preserve">Publication </w:t>
      </w:r>
      <w:r w:rsidR="00B1315C">
        <w:t>number: ME 1199</w:t>
      </w:r>
    </w:p>
    <w:p w:rsidR="00265E0C" w:rsidRPr="00CC1943" w:rsidRDefault="00265E0C" w:rsidP="00265E0C">
      <w:pPr>
        <w:pStyle w:val="Imprint"/>
        <w:spacing w:before="120" w:after="120" w:line="280" w:lineRule="auto"/>
      </w:pPr>
      <w:r w:rsidRPr="00CC1943">
        <w:t xml:space="preserve">© Crown copyright New Zealand </w:t>
      </w:r>
      <w:r>
        <w:t>2015</w:t>
      </w:r>
    </w:p>
    <w:p w:rsidR="00265E0C" w:rsidRDefault="00265E0C" w:rsidP="00265E0C">
      <w:pPr>
        <w:pStyle w:val="Imprint"/>
        <w:spacing w:before="120" w:after="120" w:line="280" w:lineRule="auto"/>
        <w:rPr>
          <w:rStyle w:val="Hyperlink"/>
        </w:rPr>
      </w:pPr>
      <w:r w:rsidRPr="00CC1943">
        <w:t>This document is available on the Ministry for the Environment’s website</w:t>
      </w:r>
      <w:proofErr w:type="gramStart"/>
      <w:r w:rsidRPr="00CC1943">
        <w:t>:</w:t>
      </w:r>
      <w:proofErr w:type="gramEnd"/>
      <w:r w:rsidRPr="00CC1943">
        <w:br/>
      </w:r>
      <w:hyperlink r:id="rId13" w:history="1">
        <w:r w:rsidRPr="007A3A9B">
          <w:rPr>
            <w:rStyle w:val="Hyperlink"/>
          </w:rPr>
          <w:t>www.mfe.govt.nz</w:t>
        </w:r>
      </w:hyperlink>
    </w:p>
    <w:p w:rsidR="00265E0C" w:rsidRPr="007A3A9B" w:rsidRDefault="00265E0C" w:rsidP="00265E0C">
      <w:pPr>
        <w:pStyle w:val="Imprint"/>
        <w:spacing w:before="120" w:after="120" w:line="280" w:lineRule="auto"/>
      </w:pPr>
    </w:p>
    <w:p w:rsidR="00274BF6" w:rsidRPr="00CC1943" w:rsidRDefault="00265E0C" w:rsidP="00274BF6">
      <w:pPr>
        <w:spacing w:before="0" w:after="0"/>
        <w:sectPr w:rsidR="00274BF6" w:rsidRPr="00CC1943" w:rsidSect="006B491E">
          <w:headerReference w:type="even" r:id="rId14"/>
          <w:headerReference w:type="default" r:id="rId15"/>
          <w:footerReference w:type="even" r:id="rId16"/>
          <w:headerReference w:type="first" r:id="rId17"/>
          <w:pgSz w:w="11907" w:h="16840" w:code="9"/>
          <w:pgMar w:top="1134" w:right="1418" w:bottom="1134" w:left="1418" w:header="567" w:footer="567" w:gutter="567"/>
          <w:pgNumType w:fmt="lowerRoman"/>
          <w:cols w:space="720"/>
        </w:sectPr>
      </w:pPr>
      <w:r w:rsidRPr="00CC1943">
        <w:rPr>
          <w:noProof/>
        </w:rPr>
        <w:drawing>
          <wp:inline distT="0" distB="0" distL="0" distR="0" wp14:anchorId="52039646" wp14:editId="6EA8E394">
            <wp:extent cx="1965325" cy="614045"/>
            <wp:effectExtent l="19050" t="0" r="0" b="0"/>
            <wp:docPr id="6"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8" cstate="print"/>
                    <a:srcRect/>
                    <a:stretch>
                      <a:fillRect/>
                    </a:stretch>
                  </pic:blipFill>
                  <pic:spPr bwMode="auto">
                    <a:xfrm>
                      <a:off x="0" y="0"/>
                      <a:ext cx="1965325" cy="614045"/>
                    </a:xfrm>
                    <a:prstGeom prst="rect">
                      <a:avLst/>
                    </a:prstGeom>
                    <a:noFill/>
                    <a:ln w="9525">
                      <a:noFill/>
                      <a:miter lim="800000"/>
                      <a:headEnd/>
                      <a:tailEnd/>
                    </a:ln>
                  </pic:spPr>
                </pic:pic>
              </a:graphicData>
            </a:graphic>
          </wp:inline>
        </w:drawing>
      </w:r>
    </w:p>
    <w:p w:rsidR="00265E0C" w:rsidRPr="00CC1943" w:rsidRDefault="00265E0C" w:rsidP="00265E0C">
      <w:pPr>
        <w:spacing w:before="0" w:after="0"/>
        <w:jc w:val="left"/>
      </w:pPr>
    </w:p>
    <w:p w:rsidR="0040640A" w:rsidRDefault="0028608B" w:rsidP="004E44DD">
      <w:pPr>
        <w:pStyle w:val="Heading"/>
        <w:rPr>
          <w:sz w:val="48"/>
        </w:rPr>
      </w:pPr>
      <w:r w:rsidRPr="00EF065A">
        <w:rPr>
          <w:sz w:val="48"/>
        </w:rPr>
        <w:t>C</w:t>
      </w:r>
      <w:r w:rsidR="0040640A" w:rsidRPr="00EF065A">
        <w:rPr>
          <w:sz w:val="48"/>
        </w:rPr>
        <w:t>ontents</w:t>
      </w:r>
    </w:p>
    <w:p w:rsidR="000A3266" w:rsidRDefault="0060455E">
      <w:pPr>
        <w:pStyle w:val="TOC1"/>
        <w:rPr>
          <w:rFonts w:asciiTheme="minorHAnsi" w:hAnsiTheme="minorHAnsi"/>
          <w:noProof/>
        </w:rPr>
      </w:pPr>
      <w:r>
        <w:rPr>
          <w:lang w:eastAsia="en-US"/>
        </w:rPr>
        <w:fldChar w:fldCharType="begin"/>
      </w:r>
      <w:r>
        <w:rPr>
          <w:lang w:eastAsia="en-US"/>
        </w:rPr>
        <w:instrText xml:space="preserve"> TOC \o "2-2" \t "Heading 1,1,Section title - light brown,1,Section title - dark brown,1,Tablehead,1" </w:instrText>
      </w:r>
      <w:r>
        <w:rPr>
          <w:lang w:eastAsia="en-US"/>
        </w:rPr>
        <w:fldChar w:fldCharType="separate"/>
      </w:r>
      <w:r w:rsidR="000A3266">
        <w:rPr>
          <w:noProof/>
        </w:rPr>
        <w:t>1</w:t>
      </w:r>
      <w:r w:rsidR="000A3266">
        <w:rPr>
          <w:rFonts w:asciiTheme="minorHAnsi" w:hAnsiTheme="minorHAnsi"/>
          <w:noProof/>
        </w:rPr>
        <w:tab/>
      </w:r>
      <w:r w:rsidR="000A3266">
        <w:rPr>
          <w:noProof/>
        </w:rPr>
        <w:t>Introduction</w:t>
      </w:r>
      <w:r w:rsidR="000A3266">
        <w:rPr>
          <w:noProof/>
        </w:rPr>
        <w:tab/>
      </w:r>
      <w:r w:rsidR="000A3266">
        <w:rPr>
          <w:noProof/>
        </w:rPr>
        <w:fldChar w:fldCharType="begin"/>
      </w:r>
      <w:r w:rsidR="000A3266">
        <w:rPr>
          <w:noProof/>
        </w:rPr>
        <w:instrText xml:space="preserve"> PAGEREF _Toc417469851 \h </w:instrText>
      </w:r>
      <w:r w:rsidR="000A3266">
        <w:rPr>
          <w:noProof/>
        </w:rPr>
      </w:r>
      <w:r w:rsidR="000A3266">
        <w:rPr>
          <w:noProof/>
        </w:rPr>
        <w:fldChar w:fldCharType="separate"/>
      </w:r>
      <w:r w:rsidR="00C13428">
        <w:rPr>
          <w:noProof/>
        </w:rPr>
        <w:t>5</w:t>
      </w:r>
      <w:r w:rsidR="000A3266">
        <w:rPr>
          <w:noProof/>
        </w:rPr>
        <w:fldChar w:fldCharType="end"/>
      </w:r>
    </w:p>
    <w:p w:rsidR="000A3266" w:rsidRDefault="000A3266">
      <w:pPr>
        <w:pStyle w:val="TOC2"/>
        <w:rPr>
          <w:rFonts w:asciiTheme="minorHAnsi" w:hAnsiTheme="minorHAnsi"/>
        </w:rPr>
      </w:pPr>
      <w:r>
        <w:t>Context</w:t>
      </w:r>
      <w:r>
        <w:tab/>
      </w:r>
      <w:r>
        <w:fldChar w:fldCharType="begin"/>
      </w:r>
      <w:r>
        <w:instrText xml:space="preserve"> PAGEREF _Toc417469852 \h </w:instrText>
      </w:r>
      <w:r>
        <w:fldChar w:fldCharType="separate"/>
      </w:r>
      <w:r w:rsidR="00C13428">
        <w:t>5</w:t>
      </w:r>
      <w:r>
        <w:fldChar w:fldCharType="end"/>
      </w:r>
    </w:p>
    <w:p w:rsidR="000A3266" w:rsidRDefault="000A3266">
      <w:pPr>
        <w:pStyle w:val="TOC1"/>
        <w:rPr>
          <w:rFonts w:asciiTheme="minorHAnsi" w:hAnsiTheme="minorHAnsi"/>
          <w:noProof/>
        </w:rPr>
      </w:pPr>
      <w:r>
        <w:rPr>
          <w:noProof/>
        </w:rPr>
        <w:t>2</w:t>
      </w:r>
      <w:r>
        <w:rPr>
          <w:rFonts w:asciiTheme="minorHAnsi" w:hAnsiTheme="minorHAnsi"/>
          <w:noProof/>
        </w:rPr>
        <w:tab/>
      </w:r>
      <w:r>
        <w:rPr>
          <w:noProof/>
        </w:rPr>
        <w:t>Summary of report</w:t>
      </w:r>
      <w:r>
        <w:rPr>
          <w:noProof/>
        </w:rPr>
        <w:tab/>
      </w:r>
      <w:r>
        <w:rPr>
          <w:noProof/>
        </w:rPr>
        <w:fldChar w:fldCharType="begin"/>
      </w:r>
      <w:r>
        <w:rPr>
          <w:noProof/>
        </w:rPr>
        <w:instrText xml:space="preserve"> PAGEREF _Toc417469853 \h </w:instrText>
      </w:r>
      <w:r>
        <w:rPr>
          <w:noProof/>
        </w:rPr>
      </w:r>
      <w:r>
        <w:rPr>
          <w:noProof/>
        </w:rPr>
        <w:fldChar w:fldCharType="separate"/>
      </w:r>
      <w:r w:rsidR="00C13428">
        <w:rPr>
          <w:noProof/>
        </w:rPr>
        <w:t>6</w:t>
      </w:r>
      <w:r>
        <w:rPr>
          <w:noProof/>
        </w:rPr>
        <w:fldChar w:fldCharType="end"/>
      </w:r>
    </w:p>
    <w:p w:rsidR="000A3266" w:rsidRDefault="000A3266">
      <w:pPr>
        <w:pStyle w:val="TOC2"/>
        <w:rPr>
          <w:rFonts w:asciiTheme="minorHAnsi" w:hAnsiTheme="minorHAnsi"/>
        </w:rPr>
      </w:pPr>
      <w:r>
        <w:t>Purpose</w:t>
      </w:r>
      <w:r>
        <w:tab/>
      </w:r>
      <w:r>
        <w:fldChar w:fldCharType="begin"/>
      </w:r>
      <w:r>
        <w:instrText xml:space="preserve"> PAGEREF _Toc417469854 \h </w:instrText>
      </w:r>
      <w:r>
        <w:fldChar w:fldCharType="separate"/>
      </w:r>
      <w:r w:rsidR="00C13428">
        <w:t>6</w:t>
      </w:r>
      <w:r>
        <w:fldChar w:fldCharType="end"/>
      </w:r>
    </w:p>
    <w:p w:rsidR="000A3266" w:rsidRDefault="000A3266">
      <w:pPr>
        <w:pStyle w:val="TOC2"/>
        <w:rPr>
          <w:rFonts w:asciiTheme="minorHAnsi" w:hAnsiTheme="minorHAnsi"/>
        </w:rPr>
      </w:pPr>
      <w:r>
        <w:t>Overall findings</w:t>
      </w:r>
      <w:r>
        <w:tab/>
      </w:r>
      <w:r>
        <w:fldChar w:fldCharType="begin"/>
      </w:r>
      <w:r>
        <w:instrText xml:space="preserve"> PAGEREF _Toc417469855 \h </w:instrText>
      </w:r>
      <w:r>
        <w:fldChar w:fldCharType="separate"/>
      </w:r>
      <w:r w:rsidR="00C13428">
        <w:t>6</w:t>
      </w:r>
      <w:r>
        <w:fldChar w:fldCharType="end"/>
      </w:r>
    </w:p>
    <w:p w:rsidR="000A3266" w:rsidRDefault="000A3266">
      <w:pPr>
        <w:pStyle w:val="TOC2"/>
        <w:rPr>
          <w:rFonts w:asciiTheme="minorHAnsi" w:hAnsiTheme="minorHAnsi"/>
        </w:rPr>
      </w:pPr>
      <w:r>
        <w:t>Recommendations</w:t>
      </w:r>
      <w:r>
        <w:tab/>
      </w:r>
      <w:r>
        <w:fldChar w:fldCharType="begin"/>
      </w:r>
      <w:r>
        <w:instrText xml:space="preserve"> PAGEREF _Toc417469856 \h </w:instrText>
      </w:r>
      <w:r>
        <w:fldChar w:fldCharType="separate"/>
      </w:r>
      <w:r w:rsidR="00C13428">
        <w:t>7</w:t>
      </w:r>
      <w:r>
        <w:fldChar w:fldCharType="end"/>
      </w:r>
    </w:p>
    <w:p w:rsidR="000A3266" w:rsidRDefault="000A3266">
      <w:pPr>
        <w:pStyle w:val="TOC1"/>
        <w:rPr>
          <w:rFonts w:asciiTheme="minorHAnsi" w:hAnsiTheme="minorHAnsi"/>
          <w:noProof/>
        </w:rPr>
      </w:pPr>
      <w:r>
        <w:rPr>
          <w:noProof/>
        </w:rPr>
        <w:t xml:space="preserve">3 </w:t>
      </w:r>
      <w:r>
        <w:rPr>
          <w:rFonts w:asciiTheme="minorHAnsi" w:hAnsiTheme="minorHAnsi"/>
          <w:noProof/>
        </w:rPr>
        <w:tab/>
      </w:r>
      <w:r>
        <w:rPr>
          <w:noProof/>
        </w:rPr>
        <w:t>Objective and method</w:t>
      </w:r>
      <w:r>
        <w:rPr>
          <w:noProof/>
        </w:rPr>
        <w:tab/>
      </w:r>
      <w:r>
        <w:rPr>
          <w:noProof/>
        </w:rPr>
        <w:fldChar w:fldCharType="begin"/>
      </w:r>
      <w:r>
        <w:rPr>
          <w:noProof/>
        </w:rPr>
        <w:instrText xml:space="preserve"> PAGEREF _Toc417469857 \h </w:instrText>
      </w:r>
      <w:r>
        <w:rPr>
          <w:noProof/>
        </w:rPr>
      </w:r>
      <w:r>
        <w:rPr>
          <w:noProof/>
        </w:rPr>
        <w:fldChar w:fldCharType="separate"/>
      </w:r>
      <w:r w:rsidR="00C13428">
        <w:rPr>
          <w:noProof/>
        </w:rPr>
        <w:t>9</w:t>
      </w:r>
      <w:r>
        <w:rPr>
          <w:noProof/>
        </w:rPr>
        <w:fldChar w:fldCharType="end"/>
      </w:r>
    </w:p>
    <w:p w:rsidR="000A3266" w:rsidRDefault="000A3266">
      <w:pPr>
        <w:pStyle w:val="TOC2"/>
        <w:rPr>
          <w:rFonts w:asciiTheme="minorHAnsi" w:hAnsiTheme="minorHAnsi"/>
        </w:rPr>
      </w:pPr>
      <w:r>
        <w:t>Objective</w:t>
      </w:r>
      <w:r>
        <w:tab/>
      </w:r>
      <w:r>
        <w:fldChar w:fldCharType="begin"/>
      </w:r>
      <w:r>
        <w:instrText xml:space="preserve"> PAGEREF _Toc417469858 \h </w:instrText>
      </w:r>
      <w:r>
        <w:fldChar w:fldCharType="separate"/>
      </w:r>
      <w:r w:rsidR="00C13428">
        <w:t>9</w:t>
      </w:r>
      <w:r>
        <w:fldChar w:fldCharType="end"/>
      </w:r>
    </w:p>
    <w:p w:rsidR="000A3266" w:rsidRDefault="000A3266">
      <w:pPr>
        <w:pStyle w:val="TOC2"/>
        <w:rPr>
          <w:rFonts w:asciiTheme="minorHAnsi" w:hAnsiTheme="minorHAnsi"/>
        </w:rPr>
      </w:pPr>
      <w:r>
        <w:t>Method</w:t>
      </w:r>
      <w:r>
        <w:tab/>
      </w:r>
      <w:r>
        <w:fldChar w:fldCharType="begin"/>
      </w:r>
      <w:r>
        <w:instrText xml:space="preserve"> PAGEREF _Toc417469859 \h </w:instrText>
      </w:r>
      <w:r>
        <w:fldChar w:fldCharType="separate"/>
      </w:r>
      <w:r w:rsidR="00C13428">
        <w:t>9</w:t>
      </w:r>
      <w:r>
        <w:fldChar w:fldCharType="end"/>
      </w:r>
    </w:p>
    <w:p w:rsidR="000A3266" w:rsidRDefault="000A3266">
      <w:pPr>
        <w:pStyle w:val="TOC1"/>
        <w:rPr>
          <w:rFonts w:asciiTheme="minorHAnsi" w:hAnsiTheme="minorHAnsi"/>
          <w:noProof/>
        </w:rPr>
      </w:pPr>
      <w:r>
        <w:rPr>
          <w:noProof/>
        </w:rPr>
        <w:t>4</w:t>
      </w:r>
      <w:r>
        <w:rPr>
          <w:rFonts w:asciiTheme="minorHAnsi" w:hAnsiTheme="minorHAnsi"/>
          <w:noProof/>
        </w:rPr>
        <w:tab/>
      </w:r>
      <w:r>
        <w:rPr>
          <w:noProof/>
        </w:rPr>
        <w:t>General findings from the analysis</w:t>
      </w:r>
      <w:r>
        <w:rPr>
          <w:noProof/>
        </w:rPr>
        <w:tab/>
      </w:r>
      <w:r>
        <w:rPr>
          <w:noProof/>
        </w:rPr>
        <w:fldChar w:fldCharType="begin"/>
      </w:r>
      <w:r>
        <w:rPr>
          <w:noProof/>
        </w:rPr>
        <w:instrText xml:space="preserve"> PAGEREF _Toc417469860 \h </w:instrText>
      </w:r>
      <w:r>
        <w:rPr>
          <w:noProof/>
        </w:rPr>
      </w:r>
      <w:r>
        <w:rPr>
          <w:noProof/>
        </w:rPr>
        <w:fldChar w:fldCharType="separate"/>
      </w:r>
      <w:r w:rsidR="00C13428">
        <w:rPr>
          <w:noProof/>
        </w:rPr>
        <w:t>11</w:t>
      </w:r>
      <w:r>
        <w:rPr>
          <w:noProof/>
        </w:rPr>
        <w:fldChar w:fldCharType="end"/>
      </w:r>
    </w:p>
    <w:p w:rsidR="000A3266" w:rsidRDefault="000A3266">
      <w:pPr>
        <w:pStyle w:val="TOC2"/>
        <w:rPr>
          <w:rFonts w:asciiTheme="minorHAnsi" w:hAnsiTheme="minorHAnsi"/>
        </w:rPr>
      </w:pPr>
      <w:r>
        <w:t>Public benefit activities</w:t>
      </w:r>
      <w:r>
        <w:tab/>
      </w:r>
      <w:r>
        <w:fldChar w:fldCharType="begin"/>
      </w:r>
      <w:r>
        <w:instrText xml:space="preserve"> PAGEREF _Toc417469861 \h </w:instrText>
      </w:r>
      <w:r>
        <w:fldChar w:fldCharType="separate"/>
      </w:r>
      <w:r w:rsidR="00C13428">
        <w:t>11</w:t>
      </w:r>
      <w:r>
        <w:fldChar w:fldCharType="end"/>
      </w:r>
    </w:p>
    <w:p w:rsidR="000A3266" w:rsidRDefault="000A3266">
      <w:pPr>
        <w:pStyle w:val="TOC2"/>
        <w:rPr>
          <w:rFonts w:asciiTheme="minorHAnsi" w:hAnsiTheme="minorHAnsi"/>
        </w:rPr>
      </w:pPr>
      <w:r>
        <w:t>Limited opportunities for new cost recovery</w:t>
      </w:r>
      <w:r>
        <w:tab/>
      </w:r>
      <w:r>
        <w:fldChar w:fldCharType="begin"/>
      </w:r>
      <w:r>
        <w:instrText xml:space="preserve"> PAGEREF _Toc417469862 \h </w:instrText>
      </w:r>
      <w:r>
        <w:fldChar w:fldCharType="separate"/>
      </w:r>
      <w:r w:rsidR="00C13428">
        <w:t>11</w:t>
      </w:r>
      <w:r>
        <w:fldChar w:fldCharType="end"/>
      </w:r>
    </w:p>
    <w:p w:rsidR="000A3266" w:rsidRDefault="000A3266">
      <w:pPr>
        <w:pStyle w:val="TOC2"/>
        <w:rPr>
          <w:rFonts w:asciiTheme="minorHAnsi" w:hAnsiTheme="minorHAnsi"/>
        </w:rPr>
      </w:pPr>
      <w:r>
        <w:t>A consistent approach to cost recovery</w:t>
      </w:r>
      <w:r>
        <w:tab/>
      </w:r>
      <w:r>
        <w:fldChar w:fldCharType="begin"/>
      </w:r>
      <w:r>
        <w:instrText xml:space="preserve"> PAGEREF _Toc417469863 \h </w:instrText>
      </w:r>
      <w:r>
        <w:fldChar w:fldCharType="separate"/>
      </w:r>
      <w:r w:rsidR="00C13428">
        <w:t>11</w:t>
      </w:r>
      <w:r>
        <w:fldChar w:fldCharType="end"/>
      </w:r>
    </w:p>
    <w:p w:rsidR="000A3266" w:rsidRDefault="000A3266">
      <w:pPr>
        <w:pStyle w:val="TOC2"/>
        <w:rPr>
          <w:rFonts w:asciiTheme="minorHAnsi" w:hAnsiTheme="minorHAnsi"/>
        </w:rPr>
      </w:pPr>
      <w:r>
        <w:t>Adjusting hourly rates</w:t>
      </w:r>
      <w:r>
        <w:tab/>
      </w:r>
      <w:r>
        <w:fldChar w:fldCharType="begin"/>
      </w:r>
      <w:r>
        <w:instrText xml:space="preserve"> PAGEREF _Toc417469864 \h </w:instrText>
      </w:r>
      <w:r>
        <w:fldChar w:fldCharType="separate"/>
      </w:r>
      <w:r w:rsidR="00C13428">
        <w:t>12</w:t>
      </w:r>
      <w:r>
        <w:fldChar w:fldCharType="end"/>
      </w:r>
    </w:p>
    <w:p w:rsidR="000A3266" w:rsidRDefault="000A3266">
      <w:pPr>
        <w:pStyle w:val="TOC2"/>
        <w:rPr>
          <w:rFonts w:asciiTheme="minorHAnsi" w:hAnsiTheme="minorHAnsi"/>
        </w:rPr>
      </w:pPr>
      <w:r>
        <w:t>Pre-application stage</w:t>
      </w:r>
      <w:r>
        <w:tab/>
      </w:r>
      <w:r>
        <w:fldChar w:fldCharType="begin"/>
      </w:r>
      <w:r>
        <w:instrText xml:space="preserve"> PAGEREF _Toc417469865 \h </w:instrText>
      </w:r>
      <w:r>
        <w:fldChar w:fldCharType="separate"/>
      </w:r>
      <w:r w:rsidR="00C13428">
        <w:t>12</w:t>
      </w:r>
      <w:r>
        <w:fldChar w:fldCharType="end"/>
      </w:r>
    </w:p>
    <w:p w:rsidR="000A3266" w:rsidRDefault="000A3266">
      <w:pPr>
        <w:pStyle w:val="TOC2"/>
        <w:rPr>
          <w:rFonts w:asciiTheme="minorHAnsi" w:hAnsiTheme="minorHAnsi"/>
        </w:rPr>
      </w:pPr>
      <w:r>
        <w:t>Alternative funding approaches</w:t>
      </w:r>
      <w:r>
        <w:tab/>
      </w:r>
      <w:r>
        <w:fldChar w:fldCharType="begin"/>
      </w:r>
      <w:r>
        <w:instrText xml:space="preserve"> PAGEREF _Toc417469866 \h </w:instrText>
      </w:r>
      <w:r>
        <w:fldChar w:fldCharType="separate"/>
      </w:r>
      <w:r w:rsidR="00C13428">
        <w:t>13</w:t>
      </w:r>
      <w:r>
        <w:fldChar w:fldCharType="end"/>
      </w:r>
    </w:p>
    <w:p w:rsidR="000A3266" w:rsidRDefault="000A3266">
      <w:pPr>
        <w:pStyle w:val="TOC1"/>
        <w:rPr>
          <w:rFonts w:asciiTheme="minorHAnsi" w:hAnsiTheme="minorHAnsi"/>
          <w:noProof/>
        </w:rPr>
      </w:pPr>
      <w:r>
        <w:rPr>
          <w:noProof/>
        </w:rPr>
        <w:t>5</w:t>
      </w:r>
      <w:r>
        <w:rPr>
          <w:rFonts w:asciiTheme="minorHAnsi" w:hAnsiTheme="minorHAnsi"/>
          <w:noProof/>
        </w:rPr>
        <w:tab/>
      </w:r>
      <w:r>
        <w:rPr>
          <w:noProof/>
        </w:rPr>
        <w:t>Function-specific analysis</w:t>
      </w:r>
      <w:r>
        <w:rPr>
          <w:noProof/>
        </w:rPr>
        <w:tab/>
      </w:r>
      <w:r>
        <w:rPr>
          <w:noProof/>
        </w:rPr>
        <w:fldChar w:fldCharType="begin"/>
      </w:r>
      <w:r>
        <w:rPr>
          <w:noProof/>
        </w:rPr>
        <w:instrText xml:space="preserve"> PAGEREF _Toc417469867 \h </w:instrText>
      </w:r>
      <w:r>
        <w:rPr>
          <w:noProof/>
        </w:rPr>
      </w:r>
      <w:r>
        <w:rPr>
          <w:noProof/>
        </w:rPr>
        <w:fldChar w:fldCharType="separate"/>
      </w:r>
      <w:r w:rsidR="00C13428">
        <w:rPr>
          <w:noProof/>
        </w:rPr>
        <w:t>14</w:t>
      </w:r>
      <w:r>
        <w:rPr>
          <w:noProof/>
        </w:rPr>
        <w:fldChar w:fldCharType="end"/>
      </w:r>
    </w:p>
    <w:p w:rsidR="000A3266" w:rsidRDefault="000A3266">
      <w:pPr>
        <w:pStyle w:val="TOC2"/>
        <w:rPr>
          <w:rFonts w:asciiTheme="minorHAnsi" w:hAnsiTheme="minorHAnsi"/>
        </w:rPr>
      </w:pPr>
      <w:r>
        <w:t>Nationally significant proposals (NSPs)</w:t>
      </w:r>
      <w:r>
        <w:tab/>
      </w:r>
      <w:r>
        <w:fldChar w:fldCharType="begin"/>
      </w:r>
      <w:r>
        <w:instrText xml:space="preserve"> PAGEREF _Toc417469868 \h </w:instrText>
      </w:r>
      <w:r>
        <w:fldChar w:fldCharType="separate"/>
      </w:r>
      <w:r w:rsidR="00C13428">
        <w:t>14</w:t>
      </w:r>
      <w:r>
        <w:fldChar w:fldCharType="end"/>
      </w:r>
    </w:p>
    <w:p w:rsidR="000A3266" w:rsidRDefault="000A3266">
      <w:pPr>
        <w:pStyle w:val="TOC2"/>
        <w:rPr>
          <w:rFonts w:asciiTheme="minorHAnsi" w:hAnsiTheme="minorHAnsi"/>
        </w:rPr>
      </w:pPr>
      <w:r>
        <w:t>Consenting and monitoring activities (EEZ Act)</w:t>
      </w:r>
      <w:r>
        <w:tab/>
      </w:r>
      <w:r>
        <w:fldChar w:fldCharType="begin"/>
      </w:r>
      <w:r>
        <w:instrText xml:space="preserve"> PAGEREF _Toc417469869 \h </w:instrText>
      </w:r>
      <w:r>
        <w:fldChar w:fldCharType="separate"/>
      </w:r>
      <w:r w:rsidR="00C13428">
        <w:t>16</w:t>
      </w:r>
      <w:r>
        <w:fldChar w:fldCharType="end"/>
      </w:r>
    </w:p>
    <w:p w:rsidR="000A3266" w:rsidRDefault="000A3266">
      <w:pPr>
        <w:pStyle w:val="TOC2"/>
        <w:rPr>
          <w:rFonts w:asciiTheme="minorHAnsi" w:hAnsiTheme="minorHAnsi"/>
        </w:rPr>
      </w:pPr>
      <w:r>
        <w:t>Hazardous substances and new organisms</w:t>
      </w:r>
      <w:r>
        <w:tab/>
      </w:r>
      <w:r>
        <w:fldChar w:fldCharType="begin"/>
      </w:r>
      <w:r>
        <w:instrText xml:space="preserve"> PAGEREF _Toc417469870 \h </w:instrText>
      </w:r>
      <w:r>
        <w:fldChar w:fldCharType="separate"/>
      </w:r>
      <w:r w:rsidR="00C13428">
        <w:t>19</w:t>
      </w:r>
      <w:r>
        <w:fldChar w:fldCharType="end"/>
      </w:r>
    </w:p>
    <w:p w:rsidR="000A3266" w:rsidRDefault="000A3266">
      <w:pPr>
        <w:pStyle w:val="TOC2"/>
        <w:rPr>
          <w:rFonts w:asciiTheme="minorHAnsi" w:hAnsiTheme="minorHAnsi"/>
        </w:rPr>
      </w:pPr>
      <w:r>
        <w:t>Ozone and import-export regulations</w:t>
      </w:r>
      <w:r>
        <w:tab/>
      </w:r>
      <w:r>
        <w:fldChar w:fldCharType="begin"/>
      </w:r>
      <w:r>
        <w:instrText xml:space="preserve"> PAGEREF _Toc417469871 \h </w:instrText>
      </w:r>
      <w:r>
        <w:fldChar w:fldCharType="separate"/>
      </w:r>
      <w:r w:rsidR="00C13428">
        <w:t>21</w:t>
      </w:r>
      <w:r>
        <w:fldChar w:fldCharType="end"/>
      </w:r>
    </w:p>
    <w:p w:rsidR="000A3266" w:rsidRDefault="000A3266">
      <w:pPr>
        <w:pStyle w:val="TOC2"/>
        <w:rPr>
          <w:rFonts w:asciiTheme="minorHAnsi" w:hAnsiTheme="minorHAnsi"/>
        </w:rPr>
      </w:pPr>
      <w:r>
        <w:t>Emissions Trading Scheme administration</w:t>
      </w:r>
      <w:r>
        <w:tab/>
      </w:r>
      <w:r>
        <w:fldChar w:fldCharType="begin"/>
      </w:r>
      <w:r>
        <w:instrText xml:space="preserve"> PAGEREF _Toc417469872 \h </w:instrText>
      </w:r>
      <w:r>
        <w:fldChar w:fldCharType="separate"/>
      </w:r>
      <w:r w:rsidR="00C13428">
        <w:t>22</w:t>
      </w:r>
      <w:r>
        <w:fldChar w:fldCharType="end"/>
      </w:r>
    </w:p>
    <w:p w:rsidR="000A3266" w:rsidRDefault="000A3266">
      <w:pPr>
        <w:pStyle w:val="TOC1"/>
        <w:rPr>
          <w:rFonts w:asciiTheme="minorHAnsi" w:hAnsiTheme="minorHAnsi"/>
          <w:noProof/>
        </w:rPr>
      </w:pPr>
      <w:r>
        <w:rPr>
          <w:noProof/>
        </w:rPr>
        <w:t>References</w:t>
      </w:r>
      <w:r>
        <w:rPr>
          <w:noProof/>
        </w:rPr>
        <w:tab/>
      </w:r>
      <w:r>
        <w:rPr>
          <w:noProof/>
        </w:rPr>
        <w:fldChar w:fldCharType="begin"/>
      </w:r>
      <w:r>
        <w:rPr>
          <w:noProof/>
        </w:rPr>
        <w:instrText xml:space="preserve"> PAGEREF _Toc417469873 \h </w:instrText>
      </w:r>
      <w:r>
        <w:rPr>
          <w:noProof/>
        </w:rPr>
      </w:r>
      <w:r>
        <w:rPr>
          <w:noProof/>
        </w:rPr>
        <w:fldChar w:fldCharType="separate"/>
      </w:r>
      <w:r w:rsidR="00C13428">
        <w:rPr>
          <w:noProof/>
        </w:rPr>
        <w:t>25</w:t>
      </w:r>
      <w:r>
        <w:rPr>
          <w:noProof/>
        </w:rPr>
        <w:fldChar w:fldCharType="end"/>
      </w:r>
    </w:p>
    <w:p w:rsidR="0060455E" w:rsidRDefault="0060455E" w:rsidP="0060455E">
      <w:pPr>
        <w:rPr>
          <w:lang w:eastAsia="en-US"/>
        </w:rPr>
      </w:pPr>
      <w:r>
        <w:rPr>
          <w:lang w:eastAsia="en-US"/>
        </w:rPr>
        <w:fldChar w:fldCharType="end"/>
      </w:r>
    </w:p>
    <w:p w:rsidR="0060455E" w:rsidRDefault="0060455E">
      <w:pPr>
        <w:spacing w:before="0" w:after="200" w:line="276" w:lineRule="auto"/>
        <w:jc w:val="left"/>
        <w:rPr>
          <w:lang w:eastAsia="en-US"/>
        </w:rPr>
      </w:pPr>
      <w:r>
        <w:rPr>
          <w:lang w:eastAsia="en-US"/>
        </w:rPr>
        <w:br w:type="page"/>
      </w:r>
    </w:p>
    <w:p w:rsidR="0060455E" w:rsidRPr="00E9684F" w:rsidRDefault="0060455E" w:rsidP="0060455E">
      <w:pPr>
        <w:pStyle w:val="Heading"/>
        <w:rPr>
          <w:noProof/>
          <w:sz w:val="48"/>
        </w:rPr>
      </w:pPr>
      <w:r w:rsidRPr="00E9684F">
        <w:rPr>
          <w:noProof/>
          <w:sz w:val="48"/>
        </w:rPr>
        <w:lastRenderedPageBreak/>
        <w:t>Tables</w:t>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fldChar w:fldCharType="begin"/>
      </w:r>
      <w:r>
        <w:instrText xml:space="preserve"> TOC \t "Table heading" \c </w:instrText>
      </w:r>
      <w:r>
        <w:fldChar w:fldCharType="separate"/>
      </w:r>
      <w:r>
        <w:rPr>
          <w:noProof/>
        </w:rPr>
        <w:t xml:space="preserve">Table 1: </w:t>
      </w:r>
      <w:r>
        <w:rPr>
          <w:rFonts w:asciiTheme="minorHAnsi" w:eastAsiaTheme="minorEastAsia" w:hAnsiTheme="minorHAnsi" w:cstheme="minorBidi"/>
          <w:noProof/>
          <w:sz w:val="22"/>
          <w:szCs w:val="22"/>
          <w:lang w:eastAsia="en-NZ"/>
        </w:rPr>
        <w:tab/>
      </w:r>
      <w:r>
        <w:rPr>
          <w:noProof/>
        </w:rPr>
        <w:t>Summary of cost recovery approaches</w:t>
      </w:r>
      <w:r>
        <w:rPr>
          <w:noProof/>
        </w:rPr>
        <w:tab/>
      </w:r>
      <w:r>
        <w:rPr>
          <w:noProof/>
        </w:rPr>
        <w:fldChar w:fldCharType="begin"/>
      </w:r>
      <w:r>
        <w:rPr>
          <w:noProof/>
        </w:rPr>
        <w:instrText xml:space="preserve"> PAGEREF _Toc414309819 \h </w:instrText>
      </w:r>
      <w:r>
        <w:rPr>
          <w:noProof/>
        </w:rPr>
      </w:r>
      <w:r>
        <w:rPr>
          <w:noProof/>
        </w:rPr>
        <w:fldChar w:fldCharType="separate"/>
      </w:r>
      <w:r w:rsidR="00C13428">
        <w:rPr>
          <w:noProof/>
        </w:rPr>
        <w:t>8</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2: </w:t>
      </w:r>
      <w:r>
        <w:rPr>
          <w:rFonts w:asciiTheme="minorHAnsi" w:eastAsiaTheme="minorEastAsia" w:hAnsiTheme="minorHAnsi" w:cstheme="minorBidi"/>
          <w:noProof/>
          <w:sz w:val="22"/>
          <w:szCs w:val="22"/>
          <w:lang w:eastAsia="en-NZ"/>
        </w:rPr>
        <w:tab/>
      </w:r>
      <w:r>
        <w:rPr>
          <w:noProof/>
        </w:rPr>
        <w:t>Assessing who benefits from the nationally significant proposal activities</w:t>
      </w:r>
      <w:r>
        <w:rPr>
          <w:noProof/>
        </w:rPr>
        <w:tab/>
      </w:r>
      <w:r>
        <w:rPr>
          <w:noProof/>
        </w:rPr>
        <w:fldChar w:fldCharType="begin"/>
      </w:r>
      <w:r>
        <w:rPr>
          <w:noProof/>
        </w:rPr>
        <w:instrText xml:space="preserve"> PAGEREF _Toc414309820 \h </w:instrText>
      </w:r>
      <w:r>
        <w:rPr>
          <w:noProof/>
        </w:rPr>
      </w:r>
      <w:r>
        <w:rPr>
          <w:noProof/>
        </w:rPr>
        <w:fldChar w:fldCharType="separate"/>
      </w:r>
      <w:r w:rsidR="00C13428">
        <w:rPr>
          <w:noProof/>
        </w:rPr>
        <w:t>14</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lang w:eastAsia="en-NZ"/>
        </w:rPr>
        <w:t xml:space="preserve">Table 3: </w:t>
      </w:r>
      <w:r>
        <w:rPr>
          <w:rFonts w:asciiTheme="minorHAnsi" w:eastAsiaTheme="minorEastAsia" w:hAnsiTheme="minorHAnsi" w:cstheme="minorBidi"/>
          <w:noProof/>
          <w:sz w:val="22"/>
          <w:szCs w:val="22"/>
          <w:lang w:eastAsia="en-NZ"/>
        </w:rPr>
        <w:tab/>
      </w:r>
      <w:r>
        <w:rPr>
          <w:noProof/>
          <w:lang w:eastAsia="en-NZ"/>
        </w:rPr>
        <w:t>Current cost recovery rates for NSPs</w:t>
      </w:r>
      <w:r>
        <w:rPr>
          <w:noProof/>
        </w:rPr>
        <w:tab/>
      </w:r>
      <w:r>
        <w:rPr>
          <w:noProof/>
        </w:rPr>
        <w:fldChar w:fldCharType="begin"/>
      </w:r>
      <w:r>
        <w:rPr>
          <w:noProof/>
        </w:rPr>
        <w:instrText xml:space="preserve"> PAGEREF _Toc414309821 \h </w:instrText>
      </w:r>
      <w:r>
        <w:rPr>
          <w:noProof/>
        </w:rPr>
      </w:r>
      <w:r>
        <w:rPr>
          <w:noProof/>
        </w:rPr>
        <w:fldChar w:fldCharType="separate"/>
      </w:r>
      <w:r w:rsidR="00C13428">
        <w:rPr>
          <w:noProof/>
        </w:rPr>
        <w:t>15</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4: </w:t>
      </w:r>
      <w:r>
        <w:rPr>
          <w:rFonts w:asciiTheme="minorHAnsi" w:eastAsiaTheme="minorEastAsia" w:hAnsiTheme="minorHAnsi" w:cstheme="minorBidi"/>
          <w:noProof/>
          <w:sz w:val="22"/>
          <w:szCs w:val="22"/>
          <w:lang w:eastAsia="en-NZ"/>
        </w:rPr>
        <w:tab/>
      </w:r>
      <w:r>
        <w:rPr>
          <w:noProof/>
        </w:rPr>
        <w:t>Assessing who benefits from the EEZ activities</w:t>
      </w:r>
      <w:r>
        <w:rPr>
          <w:noProof/>
        </w:rPr>
        <w:tab/>
      </w:r>
      <w:r>
        <w:rPr>
          <w:noProof/>
        </w:rPr>
        <w:fldChar w:fldCharType="begin"/>
      </w:r>
      <w:r>
        <w:rPr>
          <w:noProof/>
        </w:rPr>
        <w:instrText xml:space="preserve"> PAGEREF _Toc414309822 \h </w:instrText>
      </w:r>
      <w:r>
        <w:rPr>
          <w:noProof/>
        </w:rPr>
      </w:r>
      <w:r>
        <w:rPr>
          <w:noProof/>
        </w:rPr>
        <w:fldChar w:fldCharType="separate"/>
      </w:r>
      <w:r w:rsidR="00C13428">
        <w:rPr>
          <w:noProof/>
        </w:rPr>
        <w:t>17</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5: </w:t>
      </w:r>
      <w:r>
        <w:rPr>
          <w:rFonts w:asciiTheme="minorHAnsi" w:eastAsiaTheme="minorEastAsia" w:hAnsiTheme="minorHAnsi" w:cstheme="minorBidi"/>
          <w:noProof/>
          <w:sz w:val="22"/>
          <w:szCs w:val="22"/>
          <w:lang w:eastAsia="en-NZ"/>
        </w:rPr>
        <w:tab/>
      </w:r>
      <w:r>
        <w:rPr>
          <w:noProof/>
        </w:rPr>
        <w:t>Current cost recovery rates for Exclusive Economic Zone activities</w:t>
      </w:r>
      <w:r>
        <w:rPr>
          <w:noProof/>
        </w:rPr>
        <w:tab/>
      </w:r>
      <w:r>
        <w:rPr>
          <w:noProof/>
        </w:rPr>
        <w:fldChar w:fldCharType="begin"/>
      </w:r>
      <w:r>
        <w:rPr>
          <w:noProof/>
        </w:rPr>
        <w:instrText xml:space="preserve"> PAGEREF _Toc414309823 \h </w:instrText>
      </w:r>
      <w:r>
        <w:rPr>
          <w:noProof/>
        </w:rPr>
      </w:r>
      <w:r>
        <w:rPr>
          <w:noProof/>
        </w:rPr>
        <w:fldChar w:fldCharType="separate"/>
      </w:r>
      <w:r w:rsidR="00C13428">
        <w:rPr>
          <w:noProof/>
        </w:rPr>
        <w:t>18</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6: </w:t>
      </w:r>
      <w:r>
        <w:rPr>
          <w:rFonts w:asciiTheme="minorHAnsi" w:eastAsiaTheme="minorEastAsia" w:hAnsiTheme="minorHAnsi" w:cstheme="minorBidi"/>
          <w:noProof/>
          <w:sz w:val="22"/>
          <w:szCs w:val="22"/>
          <w:lang w:eastAsia="en-NZ"/>
        </w:rPr>
        <w:tab/>
      </w:r>
      <w:r>
        <w:rPr>
          <w:noProof/>
        </w:rPr>
        <w:t>Assessing who benefits from the HSNO activities</w:t>
      </w:r>
      <w:r>
        <w:rPr>
          <w:noProof/>
        </w:rPr>
        <w:tab/>
      </w:r>
      <w:r>
        <w:rPr>
          <w:noProof/>
        </w:rPr>
        <w:fldChar w:fldCharType="begin"/>
      </w:r>
      <w:r>
        <w:rPr>
          <w:noProof/>
        </w:rPr>
        <w:instrText xml:space="preserve"> PAGEREF _Toc414309824 \h </w:instrText>
      </w:r>
      <w:r>
        <w:rPr>
          <w:noProof/>
        </w:rPr>
      </w:r>
      <w:r>
        <w:rPr>
          <w:noProof/>
        </w:rPr>
        <w:fldChar w:fldCharType="separate"/>
      </w:r>
      <w:r w:rsidR="00C13428">
        <w:rPr>
          <w:noProof/>
        </w:rPr>
        <w:t>19</w:t>
      </w:r>
      <w:r>
        <w:rPr>
          <w:noProof/>
        </w:rPr>
        <w:fldChar w:fldCharType="end"/>
      </w:r>
    </w:p>
    <w:p w:rsidR="0060455E" w:rsidRDefault="0060455E" w:rsidP="0060455E">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7: </w:t>
      </w:r>
      <w:r>
        <w:rPr>
          <w:rFonts w:asciiTheme="minorHAnsi" w:eastAsiaTheme="minorEastAsia" w:hAnsiTheme="minorHAnsi" w:cstheme="minorBidi"/>
          <w:noProof/>
          <w:sz w:val="22"/>
          <w:szCs w:val="22"/>
          <w:lang w:eastAsia="en-NZ"/>
        </w:rPr>
        <w:tab/>
      </w:r>
      <w:r>
        <w:rPr>
          <w:noProof/>
        </w:rPr>
        <w:t>Assessing who benefits from the administration of the NZETS and NZEUR</w:t>
      </w:r>
      <w:r>
        <w:rPr>
          <w:noProof/>
        </w:rPr>
        <w:tab/>
      </w:r>
      <w:r>
        <w:rPr>
          <w:noProof/>
        </w:rPr>
        <w:fldChar w:fldCharType="begin"/>
      </w:r>
      <w:r>
        <w:rPr>
          <w:noProof/>
        </w:rPr>
        <w:instrText xml:space="preserve"> PAGEREF _Toc414309825 \h </w:instrText>
      </w:r>
      <w:r>
        <w:rPr>
          <w:noProof/>
        </w:rPr>
      </w:r>
      <w:r>
        <w:rPr>
          <w:noProof/>
        </w:rPr>
        <w:fldChar w:fldCharType="separate"/>
      </w:r>
      <w:r w:rsidR="00C13428">
        <w:rPr>
          <w:noProof/>
        </w:rPr>
        <w:t>23</w:t>
      </w:r>
      <w:r>
        <w:rPr>
          <w:noProof/>
        </w:rPr>
        <w:fldChar w:fldCharType="end"/>
      </w:r>
    </w:p>
    <w:p w:rsidR="0060455E" w:rsidRDefault="0060455E" w:rsidP="0060455E">
      <w:pPr>
        <w:rPr>
          <w:lang w:eastAsia="en-US"/>
        </w:rPr>
      </w:pPr>
      <w:r>
        <w:rPr>
          <w:lang w:eastAsia="en-US"/>
        </w:rPr>
        <w:fldChar w:fldCharType="end"/>
      </w:r>
    </w:p>
    <w:p w:rsidR="0060455E" w:rsidRDefault="0060455E" w:rsidP="0060455E">
      <w:pPr>
        <w:rPr>
          <w:lang w:eastAsia="en-US"/>
        </w:rPr>
      </w:pPr>
    </w:p>
    <w:p w:rsidR="0060455E" w:rsidRDefault="0060455E" w:rsidP="0060455E">
      <w:pPr>
        <w:pStyle w:val="Heading"/>
        <w:rPr>
          <w:noProof/>
          <w:sz w:val="48"/>
        </w:rPr>
      </w:pPr>
      <w:r>
        <w:rPr>
          <w:noProof/>
          <w:sz w:val="48"/>
        </w:rPr>
        <w:t>Figure</w:t>
      </w:r>
    </w:p>
    <w:p w:rsidR="0060455E" w:rsidRDefault="0060455E">
      <w:pPr>
        <w:pStyle w:val="TableofFigures"/>
        <w:tabs>
          <w:tab w:val="right" w:pos="8494"/>
        </w:tabs>
        <w:rPr>
          <w:rFonts w:asciiTheme="minorHAnsi" w:eastAsiaTheme="minorEastAsia" w:hAnsiTheme="minorHAnsi" w:cstheme="minorBidi"/>
          <w:noProof/>
          <w:sz w:val="22"/>
          <w:szCs w:val="22"/>
          <w:lang w:eastAsia="en-NZ"/>
        </w:rPr>
      </w:pPr>
      <w:r>
        <w:fldChar w:fldCharType="begin"/>
      </w:r>
      <w:r>
        <w:instrText xml:space="preserve"> TOC \t "Figure heading" \c </w:instrText>
      </w:r>
      <w:r>
        <w:fldChar w:fldCharType="separate"/>
      </w:r>
      <w:r>
        <w:rPr>
          <w:noProof/>
        </w:rPr>
        <w:t xml:space="preserve">Figure 1: </w:t>
      </w:r>
      <w:r>
        <w:rPr>
          <w:rFonts w:asciiTheme="minorHAnsi" w:eastAsiaTheme="minorEastAsia" w:hAnsiTheme="minorHAnsi" w:cstheme="minorBidi"/>
          <w:noProof/>
          <w:sz w:val="22"/>
          <w:szCs w:val="22"/>
          <w:lang w:eastAsia="en-NZ"/>
        </w:rPr>
        <w:tab/>
      </w:r>
      <w:r>
        <w:rPr>
          <w:noProof/>
        </w:rPr>
        <w:t>Overview of the EPA Review</w:t>
      </w:r>
      <w:r>
        <w:rPr>
          <w:noProof/>
        </w:rPr>
        <w:tab/>
      </w:r>
      <w:r>
        <w:rPr>
          <w:noProof/>
        </w:rPr>
        <w:fldChar w:fldCharType="begin"/>
      </w:r>
      <w:r>
        <w:rPr>
          <w:noProof/>
        </w:rPr>
        <w:instrText xml:space="preserve"> PAGEREF _Toc414309870 \h </w:instrText>
      </w:r>
      <w:r>
        <w:rPr>
          <w:noProof/>
        </w:rPr>
      </w:r>
      <w:r>
        <w:rPr>
          <w:noProof/>
        </w:rPr>
        <w:fldChar w:fldCharType="separate"/>
      </w:r>
      <w:r w:rsidR="00C13428">
        <w:rPr>
          <w:noProof/>
        </w:rPr>
        <w:t>5</w:t>
      </w:r>
      <w:r>
        <w:rPr>
          <w:noProof/>
        </w:rPr>
        <w:fldChar w:fldCharType="end"/>
      </w:r>
    </w:p>
    <w:p w:rsidR="0060455E" w:rsidRPr="0060455E" w:rsidRDefault="0060455E" w:rsidP="0060455E">
      <w:pPr>
        <w:rPr>
          <w:lang w:eastAsia="en-US"/>
        </w:rPr>
      </w:pPr>
      <w:r>
        <w:rPr>
          <w:lang w:eastAsia="en-US"/>
        </w:rPr>
        <w:fldChar w:fldCharType="end"/>
      </w:r>
    </w:p>
    <w:p w:rsidR="00560C70" w:rsidRPr="0060455E" w:rsidRDefault="00560C70" w:rsidP="0060455E"/>
    <w:p w:rsidR="0060455E" w:rsidRPr="0060455E" w:rsidRDefault="0060455E" w:rsidP="0060455E">
      <w:pPr>
        <w:sectPr w:rsidR="0060455E" w:rsidRPr="0060455E" w:rsidSect="006B491E">
          <w:headerReference w:type="even" r:id="rId19"/>
          <w:headerReference w:type="default" r:id="rId20"/>
          <w:footerReference w:type="even" r:id="rId21"/>
          <w:footerReference w:type="default" r:id="rId22"/>
          <w:headerReference w:type="first" r:id="rId23"/>
          <w:endnotePr>
            <w:numFmt w:val="decimal"/>
          </w:endnotePr>
          <w:pgSz w:w="11907" w:h="16840" w:code="9"/>
          <w:pgMar w:top="1134" w:right="1418" w:bottom="1134" w:left="1418" w:header="567" w:footer="567" w:gutter="567"/>
          <w:cols w:space="720"/>
        </w:sectPr>
      </w:pPr>
    </w:p>
    <w:p w:rsidR="00EF065A" w:rsidRPr="00EF065A" w:rsidRDefault="00EF065A" w:rsidP="00EF065A">
      <w:pPr>
        <w:pStyle w:val="Heading1"/>
      </w:pPr>
      <w:bookmarkStart w:id="3" w:name="_Toc414309436"/>
      <w:bookmarkStart w:id="4" w:name="_Toc417469851"/>
      <w:bookmarkEnd w:id="0"/>
      <w:bookmarkEnd w:id="1"/>
      <w:r w:rsidRPr="0088088F">
        <w:lastRenderedPageBreak/>
        <w:t>1</w:t>
      </w:r>
      <w:r w:rsidRPr="0088088F">
        <w:tab/>
        <w:t>Introduction</w:t>
      </w:r>
      <w:bookmarkEnd w:id="3"/>
      <w:bookmarkEnd w:id="4"/>
    </w:p>
    <w:p w:rsidR="00EF065A" w:rsidRPr="00291E49" w:rsidRDefault="00EF065A" w:rsidP="00291E49">
      <w:pPr>
        <w:pStyle w:val="Heading2"/>
      </w:pPr>
      <w:bookmarkStart w:id="5" w:name="_Toc414309437"/>
      <w:bookmarkStart w:id="6" w:name="_Toc417469852"/>
      <w:r w:rsidRPr="00291E49">
        <w:t>Context</w:t>
      </w:r>
      <w:bookmarkEnd w:id="5"/>
      <w:bookmarkEnd w:id="6"/>
    </w:p>
    <w:p w:rsidR="00EF065A" w:rsidRDefault="00EF065A" w:rsidP="00EF065A">
      <w:pPr>
        <w:pStyle w:val="BodyText"/>
      </w:pPr>
      <w:r>
        <w:t>The Ministry for the Environment (the Ministry) is currently undertaking a review (the Review) of the Environmental Protection Authority (EPA).</w:t>
      </w:r>
      <w:r w:rsidR="006631F4">
        <w:t xml:space="preserve"> </w:t>
      </w:r>
      <w:r>
        <w:t>The Review was mandated by Cabinet, who directed the Ministry to review the effectiveness of the EPA three years after it became operational [CAB Min (10) 19/9 refers].</w:t>
      </w:r>
    </w:p>
    <w:p w:rsidR="00EF065A" w:rsidRPr="00EF065A" w:rsidRDefault="00EF065A" w:rsidP="00EF065A">
      <w:pPr>
        <w:pStyle w:val="BodyText"/>
      </w:pPr>
      <w:r>
        <w:t>The Review includes two key components:</w:t>
      </w:r>
    </w:p>
    <w:p w:rsidR="00EF065A" w:rsidRDefault="00EF065A" w:rsidP="00EF065A">
      <w:pPr>
        <w:pStyle w:val="Bullet"/>
      </w:pPr>
      <w:r>
        <w:t>An analysis of the EPA’s effectiveness and efficiency, applying the Performance Improvement Framework (PIF) (outside the formal PIF process).</w:t>
      </w:r>
      <w:r w:rsidR="006631F4">
        <w:t xml:space="preserve"> </w:t>
      </w:r>
      <w:r>
        <w:t>This component includes the EPA undertaking a self-review and an external reviewer assessing the EPA’s effectiveness and efficiency.</w:t>
      </w:r>
    </w:p>
    <w:p w:rsidR="00EF065A" w:rsidRDefault="00EF065A" w:rsidP="00EF065A">
      <w:pPr>
        <w:pStyle w:val="Bullet"/>
      </w:pPr>
      <w:r>
        <w:t xml:space="preserve">An assessment of the EPA’s fiscal sustainability, including a review of the EPA’s baseline funding requirements, and an assessment of the cost recovery regimes it operates as well as how it operates them. </w:t>
      </w:r>
    </w:p>
    <w:p w:rsidR="00EF065A" w:rsidRDefault="00EF065A" w:rsidP="00EF065A">
      <w:pPr>
        <w:pStyle w:val="BodyText"/>
      </w:pPr>
      <w:r>
        <w:t>Figure 1 provides an overview of the components of the review and how they fit together.</w:t>
      </w:r>
    </w:p>
    <w:p w:rsidR="002F1A80" w:rsidRDefault="00EF065A" w:rsidP="00EF065A">
      <w:pPr>
        <w:pStyle w:val="Figureheading"/>
      </w:pPr>
      <w:bookmarkStart w:id="7" w:name="_Toc414309870"/>
      <w:r>
        <w:t xml:space="preserve">Figure 1: </w:t>
      </w:r>
      <w:r>
        <w:tab/>
        <w:t>Overview of the EPA Review</w:t>
      </w:r>
      <w:bookmarkEnd w:id="7"/>
    </w:p>
    <w:p w:rsidR="00EF065A" w:rsidRPr="00EF065A" w:rsidRDefault="00EF065A" w:rsidP="00EF065A">
      <w:pPr>
        <w:spacing w:before="0" w:after="0"/>
      </w:pPr>
      <w:r w:rsidRPr="00BC3232">
        <w:rPr>
          <w:rFonts w:eastAsia="Calibri"/>
          <w:noProof/>
        </w:rPr>
        <w:drawing>
          <wp:inline distT="0" distB="0" distL="0" distR="0" wp14:anchorId="6868E2FC" wp14:editId="1AD8C2C7">
            <wp:extent cx="5400040" cy="2510155"/>
            <wp:effectExtent l="38100" t="19050" r="29210" b="234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F065A" w:rsidRPr="00EF065A" w:rsidRDefault="00EF065A" w:rsidP="00EF065A">
      <w:pPr>
        <w:spacing w:before="0" w:after="0"/>
      </w:pPr>
    </w:p>
    <w:p w:rsidR="00EF065A" w:rsidRDefault="00EF065A" w:rsidP="00EF065A">
      <w:pPr>
        <w:pStyle w:val="BodyText"/>
      </w:pPr>
      <w:r>
        <w:t>This report contains the findings of the assessment of the EPA’s cost recovery practices. It will feed into the review of the EPA’s fiscal sustainability and baseline funding requirements and will also be one of the inputs used in the overarching report.</w:t>
      </w:r>
    </w:p>
    <w:p w:rsidR="005C7245" w:rsidRDefault="005C7245" w:rsidP="00EF065A">
      <w:pPr>
        <w:pStyle w:val="BodyText"/>
      </w:pPr>
    </w:p>
    <w:p w:rsidR="000C1900" w:rsidRDefault="000C1900">
      <w:pPr>
        <w:spacing w:before="0" w:after="200" w:line="276" w:lineRule="auto"/>
        <w:jc w:val="left"/>
      </w:pPr>
      <w:r>
        <w:br w:type="page"/>
      </w:r>
    </w:p>
    <w:p w:rsidR="000C1900" w:rsidRPr="001477FE" w:rsidRDefault="000C1900" w:rsidP="000C1900">
      <w:pPr>
        <w:pStyle w:val="Heading1"/>
      </w:pPr>
      <w:bookmarkStart w:id="8" w:name="_Toc414309438"/>
      <w:bookmarkStart w:id="9" w:name="_Toc417469853"/>
      <w:r>
        <w:lastRenderedPageBreak/>
        <w:t>2</w:t>
      </w:r>
      <w:r>
        <w:tab/>
      </w:r>
      <w:r w:rsidRPr="001477FE">
        <w:t>Summary of report</w:t>
      </w:r>
      <w:bookmarkEnd w:id="8"/>
      <w:bookmarkEnd w:id="9"/>
    </w:p>
    <w:p w:rsidR="000C1900" w:rsidRPr="00291E49" w:rsidRDefault="000C1900" w:rsidP="00291E49">
      <w:pPr>
        <w:pStyle w:val="Heading2"/>
      </w:pPr>
      <w:bookmarkStart w:id="10" w:name="_Toc414309439"/>
      <w:bookmarkStart w:id="11" w:name="_Toc417469854"/>
      <w:r w:rsidRPr="00291E49">
        <w:t>Purpose</w:t>
      </w:r>
      <w:bookmarkEnd w:id="10"/>
      <w:bookmarkEnd w:id="11"/>
    </w:p>
    <w:p w:rsidR="000C1900" w:rsidRPr="000C1900" w:rsidRDefault="000C1900" w:rsidP="000C1900">
      <w:pPr>
        <w:pStyle w:val="BodyText"/>
      </w:pPr>
      <w:r>
        <w:t>The pur</w:t>
      </w:r>
      <w:r w:rsidRPr="000C1900">
        <w:t xml:space="preserve">pose of this analysis is to understand the cost recovery regimes that the EPA operates, and how it operates them, to identify whether or not changes are necessary to improve them. </w:t>
      </w:r>
    </w:p>
    <w:p w:rsidR="000C1900" w:rsidRDefault="000C1900" w:rsidP="000C1900">
      <w:pPr>
        <w:pStyle w:val="BodyText"/>
      </w:pPr>
      <w:r w:rsidRPr="000C1900">
        <w:t>When reviewing the cost recovery regimes, we first considered whether they were consistent with the guidelines for setting charges in the public sect</w:t>
      </w:r>
      <w:r w:rsidR="00744515">
        <w:t>or as published by the Treasury</w:t>
      </w:r>
      <w:r w:rsidR="00744515">
        <w:rPr>
          <w:rStyle w:val="FootnoteReference"/>
        </w:rPr>
        <w:footnoteReference w:id="1"/>
      </w:r>
      <w:r w:rsidRPr="000C1900">
        <w:t xml:space="preserve"> and the Cont</w:t>
      </w:r>
      <w:r>
        <w:t>roller and Auditor General.</w:t>
      </w:r>
      <w:r w:rsidR="00744515">
        <w:rPr>
          <w:rStyle w:val="FootnoteReference"/>
        </w:rPr>
        <w:footnoteReference w:id="2"/>
      </w:r>
      <w:r>
        <w:t xml:space="preserve"> We then explored whether:</w:t>
      </w:r>
    </w:p>
    <w:p w:rsidR="000C1900" w:rsidRDefault="000C1900" w:rsidP="000C1900">
      <w:pPr>
        <w:pStyle w:val="Bullet"/>
      </w:pPr>
      <w:r>
        <w:t>the EPA could cost recover a wider range of existing (or new) services</w:t>
      </w:r>
    </w:p>
    <w:p w:rsidR="000C1900" w:rsidRDefault="000C1900" w:rsidP="000C1900">
      <w:pPr>
        <w:pStyle w:val="Bullet"/>
      </w:pPr>
      <w:r>
        <w:t>there was scope to increase the proportion of costs recovered from existing services</w:t>
      </w:r>
    </w:p>
    <w:p w:rsidR="000C1900" w:rsidRDefault="000C1900" w:rsidP="000C1900">
      <w:pPr>
        <w:pStyle w:val="Bullet"/>
      </w:pPr>
      <w:proofErr w:type="gramStart"/>
      <w:r>
        <w:t>the</w:t>
      </w:r>
      <w:proofErr w:type="gramEnd"/>
      <w:r>
        <w:t xml:space="preserve"> fees charged remain appropriate. </w:t>
      </w:r>
    </w:p>
    <w:p w:rsidR="000C1900" w:rsidRPr="00291E49" w:rsidRDefault="000C1900" w:rsidP="00291E49">
      <w:pPr>
        <w:pStyle w:val="Heading2"/>
      </w:pPr>
      <w:bookmarkStart w:id="12" w:name="_Toc414309440"/>
      <w:bookmarkStart w:id="13" w:name="_Toc417469855"/>
      <w:r w:rsidRPr="00291E49">
        <w:t>Overall findings</w:t>
      </w:r>
      <w:bookmarkEnd w:id="12"/>
      <w:bookmarkEnd w:id="13"/>
    </w:p>
    <w:p w:rsidR="000C1900" w:rsidRPr="000C1900" w:rsidRDefault="000C1900" w:rsidP="000C1900">
      <w:pPr>
        <w:pStyle w:val="BodyText"/>
      </w:pPr>
      <w:r>
        <w:t>We have found that:</w:t>
      </w:r>
    </w:p>
    <w:p w:rsidR="000C1900" w:rsidRDefault="000C1900" w:rsidP="000C1900">
      <w:pPr>
        <w:pStyle w:val="Bullet"/>
      </w:pPr>
      <w:r>
        <w:t>A number of services provided by the EPA primarily have public benefits. Where costs cannot be recovered as part of overheads, these should continue to be funded by the</w:t>
      </w:r>
      <w:r w:rsidR="00C50E07">
        <w:t> </w:t>
      </w:r>
      <w:r>
        <w:t>Crown.</w:t>
      </w:r>
    </w:p>
    <w:p w:rsidR="000C1900" w:rsidRDefault="000C1900" w:rsidP="000C1900">
      <w:pPr>
        <w:pStyle w:val="Bullet"/>
      </w:pPr>
      <w:r>
        <w:t>There are limited opportunities to apply cost recovery to a wider range of EPA services because most costs are already able to be recovered where there is an identified private beneficiary.</w:t>
      </w:r>
    </w:p>
    <w:p w:rsidR="000C1900" w:rsidRDefault="000C1900" w:rsidP="000C1900">
      <w:pPr>
        <w:pStyle w:val="Bullet"/>
      </w:pPr>
      <w:r>
        <w:t>There is scope to increase the proportion of costs recovered in some regimes, but cost increases may discourage applicants and/or compliance, so any moves to increase recovery would need to be considered on a case-by-case basis.</w:t>
      </w:r>
    </w:p>
    <w:p w:rsidR="000C1900" w:rsidRDefault="000C1900" w:rsidP="000C1900">
      <w:pPr>
        <w:pStyle w:val="Bullet"/>
      </w:pPr>
      <w:r>
        <w:t>There is scope to improve the operation of existing cost recovery regimes and bring them up-to-date. This includes:</w:t>
      </w:r>
    </w:p>
    <w:p w:rsidR="000C1900" w:rsidRDefault="000C1900" w:rsidP="000C1900">
      <w:pPr>
        <w:pStyle w:val="Sub-bullet"/>
      </w:pPr>
      <w:r>
        <w:t xml:space="preserve">improving the consistency and transparency of cost recovery approaches both within and across regimes (for example, the impact that different board of inquiry processes have on applicant costs, and the different charge out rates that apply for the same type of EPA resource under different regimes) </w:t>
      </w:r>
    </w:p>
    <w:p w:rsidR="000C1900" w:rsidRDefault="000C1900" w:rsidP="000C1900">
      <w:pPr>
        <w:pStyle w:val="Sub-bullet"/>
      </w:pPr>
      <w:r>
        <w:t>the EPA developing a more comprehensive understanding of the cost and value of its</w:t>
      </w:r>
      <w:r w:rsidR="0052259C">
        <w:t> </w:t>
      </w:r>
      <w:r>
        <w:t xml:space="preserve">services </w:t>
      </w:r>
    </w:p>
    <w:p w:rsidR="000C1900" w:rsidRDefault="000C1900" w:rsidP="000C1900">
      <w:pPr>
        <w:pStyle w:val="Sub-bullet"/>
      </w:pPr>
      <w:proofErr w:type="gramStart"/>
      <w:r>
        <w:t>more</w:t>
      </w:r>
      <w:proofErr w:type="gramEnd"/>
      <w:r>
        <w:t xml:space="preserve"> regularly reviewing the fees that the EPA charges.</w:t>
      </w:r>
    </w:p>
    <w:p w:rsidR="000C1900" w:rsidRDefault="000C1900" w:rsidP="000C1900">
      <w:pPr>
        <w:pStyle w:val="Bullet"/>
      </w:pPr>
      <w:r>
        <w:t>The hazardous substances and new organisms (HSNO) cost recovery regime, in particular, would benefit from a review that reconsiders the drivers and principles for cost recovery.</w:t>
      </w:r>
      <w:r w:rsidR="006631F4">
        <w:t xml:space="preserve"> </w:t>
      </w:r>
    </w:p>
    <w:p w:rsidR="000C1900" w:rsidRPr="00291E49" w:rsidRDefault="000C1900" w:rsidP="00291E49">
      <w:pPr>
        <w:pStyle w:val="Heading2"/>
      </w:pPr>
      <w:bookmarkStart w:id="14" w:name="_Toc414309441"/>
      <w:bookmarkStart w:id="15" w:name="_Toc417469856"/>
      <w:r w:rsidRPr="00291E49">
        <w:lastRenderedPageBreak/>
        <w:t>Recommendations</w:t>
      </w:r>
      <w:bookmarkEnd w:id="14"/>
      <w:bookmarkEnd w:id="15"/>
    </w:p>
    <w:p w:rsidR="000C1900" w:rsidRDefault="000C1900" w:rsidP="001E6EFB">
      <w:pPr>
        <w:pStyle w:val="Heading3"/>
        <w:spacing w:before="240"/>
      </w:pPr>
      <w:r>
        <w:t xml:space="preserve">General recommendations </w:t>
      </w:r>
    </w:p>
    <w:p w:rsidR="000C1900" w:rsidRDefault="000C1900" w:rsidP="0012193D">
      <w:pPr>
        <w:pStyle w:val="BodyText"/>
      </w:pPr>
      <w:r>
        <w:t xml:space="preserve">Several recommendations apply across the cost recovery regimes that the EPA administers: </w:t>
      </w:r>
    </w:p>
    <w:p w:rsidR="000C1900" w:rsidRDefault="000C1900" w:rsidP="00195F04">
      <w:pPr>
        <w:pStyle w:val="Bullet"/>
        <w:spacing w:after="100"/>
      </w:pPr>
      <w:r>
        <w:t xml:space="preserve">The Ministry and the EPA should work together to update hourly rates for cost recovery and to determine whether the rates can be made consistent across the EPA’s regimes. </w:t>
      </w:r>
    </w:p>
    <w:p w:rsidR="000C1900" w:rsidRDefault="000C1900" w:rsidP="00195F04">
      <w:pPr>
        <w:pStyle w:val="Bullet"/>
        <w:spacing w:after="100"/>
      </w:pPr>
      <w:r>
        <w:t xml:space="preserve">The EPA </w:t>
      </w:r>
      <w:r w:rsidR="007F4DDD">
        <w:t>c</w:t>
      </w:r>
      <w:r>
        <w:t>ould consider setting a limit for the number of ‘free hours’ to be included in pre-application services, and charge applicants once those hours have been used.</w:t>
      </w:r>
    </w:p>
    <w:p w:rsidR="000C1900" w:rsidRDefault="000C1900" w:rsidP="00195F04">
      <w:pPr>
        <w:pStyle w:val="Bullet"/>
        <w:spacing w:after="100"/>
      </w:pPr>
      <w:r>
        <w:t>Performance against target cost recovery rates should be monitored on a regular basis by the EPA.</w:t>
      </w:r>
    </w:p>
    <w:p w:rsidR="00EF065A" w:rsidRDefault="000C1900" w:rsidP="0012193D">
      <w:pPr>
        <w:pStyle w:val="Bullet"/>
      </w:pPr>
      <w:r>
        <w:t xml:space="preserve">Further analysis is required to determine </w:t>
      </w:r>
      <w:r w:rsidR="00BB32D5">
        <w:t xml:space="preserve">the extent to which </w:t>
      </w:r>
      <w:r>
        <w:t xml:space="preserve">the EPA is recovering all justifiably recoverable costs (examples include whether management time is adequately captured in </w:t>
      </w:r>
      <w:proofErr w:type="gramStart"/>
      <w:r>
        <w:t>overheads,</w:t>
      </w:r>
      <w:proofErr w:type="gramEnd"/>
      <w:r>
        <w:t xml:space="preserve"> and whether policy development to support future decision-making can and should be recovered). This should be a joint effort between the Ministry and the EPA.</w:t>
      </w:r>
    </w:p>
    <w:p w:rsidR="000F77BA" w:rsidRPr="006F1651" w:rsidRDefault="000F77BA" w:rsidP="006F1651">
      <w:pPr>
        <w:pStyle w:val="Heading3"/>
      </w:pPr>
      <w:bookmarkStart w:id="16" w:name="_Toc401557581"/>
      <w:r w:rsidRPr="006F1651">
        <w:t>Regime-specific recommendations</w:t>
      </w:r>
    </w:p>
    <w:p w:rsidR="000F77BA" w:rsidRPr="000F77BA" w:rsidRDefault="000F77BA" w:rsidP="000F77BA">
      <w:pPr>
        <w:pStyle w:val="BodyText"/>
      </w:pPr>
      <w:r w:rsidRPr="000F77BA">
        <w:t>Our recommendations for specific regimes apply in addition to the above more general recommendations. They are that:</w:t>
      </w:r>
      <w:bookmarkStart w:id="17" w:name="_Toc401758748"/>
      <w:bookmarkStart w:id="18" w:name="_Toc401819769"/>
      <w:bookmarkStart w:id="19" w:name="_Toc401844318"/>
      <w:bookmarkStart w:id="20" w:name="_Toc402340073"/>
      <w:bookmarkStart w:id="21" w:name="_Toc402435494"/>
      <w:bookmarkStart w:id="22" w:name="_Toc405450335"/>
    </w:p>
    <w:p w:rsidR="000F77BA" w:rsidRPr="000F77BA" w:rsidRDefault="000F77BA" w:rsidP="00195F04">
      <w:pPr>
        <w:pStyle w:val="Heading5"/>
        <w:spacing w:after="80"/>
      </w:pPr>
      <w:r w:rsidRPr="0088088F">
        <w:t>Supporting decision making for nationally significant proposals</w:t>
      </w:r>
      <w:bookmarkEnd w:id="16"/>
      <w:bookmarkEnd w:id="17"/>
      <w:bookmarkEnd w:id="18"/>
      <w:bookmarkEnd w:id="19"/>
      <w:bookmarkEnd w:id="20"/>
      <w:bookmarkEnd w:id="21"/>
      <w:bookmarkEnd w:id="22"/>
      <w:r w:rsidRPr="0088088F">
        <w:t xml:space="preserve"> (NSPs)</w:t>
      </w:r>
    </w:p>
    <w:p w:rsidR="000F77BA" w:rsidRPr="0088088F" w:rsidRDefault="000F77BA" w:rsidP="00195F04">
      <w:pPr>
        <w:pStyle w:val="Bullet"/>
        <w:spacing w:after="100"/>
      </w:pPr>
      <w:r>
        <w:t>T</w:t>
      </w:r>
      <w:r w:rsidRPr="0088088F">
        <w:t xml:space="preserve">he EPA </w:t>
      </w:r>
      <w:r w:rsidR="002C69B2">
        <w:t>c</w:t>
      </w:r>
      <w:r w:rsidRPr="0088088F">
        <w:t>ould explore the possibility of increasing cost recovery</w:t>
      </w:r>
      <w:r>
        <w:t xml:space="preserve"> for</w:t>
      </w:r>
      <w:r w:rsidRPr="0088088F">
        <w:t>:</w:t>
      </w:r>
    </w:p>
    <w:p w:rsidR="000F77BA" w:rsidRPr="00B707BB" w:rsidRDefault="000F77BA" w:rsidP="00195F04">
      <w:pPr>
        <w:pStyle w:val="Sub-bullet"/>
        <w:spacing w:after="100"/>
      </w:pPr>
      <w:r w:rsidRPr="00B707BB">
        <w:t xml:space="preserve">pre-application services, by setting a limit on the number of free hours </w:t>
      </w:r>
    </w:p>
    <w:p w:rsidR="000F77BA" w:rsidRPr="0088088F" w:rsidRDefault="000F77BA" w:rsidP="000F77BA">
      <w:pPr>
        <w:pStyle w:val="Sub-bullet"/>
      </w:pPr>
      <w:proofErr w:type="gramStart"/>
      <w:r w:rsidRPr="0088088F">
        <w:t>training</w:t>
      </w:r>
      <w:proofErr w:type="gramEnd"/>
      <w:r w:rsidRPr="0088088F">
        <w:t xml:space="preserve"> costs associated with improving service delivery.</w:t>
      </w:r>
    </w:p>
    <w:p w:rsidR="000F77BA" w:rsidRPr="0088088F" w:rsidRDefault="000F77BA" w:rsidP="000F77BA">
      <w:pPr>
        <w:pStyle w:val="BodyText"/>
      </w:pPr>
      <w:r w:rsidRPr="0088088F">
        <w:t>These activities are important for supporting and maintaining the NSP function, and benefits may accrue to the public and to applicants.</w:t>
      </w:r>
      <w:r w:rsidR="006631F4">
        <w:t xml:space="preserve"> </w:t>
      </w:r>
    </w:p>
    <w:p w:rsidR="000F77BA" w:rsidRPr="0088088F" w:rsidRDefault="000F77BA" w:rsidP="00195F04">
      <w:pPr>
        <w:pStyle w:val="Heading5"/>
        <w:spacing w:after="80"/>
      </w:pPr>
      <w:bookmarkStart w:id="23" w:name="_Toc401557582"/>
      <w:bookmarkStart w:id="24" w:name="_Toc401758749"/>
      <w:bookmarkStart w:id="25" w:name="_Toc401819770"/>
      <w:bookmarkStart w:id="26" w:name="_Toc401844319"/>
      <w:bookmarkStart w:id="27" w:name="_Toc402340074"/>
      <w:bookmarkStart w:id="28" w:name="_Toc402435495"/>
      <w:bookmarkStart w:id="29" w:name="_Toc405450336"/>
      <w:r w:rsidRPr="0088088F">
        <w:t>Consenting and monitoring activities in the EEZ</w:t>
      </w:r>
      <w:bookmarkEnd w:id="23"/>
      <w:bookmarkEnd w:id="24"/>
      <w:bookmarkEnd w:id="25"/>
      <w:bookmarkEnd w:id="26"/>
      <w:bookmarkEnd w:id="27"/>
      <w:bookmarkEnd w:id="28"/>
      <w:bookmarkEnd w:id="29"/>
    </w:p>
    <w:p w:rsidR="000F77BA" w:rsidRDefault="000F77BA" w:rsidP="000F77BA">
      <w:pPr>
        <w:pStyle w:val="Bullet"/>
      </w:pPr>
      <w:r>
        <w:t>The EPA should review how it calculates overheads, in particular to ensure management time (among other corporate services) is adequately captured.</w:t>
      </w:r>
    </w:p>
    <w:p w:rsidR="000F77BA" w:rsidRPr="0088088F" w:rsidRDefault="000F77BA" w:rsidP="00195F04">
      <w:pPr>
        <w:pStyle w:val="Heading5"/>
        <w:spacing w:after="80"/>
      </w:pPr>
      <w:bookmarkStart w:id="30" w:name="_Toc401557583"/>
      <w:bookmarkStart w:id="31" w:name="_Toc401758750"/>
      <w:bookmarkStart w:id="32" w:name="_Toc401819771"/>
      <w:bookmarkStart w:id="33" w:name="_Toc401844320"/>
      <w:bookmarkStart w:id="34" w:name="_Toc402340075"/>
      <w:bookmarkStart w:id="35" w:name="_Toc402435496"/>
      <w:bookmarkStart w:id="36" w:name="_Toc405450337"/>
      <w:r w:rsidRPr="0088088F">
        <w:t>Hazardous substances and new organisms</w:t>
      </w:r>
      <w:bookmarkEnd w:id="30"/>
      <w:bookmarkEnd w:id="31"/>
      <w:bookmarkEnd w:id="32"/>
      <w:bookmarkEnd w:id="33"/>
      <w:bookmarkEnd w:id="34"/>
      <w:bookmarkEnd w:id="35"/>
      <w:bookmarkEnd w:id="36"/>
      <w:r w:rsidRPr="0088088F">
        <w:t xml:space="preserve"> (HSNO)</w:t>
      </w:r>
    </w:p>
    <w:p w:rsidR="000F77BA" w:rsidRPr="00AF2B69" w:rsidRDefault="000F77BA" w:rsidP="00195F04">
      <w:pPr>
        <w:pStyle w:val="Bullet"/>
        <w:spacing w:after="100"/>
      </w:pPr>
      <w:r>
        <w:t xml:space="preserve">The </w:t>
      </w:r>
      <w:r w:rsidRPr="00AF2B69">
        <w:t>cost recovery regime for HSNO should be reviewed</w:t>
      </w:r>
      <w:r>
        <w:t xml:space="preserve"> by the Ministry and the EPA. The review should include consideration of:</w:t>
      </w:r>
    </w:p>
    <w:p w:rsidR="000F77BA" w:rsidRPr="00AF2B69" w:rsidRDefault="000F77BA" w:rsidP="00195F04">
      <w:pPr>
        <w:pStyle w:val="Sub-bullet"/>
        <w:spacing w:after="100"/>
      </w:pPr>
      <w:proofErr w:type="gramStart"/>
      <w:r w:rsidRPr="00AF2B69">
        <w:t>the</w:t>
      </w:r>
      <w:proofErr w:type="gramEnd"/>
      <w:r>
        <w:t xml:space="preserve"> existing target rate of cost recovery (currently at 17%)</w:t>
      </w:r>
      <w:r w:rsidRPr="00AF2B69">
        <w:t xml:space="preserve"> </w:t>
      </w:r>
    </w:p>
    <w:p w:rsidR="000F77BA" w:rsidRPr="00AF2B69" w:rsidRDefault="000F77BA" w:rsidP="00195F04">
      <w:pPr>
        <w:pStyle w:val="Sub-bullet"/>
        <w:spacing w:after="100"/>
      </w:pPr>
      <w:r>
        <w:t>the method of charging</w:t>
      </w:r>
      <w:r w:rsidRPr="00AF2B69">
        <w:t xml:space="preserve"> (</w:t>
      </w:r>
      <w:r>
        <w:t>ie,</w:t>
      </w:r>
      <w:r w:rsidRPr="00AF2B69">
        <w:t xml:space="preserve"> </w:t>
      </w:r>
      <w:r>
        <w:t xml:space="preserve">comparing the existing </w:t>
      </w:r>
      <w:r w:rsidRPr="00AF2B69">
        <w:t>fixed fee</w:t>
      </w:r>
      <w:r>
        <w:t xml:space="preserve"> model with other options such as </w:t>
      </w:r>
      <w:r w:rsidRPr="00AF2B69">
        <w:t>recovering actual and reasonable costs</w:t>
      </w:r>
      <w:r>
        <w:t xml:space="preserve"> (like its other cost recovery regimes), or charging a levy</w:t>
      </w:r>
      <w:r w:rsidRPr="00AF2B69">
        <w:t>)</w:t>
      </w:r>
    </w:p>
    <w:p w:rsidR="000F77BA" w:rsidRDefault="000F77BA" w:rsidP="00195F04">
      <w:pPr>
        <w:pStyle w:val="Sub-bullet"/>
        <w:spacing w:after="100"/>
      </w:pPr>
      <w:r w:rsidRPr="00AF2B69">
        <w:t xml:space="preserve">the </w:t>
      </w:r>
      <w:r>
        <w:t xml:space="preserve">scope of cost recovery including: </w:t>
      </w:r>
    </w:p>
    <w:p w:rsidR="000F77BA" w:rsidRPr="00DB1474" w:rsidRDefault="000F77BA" w:rsidP="00195F04">
      <w:pPr>
        <w:pStyle w:val="Bullet"/>
        <w:tabs>
          <w:tab w:val="clear" w:pos="397"/>
        </w:tabs>
        <w:spacing w:after="100"/>
        <w:ind w:left="1191"/>
      </w:pPr>
      <w:r w:rsidRPr="00DB1474">
        <w:t>the possibility of recovering the cost of supporting the HSNO Committee</w:t>
      </w:r>
    </w:p>
    <w:p w:rsidR="000F77BA" w:rsidRPr="00A447D0" w:rsidRDefault="000F77BA" w:rsidP="00E145E1">
      <w:pPr>
        <w:pStyle w:val="Bullet"/>
        <w:ind w:left="1191"/>
      </w:pPr>
      <w:proofErr w:type="gramStart"/>
      <w:r w:rsidRPr="00A447D0">
        <w:t>the</w:t>
      </w:r>
      <w:proofErr w:type="gramEnd"/>
      <w:r w:rsidRPr="00A447D0">
        <w:t xml:space="preserve"> possibility of charging interested parties to view the EPA’s </w:t>
      </w:r>
      <w:r>
        <w:t>‘</w:t>
      </w:r>
      <w:r w:rsidRPr="00A447D0">
        <w:t>HSNO applications</w:t>
      </w:r>
      <w:r>
        <w:t>’</w:t>
      </w:r>
      <w:r w:rsidRPr="00A447D0">
        <w:t xml:space="preserve"> and </w:t>
      </w:r>
      <w:r>
        <w:t xml:space="preserve">‘substance </w:t>
      </w:r>
      <w:r w:rsidRPr="00A447D0">
        <w:t>exposure limits</w:t>
      </w:r>
      <w:r>
        <w:t>’</w:t>
      </w:r>
      <w:r w:rsidRPr="00A447D0">
        <w:t xml:space="preserve"> registers.</w:t>
      </w:r>
    </w:p>
    <w:p w:rsidR="000F77BA" w:rsidRPr="0088088F" w:rsidRDefault="000F77BA" w:rsidP="00195F04">
      <w:pPr>
        <w:pStyle w:val="Heading5"/>
        <w:spacing w:after="80"/>
      </w:pPr>
      <w:bookmarkStart w:id="37" w:name="_Toc401557584"/>
      <w:bookmarkStart w:id="38" w:name="_Toc401758751"/>
      <w:bookmarkStart w:id="39" w:name="_Toc401819772"/>
      <w:bookmarkStart w:id="40" w:name="_Toc401844321"/>
      <w:bookmarkStart w:id="41" w:name="_Toc402340076"/>
      <w:bookmarkStart w:id="42" w:name="_Toc402435497"/>
      <w:bookmarkStart w:id="43" w:name="_Toc405450338"/>
      <w:r w:rsidRPr="0088088F">
        <w:lastRenderedPageBreak/>
        <w:t xml:space="preserve">Ozone and </w:t>
      </w:r>
      <w:r>
        <w:t>i</w:t>
      </w:r>
      <w:r w:rsidRPr="0088088F">
        <w:t>mport-</w:t>
      </w:r>
      <w:r>
        <w:t>e</w:t>
      </w:r>
      <w:r w:rsidRPr="0088088F">
        <w:t>xport regulations</w:t>
      </w:r>
      <w:bookmarkEnd w:id="37"/>
      <w:bookmarkEnd w:id="38"/>
      <w:bookmarkEnd w:id="39"/>
      <w:bookmarkEnd w:id="40"/>
      <w:bookmarkEnd w:id="41"/>
      <w:bookmarkEnd w:id="42"/>
      <w:bookmarkEnd w:id="43"/>
    </w:p>
    <w:p w:rsidR="000F77BA" w:rsidRDefault="000F77BA" w:rsidP="00195F04">
      <w:pPr>
        <w:pStyle w:val="Bullet"/>
      </w:pPr>
      <w:r>
        <w:t>The issuing of ozone and import-export permits should remain a free service. While our high-level analysis has identified this as a mixed benefit service (ie, there are benefits for both the applicant and the general public), imposing partial cost recovery of these activities risks creating non-compliance issues.</w:t>
      </w:r>
    </w:p>
    <w:p w:rsidR="000F77BA" w:rsidRPr="0088088F" w:rsidRDefault="000F77BA" w:rsidP="00195F04">
      <w:pPr>
        <w:pStyle w:val="Heading5"/>
        <w:spacing w:after="80"/>
      </w:pPr>
      <w:bookmarkStart w:id="44" w:name="_Toc401758752"/>
      <w:bookmarkStart w:id="45" w:name="_Toc401819773"/>
      <w:bookmarkStart w:id="46" w:name="_Toc401844322"/>
      <w:bookmarkStart w:id="47" w:name="_Toc402340077"/>
      <w:bookmarkStart w:id="48" w:name="_Toc402435498"/>
      <w:bookmarkStart w:id="49" w:name="_Toc405450339"/>
      <w:r w:rsidRPr="0088088F">
        <w:t xml:space="preserve">Administering the </w:t>
      </w:r>
      <w:r>
        <w:t>New Zealand Emissions Trading Scheme (</w:t>
      </w:r>
      <w:r w:rsidRPr="0088088F">
        <w:t>NZETS</w:t>
      </w:r>
      <w:r>
        <w:t>)</w:t>
      </w:r>
      <w:r w:rsidRPr="0088088F">
        <w:t xml:space="preserve"> and </w:t>
      </w:r>
      <w:r>
        <w:t>New Zealand Emissions Unit Register (</w:t>
      </w:r>
      <w:r w:rsidRPr="0088088F">
        <w:t>NZEUR</w:t>
      </w:r>
      <w:bookmarkEnd w:id="44"/>
      <w:bookmarkEnd w:id="45"/>
      <w:bookmarkEnd w:id="46"/>
      <w:bookmarkEnd w:id="47"/>
      <w:bookmarkEnd w:id="48"/>
      <w:bookmarkEnd w:id="49"/>
      <w:r>
        <w:t>)</w:t>
      </w:r>
    </w:p>
    <w:p w:rsidR="000F77BA" w:rsidRDefault="000F77BA" w:rsidP="00195F04">
      <w:pPr>
        <w:pStyle w:val="Bullet"/>
      </w:pPr>
      <w:r>
        <w:t xml:space="preserve">We do not recommend any changes to the </w:t>
      </w:r>
      <w:r w:rsidRPr="002B1501">
        <w:t xml:space="preserve">current system </w:t>
      </w:r>
      <w:r>
        <w:t>at this time. A review of the regime is scheduled for</w:t>
      </w:r>
      <w:r w:rsidR="002C69B2">
        <w:t xml:space="preserve"> the end of 2015</w:t>
      </w:r>
      <w:r>
        <w:t xml:space="preserve"> and this would be a more appropriate time to consider and make any possible cost recovery changes. </w:t>
      </w:r>
    </w:p>
    <w:p w:rsidR="0012193D" w:rsidRDefault="000F77BA" w:rsidP="005B69AE">
      <w:pPr>
        <w:pStyle w:val="Tableheading"/>
      </w:pPr>
      <w:bookmarkStart w:id="50" w:name="_Ref401662855"/>
      <w:bookmarkStart w:id="51" w:name="_Ref402265579"/>
      <w:bookmarkStart w:id="52" w:name="_Ref401837709"/>
      <w:bookmarkStart w:id="53" w:name="_Toc402435548"/>
      <w:bookmarkStart w:id="54" w:name="_Toc414309819"/>
      <w:r w:rsidRPr="002A053C">
        <w:t xml:space="preserve">Table </w:t>
      </w:r>
      <w:r w:rsidR="00C13428">
        <w:fldChar w:fldCharType="begin"/>
      </w:r>
      <w:r w:rsidR="00C13428">
        <w:instrText xml:space="preserve"> SEQ Table \* ARABIC </w:instrText>
      </w:r>
      <w:r w:rsidR="00C13428">
        <w:fldChar w:fldCharType="separate"/>
      </w:r>
      <w:r w:rsidR="00C13428">
        <w:rPr>
          <w:noProof/>
        </w:rPr>
        <w:t>1</w:t>
      </w:r>
      <w:r w:rsidR="00C13428">
        <w:rPr>
          <w:noProof/>
        </w:rPr>
        <w:fldChar w:fldCharType="end"/>
      </w:r>
      <w:bookmarkEnd w:id="50"/>
      <w:bookmarkEnd w:id="51"/>
      <w:r w:rsidRPr="002A053C">
        <w:t xml:space="preserve">: </w:t>
      </w:r>
      <w:r w:rsidR="00195F04">
        <w:tab/>
      </w:r>
      <w:r w:rsidRPr="002A053C">
        <w:t>Summary of cost recovery approaches</w:t>
      </w:r>
      <w:bookmarkEnd w:id="52"/>
      <w:bookmarkEnd w:id="53"/>
      <w:bookmarkEnd w:id="54"/>
    </w:p>
    <w:tbl>
      <w:tblPr>
        <w:tblStyle w:val="TableGrid"/>
        <w:tblW w:w="8505" w:type="dxa"/>
        <w:tblInd w:w="57" w:type="dxa"/>
        <w:tblBorders>
          <w:left w:val="none" w:sz="0" w:space="0" w:color="auto"/>
          <w:right w:val="none" w:sz="0" w:space="0" w:color="auto"/>
        </w:tblBorders>
        <w:tblCellMar>
          <w:left w:w="85" w:type="dxa"/>
          <w:right w:w="85" w:type="dxa"/>
        </w:tblCellMar>
        <w:tblLook w:val="04A0" w:firstRow="1" w:lastRow="0" w:firstColumn="1" w:lastColumn="0" w:noHBand="0" w:noVBand="1"/>
      </w:tblPr>
      <w:tblGrid>
        <w:gridCol w:w="1609"/>
        <w:gridCol w:w="1100"/>
        <w:gridCol w:w="1138"/>
        <w:gridCol w:w="1163"/>
        <w:gridCol w:w="1139"/>
        <w:gridCol w:w="1173"/>
        <w:gridCol w:w="1183"/>
      </w:tblGrid>
      <w:tr w:rsidR="00C71C71" w:rsidRPr="001336FD" w:rsidTr="002C7B7B">
        <w:trPr>
          <w:tblHeader/>
        </w:trPr>
        <w:tc>
          <w:tcPr>
            <w:tcW w:w="1609" w:type="dxa"/>
            <w:tcBorders>
              <w:top w:val="single" w:sz="4" w:space="0" w:color="17556C"/>
              <w:bottom w:val="single" w:sz="4" w:space="0" w:color="17556C"/>
              <w:right w:val="nil"/>
            </w:tcBorders>
            <w:shd w:val="clear" w:color="auto" w:fill="17556C"/>
            <w:vAlign w:val="bottom"/>
          </w:tcPr>
          <w:p w:rsidR="00804F70" w:rsidRPr="001336FD" w:rsidRDefault="00804F70" w:rsidP="00804F70">
            <w:pPr>
              <w:pStyle w:val="TableTextbold"/>
              <w:rPr>
                <w:color w:val="FFFFFF" w:themeColor="background1"/>
              </w:rPr>
            </w:pPr>
          </w:p>
        </w:tc>
        <w:tc>
          <w:tcPr>
            <w:tcW w:w="1100" w:type="dxa"/>
            <w:tcBorders>
              <w:top w:val="single" w:sz="4" w:space="0" w:color="17556C"/>
              <w:left w:val="nil"/>
              <w:bottom w:val="single" w:sz="4" w:space="0" w:color="17556C"/>
              <w:right w:val="nil"/>
            </w:tcBorders>
            <w:shd w:val="clear" w:color="auto" w:fill="17556C"/>
            <w:vAlign w:val="bottom"/>
          </w:tcPr>
          <w:p w:rsidR="00804F70" w:rsidRPr="001336FD" w:rsidRDefault="00804F70" w:rsidP="00804F70">
            <w:pPr>
              <w:pStyle w:val="TableTextbold"/>
              <w:rPr>
                <w:color w:val="FFFFFF" w:themeColor="background1"/>
              </w:rPr>
            </w:pPr>
            <w:r w:rsidRPr="001336FD">
              <w:rPr>
                <w:color w:val="FFFFFF" w:themeColor="background1"/>
              </w:rPr>
              <w:t>Nationally significant proposals</w:t>
            </w:r>
          </w:p>
        </w:tc>
        <w:tc>
          <w:tcPr>
            <w:tcW w:w="1138" w:type="dxa"/>
            <w:tcBorders>
              <w:top w:val="single" w:sz="4" w:space="0" w:color="17556C"/>
              <w:left w:val="nil"/>
              <w:bottom w:val="single" w:sz="4" w:space="0" w:color="17556C"/>
              <w:right w:val="nil"/>
            </w:tcBorders>
            <w:shd w:val="clear" w:color="auto" w:fill="17556C"/>
            <w:vAlign w:val="bottom"/>
          </w:tcPr>
          <w:p w:rsidR="00804F70" w:rsidRPr="001336FD" w:rsidRDefault="00804F70" w:rsidP="00804F70">
            <w:pPr>
              <w:pStyle w:val="TableTextbold"/>
              <w:rPr>
                <w:color w:val="FFFFFF" w:themeColor="background1"/>
              </w:rPr>
            </w:pPr>
            <w:r w:rsidRPr="001336FD">
              <w:rPr>
                <w:color w:val="FFFFFF" w:themeColor="background1"/>
              </w:rPr>
              <w:t>Marine consenting</w:t>
            </w:r>
          </w:p>
        </w:tc>
        <w:tc>
          <w:tcPr>
            <w:tcW w:w="1163" w:type="dxa"/>
            <w:tcBorders>
              <w:top w:val="single" w:sz="4" w:space="0" w:color="17556C"/>
              <w:left w:val="nil"/>
              <w:bottom w:val="single" w:sz="4" w:space="0" w:color="17556C"/>
              <w:right w:val="nil"/>
            </w:tcBorders>
            <w:shd w:val="clear" w:color="auto" w:fill="17556C"/>
            <w:vAlign w:val="bottom"/>
          </w:tcPr>
          <w:p w:rsidR="00804F70" w:rsidRPr="001336FD" w:rsidRDefault="00804F70" w:rsidP="00804F70">
            <w:pPr>
              <w:pStyle w:val="TableTextbold"/>
              <w:rPr>
                <w:color w:val="FFFFFF" w:themeColor="background1"/>
              </w:rPr>
            </w:pPr>
            <w:r w:rsidRPr="001336FD">
              <w:rPr>
                <w:color w:val="FFFFFF" w:themeColor="background1"/>
              </w:rPr>
              <w:t>Marine compliance</w:t>
            </w:r>
          </w:p>
        </w:tc>
        <w:tc>
          <w:tcPr>
            <w:tcW w:w="1139" w:type="dxa"/>
            <w:tcBorders>
              <w:top w:val="single" w:sz="4" w:space="0" w:color="17556C"/>
              <w:left w:val="nil"/>
              <w:bottom w:val="single" w:sz="4" w:space="0" w:color="17556C"/>
              <w:right w:val="nil"/>
            </w:tcBorders>
            <w:shd w:val="clear" w:color="auto" w:fill="17556C"/>
            <w:vAlign w:val="bottom"/>
          </w:tcPr>
          <w:p w:rsidR="00804F70" w:rsidRPr="001336FD" w:rsidRDefault="00804F70" w:rsidP="00804F70">
            <w:pPr>
              <w:pStyle w:val="TableTextbold"/>
              <w:rPr>
                <w:color w:val="FFFFFF" w:themeColor="background1"/>
              </w:rPr>
            </w:pPr>
            <w:r w:rsidRPr="001336FD">
              <w:rPr>
                <w:color w:val="FFFFFF" w:themeColor="background1"/>
              </w:rPr>
              <w:t>Hazardous substances and new organisms</w:t>
            </w:r>
          </w:p>
        </w:tc>
        <w:tc>
          <w:tcPr>
            <w:tcW w:w="1173" w:type="dxa"/>
            <w:tcBorders>
              <w:top w:val="single" w:sz="4" w:space="0" w:color="17556C"/>
              <w:left w:val="nil"/>
              <w:bottom w:val="single" w:sz="4" w:space="0" w:color="17556C"/>
              <w:right w:val="nil"/>
            </w:tcBorders>
            <w:shd w:val="clear" w:color="auto" w:fill="17556C"/>
            <w:vAlign w:val="bottom"/>
          </w:tcPr>
          <w:p w:rsidR="00804F70" w:rsidRPr="001336FD" w:rsidRDefault="00672AC1" w:rsidP="00672AC1">
            <w:pPr>
              <w:pStyle w:val="TableTextbold"/>
              <w:rPr>
                <w:color w:val="FFFFFF" w:themeColor="background1"/>
              </w:rPr>
            </w:pPr>
            <w:r>
              <w:rPr>
                <w:color w:val="FFFFFF" w:themeColor="background1"/>
              </w:rPr>
              <w:t>Ozone depleting and Hazardous substances</w:t>
            </w:r>
            <w:r w:rsidR="00804F70" w:rsidRPr="001336FD">
              <w:rPr>
                <w:color w:val="FFFFFF" w:themeColor="background1"/>
              </w:rPr>
              <w:t>, imports and exports</w:t>
            </w:r>
          </w:p>
        </w:tc>
        <w:tc>
          <w:tcPr>
            <w:tcW w:w="1183" w:type="dxa"/>
            <w:tcBorders>
              <w:top w:val="single" w:sz="4" w:space="0" w:color="17556C"/>
              <w:left w:val="nil"/>
              <w:bottom w:val="single" w:sz="4" w:space="0" w:color="17556C"/>
            </w:tcBorders>
            <w:shd w:val="clear" w:color="auto" w:fill="17556C"/>
            <w:vAlign w:val="bottom"/>
          </w:tcPr>
          <w:p w:rsidR="00804F70" w:rsidRPr="001336FD" w:rsidRDefault="00804F70" w:rsidP="00804F70">
            <w:pPr>
              <w:pStyle w:val="TableTextbold"/>
              <w:rPr>
                <w:color w:val="FFFFFF" w:themeColor="background1"/>
              </w:rPr>
            </w:pPr>
            <w:r w:rsidRPr="001336FD">
              <w:rPr>
                <w:color w:val="FFFFFF" w:themeColor="background1"/>
              </w:rPr>
              <w:t>NZETS and NZEUR</w:t>
            </w:r>
          </w:p>
        </w:tc>
      </w:tr>
      <w:tr w:rsidR="00C71C71" w:rsidTr="002C7B7B">
        <w:tc>
          <w:tcPr>
            <w:tcW w:w="1609" w:type="dxa"/>
            <w:tcBorders>
              <w:top w:val="single" w:sz="4" w:space="0" w:color="17556C"/>
              <w:bottom w:val="single" w:sz="4" w:space="0" w:color="17556C"/>
              <w:right w:val="single" w:sz="4" w:space="0" w:color="17556C"/>
            </w:tcBorders>
          </w:tcPr>
          <w:p w:rsidR="00804F70" w:rsidRPr="00CD1494" w:rsidRDefault="00804F70" w:rsidP="00804F70">
            <w:pPr>
              <w:pStyle w:val="Tabletext"/>
            </w:pPr>
            <w:r>
              <w:t>Target cost recovery rate</w:t>
            </w:r>
          </w:p>
        </w:tc>
        <w:tc>
          <w:tcPr>
            <w:tcW w:w="1100" w:type="dxa"/>
            <w:tcBorders>
              <w:top w:val="single" w:sz="4" w:space="0" w:color="17556C"/>
              <w:left w:val="single" w:sz="4" w:space="0" w:color="17556C"/>
              <w:bottom w:val="single" w:sz="4" w:space="0" w:color="17556C"/>
              <w:right w:val="single" w:sz="4" w:space="0" w:color="17556C"/>
            </w:tcBorders>
          </w:tcPr>
          <w:p w:rsidR="00804F70" w:rsidRPr="00CD1494" w:rsidRDefault="00804F70" w:rsidP="00804F70">
            <w:pPr>
              <w:pStyle w:val="Tabletext"/>
            </w:pPr>
            <w:r>
              <w:t>Close to 100%</w:t>
            </w:r>
          </w:p>
        </w:tc>
        <w:tc>
          <w:tcPr>
            <w:tcW w:w="1138" w:type="dxa"/>
            <w:tcBorders>
              <w:top w:val="single" w:sz="4" w:space="0" w:color="17556C"/>
              <w:left w:val="single" w:sz="4" w:space="0" w:color="17556C"/>
              <w:bottom w:val="single" w:sz="4" w:space="0" w:color="17556C"/>
              <w:right w:val="single" w:sz="4" w:space="0" w:color="17556C"/>
            </w:tcBorders>
          </w:tcPr>
          <w:p w:rsidR="00804F70" w:rsidRPr="00CD1494" w:rsidRDefault="00804F70" w:rsidP="00804F70">
            <w:pPr>
              <w:pStyle w:val="Tabletext"/>
            </w:pPr>
            <w:r>
              <w:t>Close to 100%</w:t>
            </w:r>
          </w:p>
        </w:tc>
        <w:tc>
          <w:tcPr>
            <w:tcW w:w="1163" w:type="dxa"/>
            <w:tcBorders>
              <w:top w:val="single" w:sz="4" w:space="0" w:color="17556C"/>
              <w:left w:val="single" w:sz="4" w:space="0" w:color="17556C"/>
              <w:bottom w:val="single" w:sz="4" w:space="0" w:color="17556C"/>
              <w:right w:val="single" w:sz="4" w:space="0" w:color="17556C"/>
            </w:tcBorders>
          </w:tcPr>
          <w:p w:rsidR="00804F70" w:rsidRPr="00CD1494" w:rsidRDefault="00804F70" w:rsidP="00804F70">
            <w:pPr>
              <w:pStyle w:val="Tabletext"/>
            </w:pPr>
            <w:r>
              <w:t>Limit of 80%</w:t>
            </w:r>
          </w:p>
        </w:tc>
        <w:tc>
          <w:tcPr>
            <w:tcW w:w="1139" w:type="dxa"/>
            <w:tcBorders>
              <w:top w:val="single" w:sz="4" w:space="0" w:color="17556C"/>
              <w:left w:val="single" w:sz="4" w:space="0" w:color="17556C"/>
              <w:bottom w:val="single" w:sz="4" w:space="0" w:color="17556C"/>
              <w:right w:val="single" w:sz="4" w:space="0" w:color="17556C"/>
            </w:tcBorders>
          </w:tcPr>
          <w:p w:rsidR="00804F70" w:rsidRPr="00CD1494" w:rsidRDefault="00804F70" w:rsidP="009C4FC6">
            <w:pPr>
              <w:pStyle w:val="Tabletext"/>
              <w:jc w:val="center"/>
            </w:pPr>
            <w:r>
              <w:t>17%</w:t>
            </w:r>
          </w:p>
        </w:tc>
        <w:tc>
          <w:tcPr>
            <w:tcW w:w="1173" w:type="dxa"/>
            <w:tcBorders>
              <w:top w:val="single" w:sz="4" w:space="0" w:color="17556C"/>
              <w:left w:val="single" w:sz="4" w:space="0" w:color="17556C"/>
              <w:bottom w:val="single" w:sz="4" w:space="0" w:color="17556C"/>
              <w:right w:val="single" w:sz="4" w:space="0" w:color="17556C"/>
            </w:tcBorders>
          </w:tcPr>
          <w:p w:rsidR="00804F70" w:rsidRPr="00CD1494" w:rsidRDefault="00804F70" w:rsidP="009C4FC6">
            <w:pPr>
              <w:pStyle w:val="Tabletext"/>
              <w:jc w:val="center"/>
            </w:pPr>
            <w:r>
              <w:t>N/A</w:t>
            </w:r>
          </w:p>
        </w:tc>
        <w:tc>
          <w:tcPr>
            <w:tcW w:w="1183" w:type="dxa"/>
            <w:tcBorders>
              <w:top w:val="single" w:sz="4" w:space="0" w:color="17556C"/>
              <w:left w:val="single" w:sz="4" w:space="0" w:color="17556C"/>
              <w:bottom w:val="single" w:sz="4" w:space="0" w:color="17556C"/>
            </w:tcBorders>
          </w:tcPr>
          <w:p w:rsidR="00804F70" w:rsidRPr="00CD1494" w:rsidRDefault="00804F70" w:rsidP="00804F70">
            <w:pPr>
              <w:pStyle w:val="Tabletext"/>
            </w:pPr>
            <w:r>
              <w:t>In theory could be up to 100%</w:t>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Method of cost recovery</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804F70">
            <w:pPr>
              <w:pStyle w:val="Tabletext"/>
            </w:pPr>
            <w:r w:rsidRPr="0088088F">
              <w:t>Hourly rate, set by the EPA</w:t>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804F70">
            <w:pPr>
              <w:pStyle w:val="Tabletext"/>
            </w:pPr>
            <w:r w:rsidRPr="0088088F">
              <w:t>Hourly rate, prescribed in regulations</w:t>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804F70">
            <w:pPr>
              <w:pStyle w:val="Tabletext"/>
            </w:pPr>
            <w:r w:rsidRPr="0088088F">
              <w:t>Hourly rate, prescribed in regulations</w:t>
            </w:r>
          </w:p>
        </w:tc>
        <w:tc>
          <w:tcPr>
            <w:tcW w:w="1139" w:type="dxa"/>
            <w:tcBorders>
              <w:top w:val="single" w:sz="4" w:space="0" w:color="17556C"/>
              <w:left w:val="single" w:sz="4" w:space="0" w:color="17556C"/>
              <w:bottom w:val="single" w:sz="4" w:space="0" w:color="17556C"/>
              <w:right w:val="single" w:sz="4" w:space="0" w:color="17556C"/>
            </w:tcBorders>
            <w:shd w:val="clear" w:color="auto" w:fill="auto"/>
          </w:tcPr>
          <w:p w:rsidR="00804F70" w:rsidRPr="0088088F" w:rsidRDefault="00804F70" w:rsidP="00804F70">
            <w:pPr>
              <w:pStyle w:val="Tabletext"/>
            </w:pPr>
            <w:r w:rsidRPr="0088088F">
              <w:t>Fixed fees</w:t>
            </w:r>
            <w:r>
              <w:t xml:space="preserve"> </w:t>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804F70">
            <w:pPr>
              <w:pStyle w:val="Tabletext"/>
            </w:pPr>
            <w:r w:rsidRPr="0088088F">
              <w:t>Cost recovery not allowed by legislation</w:t>
            </w:r>
          </w:p>
        </w:tc>
        <w:tc>
          <w:tcPr>
            <w:tcW w:w="1183" w:type="dxa"/>
            <w:tcBorders>
              <w:top w:val="single" w:sz="4" w:space="0" w:color="17556C"/>
              <w:left w:val="single" w:sz="4" w:space="0" w:color="17556C"/>
              <w:bottom w:val="single" w:sz="4" w:space="0" w:color="17556C"/>
            </w:tcBorders>
          </w:tcPr>
          <w:p w:rsidR="00804F70" w:rsidRPr="0088088F" w:rsidRDefault="00804F70" w:rsidP="00804F70">
            <w:pPr>
              <w:pStyle w:val="Tabletext"/>
            </w:pPr>
            <w:r w:rsidRPr="0088088F">
              <w:t>Hourly rate after 4 hours of processing, prescribed in regulations</w:t>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Charge for an EPA senior adviser</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$108.43</w:t>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$116.12</w:t>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$116.12</w:t>
            </w:r>
          </w:p>
        </w:tc>
        <w:tc>
          <w:tcPr>
            <w:tcW w:w="1139"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t>N/A</w:t>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9C4FC6">
            <w:pPr>
              <w:pStyle w:val="Tabletext"/>
              <w:jc w:val="center"/>
            </w:pPr>
            <w:r>
              <w:t>N/A</w:t>
            </w:r>
          </w:p>
        </w:tc>
        <w:tc>
          <w:tcPr>
            <w:tcW w:w="1183" w:type="dxa"/>
            <w:tcBorders>
              <w:top w:val="single" w:sz="4" w:space="0" w:color="17556C"/>
              <w:left w:val="single" w:sz="4" w:space="0" w:color="17556C"/>
              <w:bottom w:val="single" w:sz="4" w:space="0" w:color="17556C"/>
            </w:tcBorders>
          </w:tcPr>
          <w:p w:rsidR="00804F70" w:rsidRPr="0088088F" w:rsidRDefault="00804F70" w:rsidP="00710F67">
            <w:pPr>
              <w:pStyle w:val="Tabletext"/>
              <w:jc w:val="center"/>
            </w:pPr>
            <w:r w:rsidRPr="0088088F">
              <w:t>$117.50</w:t>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Most recent consideration of fees</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2011</w:t>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2013</w:t>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2013</w:t>
            </w:r>
          </w:p>
        </w:tc>
        <w:tc>
          <w:tcPr>
            <w:tcW w:w="1139"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t>2012</w:t>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9C4FC6">
            <w:pPr>
              <w:pStyle w:val="Tabletext"/>
              <w:jc w:val="center"/>
            </w:pPr>
            <w:r>
              <w:t>N/A</w:t>
            </w:r>
          </w:p>
        </w:tc>
        <w:tc>
          <w:tcPr>
            <w:tcW w:w="1183" w:type="dxa"/>
            <w:tcBorders>
              <w:top w:val="single" w:sz="4" w:space="0" w:color="17556C"/>
              <w:left w:val="single" w:sz="4" w:space="0" w:color="17556C"/>
              <w:bottom w:val="single" w:sz="4" w:space="0" w:color="17556C"/>
            </w:tcBorders>
          </w:tcPr>
          <w:p w:rsidR="00804F70" w:rsidRPr="0088088F" w:rsidRDefault="00804F70" w:rsidP="009C4FC6">
            <w:pPr>
              <w:pStyle w:val="Tabletext"/>
              <w:jc w:val="center"/>
            </w:pPr>
            <w:r>
              <w:t>2010</w:t>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Ability to extend scope of activities charged for</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rPr>
                <w:lang w:eastAsia="en-NZ"/>
              </w:rPr>
              <w:sym w:font="Wingdings" w:char="F0FC"/>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sym w:font="Wingdings" w:char="F0FB"/>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sym w:font="Wingdings" w:char="F0FB"/>
            </w:r>
          </w:p>
        </w:tc>
        <w:tc>
          <w:tcPr>
            <w:tcW w:w="1139"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rPr>
                <w:lang w:eastAsia="en-NZ"/>
              </w:rPr>
              <w:sym w:font="Wingdings" w:char="F0FC"/>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9C4FC6">
            <w:pPr>
              <w:pStyle w:val="Tabletext"/>
              <w:jc w:val="center"/>
              <w:rPr>
                <w:lang w:eastAsia="en-NZ"/>
              </w:rPr>
            </w:pPr>
            <w:r w:rsidRPr="000F4449">
              <w:sym w:font="Wingdings" w:char="F0FB"/>
            </w:r>
          </w:p>
        </w:tc>
        <w:tc>
          <w:tcPr>
            <w:tcW w:w="1183" w:type="dxa"/>
            <w:tcBorders>
              <w:top w:val="single" w:sz="4" w:space="0" w:color="17556C"/>
              <w:left w:val="single" w:sz="4" w:space="0" w:color="17556C"/>
              <w:bottom w:val="single" w:sz="4" w:space="0" w:color="17556C"/>
            </w:tcBorders>
          </w:tcPr>
          <w:p w:rsidR="00804F70" w:rsidRPr="0088088F" w:rsidRDefault="00804F70" w:rsidP="009C4FC6">
            <w:pPr>
              <w:pStyle w:val="Tabletext"/>
              <w:jc w:val="center"/>
            </w:pPr>
            <w:r w:rsidRPr="0088088F">
              <w:rPr>
                <w:lang w:eastAsia="en-NZ"/>
              </w:rPr>
              <w:sym w:font="Wingdings" w:char="F0FC"/>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Potential for higher recovery rate</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0F4449">
              <w:rPr>
                <w:lang w:eastAsia="en-NZ"/>
              </w:rPr>
              <w:sym w:font="Wingdings" w:char="F0FC"/>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0F4449">
              <w:rPr>
                <w:lang w:eastAsia="en-NZ"/>
              </w:rPr>
              <w:sym w:font="Wingdings" w:char="F0FC"/>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0F4449">
              <w:rPr>
                <w:lang w:eastAsia="en-NZ"/>
              </w:rPr>
              <w:sym w:font="Wingdings" w:char="F0FC"/>
            </w:r>
          </w:p>
        </w:tc>
        <w:tc>
          <w:tcPr>
            <w:tcW w:w="1139"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rPr>
                <w:lang w:eastAsia="en-NZ"/>
              </w:rPr>
              <w:sym w:font="Wingdings" w:char="F0FC"/>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9C4FC6">
            <w:pPr>
              <w:pStyle w:val="Tabletext"/>
              <w:jc w:val="center"/>
            </w:pPr>
            <w:r w:rsidRPr="00543D35">
              <w:sym w:font="Wingdings" w:char="F0FB"/>
            </w:r>
          </w:p>
        </w:tc>
        <w:tc>
          <w:tcPr>
            <w:tcW w:w="1183" w:type="dxa"/>
            <w:tcBorders>
              <w:top w:val="single" w:sz="4" w:space="0" w:color="17556C"/>
              <w:left w:val="single" w:sz="4" w:space="0" w:color="17556C"/>
              <w:bottom w:val="single" w:sz="4" w:space="0" w:color="17556C"/>
            </w:tcBorders>
          </w:tcPr>
          <w:p w:rsidR="00804F70" w:rsidRPr="0088088F" w:rsidRDefault="00804F70" w:rsidP="009C4FC6">
            <w:pPr>
              <w:pStyle w:val="Tabletext"/>
              <w:jc w:val="center"/>
            </w:pPr>
            <w:r w:rsidRPr="0088088F">
              <w:sym w:font="Wingdings" w:char="F0FB"/>
            </w:r>
          </w:p>
        </w:tc>
      </w:tr>
      <w:tr w:rsidR="00C71C71" w:rsidTr="002C7B7B">
        <w:tc>
          <w:tcPr>
            <w:tcW w:w="1609" w:type="dxa"/>
            <w:tcBorders>
              <w:top w:val="single" w:sz="4" w:space="0" w:color="17556C"/>
              <w:bottom w:val="single" w:sz="4" w:space="0" w:color="17556C"/>
              <w:right w:val="single" w:sz="4" w:space="0" w:color="17556C"/>
            </w:tcBorders>
          </w:tcPr>
          <w:p w:rsidR="00804F70" w:rsidRPr="0088088F" w:rsidRDefault="00804F70" w:rsidP="00804F70">
            <w:pPr>
              <w:pStyle w:val="Tabletext"/>
            </w:pPr>
            <w:r w:rsidRPr="0088088F">
              <w:t>Recommend</w:t>
            </w:r>
            <w:r>
              <w:t xml:space="preserve">ation to </w:t>
            </w:r>
            <w:r w:rsidRPr="0088088F">
              <w:t>amend</w:t>
            </w:r>
            <w:r>
              <w:t xml:space="preserve"> or review</w:t>
            </w:r>
            <w:r w:rsidRPr="0088088F">
              <w:t xml:space="preserve"> regime</w:t>
            </w:r>
          </w:p>
        </w:tc>
        <w:tc>
          <w:tcPr>
            <w:tcW w:w="1100"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rPr>
                <w:lang w:eastAsia="en-NZ"/>
              </w:rPr>
              <w:sym w:font="Wingdings" w:char="F0FC"/>
            </w:r>
          </w:p>
        </w:tc>
        <w:tc>
          <w:tcPr>
            <w:tcW w:w="1138"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0F4449">
              <w:rPr>
                <w:lang w:eastAsia="en-NZ"/>
              </w:rPr>
              <w:sym w:font="Wingdings" w:char="F0FC"/>
            </w:r>
          </w:p>
        </w:tc>
        <w:tc>
          <w:tcPr>
            <w:tcW w:w="1163" w:type="dxa"/>
            <w:tcBorders>
              <w:top w:val="single" w:sz="4" w:space="0" w:color="17556C"/>
              <w:left w:val="single" w:sz="4" w:space="0" w:color="17556C"/>
              <w:bottom w:val="single" w:sz="4" w:space="0" w:color="17556C"/>
              <w:right w:val="single" w:sz="4" w:space="0" w:color="17556C"/>
            </w:tcBorders>
          </w:tcPr>
          <w:p w:rsidR="00804F70" w:rsidRPr="0088088F" w:rsidRDefault="00804F70" w:rsidP="00710F67">
            <w:pPr>
              <w:pStyle w:val="Tabletext"/>
              <w:jc w:val="center"/>
            </w:pPr>
            <w:r w:rsidRPr="0088088F">
              <w:rPr>
                <w:lang w:eastAsia="en-NZ"/>
              </w:rPr>
              <w:sym w:font="Wingdings" w:char="F0FC"/>
            </w:r>
            <w:r>
              <w:rPr>
                <w:lang w:eastAsia="en-NZ"/>
              </w:rPr>
              <w:t>*</w:t>
            </w:r>
          </w:p>
        </w:tc>
        <w:tc>
          <w:tcPr>
            <w:tcW w:w="1139" w:type="dxa"/>
            <w:tcBorders>
              <w:top w:val="single" w:sz="4" w:space="0" w:color="17556C"/>
              <w:left w:val="single" w:sz="4" w:space="0" w:color="17556C"/>
              <w:bottom w:val="single" w:sz="4" w:space="0" w:color="17556C"/>
              <w:right w:val="single" w:sz="4" w:space="0" w:color="17556C"/>
            </w:tcBorders>
          </w:tcPr>
          <w:p w:rsidR="00804F70" w:rsidRPr="0088088F" w:rsidRDefault="00804F70" w:rsidP="009C4FC6">
            <w:pPr>
              <w:pStyle w:val="Tabletext"/>
              <w:jc w:val="center"/>
            </w:pPr>
            <w:r w:rsidRPr="0088088F">
              <w:rPr>
                <w:lang w:eastAsia="en-NZ"/>
              </w:rPr>
              <w:sym w:font="Wingdings" w:char="F0FC"/>
            </w:r>
          </w:p>
        </w:tc>
        <w:tc>
          <w:tcPr>
            <w:tcW w:w="1173" w:type="dxa"/>
            <w:tcBorders>
              <w:top w:val="single" w:sz="4" w:space="0" w:color="17556C"/>
              <w:left w:val="single" w:sz="4" w:space="0" w:color="17556C"/>
              <w:bottom w:val="single" w:sz="4" w:space="0" w:color="17556C"/>
              <w:right w:val="single" w:sz="4" w:space="0" w:color="17556C"/>
            </w:tcBorders>
          </w:tcPr>
          <w:p w:rsidR="00804F70" w:rsidRPr="009E5457" w:rsidRDefault="00804F70" w:rsidP="009C4FC6">
            <w:pPr>
              <w:pStyle w:val="Tabletext"/>
              <w:jc w:val="center"/>
            </w:pPr>
            <w:r w:rsidRPr="0088088F">
              <w:sym w:font="Wingdings" w:char="F0FB"/>
            </w:r>
          </w:p>
        </w:tc>
        <w:tc>
          <w:tcPr>
            <w:tcW w:w="1183" w:type="dxa"/>
            <w:tcBorders>
              <w:top w:val="single" w:sz="4" w:space="0" w:color="17556C"/>
              <w:left w:val="single" w:sz="4" w:space="0" w:color="17556C"/>
              <w:bottom w:val="single" w:sz="4" w:space="0" w:color="17556C"/>
            </w:tcBorders>
          </w:tcPr>
          <w:p w:rsidR="00804F70" w:rsidRPr="0088088F" w:rsidRDefault="00804F70" w:rsidP="009C4FC6">
            <w:pPr>
              <w:pStyle w:val="Tabletext"/>
              <w:jc w:val="center"/>
            </w:pPr>
            <w:r w:rsidRPr="0088088F">
              <w:sym w:font="Wingdings" w:char="F0FB"/>
            </w:r>
          </w:p>
        </w:tc>
      </w:tr>
    </w:tbl>
    <w:p w:rsidR="00804F70" w:rsidRPr="00804F70" w:rsidRDefault="00804F70" w:rsidP="009C4FC6">
      <w:pPr>
        <w:pStyle w:val="BodyText"/>
        <w:spacing w:before="60"/>
        <w:rPr>
          <w:sz w:val="18"/>
          <w:szCs w:val="18"/>
          <w:shd w:val="clear" w:color="auto" w:fill="FFFF00"/>
        </w:rPr>
      </w:pPr>
      <w:r w:rsidRPr="00804F70">
        <w:rPr>
          <w:sz w:val="18"/>
          <w:szCs w:val="18"/>
        </w:rPr>
        <w:t>*The monitoring regime is in its infancy. A review may be appropriate if the level continues to remain low.</w:t>
      </w:r>
    </w:p>
    <w:p w:rsidR="00710F67" w:rsidRDefault="00710F67">
      <w:pPr>
        <w:spacing w:before="0" w:after="200" w:line="276" w:lineRule="auto"/>
        <w:jc w:val="left"/>
        <w:rPr>
          <w:rFonts w:eastAsiaTheme="majorEastAsia" w:cstheme="majorBidi"/>
          <w:b/>
          <w:bCs/>
          <w:color w:val="17556C"/>
          <w:sz w:val="48"/>
          <w:szCs w:val="28"/>
        </w:rPr>
      </w:pPr>
      <w:bookmarkStart w:id="55" w:name="_Toc414309442"/>
      <w:r>
        <w:br w:type="page"/>
      </w:r>
    </w:p>
    <w:p w:rsidR="001E6EFB" w:rsidRPr="0088088F" w:rsidRDefault="001E6EFB" w:rsidP="001E6EFB">
      <w:pPr>
        <w:pStyle w:val="Heading1"/>
      </w:pPr>
      <w:bookmarkStart w:id="56" w:name="_Toc417469857"/>
      <w:r w:rsidRPr="0088088F">
        <w:lastRenderedPageBreak/>
        <w:t xml:space="preserve">3 </w:t>
      </w:r>
      <w:r>
        <w:tab/>
      </w:r>
      <w:r w:rsidRPr="0088088F">
        <w:t>Objective and method</w:t>
      </w:r>
      <w:bookmarkEnd w:id="55"/>
      <w:bookmarkEnd w:id="56"/>
    </w:p>
    <w:p w:rsidR="001E6EFB" w:rsidRPr="00291E49" w:rsidRDefault="001E6EFB" w:rsidP="00291E49">
      <w:pPr>
        <w:pStyle w:val="Heading2"/>
      </w:pPr>
      <w:bookmarkStart w:id="57" w:name="_Toc414309443"/>
      <w:bookmarkStart w:id="58" w:name="_Toc417469858"/>
      <w:r w:rsidRPr="00291E49">
        <w:t>Objective</w:t>
      </w:r>
      <w:bookmarkEnd w:id="57"/>
      <w:bookmarkEnd w:id="58"/>
    </w:p>
    <w:p w:rsidR="001E6EFB" w:rsidRPr="001E6EFB" w:rsidRDefault="001E6EFB" w:rsidP="001E6EFB">
      <w:pPr>
        <w:pStyle w:val="BodyText"/>
      </w:pPr>
      <w:r>
        <w:t>The EPA was established on 1 July 2011 by the Environmental Protection Authority Act 2011 (the EPA Act). The EPA’s functions are set out in a number of Acts, including the</w:t>
      </w:r>
      <w:r w:rsidR="00D834A3">
        <w:t> </w:t>
      </w:r>
      <w:r>
        <w:t>Resource Mana</w:t>
      </w:r>
      <w:r w:rsidRPr="001E6EFB">
        <w:t>gement Act 1991, the Exclusive Economic Zone and Continental Shelf (Environmental Effects) Act 2012, the Hazardous Substances and New Organisms Act 1996, and the Climate Change Response Act 2002.</w:t>
      </w:r>
    </w:p>
    <w:p w:rsidR="001E6EFB" w:rsidRPr="001E6EFB" w:rsidRDefault="001E6EFB" w:rsidP="001E6EFB">
      <w:pPr>
        <w:pStyle w:val="BodyText"/>
      </w:pPr>
      <w:r w:rsidRPr="001E6EFB">
        <w:t>These Acts enable the EPA to recover costs from applicants for some of its activities. However, the methods and rates of cost recovery vary across the EPA’s functions depending on the enabling legislation, and on the approach applied by the EPA.</w:t>
      </w:r>
    </w:p>
    <w:p w:rsidR="001E6EFB" w:rsidRDefault="001E6EFB" w:rsidP="001E6EFB">
      <w:pPr>
        <w:pStyle w:val="BodyText"/>
      </w:pPr>
      <w:r w:rsidRPr="001E6EFB">
        <w:t>The outcome soug</w:t>
      </w:r>
      <w:r>
        <w:t>ht from this review is to ensure that the EPA’s cost recovery approach contributes to the ongoing fiscal sustainability of the EPA, as well as meets government expectations for how costs are recovered by public sector organisations.</w:t>
      </w:r>
      <w:r w:rsidR="006631F4">
        <w:t xml:space="preserve"> </w:t>
      </w:r>
    </w:p>
    <w:p w:rsidR="001E6EFB" w:rsidRPr="00291E49" w:rsidRDefault="001E6EFB" w:rsidP="00291E49">
      <w:pPr>
        <w:pStyle w:val="Heading2"/>
      </w:pPr>
      <w:bookmarkStart w:id="59" w:name="_Toc414309444"/>
      <w:bookmarkStart w:id="60" w:name="_Toc417469859"/>
      <w:r w:rsidRPr="00291E49">
        <w:t>Method</w:t>
      </w:r>
      <w:bookmarkEnd w:id="59"/>
      <w:bookmarkEnd w:id="60"/>
    </w:p>
    <w:p w:rsidR="001E6EFB" w:rsidRPr="006F1651" w:rsidRDefault="001E6EFB" w:rsidP="006F1651">
      <w:pPr>
        <w:pStyle w:val="Heading3"/>
      </w:pPr>
      <w:r w:rsidRPr="006F1651">
        <w:t>Identifying the activities that form each function</w:t>
      </w:r>
    </w:p>
    <w:p w:rsidR="001E6EFB" w:rsidRDefault="001E6EFB" w:rsidP="001E6EFB">
      <w:pPr>
        <w:pStyle w:val="BodyText"/>
      </w:pPr>
      <w:r>
        <w:t>The first step of the analysis was to identify the activities/services that the EPA delivers as part of each function. The EPA provided a list of activities and this was cross-referenced with the EPA’s Statement of Performance Expectations.</w:t>
      </w:r>
      <w:r>
        <w:rPr>
          <w:rStyle w:val="FootnoteReference"/>
        </w:rPr>
        <w:footnoteReference w:id="3"/>
      </w:r>
      <w:r>
        <w:t xml:space="preserve"> The activities are outlined in the separate sections below.</w:t>
      </w:r>
    </w:p>
    <w:p w:rsidR="001E6EFB" w:rsidRPr="006F1651" w:rsidRDefault="001E6EFB" w:rsidP="006F1651">
      <w:pPr>
        <w:pStyle w:val="Heading3"/>
      </w:pPr>
      <w:r w:rsidRPr="006F1651">
        <w:t>Assessing the existing regime</w:t>
      </w:r>
    </w:p>
    <w:p w:rsidR="001E6EFB" w:rsidRPr="001E6EFB" w:rsidRDefault="001E6EFB" w:rsidP="001E6EFB">
      <w:pPr>
        <w:pStyle w:val="BodyText"/>
      </w:pPr>
      <w:r>
        <w:t>The next step was to assess each existing cost recovery regime. This involved identifying the primary beneficiary for each a</w:t>
      </w:r>
      <w:r w:rsidRPr="001E6EFB">
        <w:t>ctivity, then identifying if the activity is currently cost recovered.</w:t>
      </w:r>
      <w:r w:rsidR="006631F4">
        <w:t xml:space="preserve"> </w:t>
      </w:r>
    </w:p>
    <w:p w:rsidR="001E6EFB" w:rsidRPr="00674E64" w:rsidRDefault="001E6EFB" w:rsidP="001E6EFB">
      <w:pPr>
        <w:pStyle w:val="BodyText"/>
      </w:pPr>
      <w:r w:rsidRPr="001E6EFB">
        <w:t xml:space="preserve">We assessed each of the EPA’s </w:t>
      </w:r>
      <w:r>
        <w:t>cost recovery regimes against the following high-level principles outlined by the Treasury and the Controller and Auditor General in their guidance documents</w:t>
      </w:r>
      <w:r w:rsidRPr="0088088F">
        <w:t>:</w:t>
      </w:r>
    </w:p>
    <w:p w:rsidR="001E6EFB" w:rsidRPr="0088088F" w:rsidRDefault="001E6EFB" w:rsidP="001E6EFB">
      <w:pPr>
        <w:pStyle w:val="Bullet"/>
      </w:pPr>
      <w:r w:rsidRPr="0088088F">
        <w:t xml:space="preserve">Authority – the EPA </w:t>
      </w:r>
      <w:r>
        <w:t xml:space="preserve">must have </w:t>
      </w:r>
      <w:r w:rsidRPr="0088088F">
        <w:t>legal authority to cost recover for existing practices</w:t>
      </w:r>
      <w:r>
        <w:t>.</w:t>
      </w:r>
    </w:p>
    <w:p w:rsidR="001E6EFB" w:rsidRPr="00937EF7" w:rsidRDefault="001E6EFB" w:rsidP="001E6EFB">
      <w:pPr>
        <w:pStyle w:val="Bullet"/>
      </w:pPr>
      <w:r>
        <w:t xml:space="preserve">Justification – even with legal authority, the EPA should still be able to justify why it is charging a fee for a service. In general: </w:t>
      </w:r>
    </w:p>
    <w:p w:rsidR="001E6EFB" w:rsidRPr="003C5589" w:rsidRDefault="001E6EFB" w:rsidP="001E6EFB">
      <w:pPr>
        <w:pStyle w:val="Sub-bullet"/>
      </w:pPr>
      <w:r w:rsidRPr="003C5589">
        <w:t xml:space="preserve">activities with primarily public benefits should be funded by the Crown </w:t>
      </w:r>
    </w:p>
    <w:p w:rsidR="001E6EFB" w:rsidRPr="003C5589" w:rsidRDefault="001E6EFB" w:rsidP="001E6EFB">
      <w:pPr>
        <w:pStyle w:val="Sub-bullet"/>
      </w:pPr>
      <w:r w:rsidRPr="003C5589">
        <w:t>activities with private benefits (</w:t>
      </w:r>
      <w:r>
        <w:t>ie,</w:t>
      </w:r>
      <w:r w:rsidRPr="003C5589">
        <w:t xml:space="preserve"> a single beneficiary can be identified) should be funded by the individual(s) benefiting from the activity</w:t>
      </w:r>
    </w:p>
    <w:p w:rsidR="001E6EFB" w:rsidRPr="003C5589" w:rsidRDefault="001E6EFB" w:rsidP="001E6EFB">
      <w:pPr>
        <w:pStyle w:val="Sub-bullet"/>
      </w:pPr>
      <w:proofErr w:type="gramStart"/>
      <w:r w:rsidRPr="003C5589">
        <w:t>activities</w:t>
      </w:r>
      <w:proofErr w:type="gramEnd"/>
      <w:r w:rsidRPr="003C5589">
        <w:t xml:space="preserve"> with mixed benefits should be co-funded by the Crown and by the individual(s) benefiting.</w:t>
      </w:r>
    </w:p>
    <w:p w:rsidR="001E6EFB" w:rsidRPr="0088088F" w:rsidRDefault="001E6EFB" w:rsidP="001E6EFB">
      <w:pPr>
        <w:pStyle w:val="Bullet"/>
      </w:pPr>
      <w:r w:rsidRPr="0088088F">
        <w:t>Accountability – the process for identifying costs and setting fees is transparent, and where necessary, surpluses and deficits associated with the fee regime are recorded</w:t>
      </w:r>
      <w:r>
        <w:t xml:space="preserve"> to avoid over-recovery.</w:t>
      </w:r>
    </w:p>
    <w:p w:rsidR="001E6EFB" w:rsidRPr="003C5589" w:rsidRDefault="001E6EFB" w:rsidP="001E6EFB">
      <w:pPr>
        <w:pStyle w:val="Bullet"/>
      </w:pPr>
      <w:r w:rsidRPr="003C5589">
        <w:lastRenderedPageBreak/>
        <w:t>Efficiency – the EPA has an accurate understanding of the direct and indirect costs of the goods or services being provided, and consequently is achieving value for money</w:t>
      </w:r>
      <w:r w:rsidRPr="0088088F">
        <w:t>.</w:t>
      </w:r>
    </w:p>
    <w:p w:rsidR="001E6EFB" w:rsidRPr="006F1651" w:rsidRDefault="001E6EFB" w:rsidP="006F1651">
      <w:pPr>
        <w:pStyle w:val="Heading3"/>
      </w:pPr>
      <w:r w:rsidRPr="006F1651">
        <w:t>Recommended changes to the regime</w:t>
      </w:r>
    </w:p>
    <w:p w:rsidR="001E6EFB" w:rsidRDefault="001E6EFB" w:rsidP="00F53BB2">
      <w:pPr>
        <w:pStyle w:val="BodyText"/>
      </w:pPr>
      <w:r>
        <w:t xml:space="preserve">Assessing the regimes against the above principles helped to establish whether there was a </w:t>
      </w:r>
      <w:r w:rsidRPr="0088088F">
        <w:rPr>
          <w:i/>
        </w:rPr>
        <w:t>prima facie</w:t>
      </w:r>
      <w:r>
        <w:t xml:space="preserve"> case for change. We then considered the following criteria to determine the feasibility of making changes:</w:t>
      </w:r>
    </w:p>
    <w:p w:rsidR="001E6EFB" w:rsidRPr="0088088F" w:rsidRDefault="001E6EFB" w:rsidP="00F53BB2">
      <w:pPr>
        <w:pStyle w:val="Bullet"/>
      </w:pPr>
      <w:r>
        <w:t xml:space="preserve">Does the </w:t>
      </w:r>
      <w:r w:rsidRPr="0088088F">
        <w:t xml:space="preserve">rate of cost recovery support the </w:t>
      </w:r>
      <w:r>
        <w:t>achievement of wider</w:t>
      </w:r>
      <w:r w:rsidRPr="0088088F">
        <w:t xml:space="preserve"> outcomes sought by the Government</w:t>
      </w:r>
      <w:r>
        <w:t>?</w:t>
      </w:r>
      <w:r w:rsidRPr="0088088F">
        <w:rPr>
          <w:rStyle w:val="FootnoteReference"/>
          <w:szCs w:val="22"/>
        </w:rPr>
        <w:footnoteReference w:id="4"/>
      </w:r>
      <w:r w:rsidRPr="0088088F">
        <w:t xml:space="preserve"> </w:t>
      </w:r>
    </w:p>
    <w:p w:rsidR="001E6EFB" w:rsidRPr="003C5589" w:rsidRDefault="001E6EFB" w:rsidP="00F53BB2">
      <w:pPr>
        <w:pStyle w:val="Bullet"/>
      </w:pPr>
      <w:r>
        <w:t xml:space="preserve">Would any </w:t>
      </w:r>
      <w:r w:rsidRPr="003C5589">
        <w:t xml:space="preserve">transaction costs </w:t>
      </w:r>
      <w:r>
        <w:t>associated with implementing</w:t>
      </w:r>
      <w:r w:rsidRPr="0088088F">
        <w:t xml:space="preserve"> changes </w:t>
      </w:r>
      <w:r>
        <w:t>b</w:t>
      </w:r>
      <w:r w:rsidRPr="0088088F">
        <w:t>e justifi</w:t>
      </w:r>
      <w:r>
        <w:t>ed</w:t>
      </w:r>
      <w:r w:rsidRPr="0088088F">
        <w:t xml:space="preserve"> </w:t>
      </w:r>
      <w:r>
        <w:t xml:space="preserve">when </w:t>
      </w:r>
      <w:r w:rsidRPr="0088088F">
        <w:t>compared with the anticipated benefits</w:t>
      </w:r>
      <w:r w:rsidRPr="003C5589">
        <w:t xml:space="preserve"> (</w:t>
      </w:r>
      <w:r>
        <w:t>ie,</w:t>
      </w:r>
      <w:r w:rsidRPr="003C5589">
        <w:t xml:space="preserve"> costs of collection, compliance and enforcement)</w:t>
      </w:r>
      <w:r>
        <w:t>?</w:t>
      </w:r>
    </w:p>
    <w:p w:rsidR="001E6EFB" w:rsidRDefault="001E6EFB" w:rsidP="00F53BB2">
      <w:pPr>
        <w:pStyle w:val="Bullet"/>
      </w:pPr>
      <w:r>
        <w:t xml:space="preserve">Would </w:t>
      </w:r>
      <w:r w:rsidRPr="0088088F">
        <w:t xml:space="preserve">changes </w:t>
      </w:r>
      <w:r>
        <w:t xml:space="preserve">in cost recovery practices reduce the </w:t>
      </w:r>
      <w:r w:rsidRPr="0088088F">
        <w:t>use of EPA services, or lead to higher levels of non-compliance</w:t>
      </w:r>
      <w:r>
        <w:t>?</w:t>
      </w:r>
    </w:p>
    <w:p w:rsidR="00774C45" w:rsidRDefault="00774C45">
      <w:pPr>
        <w:spacing w:before="0" w:after="200" w:line="276" w:lineRule="auto"/>
        <w:jc w:val="left"/>
        <w:rPr>
          <w:rFonts w:eastAsiaTheme="majorEastAsia" w:cstheme="majorBidi"/>
          <w:b/>
          <w:bCs/>
          <w:color w:val="17556C"/>
          <w:sz w:val="48"/>
          <w:szCs w:val="28"/>
        </w:rPr>
      </w:pPr>
      <w:r>
        <w:br w:type="page"/>
      </w:r>
    </w:p>
    <w:p w:rsidR="00774C45" w:rsidRPr="00B32D46" w:rsidRDefault="00774C45" w:rsidP="00774C45">
      <w:pPr>
        <w:pStyle w:val="Heading1"/>
      </w:pPr>
      <w:bookmarkStart w:id="61" w:name="_Toc414309445"/>
      <w:bookmarkStart w:id="62" w:name="_Toc417469860"/>
      <w:r w:rsidRPr="0088088F">
        <w:lastRenderedPageBreak/>
        <w:t>4</w:t>
      </w:r>
      <w:r w:rsidRPr="0088088F">
        <w:tab/>
      </w:r>
      <w:r>
        <w:t>General findings from the a</w:t>
      </w:r>
      <w:r w:rsidRPr="00B32D46">
        <w:t>nalysis</w:t>
      </w:r>
      <w:bookmarkEnd w:id="61"/>
      <w:bookmarkEnd w:id="62"/>
    </w:p>
    <w:p w:rsidR="00774C45" w:rsidRPr="00291E49" w:rsidRDefault="00774C45" w:rsidP="00291E49">
      <w:pPr>
        <w:pStyle w:val="Heading2"/>
      </w:pPr>
      <w:bookmarkStart w:id="63" w:name="_Toc414309446"/>
      <w:bookmarkStart w:id="64" w:name="_Toc417469861"/>
      <w:r w:rsidRPr="00291E49">
        <w:t>Public benefit activities</w:t>
      </w:r>
      <w:bookmarkEnd w:id="63"/>
      <w:bookmarkEnd w:id="64"/>
    </w:p>
    <w:p w:rsidR="00774C45" w:rsidRPr="005D2280" w:rsidRDefault="00774C45" w:rsidP="005D2280">
      <w:pPr>
        <w:pStyle w:val="BodyText"/>
      </w:pPr>
      <w:r>
        <w:t xml:space="preserve">We have identified a </w:t>
      </w:r>
      <w:r w:rsidRPr="00451664">
        <w:t>number of activities across all of the EPA’s functions that provide pri</w:t>
      </w:r>
      <w:r w:rsidRPr="005D2280">
        <w:t xml:space="preserve">marily public benefits. </w:t>
      </w:r>
    </w:p>
    <w:p w:rsidR="00774C45" w:rsidRPr="005D2280" w:rsidRDefault="00774C45" w:rsidP="005D2280">
      <w:pPr>
        <w:pStyle w:val="BodyText"/>
      </w:pPr>
      <w:r w:rsidRPr="005D2280">
        <w:t>It is appropriate these activities continue to be funded by the Crown, especially where the Crown is the main beneficiary (eg, activities to meet our international obligations, and recommending improvements and providing input to legislation changes).</w:t>
      </w:r>
    </w:p>
    <w:p w:rsidR="00774C45" w:rsidRPr="005D2280" w:rsidRDefault="00774C45" w:rsidP="005D2280">
      <w:pPr>
        <w:pStyle w:val="BodyText"/>
      </w:pPr>
      <w:r w:rsidRPr="005D2280">
        <w:t xml:space="preserve">However, there may be an opportunity to include the cost of some of these public benefit activities into chargeable overheads, in particular where they are important for supporting a well-functioning regime, and ultimately improve processes for applicants. Possible examples include raising awareness of the EPA (and how it operates) among both applicants and submitters, and undertaking training or participating in international fora that lead to improved practice. </w:t>
      </w:r>
    </w:p>
    <w:p w:rsidR="00774C45" w:rsidRDefault="00774C45" w:rsidP="005D2280">
      <w:pPr>
        <w:pStyle w:val="BodyText"/>
      </w:pPr>
      <w:r w:rsidRPr="005D2280">
        <w:t>We recommend the Ministry and EPA jointly undertake further analysis to confirm the appropriat</w:t>
      </w:r>
      <w:r w:rsidRPr="008158B6">
        <w:t>eness of including public benefit activities that support a function in</w:t>
      </w:r>
      <w:r>
        <w:t>to</w:t>
      </w:r>
      <w:r w:rsidRPr="008158B6">
        <w:t xml:space="preserve"> overheads</w:t>
      </w:r>
      <w:r>
        <w:t>; the impact that this would have on its fees and charges; and the anticipated response by applicants to those changes.</w:t>
      </w:r>
      <w:r w:rsidR="006631F4">
        <w:t xml:space="preserve"> </w:t>
      </w:r>
    </w:p>
    <w:p w:rsidR="00774C45" w:rsidRPr="00291E49" w:rsidRDefault="007400AD" w:rsidP="00291E49">
      <w:pPr>
        <w:pStyle w:val="Heading2"/>
      </w:pPr>
      <w:bookmarkStart w:id="65" w:name="_Toc414309447"/>
      <w:bookmarkStart w:id="66" w:name="_Toc417469862"/>
      <w:r w:rsidRPr="00291E49">
        <w:t>Limited o</w:t>
      </w:r>
      <w:r w:rsidR="00774C45" w:rsidRPr="00291E49">
        <w:t>pportunities for new cost recovery</w:t>
      </w:r>
      <w:bookmarkEnd w:id="65"/>
      <w:bookmarkEnd w:id="66"/>
    </w:p>
    <w:p w:rsidR="00774C45" w:rsidRPr="00CC5F92" w:rsidRDefault="00774C45" w:rsidP="005D2280">
      <w:pPr>
        <w:pStyle w:val="BodyText"/>
      </w:pPr>
      <w:r>
        <w:t>We consider t</w:t>
      </w:r>
      <w:r w:rsidRPr="00CC5F92">
        <w:t>here are limited opportunities for new cost recovery because in general costs are already recovered where there is a private benefit, particularly where the activity is to process an application. Three areas where there may be opportunities for new cost recovery are:</w:t>
      </w:r>
    </w:p>
    <w:p w:rsidR="00774C45" w:rsidRPr="00CC5F92" w:rsidRDefault="00774C45" w:rsidP="005D2280">
      <w:pPr>
        <w:pStyle w:val="Bullet"/>
      </w:pPr>
      <w:r w:rsidRPr="00CC5F92">
        <w:t xml:space="preserve">the </w:t>
      </w:r>
      <w:r>
        <w:t xml:space="preserve">proportion of costs recovered </w:t>
      </w:r>
      <w:r w:rsidR="007400AD">
        <w:t xml:space="preserve">for </w:t>
      </w:r>
      <w:r w:rsidRPr="00CC5F92">
        <w:t xml:space="preserve">providing advice to submitters for </w:t>
      </w:r>
      <w:r>
        <w:t>nationally significant proposals (NSP</w:t>
      </w:r>
      <w:r w:rsidRPr="00CC5F92">
        <w:t>s</w:t>
      </w:r>
      <w:r>
        <w:t>) at the pre-application stage</w:t>
      </w:r>
    </w:p>
    <w:p w:rsidR="00774C45" w:rsidRPr="00CC5F92" w:rsidRDefault="00774C45" w:rsidP="005D2280">
      <w:pPr>
        <w:pStyle w:val="Bullet"/>
      </w:pPr>
      <w:proofErr w:type="gramStart"/>
      <w:r w:rsidRPr="00CC5F92">
        <w:t>the</w:t>
      </w:r>
      <w:proofErr w:type="gramEnd"/>
      <w:r w:rsidRPr="00CC5F92">
        <w:t xml:space="preserve"> costs associated with supporting the HSNO Committee</w:t>
      </w:r>
      <w:r w:rsidR="00855953">
        <w:t>.</w:t>
      </w:r>
    </w:p>
    <w:p w:rsidR="00774C45" w:rsidRPr="005D2280" w:rsidRDefault="00774C45" w:rsidP="005D2280">
      <w:pPr>
        <w:pStyle w:val="BodyText"/>
      </w:pPr>
      <w:r>
        <w:t>In our vie</w:t>
      </w:r>
      <w:r w:rsidRPr="005D2280">
        <w:t>w these are unlikely to result in significant increases in the amount that the EPA ultimately recovers. However, further work would be required to confirm this.</w:t>
      </w:r>
      <w:r w:rsidR="006631F4">
        <w:t xml:space="preserve"> </w:t>
      </w:r>
    </w:p>
    <w:p w:rsidR="00774C45" w:rsidRDefault="00774C45" w:rsidP="005D2280">
      <w:pPr>
        <w:pStyle w:val="BodyText"/>
      </w:pPr>
      <w:r w:rsidRPr="005D2280">
        <w:t>We have not assessed the potential for changes to the cost recovery regime where the EPA can in theor</w:t>
      </w:r>
      <w:r>
        <w:t>y currently recover costs at 100%.</w:t>
      </w:r>
      <w:r w:rsidR="006631F4">
        <w:t xml:space="preserve"> </w:t>
      </w:r>
      <w:r>
        <w:t>This is because overcharging for cost recovery is illegal and therefore the system is already optimised where costs can be recovered at 100%.</w:t>
      </w:r>
    </w:p>
    <w:p w:rsidR="00774C45" w:rsidRPr="00291E49" w:rsidRDefault="00774C45" w:rsidP="00291E49">
      <w:pPr>
        <w:pStyle w:val="Heading2"/>
      </w:pPr>
      <w:bookmarkStart w:id="67" w:name="_Toc414309448"/>
      <w:bookmarkStart w:id="68" w:name="_Toc417469863"/>
      <w:r w:rsidRPr="00291E49">
        <w:t>A consistent approach to cost recovery</w:t>
      </w:r>
      <w:bookmarkEnd w:id="67"/>
      <w:bookmarkEnd w:id="68"/>
    </w:p>
    <w:p w:rsidR="00B1333A" w:rsidRDefault="00B1333A" w:rsidP="00B1333A">
      <w:pPr>
        <w:pStyle w:val="BodyText"/>
      </w:pPr>
      <w:r>
        <w:t>Each of the four Acts establishing EPA’s functions establish different regimes for cost recovery. T</w:t>
      </w:r>
      <w:r w:rsidRPr="00507EFD">
        <w:t xml:space="preserve">he EEZ and Climate Change Response Acts require cost recovery to be set out in regulations, </w:t>
      </w:r>
      <w:r>
        <w:t xml:space="preserve">The RMA allows the EPA to recover actual and reasonable costs, </w:t>
      </w:r>
      <w:r w:rsidRPr="00507EFD">
        <w:t>while</w:t>
      </w:r>
      <w:r>
        <w:t xml:space="preserve"> HSNO requires the EPA to publicly notify any proposed changes to the charges it fixes.  </w:t>
      </w:r>
    </w:p>
    <w:p w:rsidR="00774C45" w:rsidRPr="005D2280" w:rsidRDefault="00774C45" w:rsidP="005D2280">
      <w:pPr>
        <w:pStyle w:val="BodyText"/>
      </w:pPr>
      <w:r w:rsidRPr="005D2280">
        <w:t>It appears that there is scope for changes to be made that would enable the EPA to operate a more consistent and transparent cost recovery regime overall, for example calibrating charge out rates across regimes, more consistent cost recovery targets, and applying one cost recovery method. This could lead to more efficient cost recovery and greater clarity for applicants, but may not result in large increases in costs recovered.</w:t>
      </w:r>
    </w:p>
    <w:p w:rsidR="00774C45" w:rsidRDefault="00774C45" w:rsidP="005D2280">
      <w:pPr>
        <w:pStyle w:val="BodyText"/>
      </w:pPr>
      <w:r w:rsidRPr="005D2280">
        <w:lastRenderedPageBreak/>
        <w:t>In general, it makes sense to operate an overall regime that is consistent, so it is worth testing whether the differences in regimes have occurred by design, or because of the staggered nature of their devel</w:t>
      </w:r>
      <w:r>
        <w:t>opment. Further analysis would be required before proceeding with significant changes to the EPA’s cost recovery regime.</w:t>
      </w:r>
    </w:p>
    <w:p w:rsidR="00774C45" w:rsidRPr="00291E49" w:rsidRDefault="00774C45" w:rsidP="00291E49">
      <w:pPr>
        <w:pStyle w:val="Heading2"/>
      </w:pPr>
      <w:bookmarkStart w:id="69" w:name="_Toc414309449"/>
      <w:bookmarkStart w:id="70" w:name="_Toc417469864"/>
      <w:r w:rsidRPr="00291E49">
        <w:t>Adjusting hourly rates</w:t>
      </w:r>
      <w:bookmarkEnd w:id="69"/>
      <w:bookmarkEnd w:id="70"/>
      <w:r w:rsidRPr="00291E49">
        <w:t xml:space="preserve"> </w:t>
      </w:r>
    </w:p>
    <w:p w:rsidR="00774C45" w:rsidRPr="005D2280" w:rsidRDefault="00774C45" w:rsidP="005D2280">
      <w:pPr>
        <w:pStyle w:val="BodyText"/>
      </w:pPr>
      <w:r>
        <w:t>Gover</w:t>
      </w:r>
      <w:r w:rsidRPr="005D2280">
        <w:t>nment guidance suggests charging practices should be reviewed regularly against actual costs and adjustments made as necessary</w:t>
      </w:r>
      <w:r w:rsidR="005D2280">
        <w:t>.</w:t>
      </w:r>
      <w:r w:rsidRPr="005D2280">
        <w:rPr>
          <w:rStyle w:val="FootnoteReference"/>
        </w:rPr>
        <w:footnoteReference w:id="5"/>
      </w:r>
      <w:r w:rsidRPr="005D2280">
        <w:t xml:space="preserve"> </w:t>
      </w:r>
    </w:p>
    <w:p w:rsidR="00774C45" w:rsidRPr="005D2280" w:rsidRDefault="00774C45" w:rsidP="005D2280">
      <w:pPr>
        <w:pStyle w:val="BodyText"/>
      </w:pPr>
      <w:r w:rsidRPr="005D2280">
        <w:t>Many of the hourly rates have not been updated for some time, and the HSNO application fees have been in effect since October 2010. The EPA has undergone significant change since most of the fees and charges were set.</w:t>
      </w:r>
    </w:p>
    <w:p w:rsidR="00774C45" w:rsidRDefault="00774C45" w:rsidP="005D2280">
      <w:pPr>
        <w:pStyle w:val="BodyText"/>
      </w:pPr>
      <w:r w:rsidRPr="005D2280">
        <w:t>At a minimum, hourly r</w:t>
      </w:r>
      <w:r>
        <w:t>ates are likely to need to be adjusted for the following reasons:</w:t>
      </w:r>
    </w:p>
    <w:p w:rsidR="00774C45" w:rsidRDefault="00774C45" w:rsidP="005D2280">
      <w:pPr>
        <w:pStyle w:val="Bullet"/>
      </w:pPr>
      <w:r>
        <w:t>inflation</w:t>
      </w:r>
    </w:p>
    <w:p w:rsidR="00774C45" w:rsidRPr="00A8516C" w:rsidRDefault="00774C45" w:rsidP="005D2280">
      <w:pPr>
        <w:pStyle w:val="Bullet"/>
      </w:pPr>
      <w:proofErr w:type="gramStart"/>
      <w:r>
        <w:t>after</w:t>
      </w:r>
      <w:proofErr w:type="gramEnd"/>
      <w:r>
        <w:t xml:space="preserve"> three years of operation, the EPA will now have a better understanding of its cost drivers and the resourcing it requires to deliver its functions. </w:t>
      </w:r>
    </w:p>
    <w:p w:rsidR="00774C45" w:rsidRDefault="00774C45" w:rsidP="005D2280">
      <w:pPr>
        <w:pStyle w:val="BodyText"/>
      </w:pPr>
      <w:r>
        <w:t xml:space="preserve">We recommend the hourly rates charged for all functions </w:t>
      </w:r>
      <w:proofErr w:type="gramStart"/>
      <w:r>
        <w:t>be</w:t>
      </w:r>
      <w:proofErr w:type="gramEnd"/>
      <w:r>
        <w:t xml:space="preserve"> reviewed by the EPA. The</w:t>
      </w:r>
      <w:r w:rsidRPr="009B756A">
        <w:t xml:space="preserve"> </w:t>
      </w:r>
      <w:r>
        <w:t>review</w:t>
      </w:r>
      <w:r w:rsidR="000D564A">
        <w:t> </w:t>
      </w:r>
      <w:r>
        <w:t>should</w:t>
      </w:r>
      <w:r w:rsidRPr="009B756A">
        <w:t xml:space="preserve"> </w:t>
      </w:r>
      <w:r>
        <w:t xml:space="preserve">take the opportunity to determine whether the </w:t>
      </w:r>
      <w:r w:rsidRPr="009B756A">
        <w:t xml:space="preserve">rates </w:t>
      </w:r>
      <w:r>
        <w:t>can be made consistent across cost recovery regimes (we suggest consistent hourly rates will provide greater clarity</w:t>
      </w:r>
      <w:r w:rsidR="000D564A">
        <w:t> </w:t>
      </w:r>
      <w:r>
        <w:t>and transparency to applicants), and whether the method for calculating charges is sufficiently clear.</w:t>
      </w:r>
      <w:r w:rsidR="006631F4">
        <w:t xml:space="preserve"> </w:t>
      </w:r>
    </w:p>
    <w:p w:rsidR="00774C45" w:rsidRDefault="00774C45" w:rsidP="005D2280">
      <w:pPr>
        <w:pStyle w:val="BodyText"/>
      </w:pPr>
      <w:r>
        <w:t>Changing hourly rates would require new rates to be calculated by the EPA then:</w:t>
      </w:r>
    </w:p>
    <w:p w:rsidR="00774C45" w:rsidRDefault="00774C45" w:rsidP="005D2280">
      <w:pPr>
        <w:pStyle w:val="Bullet"/>
      </w:pPr>
      <w:r>
        <w:t>the Ministry would need to lead changes to the regulations to amend the cost recovery rates for marine consenting (including monitoring and compliance) and the New Zealand Emissions Trading Scheme</w:t>
      </w:r>
    </w:p>
    <w:p w:rsidR="00774C45" w:rsidRDefault="00774C45" w:rsidP="005D2280">
      <w:pPr>
        <w:pStyle w:val="Bullet"/>
      </w:pPr>
      <w:proofErr w:type="gramStart"/>
      <w:r>
        <w:t>the</w:t>
      </w:r>
      <w:proofErr w:type="gramEnd"/>
      <w:r>
        <w:t xml:space="preserve"> EPA would lead changes to its cost recovery policy for nationally significant proposal applications, and hazardous substances and new organisms applications.</w:t>
      </w:r>
    </w:p>
    <w:p w:rsidR="00774C45" w:rsidRDefault="00774C45" w:rsidP="005D2280">
      <w:pPr>
        <w:pStyle w:val="BodyText"/>
      </w:pPr>
      <w:r w:rsidRPr="00F52A13">
        <w:t>Consultation will be required before any of the rates for cost recovery can be amended</w:t>
      </w:r>
      <w:r>
        <w:t>, so t</w:t>
      </w:r>
      <w:r w:rsidRPr="00F52A13">
        <w:t>he</w:t>
      </w:r>
      <w:r w:rsidR="00C613DB">
        <w:t> </w:t>
      </w:r>
      <w:r w:rsidRPr="00F52A13">
        <w:t>possibility of having a single consultation document should be explored by the Ministry and</w:t>
      </w:r>
      <w:r>
        <w:t xml:space="preserve"> the</w:t>
      </w:r>
      <w:r w:rsidRPr="00F52A13">
        <w:t xml:space="preserve"> EPA.</w:t>
      </w:r>
    </w:p>
    <w:p w:rsidR="00774C45" w:rsidRPr="00291E49" w:rsidRDefault="00774C45" w:rsidP="00291E49">
      <w:pPr>
        <w:pStyle w:val="Heading2"/>
      </w:pPr>
      <w:bookmarkStart w:id="71" w:name="_Toc414309450"/>
      <w:bookmarkStart w:id="72" w:name="_Toc417469865"/>
      <w:r w:rsidRPr="00291E49">
        <w:t>Pre-application stage</w:t>
      </w:r>
      <w:bookmarkEnd w:id="71"/>
      <w:bookmarkEnd w:id="72"/>
    </w:p>
    <w:p w:rsidR="0031413C" w:rsidRDefault="0031413C" w:rsidP="0031413C">
      <w:pPr>
        <w:pStyle w:val="BodyText"/>
      </w:pPr>
      <w:r>
        <w:t>We consider that the EPA needs to develop a better understanding of the value of the services it provides during pre-application for NSPs and marine consents, and the implications of this for its rate of cost recovery. We recommend that the EPA consider implementing explicit polic</w:t>
      </w:r>
      <w:r w:rsidR="00E31F8C">
        <w:t>ies</w:t>
      </w:r>
      <w:r>
        <w:t>, which</w:t>
      </w:r>
      <w:r w:rsidR="00E31F8C">
        <w:t xml:space="preserve"> are</w:t>
      </w:r>
      <w:r>
        <w:t xml:space="preserve"> publically available, on the number of ‘free hours’ covered by the pre-application stage</w:t>
      </w:r>
      <w:r w:rsidR="00E31F8C">
        <w:t xml:space="preserve"> in each regime</w:t>
      </w:r>
      <w:r>
        <w:t>, and consider charging applicants beyond those hours.</w:t>
      </w:r>
    </w:p>
    <w:p w:rsidR="00774C45" w:rsidRDefault="00774C45" w:rsidP="005D2280">
      <w:pPr>
        <w:pStyle w:val="BodyText"/>
      </w:pPr>
      <w:r w:rsidRPr="005D2280">
        <w:t>Some HSNO applications also consume EPA services at the pre-application stage. The approach take</w:t>
      </w:r>
      <w:r>
        <w:t xml:space="preserve">n with providing information to HSNO submitters should be consistent with the approach taken in the other cost recovery regimes where possible. </w:t>
      </w:r>
    </w:p>
    <w:p w:rsidR="00774C45" w:rsidRPr="00291E49" w:rsidRDefault="00774C45" w:rsidP="00291E49">
      <w:pPr>
        <w:pStyle w:val="Heading2"/>
      </w:pPr>
      <w:bookmarkStart w:id="73" w:name="_Toc414309451"/>
      <w:bookmarkStart w:id="74" w:name="_Toc417469866"/>
      <w:r w:rsidRPr="00291E49">
        <w:lastRenderedPageBreak/>
        <w:t>Alternative funding approaches</w:t>
      </w:r>
      <w:bookmarkEnd w:id="73"/>
      <w:bookmarkEnd w:id="74"/>
    </w:p>
    <w:p w:rsidR="00774C45" w:rsidRPr="005D2280" w:rsidRDefault="00774C45" w:rsidP="005D2280">
      <w:pPr>
        <w:pStyle w:val="BodyText"/>
      </w:pPr>
      <w:r w:rsidRPr="005D2280">
        <w:t>We have briefly considered the possibility of the EPA applying a levy as an alternative funding</w:t>
      </w:r>
      <w:r w:rsidR="00F833D0">
        <w:t> </w:t>
      </w:r>
      <w:r w:rsidRPr="005D2280">
        <w:t>approach.</w:t>
      </w:r>
    </w:p>
    <w:p w:rsidR="00774C45" w:rsidRPr="005D2280" w:rsidRDefault="00774C45" w:rsidP="005D2280">
      <w:pPr>
        <w:pStyle w:val="BodyText"/>
      </w:pPr>
      <w:r w:rsidRPr="005D2280">
        <w:t>We suggest the main issue with the EPA charging a levy would be identifying a group of beneficiaries on which to fairly impose such a charge.</w:t>
      </w:r>
      <w:r w:rsidR="006631F4">
        <w:t xml:space="preserve"> </w:t>
      </w:r>
      <w:r w:rsidRPr="005D2280">
        <w:t>Our initial analysis suggests there is not an obvious group of beneficiaries for the EPA to levy in a way that would be fair and transparent. Where potential groups to levy do exist, they are generally a comparatively small eg, compared to the number of road users), and/or they are not well funded, potentially resulting in non-compliance. The membership of such groups can also vary from year to year, depending on when organisations are making use of the EPA’s services.</w:t>
      </w:r>
    </w:p>
    <w:p w:rsidR="00774C45" w:rsidRPr="005D2280" w:rsidRDefault="00774C45" w:rsidP="005D2280">
      <w:pPr>
        <w:pStyle w:val="BodyText"/>
      </w:pPr>
      <w:r w:rsidRPr="005D2280">
        <w:t xml:space="preserve">There is a high risk that an alternative approach, such as a levy, could result in under- or over-charging due to the newness and uniqueness of the function. Additionally, charging a levy instead of actual and reasonable costs could result in welfare gains and losses for different groups of users, depending on when they lodge their application. A company would receive no benefit from the levy in the years they do not lodge an application. </w:t>
      </w:r>
    </w:p>
    <w:p w:rsidR="00774C45" w:rsidRPr="00DC239C" w:rsidRDefault="00774C45" w:rsidP="005D2280">
      <w:pPr>
        <w:pStyle w:val="BodyText"/>
      </w:pPr>
      <w:r w:rsidRPr="005D2280">
        <w:t xml:space="preserve">Further analysis would be needed to compare the use of a levy to other cost recovery options before this could be implemented. However, for the reasons outlined we do not recommend proceeding with </w:t>
      </w:r>
      <w:r>
        <w:t>further analysis at this time.</w:t>
      </w:r>
    </w:p>
    <w:p w:rsidR="00C6404F" w:rsidRDefault="00C6404F">
      <w:pPr>
        <w:spacing w:before="0" w:after="200" w:line="276" w:lineRule="auto"/>
        <w:jc w:val="left"/>
        <w:rPr>
          <w:lang w:eastAsia="en-US"/>
        </w:rPr>
      </w:pPr>
      <w:r>
        <w:rPr>
          <w:lang w:eastAsia="en-US"/>
        </w:rPr>
        <w:br w:type="page"/>
      </w:r>
    </w:p>
    <w:p w:rsidR="00C6404F" w:rsidRPr="00291E49" w:rsidRDefault="00C6404F" w:rsidP="00291E49">
      <w:pPr>
        <w:pStyle w:val="Heading1"/>
      </w:pPr>
      <w:bookmarkStart w:id="75" w:name="_Toc414309452"/>
      <w:bookmarkStart w:id="76" w:name="_Toc417469867"/>
      <w:r w:rsidRPr="00291E49">
        <w:lastRenderedPageBreak/>
        <w:t>5</w:t>
      </w:r>
      <w:r w:rsidRPr="00291E49">
        <w:tab/>
        <w:t>Function-specific analysis</w:t>
      </w:r>
      <w:bookmarkEnd w:id="75"/>
      <w:bookmarkEnd w:id="76"/>
      <w:r w:rsidRPr="00291E49">
        <w:t xml:space="preserve"> </w:t>
      </w:r>
    </w:p>
    <w:p w:rsidR="00C6404F" w:rsidRPr="00291E49" w:rsidRDefault="00C6404F" w:rsidP="00291E49">
      <w:pPr>
        <w:pStyle w:val="Heading2"/>
      </w:pPr>
      <w:bookmarkStart w:id="77" w:name="_Toc414309453"/>
      <w:bookmarkStart w:id="78" w:name="_Toc417469868"/>
      <w:r w:rsidRPr="00291E49">
        <w:t>Nationally significant proposals (NSPs)</w:t>
      </w:r>
      <w:bookmarkEnd w:id="77"/>
      <w:bookmarkEnd w:id="78"/>
    </w:p>
    <w:p w:rsidR="00C6404F" w:rsidRPr="006F1651" w:rsidRDefault="00C6404F" w:rsidP="006F1651">
      <w:pPr>
        <w:pStyle w:val="Heading3"/>
      </w:pPr>
      <w:bookmarkStart w:id="79" w:name="_Toc401758755"/>
      <w:bookmarkStart w:id="80" w:name="_Toc401819783"/>
      <w:bookmarkStart w:id="81" w:name="_Toc401844332"/>
      <w:bookmarkStart w:id="82" w:name="_Toc402340087"/>
      <w:bookmarkStart w:id="83" w:name="_Toc402435508"/>
      <w:bookmarkStart w:id="84" w:name="_Toc405450349"/>
      <w:r w:rsidRPr="006F1651">
        <w:t>Context</w:t>
      </w:r>
      <w:bookmarkEnd w:id="79"/>
      <w:bookmarkEnd w:id="80"/>
      <w:bookmarkEnd w:id="81"/>
      <w:bookmarkEnd w:id="82"/>
      <w:bookmarkEnd w:id="83"/>
      <w:bookmarkEnd w:id="84"/>
    </w:p>
    <w:p w:rsidR="00C6404F" w:rsidRPr="00993467" w:rsidRDefault="00C6404F" w:rsidP="00993467">
      <w:pPr>
        <w:pStyle w:val="BodyText"/>
      </w:pPr>
      <w:r>
        <w:t>The EPA undertakes a number of activities associated with supporting applications for decisions that are considered to be of national significance under the Resource Management Act 1991 (RMA). The EPA roles include</w:t>
      </w:r>
      <w:r w:rsidR="00993467">
        <w:t>:</w:t>
      </w:r>
      <w:r>
        <w:rPr>
          <w:rStyle w:val="FootnoteReference"/>
        </w:rPr>
        <w:footnoteReference w:id="6"/>
      </w:r>
    </w:p>
    <w:p w:rsidR="00C6404F" w:rsidRDefault="00C6404F" w:rsidP="00993467">
      <w:pPr>
        <w:pStyle w:val="Bullet"/>
      </w:pPr>
      <w:r>
        <w:t>providing information to applicants, submitters and other interested parties</w:t>
      </w:r>
    </w:p>
    <w:p w:rsidR="00C6404F" w:rsidRDefault="00C6404F" w:rsidP="00993467">
      <w:pPr>
        <w:pStyle w:val="Bullet"/>
      </w:pPr>
      <w:r>
        <w:t>advising the Minister if an application is nationally significant and should be called-in</w:t>
      </w:r>
    </w:p>
    <w:p w:rsidR="00C6404F" w:rsidRDefault="00C6404F" w:rsidP="00993467">
      <w:pPr>
        <w:pStyle w:val="Bullet"/>
      </w:pPr>
      <w:r>
        <w:t xml:space="preserve">supporting the board of inquiry process </w:t>
      </w:r>
    </w:p>
    <w:p w:rsidR="00C6404F" w:rsidRDefault="00C6404F" w:rsidP="00993467">
      <w:pPr>
        <w:pStyle w:val="Bullet"/>
      </w:pPr>
      <w:proofErr w:type="gramStart"/>
      <w:r>
        <w:t>making</w:t>
      </w:r>
      <w:proofErr w:type="gramEnd"/>
      <w:r>
        <w:t xml:space="preserve"> recommendations on improvements to the legislation. </w:t>
      </w:r>
    </w:p>
    <w:p w:rsidR="00C6404F" w:rsidRPr="006F1651" w:rsidRDefault="00C6404F" w:rsidP="006F1651">
      <w:pPr>
        <w:pStyle w:val="Heading3"/>
      </w:pPr>
      <w:r w:rsidRPr="006F1651">
        <w:t>Authority</w:t>
      </w:r>
    </w:p>
    <w:p w:rsidR="00BF7EE0" w:rsidRDefault="00BF7EE0" w:rsidP="00BF7EE0">
      <w:pPr>
        <w:pStyle w:val="BodyText"/>
      </w:pPr>
      <w:r>
        <w:t>Section 149ZD of the RMA provides that the EPA may recover certain actual and reasonable costs associated with its functions and duties related to NSPs.  The Minister may recover the actual and reasonable costs associated with a BOI process</w:t>
      </w:r>
      <w:r>
        <w:rPr>
          <w:rStyle w:val="FootnoteReference"/>
        </w:rPr>
        <w:footnoteReference w:id="7"/>
      </w:r>
      <w:r>
        <w:t xml:space="preserve"> and this is currently recovered by the EPA on the Minister’s behalf, as delegated under section 29(4) of the RMA. </w:t>
      </w:r>
    </w:p>
    <w:p w:rsidR="00BF7EE0" w:rsidRDefault="00BF7EE0" w:rsidP="00BF7EE0">
      <w:pPr>
        <w:pStyle w:val="BodyText"/>
      </w:pPr>
      <w:r>
        <w:t xml:space="preserve">Section </w:t>
      </w:r>
      <w:proofErr w:type="gramStart"/>
      <w:r>
        <w:t>149ZD(</w:t>
      </w:r>
      <w:proofErr w:type="gramEnd"/>
      <w:r>
        <w:t>1) also provides for Local Authorities to recover actual and reasonable costs incurred by the local authority in complying with the NSP provisions.</w:t>
      </w:r>
    </w:p>
    <w:p w:rsidR="00C6404F" w:rsidRPr="006F1651" w:rsidRDefault="00C6404F" w:rsidP="006F1651">
      <w:pPr>
        <w:pStyle w:val="Heading3"/>
      </w:pPr>
      <w:r w:rsidRPr="006F1651">
        <w:t>Justification</w:t>
      </w:r>
    </w:p>
    <w:p w:rsidR="00C6404F" w:rsidRPr="0088088F" w:rsidRDefault="00C6404F" w:rsidP="00C6404F">
      <w:pPr>
        <w:pStyle w:val="BodyText"/>
      </w:pPr>
      <w:r w:rsidRPr="0088088F">
        <w:t>Administration of the NSP process results in benefits that accrue to applicants a</w:t>
      </w:r>
      <w:r w:rsidRPr="00EA3CFC">
        <w:t>nd to the public more generally</w:t>
      </w:r>
      <w:r>
        <w:t>. These are outlined in table 2 below.</w:t>
      </w:r>
    </w:p>
    <w:p w:rsidR="00195F04" w:rsidRDefault="00C6404F" w:rsidP="00993467">
      <w:pPr>
        <w:pStyle w:val="Tableheading"/>
      </w:pPr>
      <w:bookmarkStart w:id="85" w:name="_Toc414309820"/>
      <w:r w:rsidRPr="0088088F">
        <w:t xml:space="preserve">Table 2: </w:t>
      </w:r>
      <w:r w:rsidR="00993467">
        <w:tab/>
      </w:r>
      <w:r w:rsidRPr="0088088F">
        <w:t>Assessing</w:t>
      </w:r>
      <w:r>
        <w:t xml:space="preserve"> who benefits from the nationally significant proposal activities</w:t>
      </w:r>
      <w:bookmarkEnd w:id="85"/>
    </w:p>
    <w:tbl>
      <w:tblPr>
        <w:tblW w:w="8505" w:type="dxa"/>
        <w:tblInd w:w="108" w:type="dxa"/>
        <w:tblBorders>
          <w:top w:val="single" w:sz="4" w:space="0" w:color="17556C"/>
          <w:bottom w:val="single" w:sz="4" w:space="0" w:color="17556C"/>
          <w:insideH w:val="single" w:sz="4" w:space="0" w:color="17556C"/>
        </w:tblBorders>
        <w:tblLayout w:type="fixed"/>
        <w:tblLook w:val="04A0" w:firstRow="1" w:lastRow="0" w:firstColumn="1" w:lastColumn="0" w:noHBand="0" w:noVBand="1"/>
      </w:tblPr>
      <w:tblGrid>
        <w:gridCol w:w="2834"/>
        <w:gridCol w:w="2695"/>
        <w:gridCol w:w="2976"/>
      </w:tblGrid>
      <w:tr w:rsidR="00D13EF4" w:rsidRPr="00D13EF4" w:rsidTr="00141C23">
        <w:tc>
          <w:tcPr>
            <w:tcW w:w="2834" w:type="dxa"/>
            <w:tcBorders>
              <w:right w:val="single" w:sz="4" w:space="0" w:color="17556C"/>
            </w:tcBorders>
            <w:shd w:val="clear" w:color="auto" w:fill="17556C"/>
            <w:hideMark/>
          </w:tcPr>
          <w:p w:rsidR="00D13EF4" w:rsidRPr="00D13EF4" w:rsidRDefault="00BF7EE0" w:rsidP="00BF7EE0">
            <w:pPr>
              <w:pStyle w:val="TableTextbold"/>
              <w:keepNext/>
              <w:rPr>
                <w:color w:val="FFFFFF" w:themeColor="background1"/>
              </w:rPr>
            </w:pPr>
            <w:r>
              <w:rPr>
                <w:color w:val="FFFFFF" w:themeColor="background1"/>
              </w:rPr>
              <w:t>Mostly p</w:t>
            </w:r>
            <w:r w:rsidR="00D13EF4" w:rsidRPr="00D13EF4">
              <w:rPr>
                <w:color w:val="FFFFFF" w:themeColor="background1"/>
              </w:rPr>
              <w:t>rivate benefit</w:t>
            </w:r>
            <w:r>
              <w:rPr>
                <w:color w:val="FFFFFF" w:themeColor="background1"/>
              </w:rPr>
              <w:t>s</w:t>
            </w:r>
          </w:p>
        </w:tc>
        <w:tc>
          <w:tcPr>
            <w:tcW w:w="2695" w:type="dxa"/>
            <w:tcBorders>
              <w:left w:val="single" w:sz="4" w:space="0" w:color="17556C"/>
              <w:right w:val="single" w:sz="4" w:space="0" w:color="17556C"/>
            </w:tcBorders>
            <w:shd w:val="clear" w:color="auto" w:fill="17556C"/>
            <w:hideMark/>
          </w:tcPr>
          <w:p w:rsidR="00D13EF4" w:rsidRPr="00D13EF4" w:rsidRDefault="00D13EF4" w:rsidP="00BF7EE0">
            <w:pPr>
              <w:pStyle w:val="TableTextbold"/>
              <w:rPr>
                <w:color w:val="FFFFFF" w:themeColor="background1"/>
              </w:rPr>
            </w:pPr>
            <w:r w:rsidRPr="00D13EF4">
              <w:rPr>
                <w:color w:val="FFFFFF" w:themeColor="background1"/>
              </w:rPr>
              <w:t>Mixed benefit</w:t>
            </w:r>
            <w:r w:rsidR="00BF7EE0">
              <w:rPr>
                <w:color w:val="FFFFFF" w:themeColor="background1"/>
              </w:rPr>
              <w:t>s</w:t>
            </w:r>
            <w:r w:rsidRPr="00D13EF4">
              <w:rPr>
                <w:color w:val="FFFFFF" w:themeColor="background1"/>
              </w:rPr>
              <w:t xml:space="preserve"> </w:t>
            </w:r>
          </w:p>
        </w:tc>
        <w:tc>
          <w:tcPr>
            <w:tcW w:w="2976" w:type="dxa"/>
            <w:tcBorders>
              <w:left w:val="single" w:sz="4" w:space="0" w:color="17556C"/>
            </w:tcBorders>
            <w:shd w:val="clear" w:color="auto" w:fill="17556C"/>
            <w:hideMark/>
          </w:tcPr>
          <w:p w:rsidR="00D13EF4" w:rsidRPr="00D13EF4" w:rsidRDefault="00BF7EE0" w:rsidP="00BF7EE0">
            <w:pPr>
              <w:pStyle w:val="TableTextbold"/>
              <w:rPr>
                <w:color w:val="FFFFFF" w:themeColor="background1"/>
              </w:rPr>
            </w:pPr>
            <w:r>
              <w:rPr>
                <w:color w:val="FFFFFF" w:themeColor="background1"/>
              </w:rPr>
              <w:t>Mostly p</w:t>
            </w:r>
            <w:r w:rsidR="00D13EF4" w:rsidRPr="00D13EF4">
              <w:rPr>
                <w:color w:val="FFFFFF" w:themeColor="background1"/>
              </w:rPr>
              <w:t>ublic benefits</w:t>
            </w:r>
          </w:p>
        </w:tc>
      </w:tr>
      <w:tr w:rsidR="00D13EF4" w:rsidRPr="00D13EF4" w:rsidTr="00141C23">
        <w:tc>
          <w:tcPr>
            <w:tcW w:w="2834" w:type="dxa"/>
            <w:tcBorders>
              <w:right w:val="single" w:sz="4" w:space="0" w:color="17556C"/>
            </w:tcBorders>
          </w:tcPr>
          <w:p w:rsidR="00D13EF4" w:rsidRPr="00D13EF4" w:rsidRDefault="00D13EF4" w:rsidP="00964ECB">
            <w:pPr>
              <w:pStyle w:val="Tabletext"/>
              <w:keepNext/>
              <w:spacing w:before="50" w:after="50"/>
            </w:pPr>
            <w:r w:rsidRPr="00D13EF4">
              <w:t>Pre-application assistance</w:t>
            </w:r>
          </w:p>
          <w:p w:rsidR="00D13EF4" w:rsidRPr="00D13EF4" w:rsidRDefault="00D13EF4" w:rsidP="00964ECB">
            <w:pPr>
              <w:pStyle w:val="Tabletext"/>
              <w:keepNext/>
              <w:spacing w:before="50" w:after="50"/>
            </w:pPr>
            <w:r w:rsidRPr="00D13EF4">
              <w:t>Assessing the national significance of applications</w:t>
            </w:r>
          </w:p>
          <w:p w:rsidR="00D13EF4" w:rsidRPr="00D13EF4" w:rsidRDefault="00D13EF4" w:rsidP="00964ECB">
            <w:pPr>
              <w:pStyle w:val="Tabletext"/>
              <w:keepNext/>
              <w:spacing w:before="50" w:after="50"/>
            </w:pPr>
            <w:r w:rsidRPr="00D13EF4">
              <w:t>Advice to Ministers on a specific application</w:t>
            </w:r>
          </w:p>
          <w:p w:rsidR="00D13EF4" w:rsidRPr="00D13EF4" w:rsidRDefault="00D13EF4" w:rsidP="00964ECB">
            <w:pPr>
              <w:pStyle w:val="Tabletext"/>
              <w:keepNext/>
              <w:spacing w:before="50" w:after="50"/>
            </w:pPr>
            <w:r w:rsidRPr="00D13EF4">
              <w:t>Servicing boards of inquiry to enable them to make decisions</w:t>
            </w:r>
          </w:p>
        </w:tc>
        <w:tc>
          <w:tcPr>
            <w:tcW w:w="2695" w:type="dxa"/>
            <w:tcBorders>
              <w:left w:val="single" w:sz="4" w:space="0" w:color="17556C"/>
              <w:right w:val="single" w:sz="4" w:space="0" w:color="17556C"/>
            </w:tcBorders>
            <w:hideMark/>
          </w:tcPr>
          <w:p w:rsidR="00D13EF4" w:rsidRPr="00D13EF4" w:rsidRDefault="00D13EF4" w:rsidP="00964ECB">
            <w:pPr>
              <w:pStyle w:val="Tabletext"/>
              <w:spacing w:before="50" w:after="50"/>
            </w:pPr>
            <w:r w:rsidRPr="00D13EF4">
              <w:t>Providing information and advice to assist potential applicants and submitters</w:t>
            </w:r>
          </w:p>
        </w:tc>
        <w:tc>
          <w:tcPr>
            <w:tcW w:w="2976" w:type="dxa"/>
            <w:tcBorders>
              <w:left w:val="single" w:sz="4" w:space="0" w:color="17556C"/>
            </w:tcBorders>
            <w:hideMark/>
          </w:tcPr>
          <w:p w:rsidR="00D13EF4" w:rsidRPr="00D13EF4" w:rsidRDefault="00D13EF4" w:rsidP="00964ECB">
            <w:pPr>
              <w:pStyle w:val="Tabletext"/>
              <w:spacing w:before="50" w:after="50"/>
            </w:pPr>
            <w:r w:rsidRPr="00D13EF4">
              <w:t>Supporting awareness among RM decision-makers</w:t>
            </w:r>
          </w:p>
          <w:p w:rsidR="00D13EF4" w:rsidRPr="00D13EF4" w:rsidRDefault="00D13EF4" w:rsidP="00964ECB">
            <w:pPr>
              <w:pStyle w:val="Tabletext"/>
              <w:spacing w:before="50" w:after="50"/>
            </w:pPr>
            <w:r w:rsidRPr="00D13EF4">
              <w:t>Participating in international activities to ensure that BOIs are applying best practice</w:t>
            </w:r>
          </w:p>
          <w:p w:rsidR="00D13EF4" w:rsidRPr="00D13EF4" w:rsidRDefault="00D13EF4" w:rsidP="00964ECB">
            <w:pPr>
              <w:pStyle w:val="Tabletext"/>
              <w:spacing w:before="50" w:after="50"/>
            </w:pPr>
            <w:r w:rsidRPr="00D13EF4">
              <w:t>Recommending improvements and providing input to legislative changes</w:t>
            </w:r>
          </w:p>
        </w:tc>
      </w:tr>
    </w:tbl>
    <w:p w:rsidR="00D13EF4" w:rsidRPr="0088088F" w:rsidRDefault="00D13EF4" w:rsidP="00D13EF4">
      <w:pPr>
        <w:pStyle w:val="BodyText"/>
        <w:spacing w:before="0" w:after="0"/>
      </w:pPr>
    </w:p>
    <w:p w:rsidR="00D13EF4" w:rsidRDefault="00D13EF4" w:rsidP="00E66FA3">
      <w:pPr>
        <w:pStyle w:val="BodyText"/>
        <w:spacing w:before="0"/>
      </w:pPr>
      <w:r w:rsidRPr="00286167">
        <w:t xml:space="preserve">The current practice is for the EPA to charge </w:t>
      </w:r>
      <w:r>
        <w:t xml:space="preserve">applicants </w:t>
      </w:r>
      <w:r w:rsidRPr="00286167">
        <w:t>an hourly rate, which includes overheads, for the time spent supporting applications for NSPs. The EPA anticipates cost recovering approximately 55% of its NSP</w:t>
      </w:r>
      <w:r>
        <w:t>-</w:t>
      </w:r>
      <w:r w:rsidRPr="00286167">
        <w:t>related</w:t>
      </w:r>
      <w:r w:rsidR="00AE4A87">
        <w:t xml:space="preserve"> total</w:t>
      </w:r>
      <w:r w:rsidRPr="00286167">
        <w:t xml:space="preserve"> costs in 2014/15</w:t>
      </w:r>
      <w:r>
        <w:t xml:space="preserve">. </w:t>
      </w:r>
    </w:p>
    <w:p w:rsidR="00C95CD7" w:rsidRPr="006F1651" w:rsidRDefault="00C95CD7" w:rsidP="006F1651">
      <w:pPr>
        <w:pStyle w:val="Heading3"/>
      </w:pPr>
      <w:r w:rsidRPr="006F1651">
        <w:lastRenderedPageBreak/>
        <w:t>Accountability</w:t>
      </w:r>
    </w:p>
    <w:p w:rsidR="00C95CD7" w:rsidRPr="0088088F" w:rsidRDefault="00B604FE" w:rsidP="00C95CD7">
      <w:pPr>
        <w:pStyle w:val="BodyText"/>
      </w:pPr>
      <w:r>
        <w:t xml:space="preserve">The rates for cost recovery associated with the EPA’s functions for NSPs are set by the EPA. </w:t>
      </w:r>
      <w:r w:rsidR="00C95CD7">
        <w:t>The EPA’s policy for cost recovery of this function is provided on its website.</w:t>
      </w:r>
      <w:r w:rsidR="00C95CD7" w:rsidRPr="0088088F">
        <w:rPr>
          <w:rStyle w:val="FootnoteReference"/>
        </w:rPr>
        <w:footnoteReference w:id="8"/>
      </w:r>
      <w:r w:rsidR="00C95CD7" w:rsidRPr="0088088F">
        <w:t xml:space="preserve"> Table 3 provides the hourly rates currently charged by the EPA for supporting the NSP process. The rates are based on the average salary for each category of employee, plus overhead costs (comprising personnel costs for additional support staff, plus corporate overhead costs apportioned across</w:t>
      </w:r>
      <w:r w:rsidR="009505D8">
        <w:t> </w:t>
      </w:r>
      <w:r w:rsidR="00C95CD7" w:rsidRPr="0088088F">
        <w:t>all non-support staff), divided by an average of 1,352 working hours per staff member per annum</w:t>
      </w:r>
      <w:r w:rsidR="00C95CD7">
        <w:t>.</w:t>
      </w:r>
      <w:r w:rsidR="00C95CD7" w:rsidRPr="0088088F">
        <w:rPr>
          <w:rStyle w:val="FootnoteReference"/>
        </w:rPr>
        <w:footnoteReference w:id="9"/>
      </w:r>
      <w:r w:rsidR="00C95CD7" w:rsidRPr="0088088F">
        <w:t xml:space="preserve"> </w:t>
      </w:r>
    </w:p>
    <w:p w:rsidR="009505D8" w:rsidRPr="009505D8" w:rsidRDefault="009505D8" w:rsidP="009505D8">
      <w:pPr>
        <w:pStyle w:val="Tableheading"/>
      </w:pPr>
      <w:bookmarkStart w:id="86" w:name="_Toc414309821"/>
      <w:r w:rsidRPr="0088088F">
        <w:rPr>
          <w:lang w:eastAsia="en-NZ"/>
        </w:rPr>
        <w:t xml:space="preserve">Table 3: </w:t>
      </w:r>
      <w:r>
        <w:rPr>
          <w:lang w:eastAsia="en-NZ"/>
        </w:rPr>
        <w:tab/>
        <w:t>C</w:t>
      </w:r>
      <w:r w:rsidRPr="0088088F">
        <w:rPr>
          <w:lang w:eastAsia="en-NZ"/>
        </w:rPr>
        <w:t>urrent cost recovery rates for NSPs</w:t>
      </w:r>
      <w:bookmarkEnd w:id="86"/>
    </w:p>
    <w:tbl>
      <w:tblPr>
        <w:tblW w:w="5103" w:type="dxa"/>
        <w:tblInd w:w="113" w:type="dxa"/>
        <w:tblBorders>
          <w:top w:val="single" w:sz="4" w:space="0" w:color="17556C"/>
          <w:bottom w:val="single" w:sz="4" w:space="0" w:color="17556C"/>
          <w:insideH w:val="single" w:sz="4" w:space="0" w:color="17556C"/>
        </w:tblBorders>
        <w:tblLayout w:type="fixed"/>
        <w:tblLook w:val="04A0" w:firstRow="1" w:lastRow="0" w:firstColumn="1" w:lastColumn="0" w:noHBand="0" w:noVBand="1"/>
      </w:tblPr>
      <w:tblGrid>
        <w:gridCol w:w="3279"/>
        <w:gridCol w:w="1824"/>
      </w:tblGrid>
      <w:tr w:rsidR="009505D8" w:rsidRPr="009505D8" w:rsidTr="00C613DB">
        <w:trPr>
          <w:trHeight w:val="93"/>
        </w:trPr>
        <w:tc>
          <w:tcPr>
            <w:tcW w:w="2802" w:type="dxa"/>
            <w:tcBorders>
              <w:right w:val="single" w:sz="4" w:space="0" w:color="17556C"/>
            </w:tcBorders>
            <w:shd w:val="clear" w:color="auto" w:fill="17556C"/>
            <w:hideMark/>
          </w:tcPr>
          <w:p w:rsidR="009505D8" w:rsidRPr="009505D8" w:rsidRDefault="009505D8" w:rsidP="009505D8">
            <w:pPr>
              <w:pStyle w:val="TableTextbold"/>
              <w:rPr>
                <w:color w:val="FFFFFF" w:themeColor="background1"/>
              </w:rPr>
            </w:pPr>
            <w:r w:rsidRPr="009505D8">
              <w:rPr>
                <w:color w:val="FFFFFF" w:themeColor="background1"/>
              </w:rPr>
              <w:t>Category of staff</w:t>
            </w:r>
          </w:p>
        </w:tc>
        <w:tc>
          <w:tcPr>
            <w:tcW w:w="1559" w:type="dxa"/>
            <w:tcBorders>
              <w:left w:val="single" w:sz="4" w:space="0" w:color="17556C"/>
            </w:tcBorders>
            <w:shd w:val="clear" w:color="auto" w:fill="17556C"/>
            <w:hideMark/>
          </w:tcPr>
          <w:p w:rsidR="009505D8" w:rsidRPr="009505D8" w:rsidRDefault="009505D8" w:rsidP="009505D8">
            <w:pPr>
              <w:pStyle w:val="TableTextbold"/>
              <w:jc w:val="center"/>
              <w:rPr>
                <w:color w:val="FFFFFF" w:themeColor="background1"/>
              </w:rPr>
            </w:pPr>
            <w:r w:rsidRPr="009505D8">
              <w:rPr>
                <w:color w:val="FFFFFF" w:themeColor="background1"/>
              </w:rPr>
              <w:t>Hourly rate</w:t>
            </w:r>
          </w:p>
        </w:tc>
      </w:tr>
      <w:tr w:rsidR="009505D8" w:rsidRPr="009505D8" w:rsidTr="00C613DB">
        <w:trPr>
          <w:trHeight w:val="93"/>
        </w:trPr>
        <w:tc>
          <w:tcPr>
            <w:tcW w:w="2802" w:type="dxa"/>
            <w:tcBorders>
              <w:right w:val="single" w:sz="4" w:space="0" w:color="17556C"/>
            </w:tcBorders>
            <w:hideMark/>
          </w:tcPr>
          <w:p w:rsidR="009505D8" w:rsidRPr="009505D8" w:rsidRDefault="009505D8" w:rsidP="009505D8">
            <w:pPr>
              <w:pStyle w:val="Tabletext"/>
            </w:pPr>
            <w:r w:rsidRPr="009505D8">
              <w:t xml:space="preserve">Project administrator </w:t>
            </w:r>
          </w:p>
        </w:tc>
        <w:tc>
          <w:tcPr>
            <w:tcW w:w="1559" w:type="dxa"/>
            <w:tcBorders>
              <w:left w:val="single" w:sz="4" w:space="0" w:color="17556C"/>
            </w:tcBorders>
            <w:hideMark/>
          </w:tcPr>
          <w:p w:rsidR="009505D8" w:rsidRPr="009505D8" w:rsidRDefault="009505D8" w:rsidP="009505D8">
            <w:pPr>
              <w:pStyle w:val="Tabletext"/>
              <w:jc w:val="center"/>
            </w:pPr>
            <w:r w:rsidRPr="009505D8">
              <w:t>$90.96</w:t>
            </w:r>
          </w:p>
        </w:tc>
      </w:tr>
      <w:tr w:rsidR="009505D8" w:rsidRPr="009505D8" w:rsidTr="00C613DB">
        <w:trPr>
          <w:trHeight w:val="93"/>
        </w:trPr>
        <w:tc>
          <w:tcPr>
            <w:tcW w:w="2802" w:type="dxa"/>
            <w:tcBorders>
              <w:right w:val="single" w:sz="4" w:space="0" w:color="17556C"/>
            </w:tcBorders>
            <w:hideMark/>
          </w:tcPr>
          <w:p w:rsidR="009505D8" w:rsidRPr="009505D8" w:rsidRDefault="009505D8" w:rsidP="009505D8">
            <w:pPr>
              <w:pStyle w:val="Tabletext"/>
            </w:pPr>
            <w:r w:rsidRPr="009505D8">
              <w:t xml:space="preserve">EPA advisor </w:t>
            </w:r>
          </w:p>
        </w:tc>
        <w:tc>
          <w:tcPr>
            <w:tcW w:w="1559" w:type="dxa"/>
            <w:tcBorders>
              <w:left w:val="single" w:sz="4" w:space="0" w:color="17556C"/>
            </w:tcBorders>
            <w:hideMark/>
          </w:tcPr>
          <w:p w:rsidR="009505D8" w:rsidRPr="009505D8" w:rsidRDefault="009505D8" w:rsidP="009505D8">
            <w:pPr>
              <w:pStyle w:val="Tabletext"/>
              <w:jc w:val="center"/>
            </w:pPr>
            <w:r>
              <w:t>$</w:t>
            </w:r>
            <w:r w:rsidRPr="009505D8">
              <w:t>96.85</w:t>
            </w:r>
          </w:p>
        </w:tc>
      </w:tr>
      <w:tr w:rsidR="009505D8" w:rsidRPr="009505D8" w:rsidTr="00C613DB">
        <w:trPr>
          <w:trHeight w:val="93"/>
        </w:trPr>
        <w:tc>
          <w:tcPr>
            <w:tcW w:w="2802" w:type="dxa"/>
            <w:tcBorders>
              <w:right w:val="single" w:sz="4" w:space="0" w:color="17556C"/>
            </w:tcBorders>
            <w:hideMark/>
          </w:tcPr>
          <w:p w:rsidR="009505D8" w:rsidRPr="009505D8" w:rsidRDefault="009505D8" w:rsidP="009505D8">
            <w:pPr>
              <w:pStyle w:val="Tabletext"/>
            </w:pPr>
            <w:r w:rsidRPr="009505D8">
              <w:t xml:space="preserve">EPA senior advisor </w:t>
            </w:r>
          </w:p>
        </w:tc>
        <w:tc>
          <w:tcPr>
            <w:tcW w:w="1559" w:type="dxa"/>
            <w:tcBorders>
              <w:left w:val="single" w:sz="4" w:space="0" w:color="17556C"/>
            </w:tcBorders>
            <w:hideMark/>
          </w:tcPr>
          <w:p w:rsidR="009505D8" w:rsidRPr="009505D8" w:rsidRDefault="009505D8" w:rsidP="009505D8">
            <w:pPr>
              <w:pStyle w:val="Tabletext"/>
              <w:jc w:val="center"/>
            </w:pPr>
            <w:r>
              <w:t>$</w:t>
            </w:r>
            <w:r w:rsidRPr="009505D8">
              <w:t>108.43</w:t>
            </w:r>
          </w:p>
        </w:tc>
      </w:tr>
      <w:tr w:rsidR="009505D8" w:rsidRPr="009505D8" w:rsidTr="00C613DB">
        <w:trPr>
          <w:trHeight w:val="93"/>
        </w:trPr>
        <w:tc>
          <w:tcPr>
            <w:tcW w:w="2802" w:type="dxa"/>
            <w:tcBorders>
              <w:right w:val="single" w:sz="4" w:space="0" w:color="17556C"/>
            </w:tcBorders>
            <w:hideMark/>
          </w:tcPr>
          <w:p w:rsidR="009505D8" w:rsidRPr="009505D8" w:rsidRDefault="009505D8" w:rsidP="009505D8">
            <w:pPr>
              <w:pStyle w:val="Tabletext"/>
            </w:pPr>
            <w:r w:rsidRPr="009505D8">
              <w:t xml:space="preserve">Project leader </w:t>
            </w:r>
          </w:p>
        </w:tc>
        <w:tc>
          <w:tcPr>
            <w:tcW w:w="1559" w:type="dxa"/>
            <w:tcBorders>
              <w:left w:val="single" w:sz="4" w:space="0" w:color="17556C"/>
            </w:tcBorders>
            <w:hideMark/>
          </w:tcPr>
          <w:p w:rsidR="009505D8" w:rsidRPr="009505D8" w:rsidRDefault="009505D8" w:rsidP="009505D8">
            <w:pPr>
              <w:pStyle w:val="Tabletext"/>
              <w:jc w:val="center"/>
            </w:pPr>
            <w:r>
              <w:t>$</w:t>
            </w:r>
            <w:r w:rsidRPr="009505D8">
              <w:t>131.43</w:t>
            </w:r>
          </w:p>
        </w:tc>
      </w:tr>
    </w:tbl>
    <w:p w:rsidR="009505D8" w:rsidRPr="006F1651" w:rsidRDefault="009505D8" w:rsidP="006F1651">
      <w:pPr>
        <w:pStyle w:val="Heading3"/>
      </w:pPr>
      <w:r w:rsidRPr="006F1651">
        <w:t>Efficiency</w:t>
      </w:r>
    </w:p>
    <w:p w:rsidR="001B2813" w:rsidRDefault="001B2813" w:rsidP="008B10D0">
      <w:pPr>
        <w:pStyle w:val="BodyText"/>
      </w:pPr>
      <w:r>
        <w:rPr>
          <w:lang w:val="en-GB"/>
        </w:rPr>
        <w:t>The EPA sets hourly rates rather than them being set in regulation. The EPA considers this to be a fairer more accurate system of cost recovery for the applicant.</w:t>
      </w:r>
      <w:r w:rsidR="009505D8" w:rsidRPr="00286167">
        <w:rPr>
          <w:rStyle w:val="FootnoteReference"/>
        </w:rPr>
        <w:footnoteReference w:id="10"/>
      </w:r>
      <w:r w:rsidR="009505D8" w:rsidRPr="00286167">
        <w:t xml:space="preserve"> </w:t>
      </w:r>
    </w:p>
    <w:p w:rsidR="009505D8" w:rsidRPr="0088088F" w:rsidRDefault="009505D8" w:rsidP="008B10D0">
      <w:pPr>
        <w:pStyle w:val="BodyText"/>
      </w:pPr>
      <w:r>
        <w:t>However, p</w:t>
      </w:r>
      <w:r w:rsidRPr="0088088F">
        <w:t xml:space="preserve">roviding cost estimates for NSPs is complex and relies on numerous variables which change through the process. BOIs have no </w:t>
      </w:r>
      <w:r w:rsidR="001B2813">
        <w:t>over</w:t>
      </w:r>
      <w:r w:rsidRPr="0088088F">
        <w:t>sight of the</w:t>
      </w:r>
      <w:r>
        <w:t xml:space="preserve"> EPA </w:t>
      </w:r>
      <w:r w:rsidRPr="0088088F">
        <w:t>estimates and set their own inquiry procedures (for example</w:t>
      </w:r>
      <w:r>
        <w:t>,</w:t>
      </w:r>
      <w:r w:rsidRPr="0088088F">
        <w:t xml:space="preserve"> some Judges want legal counsel to be present for the entire hearing), therefore the process is not entirely repeatable between proposals and costs can be inconsistent</w:t>
      </w:r>
      <w:r>
        <w:t>.</w:t>
      </w:r>
      <w:r w:rsidRPr="0088088F">
        <w:t xml:space="preserve"> </w:t>
      </w:r>
      <w:r>
        <w:t xml:space="preserve">To manage this, the </w:t>
      </w:r>
      <w:r w:rsidRPr="0088088F">
        <w:t xml:space="preserve">EPA </w:t>
      </w:r>
      <w:r>
        <w:t>maintains</w:t>
      </w:r>
      <w:r w:rsidRPr="0088088F">
        <w:t xml:space="preserve"> budgets that are re-phased during the different stages of the process.</w:t>
      </w:r>
    </w:p>
    <w:p w:rsidR="009505D8" w:rsidRPr="006F1651" w:rsidRDefault="009505D8" w:rsidP="006F1651">
      <w:pPr>
        <w:pStyle w:val="Heading3"/>
      </w:pPr>
      <w:r w:rsidRPr="006F1651">
        <w:t>Recommendations</w:t>
      </w:r>
    </w:p>
    <w:p w:rsidR="00B604FE" w:rsidRDefault="00B604FE" w:rsidP="00B604FE">
      <w:pPr>
        <w:pStyle w:val="BodyText"/>
      </w:pPr>
      <w:r>
        <w:t>T</w:t>
      </w:r>
      <w:r w:rsidRPr="00E15A58">
        <w:t xml:space="preserve">he EPA can already recover the majority of the costs associated with </w:t>
      </w:r>
      <w:r w:rsidRPr="0088088F">
        <w:t>supporting NSP decision</w:t>
      </w:r>
      <w:r>
        <w:t>-</w:t>
      </w:r>
      <w:r w:rsidRPr="0088088F">
        <w:t>making</w:t>
      </w:r>
      <w:r>
        <w:t xml:space="preserve">. However, there appear to be </w:t>
      </w:r>
      <w:r w:rsidR="008724DB">
        <w:t>some options for increasing the figure actually recovered</w:t>
      </w:r>
      <w:r>
        <w:t xml:space="preserve"> figure:</w:t>
      </w:r>
    </w:p>
    <w:p w:rsidR="009505D8" w:rsidRPr="0088088F" w:rsidRDefault="009505D8" w:rsidP="00CA1036">
      <w:pPr>
        <w:pStyle w:val="Bullet"/>
      </w:pPr>
      <w:r>
        <w:t>T</w:t>
      </w:r>
      <w:r w:rsidRPr="0088088F">
        <w:t xml:space="preserve">he EPA could </w:t>
      </w:r>
      <w:r>
        <w:t xml:space="preserve">adjust overhead calculations to </w:t>
      </w:r>
      <w:r w:rsidRPr="0088088F">
        <w:t xml:space="preserve">recover more costs associated with maintaining a level of expertise to be able to manage applications and BOIs to a consistently high standard (including </w:t>
      </w:r>
      <w:r>
        <w:t xml:space="preserve">recovering a higher rate of overheads for </w:t>
      </w:r>
      <w:r w:rsidRPr="0088088F">
        <w:t xml:space="preserve">training, information provided to the community, and policy and legal communications and management). These costs have mixed benefits because they improve </w:t>
      </w:r>
      <w:r w:rsidRPr="00E15A58">
        <w:t>public understanding</w:t>
      </w:r>
      <w:r w:rsidRPr="0088088F">
        <w:t xml:space="preserve"> of the process and should result in improved public c</w:t>
      </w:r>
      <w:r w:rsidRPr="00E15A58">
        <w:t>onfidence in the system and process</w:t>
      </w:r>
      <w:r w:rsidRPr="0088088F">
        <w:t>. They may also benefit the applicant by improving the</w:t>
      </w:r>
      <w:r>
        <w:t xml:space="preserve"> overall efficiency and quality of </w:t>
      </w:r>
      <w:r w:rsidRPr="0088088F">
        <w:t xml:space="preserve">the BOI process. </w:t>
      </w:r>
    </w:p>
    <w:p w:rsidR="009505D8" w:rsidRDefault="008724DB" w:rsidP="00CA1036">
      <w:pPr>
        <w:pStyle w:val="Bullet"/>
      </w:pPr>
      <w:r>
        <w:t>A</w:t>
      </w:r>
      <w:r w:rsidR="0038519C">
        <w:t xml:space="preserve">t present, the EPA does not charge for initial meetings and the EPA could consider increasing the scope of costs it recovers during the pre-application process. </w:t>
      </w:r>
      <w:r w:rsidR="0038519C" w:rsidRPr="0038519C">
        <w:rPr>
          <w:sz w:val="24"/>
          <w:szCs w:val="24"/>
        </w:rPr>
        <w:t xml:space="preserve"> </w:t>
      </w:r>
      <w:r w:rsidR="009505D8" w:rsidRPr="0088088F">
        <w:t xml:space="preserve">There are private benefits to the applicant in receiving advice and information pre-application to </w:t>
      </w:r>
      <w:r w:rsidR="009505D8" w:rsidRPr="0088088F">
        <w:lastRenderedPageBreak/>
        <w:t>test the adequacy of their evidence and application</w:t>
      </w:r>
      <w:r w:rsidR="009505D8">
        <w:t>, and these could be recovered where an application is subsequently made</w:t>
      </w:r>
      <w:r w:rsidR="009505D8" w:rsidRPr="0088088F">
        <w:t xml:space="preserve">. </w:t>
      </w:r>
    </w:p>
    <w:p w:rsidR="009505D8" w:rsidRDefault="009505D8" w:rsidP="00CA1036">
      <w:pPr>
        <w:pStyle w:val="Bullet"/>
      </w:pPr>
      <w:r>
        <w:t>T</w:t>
      </w:r>
      <w:r w:rsidRPr="000F4449">
        <w:t xml:space="preserve">he Ministry and the EPA </w:t>
      </w:r>
      <w:r>
        <w:t xml:space="preserve">should </w:t>
      </w:r>
      <w:r w:rsidRPr="000F4449">
        <w:t>jointly review existing charge out rates to confirm whether they need to be</w:t>
      </w:r>
      <w:r>
        <w:t xml:space="preserve"> adjusted.</w:t>
      </w:r>
    </w:p>
    <w:p w:rsidR="00993467" w:rsidRDefault="009505D8" w:rsidP="00CA1036">
      <w:pPr>
        <w:pStyle w:val="BodyText"/>
      </w:pPr>
      <w:r w:rsidRPr="000B4120">
        <w:t>It should be noted that increased cost recovery would increase applicant costs, and this should be taken into account before making any amendments to the regime.</w:t>
      </w:r>
    </w:p>
    <w:p w:rsidR="00785ECD" w:rsidRPr="00291E49" w:rsidRDefault="00785ECD" w:rsidP="00291E49">
      <w:pPr>
        <w:pStyle w:val="Heading2"/>
      </w:pPr>
      <w:bookmarkStart w:id="87" w:name="_Toc414309454"/>
      <w:bookmarkStart w:id="88" w:name="_Toc417469869"/>
      <w:r w:rsidRPr="00291E49">
        <w:t>Consenting and monitoring activities (EEZ Act)</w:t>
      </w:r>
      <w:bookmarkEnd w:id="87"/>
      <w:bookmarkEnd w:id="88"/>
    </w:p>
    <w:p w:rsidR="00785ECD" w:rsidRPr="006F1651" w:rsidRDefault="00785ECD" w:rsidP="006F1651">
      <w:pPr>
        <w:pStyle w:val="Heading3"/>
      </w:pPr>
      <w:bookmarkStart w:id="89" w:name="_Toc401758760"/>
      <w:bookmarkStart w:id="90" w:name="_Toc401819788"/>
      <w:bookmarkStart w:id="91" w:name="_Toc401844337"/>
      <w:bookmarkStart w:id="92" w:name="_Toc402340091"/>
      <w:bookmarkStart w:id="93" w:name="_Toc402435512"/>
      <w:bookmarkStart w:id="94" w:name="_Toc405450353"/>
      <w:r w:rsidRPr="006F1651">
        <w:t>Context</w:t>
      </w:r>
      <w:bookmarkEnd w:id="89"/>
      <w:bookmarkEnd w:id="90"/>
      <w:bookmarkEnd w:id="91"/>
      <w:bookmarkEnd w:id="92"/>
      <w:bookmarkEnd w:id="93"/>
      <w:bookmarkEnd w:id="94"/>
    </w:p>
    <w:p w:rsidR="00785ECD" w:rsidRDefault="00785ECD" w:rsidP="00785ECD">
      <w:pPr>
        <w:pStyle w:val="BodyText"/>
      </w:pPr>
      <w:r>
        <w:t>The EPA is responsible for making decisions on applications for marine consents to undertake activities in the Exclusive Economic Zone and continental shelf (the EEZ). It is also responsible for monitoring activities in the EEZ, and enforcing compliance with the permitted activity regulations and any conditions of marine consents. The EPA’s roles include:</w:t>
      </w:r>
      <w:r>
        <w:rPr>
          <w:rStyle w:val="FootnoteReference"/>
        </w:rPr>
        <w:footnoteReference w:id="11"/>
      </w:r>
    </w:p>
    <w:p w:rsidR="00785ECD" w:rsidRDefault="00785ECD" w:rsidP="00785ECD">
      <w:pPr>
        <w:pStyle w:val="Bullet"/>
      </w:pPr>
      <w:r>
        <w:t>making decisions on marine consents and rulings</w:t>
      </w:r>
    </w:p>
    <w:p w:rsidR="00785ECD" w:rsidRDefault="00785ECD" w:rsidP="00785ECD">
      <w:pPr>
        <w:pStyle w:val="Bullet"/>
      </w:pPr>
      <w:r>
        <w:t>providing advice and support for EEZ processes and committees, including supporting and advising applicants and submitters</w:t>
      </w:r>
    </w:p>
    <w:p w:rsidR="00785ECD" w:rsidRDefault="00785ECD" w:rsidP="00785ECD">
      <w:pPr>
        <w:pStyle w:val="Bullet"/>
      </w:pPr>
      <w:r>
        <w:t>monitoring and enforcement of the permitted activities regulations and conditions of marine consents</w:t>
      </w:r>
    </w:p>
    <w:p w:rsidR="00785ECD" w:rsidRDefault="00785ECD" w:rsidP="00785ECD">
      <w:pPr>
        <w:pStyle w:val="Bullet"/>
      </w:pPr>
      <w:proofErr w:type="gramStart"/>
      <w:r>
        <w:t>making</w:t>
      </w:r>
      <w:proofErr w:type="gramEnd"/>
      <w:r>
        <w:t xml:space="preserve"> recommendations on improvements.</w:t>
      </w:r>
    </w:p>
    <w:p w:rsidR="00785ECD" w:rsidRPr="006F1651" w:rsidRDefault="00785ECD" w:rsidP="006F1651">
      <w:pPr>
        <w:pStyle w:val="Heading3"/>
      </w:pPr>
      <w:r w:rsidRPr="006F1651">
        <w:t>Authority</w:t>
      </w:r>
    </w:p>
    <w:p w:rsidR="00785ECD" w:rsidRDefault="00785ECD" w:rsidP="00785ECD">
      <w:pPr>
        <w:pStyle w:val="BodyText"/>
      </w:pPr>
      <w:r>
        <w:t>The Exclusive Economic Zone and Continental Shelf (Environmental Effects) Act 2012 (the EEZ Act) enables the EPA to recover the direct and indirect costs associated with performing its functions under this Act, where there is no appropriation from Parliament to cover costs. The EEZ Act details which functions and services can be charged for</w:t>
      </w:r>
      <w:r>
        <w:rPr>
          <w:rStyle w:val="FootnoteReference"/>
        </w:rPr>
        <w:footnoteReference w:id="12"/>
      </w:r>
      <w:r>
        <w:t xml:space="preserve"> and identifies the different mechanisms that might be used for cost recovery.</w:t>
      </w:r>
      <w:r>
        <w:rPr>
          <w:rStyle w:val="FootnoteReference"/>
        </w:rPr>
        <w:footnoteReference w:id="13"/>
      </w:r>
      <w:r>
        <w:t xml:space="preserve"> It also requires that the charges be prescribed in regulations.</w:t>
      </w:r>
      <w:r>
        <w:rPr>
          <w:rStyle w:val="FootnoteReference"/>
        </w:rPr>
        <w:footnoteReference w:id="14"/>
      </w:r>
      <w:r>
        <w:t xml:space="preserve"> </w:t>
      </w:r>
    </w:p>
    <w:p w:rsidR="00785ECD" w:rsidRDefault="00785ECD" w:rsidP="00785ECD">
      <w:pPr>
        <w:pStyle w:val="BodyText"/>
      </w:pPr>
      <w:r>
        <w:t>The corresponding regulations are the Exclusive Economic Zone and Continental Shelf (Fees and Charges) Regulations 2013. These regulations prescribe the hourly rate that can be charged by the EPA and stipulate that charging for the EPA’s EEZ monitoring functions is limited to 80% of the prescribed hourly rates.</w:t>
      </w:r>
    </w:p>
    <w:p w:rsidR="00785ECD" w:rsidRPr="006F1651" w:rsidRDefault="00785ECD" w:rsidP="006F1651">
      <w:pPr>
        <w:pStyle w:val="Heading3"/>
      </w:pPr>
      <w:r w:rsidRPr="006F1651">
        <w:t>Justification</w:t>
      </w:r>
    </w:p>
    <w:p w:rsidR="00785ECD" w:rsidRPr="004F04E3" w:rsidRDefault="00785ECD" w:rsidP="00785ECD">
      <w:pPr>
        <w:pStyle w:val="BodyText"/>
      </w:pPr>
      <w:r>
        <w:t xml:space="preserve">Making consent decisions and monitoring activities in the EEZ </w:t>
      </w:r>
      <w:r w:rsidRPr="004F04E3">
        <w:t xml:space="preserve">results in benefits </w:t>
      </w:r>
      <w:proofErr w:type="gramStart"/>
      <w:r w:rsidRPr="004F04E3">
        <w:t>that accrue</w:t>
      </w:r>
      <w:proofErr w:type="gramEnd"/>
      <w:r w:rsidRPr="004F04E3">
        <w:t xml:space="preserve"> to applicants a</w:t>
      </w:r>
      <w:r w:rsidRPr="00EA3CFC">
        <w:t>nd to the public more generally</w:t>
      </w:r>
      <w:r>
        <w:t>. These are outlined in table 4 below.</w:t>
      </w:r>
    </w:p>
    <w:p w:rsidR="00785ECD" w:rsidRPr="00937EF7" w:rsidRDefault="00785ECD" w:rsidP="00785ECD">
      <w:pPr>
        <w:pStyle w:val="Tableheading"/>
        <w:rPr>
          <w:lang w:eastAsia="en-NZ"/>
        </w:rPr>
      </w:pPr>
      <w:bookmarkStart w:id="95" w:name="_Toc414309822"/>
      <w:r w:rsidRPr="00785ECD">
        <w:lastRenderedPageBreak/>
        <w:t xml:space="preserve">Table 4: </w:t>
      </w:r>
      <w:r>
        <w:tab/>
      </w:r>
      <w:r w:rsidRPr="00785ECD">
        <w:t>Assessing who benefits from the EEZ activities</w:t>
      </w:r>
      <w:bookmarkEnd w:id="95"/>
    </w:p>
    <w:tbl>
      <w:tblPr>
        <w:tblW w:w="8505" w:type="dxa"/>
        <w:tblInd w:w="108" w:type="dxa"/>
        <w:tblBorders>
          <w:top w:val="single" w:sz="4" w:space="0" w:color="17556C"/>
          <w:bottom w:val="single" w:sz="4" w:space="0" w:color="17556C"/>
        </w:tblBorders>
        <w:tblLayout w:type="fixed"/>
        <w:tblLook w:val="04A0" w:firstRow="1" w:lastRow="0" w:firstColumn="1" w:lastColumn="0" w:noHBand="0" w:noVBand="1"/>
      </w:tblPr>
      <w:tblGrid>
        <w:gridCol w:w="2293"/>
        <w:gridCol w:w="2410"/>
        <w:gridCol w:w="3802"/>
      </w:tblGrid>
      <w:tr w:rsidR="003B0F8B" w:rsidRPr="003B0F8B" w:rsidTr="00F842C8">
        <w:tc>
          <w:tcPr>
            <w:tcW w:w="2293" w:type="dxa"/>
            <w:tcBorders>
              <w:top w:val="single" w:sz="4" w:space="0" w:color="17556C"/>
              <w:bottom w:val="single" w:sz="4" w:space="0" w:color="17556C"/>
              <w:right w:val="single" w:sz="4" w:space="0" w:color="17556C"/>
            </w:tcBorders>
            <w:shd w:val="clear" w:color="auto" w:fill="17556C"/>
            <w:hideMark/>
          </w:tcPr>
          <w:p w:rsidR="00785ECD" w:rsidRPr="003B0F8B" w:rsidRDefault="00A65FCE" w:rsidP="00A65FCE">
            <w:pPr>
              <w:pStyle w:val="TableTextbold"/>
              <w:rPr>
                <w:color w:val="FFFFFF" w:themeColor="background1"/>
              </w:rPr>
            </w:pPr>
            <w:r>
              <w:rPr>
                <w:color w:val="FFFFFF" w:themeColor="background1"/>
              </w:rPr>
              <w:t>Mostly p</w:t>
            </w:r>
            <w:r w:rsidR="00785ECD" w:rsidRPr="003B0F8B">
              <w:rPr>
                <w:color w:val="FFFFFF" w:themeColor="background1"/>
              </w:rPr>
              <w:t>rivate benefit</w:t>
            </w:r>
            <w:r>
              <w:rPr>
                <w:color w:val="FFFFFF" w:themeColor="background1"/>
              </w:rPr>
              <w:t>s</w:t>
            </w:r>
          </w:p>
        </w:tc>
        <w:tc>
          <w:tcPr>
            <w:tcW w:w="2410" w:type="dxa"/>
            <w:tcBorders>
              <w:top w:val="single" w:sz="4" w:space="0" w:color="17556C"/>
              <w:left w:val="single" w:sz="4" w:space="0" w:color="17556C"/>
              <w:bottom w:val="single" w:sz="4" w:space="0" w:color="17556C"/>
              <w:right w:val="single" w:sz="4" w:space="0" w:color="17556C"/>
            </w:tcBorders>
            <w:shd w:val="clear" w:color="auto" w:fill="17556C"/>
            <w:hideMark/>
          </w:tcPr>
          <w:p w:rsidR="00785ECD" w:rsidRPr="003B0F8B" w:rsidRDefault="00785ECD" w:rsidP="00A65FCE">
            <w:pPr>
              <w:pStyle w:val="TableTextbold"/>
              <w:rPr>
                <w:color w:val="FFFFFF" w:themeColor="background1"/>
              </w:rPr>
            </w:pPr>
            <w:r w:rsidRPr="003B0F8B">
              <w:rPr>
                <w:color w:val="FFFFFF" w:themeColor="background1"/>
              </w:rPr>
              <w:t>Mixed benefit</w:t>
            </w:r>
            <w:r w:rsidR="00A65FCE">
              <w:rPr>
                <w:color w:val="FFFFFF" w:themeColor="background1"/>
              </w:rPr>
              <w:t>s</w:t>
            </w:r>
          </w:p>
        </w:tc>
        <w:tc>
          <w:tcPr>
            <w:tcW w:w="3802" w:type="dxa"/>
            <w:tcBorders>
              <w:top w:val="single" w:sz="4" w:space="0" w:color="17556C"/>
              <w:left w:val="single" w:sz="4" w:space="0" w:color="17556C"/>
              <w:bottom w:val="single" w:sz="4" w:space="0" w:color="17556C"/>
            </w:tcBorders>
            <w:shd w:val="clear" w:color="auto" w:fill="17556C"/>
            <w:hideMark/>
          </w:tcPr>
          <w:p w:rsidR="00785ECD" w:rsidRPr="003B0F8B" w:rsidRDefault="00A65FCE" w:rsidP="00A65FCE">
            <w:pPr>
              <w:pStyle w:val="TableTextbold"/>
              <w:rPr>
                <w:color w:val="FFFFFF" w:themeColor="background1"/>
              </w:rPr>
            </w:pPr>
            <w:r>
              <w:rPr>
                <w:color w:val="FFFFFF" w:themeColor="background1"/>
              </w:rPr>
              <w:t>Mostly p</w:t>
            </w:r>
            <w:r w:rsidR="00785ECD" w:rsidRPr="003B0F8B">
              <w:rPr>
                <w:color w:val="FFFFFF" w:themeColor="background1"/>
              </w:rPr>
              <w:t>ublic benefit</w:t>
            </w:r>
            <w:r>
              <w:rPr>
                <w:color w:val="FFFFFF" w:themeColor="background1"/>
              </w:rPr>
              <w:t>s</w:t>
            </w:r>
          </w:p>
        </w:tc>
      </w:tr>
      <w:tr w:rsidR="00964ECB" w:rsidTr="00F842C8">
        <w:tc>
          <w:tcPr>
            <w:tcW w:w="2293" w:type="dxa"/>
            <w:tcBorders>
              <w:top w:val="single" w:sz="4" w:space="0" w:color="17556C"/>
              <w:right w:val="single" w:sz="4" w:space="0" w:color="17556C"/>
            </w:tcBorders>
          </w:tcPr>
          <w:p w:rsidR="00785ECD" w:rsidRDefault="00785ECD" w:rsidP="00D51A34">
            <w:pPr>
              <w:pStyle w:val="Tabletext"/>
              <w:spacing w:before="50" w:after="50"/>
            </w:pPr>
            <w:r>
              <w:t>Pre-application assistance</w:t>
            </w:r>
          </w:p>
          <w:p w:rsidR="00785ECD" w:rsidRDefault="00785ECD" w:rsidP="00D51A34">
            <w:pPr>
              <w:pStyle w:val="Tabletext"/>
              <w:spacing w:before="50" w:after="50"/>
              <w:rPr>
                <w:highlight w:val="yellow"/>
              </w:rPr>
            </w:pPr>
            <w:r>
              <w:t>Processing and deciding applications</w:t>
            </w:r>
          </w:p>
        </w:tc>
        <w:tc>
          <w:tcPr>
            <w:tcW w:w="2410" w:type="dxa"/>
            <w:tcBorders>
              <w:top w:val="single" w:sz="4" w:space="0" w:color="17556C"/>
              <w:left w:val="single" w:sz="4" w:space="0" w:color="17556C"/>
              <w:bottom w:val="single" w:sz="4" w:space="0" w:color="17556C"/>
              <w:right w:val="single" w:sz="4" w:space="0" w:color="17556C"/>
            </w:tcBorders>
            <w:hideMark/>
          </w:tcPr>
          <w:p w:rsidR="00785ECD" w:rsidRDefault="00785ECD" w:rsidP="00D51A34">
            <w:pPr>
              <w:pStyle w:val="Tabletext"/>
              <w:spacing w:before="50" w:after="50"/>
            </w:pPr>
            <w:r>
              <w:t>Providing information and advice to assist potential applicants and submitters</w:t>
            </w:r>
          </w:p>
          <w:p w:rsidR="00785ECD" w:rsidRDefault="00785ECD" w:rsidP="00D51A34">
            <w:pPr>
              <w:pStyle w:val="Tabletext"/>
              <w:spacing w:before="50" w:after="50"/>
            </w:pPr>
            <w:r>
              <w:t>Monitoring consents, existing activities and permitted activities</w:t>
            </w:r>
            <w:r>
              <w:rPr>
                <w:vertAlign w:val="superscript"/>
              </w:rPr>
              <w:t>1</w:t>
            </w:r>
            <w:r>
              <w:t xml:space="preserve"> </w:t>
            </w:r>
          </w:p>
          <w:p w:rsidR="00785ECD" w:rsidRDefault="00785ECD" w:rsidP="00D51A34">
            <w:pPr>
              <w:pStyle w:val="Tabletext"/>
              <w:spacing w:before="50" w:after="50"/>
              <w:rPr>
                <w:highlight w:val="yellow"/>
                <w:vertAlign w:val="superscript"/>
              </w:rPr>
            </w:pPr>
            <w:r>
              <w:t>Appeals</w:t>
            </w:r>
            <w:r>
              <w:rPr>
                <w:vertAlign w:val="superscript"/>
              </w:rPr>
              <w:t>2</w:t>
            </w:r>
          </w:p>
        </w:tc>
        <w:tc>
          <w:tcPr>
            <w:tcW w:w="3802" w:type="dxa"/>
            <w:tcBorders>
              <w:top w:val="single" w:sz="4" w:space="0" w:color="17556C"/>
              <w:left w:val="single" w:sz="4" w:space="0" w:color="17556C"/>
            </w:tcBorders>
            <w:hideMark/>
          </w:tcPr>
          <w:p w:rsidR="00785ECD" w:rsidRDefault="00785ECD" w:rsidP="00D51A34">
            <w:pPr>
              <w:pStyle w:val="Tabletext"/>
              <w:spacing w:before="50" w:after="50"/>
            </w:pPr>
            <w:r>
              <w:t>Enforcement activities</w:t>
            </w:r>
          </w:p>
          <w:p w:rsidR="00785ECD" w:rsidRDefault="00785ECD" w:rsidP="00D51A34">
            <w:pPr>
              <w:pStyle w:val="Tabletext"/>
              <w:spacing w:before="50" w:after="50"/>
            </w:pPr>
            <w:r>
              <w:t>Internal government and international reporting</w:t>
            </w:r>
          </w:p>
          <w:p w:rsidR="00785ECD" w:rsidRDefault="00785ECD" w:rsidP="00D51A34">
            <w:pPr>
              <w:pStyle w:val="Tabletext"/>
              <w:spacing w:before="50" w:after="50"/>
            </w:pPr>
            <w:r>
              <w:t>Education and public information awareness</w:t>
            </w:r>
          </w:p>
          <w:p w:rsidR="00785ECD" w:rsidRDefault="00785ECD" w:rsidP="00D51A34">
            <w:pPr>
              <w:pStyle w:val="Tabletext"/>
              <w:spacing w:before="50" w:after="50"/>
            </w:pPr>
            <w:r>
              <w:t>Participating in international activities to ensure applying best practice</w:t>
            </w:r>
          </w:p>
          <w:p w:rsidR="00785ECD" w:rsidRDefault="00785ECD" w:rsidP="00D51A34">
            <w:pPr>
              <w:pStyle w:val="Tabletext"/>
              <w:spacing w:before="50" w:after="50"/>
              <w:rPr>
                <w:highlight w:val="yellow"/>
              </w:rPr>
            </w:pPr>
            <w:r>
              <w:t>Recommending improvements and providing input to legislation changes</w:t>
            </w:r>
          </w:p>
        </w:tc>
      </w:tr>
    </w:tbl>
    <w:p w:rsidR="00785ECD" w:rsidRPr="0088088F" w:rsidRDefault="00785ECD" w:rsidP="00D51A34">
      <w:pPr>
        <w:pStyle w:val="Note"/>
        <w:spacing w:before="200"/>
        <w:ind w:left="284" w:hanging="284"/>
      </w:pPr>
      <w:r w:rsidRPr="0088088F">
        <w:rPr>
          <w:vertAlign w:val="superscript"/>
        </w:rPr>
        <w:t>1</w:t>
      </w:r>
      <w:r w:rsidRPr="0088088F">
        <w:t xml:space="preserve"> </w:t>
      </w:r>
      <w:r w:rsidR="007F22E9">
        <w:tab/>
      </w:r>
      <w:r w:rsidRPr="0088088F">
        <w:t xml:space="preserve">Note monitoring of activities that are permitted under international obligations, </w:t>
      </w:r>
      <w:r w:rsidR="00700515">
        <w:t xml:space="preserve">and </w:t>
      </w:r>
      <w:r>
        <w:t>g</w:t>
      </w:r>
      <w:r w:rsidRPr="0088088F">
        <w:t>overnment-funded permitted activities</w:t>
      </w:r>
      <w:r w:rsidR="00700515">
        <w:t>,</w:t>
      </w:r>
      <w:r w:rsidRPr="0088088F">
        <w:t xml:space="preserve"> are currently not cost recovered.</w:t>
      </w:r>
    </w:p>
    <w:p w:rsidR="00785ECD" w:rsidRPr="0088088F" w:rsidRDefault="00785ECD" w:rsidP="000D564A">
      <w:pPr>
        <w:pStyle w:val="Note"/>
        <w:spacing w:before="60" w:after="120"/>
        <w:ind w:left="284" w:hanging="284"/>
      </w:pPr>
      <w:r w:rsidRPr="0088088F">
        <w:rPr>
          <w:vertAlign w:val="superscript"/>
        </w:rPr>
        <w:t>2</w:t>
      </w:r>
      <w:r w:rsidRPr="0088088F">
        <w:t xml:space="preserve"> </w:t>
      </w:r>
      <w:r w:rsidR="007F22E9">
        <w:tab/>
      </w:r>
      <w:r w:rsidRPr="0088088F">
        <w:t>There is uncertainty on where the benefit of an appeal lies until the decision has been made.</w:t>
      </w:r>
      <w:r w:rsidR="006631F4">
        <w:t xml:space="preserve"> </w:t>
      </w:r>
      <w:r w:rsidRPr="0088088F">
        <w:t>Therefore</w:t>
      </w:r>
      <w:r>
        <w:t>,</w:t>
      </w:r>
      <w:r w:rsidRPr="0088088F">
        <w:t xml:space="preserve"> this activity is not cost recovered, but the EPA can seek to recover costs from the appellant where an appeal is unsuccessful.</w:t>
      </w:r>
    </w:p>
    <w:p w:rsidR="003B0F8B" w:rsidRPr="0088088F" w:rsidRDefault="003B0F8B" w:rsidP="007028A0">
      <w:pPr>
        <w:pStyle w:val="Heading4"/>
      </w:pPr>
      <w:r w:rsidRPr="0088088F">
        <w:t>Consenting activities</w:t>
      </w:r>
    </w:p>
    <w:p w:rsidR="003B0F8B" w:rsidRPr="003B0F8B" w:rsidRDefault="003B0F8B" w:rsidP="003B0F8B">
      <w:pPr>
        <w:pStyle w:val="BodyText"/>
      </w:pPr>
      <w:r>
        <w:t>Consenting benefits fall largely to the operator who benefits from receiving access to a public natural resource.</w:t>
      </w:r>
    </w:p>
    <w:p w:rsidR="00700515" w:rsidRDefault="003B0F8B" w:rsidP="00700515">
      <w:pPr>
        <w:jc w:val="left"/>
        <w:rPr>
          <w:sz w:val="24"/>
          <w:szCs w:val="24"/>
        </w:rPr>
      </w:pPr>
      <w:r w:rsidRPr="0088088F">
        <w:t xml:space="preserve">All costs associated with making rulings, preparing, processing and deciding marine consents are considered to benefit the applicant and </w:t>
      </w:r>
      <w:r>
        <w:t>the EPA looks to cost-</w:t>
      </w:r>
      <w:r w:rsidRPr="0088088F">
        <w:t>recover</w:t>
      </w:r>
      <w:r>
        <w:t xml:space="preserve"> these services. </w:t>
      </w:r>
    </w:p>
    <w:p w:rsidR="003B0F8B" w:rsidRPr="0088088F" w:rsidRDefault="003B0F8B" w:rsidP="007028A0">
      <w:pPr>
        <w:pStyle w:val="Heading4"/>
      </w:pPr>
      <w:r w:rsidRPr="0088088F">
        <w:t xml:space="preserve">Monitoring activities </w:t>
      </w:r>
    </w:p>
    <w:p w:rsidR="003B0F8B" w:rsidRDefault="003B0F8B" w:rsidP="00E74BFA">
      <w:pPr>
        <w:pStyle w:val="BodyText"/>
        <w:spacing w:after="100"/>
      </w:pPr>
      <w:r>
        <w:t>Cost recovery for monitoring activities is limited to 80% of the prescribed hourly rates. Alternative ratios for cost recovery were considered when the EEZ cost recovery regime was established,</w:t>
      </w:r>
      <w:r>
        <w:rPr>
          <w:rStyle w:val="FootnoteReference"/>
        </w:rPr>
        <w:footnoteReference w:id="15"/>
      </w:r>
      <w:r>
        <w:t xml:space="preserve"> but the limit was adopted on the basis that:</w:t>
      </w:r>
    </w:p>
    <w:p w:rsidR="003B0F8B" w:rsidRDefault="003B0F8B" w:rsidP="00E74BFA">
      <w:pPr>
        <w:pStyle w:val="Bullet"/>
        <w:spacing w:after="100"/>
      </w:pPr>
      <w:r>
        <w:t xml:space="preserve">operators are gaining private benefit from access to a public natural resource so the financial burden for ensuring activities are operating within environmentally sound limits should fall primarily on those directly benefiting from the resource </w:t>
      </w:r>
    </w:p>
    <w:p w:rsidR="003B0F8B" w:rsidRDefault="003B0F8B" w:rsidP="00E74BFA">
      <w:pPr>
        <w:pStyle w:val="Bullet"/>
        <w:spacing w:after="100"/>
      </w:pPr>
      <w:proofErr w:type="gramStart"/>
      <w:r>
        <w:t>monitoring</w:t>
      </w:r>
      <w:proofErr w:type="gramEnd"/>
      <w:r>
        <w:t xml:space="preserve"> is part of the suite of conditions which provide operators with their ‘social license’ to undertake an activity. Monitoring will also likely result in greater regulatory certainty for operators in the long term through an enhanced understanding of the environmental effects of activities</w:t>
      </w:r>
    </w:p>
    <w:p w:rsidR="003B0F8B" w:rsidRDefault="003B0F8B" w:rsidP="00E74BFA">
      <w:pPr>
        <w:pStyle w:val="Bullet"/>
        <w:spacing w:after="100"/>
      </w:pPr>
      <w:r w:rsidRPr="009D65B1">
        <w:t>the EPA should bear some costs to incen</w:t>
      </w:r>
      <w:r w:rsidRPr="00312991">
        <w:t>tivise it to limit the monitoring functions to only what is necessary to ensure compliance, rather than collecting excess information</w:t>
      </w:r>
    </w:p>
    <w:p w:rsidR="003B0F8B" w:rsidRDefault="003B0F8B" w:rsidP="003B0F8B">
      <w:pPr>
        <w:pStyle w:val="Bullet"/>
      </w:pPr>
      <w:proofErr w:type="gramStart"/>
      <w:r w:rsidRPr="009D65B1">
        <w:t>monitoring</w:t>
      </w:r>
      <w:proofErr w:type="gramEnd"/>
      <w:r w:rsidRPr="009D65B1">
        <w:t xml:space="preserve"> results in wider public benefits. Knowledge of the interaction between acti</w:t>
      </w:r>
      <w:r w:rsidRPr="00312991">
        <w:t>vities and the environment in the EEZ and continental shelf will be gained from the information provided by operators</w:t>
      </w:r>
      <w:r>
        <w:t xml:space="preserve"> and t</w:t>
      </w:r>
      <w:r w:rsidRPr="00312991">
        <w:t>his will inform better decision</w:t>
      </w:r>
      <w:r>
        <w:t>-</w:t>
      </w:r>
      <w:r w:rsidRPr="00312991">
        <w:t xml:space="preserve">making at both the operational and policy level. Monitoring of individual marine consents and permitted activities will </w:t>
      </w:r>
      <w:r>
        <w:t xml:space="preserve">also </w:t>
      </w:r>
      <w:r w:rsidRPr="00312991">
        <w:t xml:space="preserve">feed into the EPA’s monitoring of cumulative effects. </w:t>
      </w:r>
    </w:p>
    <w:p w:rsidR="003B0F8B" w:rsidRPr="00312991" w:rsidRDefault="003B0F8B" w:rsidP="003B0F8B">
      <w:pPr>
        <w:pStyle w:val="BodyText"/>
      </w:pPr>
      <w:r>
        <w:t xml:space="preserve">This year the EPA anticipates recovering 12% of monitoring costs. </w:t>
      </w:r>
      <w:r w:rsidRPr="0070553A">
        <w:t>Th</w:t>
      </w:r>
      <w:r>
        <w:t xml:space="preserve">is figure may reflect that the regime is relatively new and there is a limited amount of monitoring activity occurring at the moment, but that investment </w:t>
      </w:r>
      <w:r w:rsidR="007A30A1">
        <w:t xml:space="preserve">has been necessary to provide education/information to the sector, and to </w:t>
      </w:r>
      <w:r>
        <w:t>ensure</w:t>
      </w:r>
      <w:r w:rsidR="007A30A1">
        <w:t xml:space="preserve"> the EPA has</w:t>
      </w:r>
      <w:r>
        <w:t xml:space="preserve"> capacity to carry out monitoring in the future.</w:t>
      </w:r>
    </w:p>
    <w:p w:rsidR="003B0F8B" w:rsidRPr="006F1651" w:rsidRDefault="003B0F8B" w:rsidP="006F1651">
      <w:pPr>
        <w:pStyle w:val="Heading3"/>
      </w:pPr>
      <w:r w:rsidRPr="006F1651">
        <w:lastRenderedPageBreak/>
        <w:t>Accountability</w:t>
      </w:r>
    </w:p>
    <w:p w:rsidR="003B0F8B" w:rsidRDefault="003B0F8B" w:rsidP="003B0F8B">
      <w:pPr>
        <w:pStyle w:val="BodyText"/>
      </w:pPr>
      <w:r>
        <w:t>The EEZ cost recovery regime was first consulted on in 2012 as part of the consultation on the regulations to be made under the EEZ Act. This component of the consultation included identifying who benefited from an activity, and therefore where cost recovery was appropriate, and the different possible methods for recovering costs.</w:t>
      </w:r>
      <w:r>
        <w:rPr>
          <w:rStyle w:val="FootnoteReference"/>
        </w:rPr>
        <w:footnoteReference w:id="16"/>
      </w:r>
    </w:p>
    <w:p w:rsidR="00141C23" w:rsidRDefault="003B0F8B" w:rsidP="003B0F8B">
      <w:pPr>
        <w:pStyle w:val="BodyText"/>
      </w:pPr>
      <w:r>
        <w:t>Cost recovery is achieved by charging hourly rates for services. The hourly rates are set in regulations, and the EPA’s policy for cost recovery of this function is provided on its website.</w:t>
      </w:r>
      <w:r>
        <w:rPr>
          <w:rStyle w:val="FootnoteReference"/>
          <w:rFonts w:asciiTheme="minorHAnsi" w:hAnsiTheme="minorHAnsi"/>
        </w:rPr>
        <w:footnoteReference w:id="17"/>
      </w:r>
      <w:r>
        <w:t xml:space="preserve"> </w:t>
      </w:r>
    </w:p>
    <w:p w:rsidR="003B0F8B" w:rsidRPr="003B0F8B" w:rsidRDefault="003B0F8B" w:rsidP="003B0F8B">
      <w:pPr>
        <w:pStyle w:val="BodyText"/>
      </w:pPr>
      <w:r w:rsidRPr="0088088F">
        <w:t xml:space="preserve">Table 5 provides the hourly rates currently charged by the EPA. </w:t>
      </w:r>
    </w:p>
    <w:p w:rsidR="00CA1036" w:rsidRDefault="00975E39" w:rsidP="00460345">
      <w:pPr>
        <w:pStyle w:val="Tableheading"/>
      </w:pPr>
      <w:bookmarkStart w:id="96" w:name="_Toc414309823"/>
      <w:r w:rsidRPr="00975E39">
        <w:t xml:space="preserve">Table 5: </w:t>
      </w:r>
      <w:r>
        <w:tab/>
      </w:r>
      <w:r w:rsidRPr="00975E39">
        <w:t>Current cost recovery rates for Exclusive Economic Zone activities</w:t>
      </w:r>
      <w:bookmarkEnd w:id="96"/>
    </w:p>
    <w:tbl>
      <w:tblPr>
        <w:tblW w:w="5103" w:type="dxa"/>
        <w:tblInd w:w="113" w:type="dxa"/>
        <w:tblLayout w:type="fixed"/>
        <w:tblLook w:val="04A0" w:firstRow="1" w:lastRow="0" w:firstColumn="1" w:lastColumn="0" w:noHBand="0" w:noVBand="1"/>
      </w:tblPr>
      <w:tblGrid>
        <w:gridCol w:w="2582"/>
        <w:gridCol w:w="2521"/>
      </w:tblGrid>
      <w:tr w:rsidR="00460345" w:rsidRPr="00460345" w:rsidTr="00D834A3">
        <w:tc>
          <w:tcPr>
            <w:tcW w:w="3114" w:type="dxa"/>
            <w:tcBorders>
              <w:top w:val="single" w:sz="4" w:space="0" w:color="17556C"/>
              <w:bottom w:val="single" w:sz="4" w:space="0" w:color="17556C"/>
            </w:tcBorders>
            <w:shd w:val="clear" w:color="auto" w:fill="17556C"/>
            <w:hideMark/>
          </w:tcPr>
          <w:p w:rsidR="00975E39" w:rsidRPr="00460345" w:rsidRDefault="00975E39" w:rsidP="00460345">
            <w:pPr>
              <w:pStyle w:val="TableTextbold"/>
              <w:keepNext/>
              <w:rPr>
                <w:color w:val="FFFFFF" w:themeColor="background1"/>
              </w:rPr>
            </w:pPr>
            <w:r w:rsidRPr="00460345">
              <w:rPr>
                <w:color w:val="FFFFFF" w:themeColor="background1"/>
              </w:rPr>
              <w:t>Category of staff</w:t>
            </w:r>
          </w:p>
        </w:tc>
        <w:tc>
          <w:tcPr>
            <w:tcW w:w="3040" w:type="dxa"/>
            <w:tcBorders>
              <w:top w:val="single" w:sz="4" w:space="0" w:color="17556C"/>
              <w:bottom w:val="single" w:sz="4" w:space="0" w:color="17556C"/>
            </w:tcBorders>
            <w:shd w:val="clear" w:color="auto" w:fill="17556C"/>
            <w:hideMark/>
          </w:tcPr>
          <w:p w:rsidR="00975E39" w:rsidRPr="00460345" w:rsidRDefault="00975E39" w:rsidP="00460345">
            <w:pPr>
              <w:pStyle w:val="TableTextbold"/>
              <w:rPr>
                <w:color w:val="FFFFFF" w:themeColor="background1"/>
              </w:rPr>
            </w:pPr>
            <w:r w:rsidRPr="00460345">
              <w:rPr>
                <w:color w:val="FFFFFF" w:themeColor="background1"/>
              </w:rPr>
              <w:t>Hourly rate</w:t>
            </w:r>
          </w:p>
        </w:tc>
      </w:tr>
      <w:tr w:rsidR="00975E39" w:rsidTr="00D834A3">
        <w:tc>
          <w:tcPr>
            <w:tcW w:w="3114" w:type="dxa"/>
            <w:tcBorders>
              <w:top w:val="single" w:sz="4" w:space="0" w:color="17556C"/>
              <w:bottom w:val="single" w:sz="4" w:space="0" w:color="17556C"/>
              <w:right w:val="single" w:sz="4" w:space="0" w:color="17556C"/>
            </w:tcBorders>
            <w:hideMark/>
          </w:tcPr>
          <w:p w:rsidR="00975E39" w:rsidRPr="00460345" w:rsidRDefault="00975E39" w:rsidP="00A65C10">
            <w:pPr>
              <w:pStyle w:val="Tabletext"/>
              <w:spacing w:before="50" w:after="50"/>
            </w:pPr>
            <w:r w:rsidRPr="00460345">
              <w:t xml:space="preserve">Project administrator </w:t>
            </w:r>
          </w:p>
        </w:tc>
        <w:tc>
          <w:tcPr>
            <w:tcW w:w="3040" w:type="dxa"/>
            <w:tcBorders>
              <w:top w:val="single" w:sz="4" w:space="0" w:color="17556C"/>
              <w:left w:val="single" w:sz="4" w:space="0" w:color="17556C"/>
              <w:bottom w:val="single" w:sz="4" w:space="0" w:color="17556C"/>
            </w:tcBorders>
            <w:hideMark/>
          </w:tcPr>
          <w:p w:rsidR="00975E39" w:rsidRPr="00460345" w:rsidRDefault="00975E39" w:rsidP="00A65C10">
            <w:pPr>
              <w:pStyle w:val="Tabletext"/>
              <w:spacing w:before="50" w:after="50"/>
            </w:pPr>
            <w:r w:rsidRPr="00460345">
              <w:t>$97.43</w:t>
            </w:r>
          </w:p>
        </w:tc>
      </w:tr>
      <w:tr w:rsidR="00975E39" w:rsidTr="00D834A3">
        <w:tc>
          <w:tcPr>
            <w:tcW w:w="3114" w:type="dxa"/>
            <w:tcBorders>
              <w:top w:val="single" w:sz="4" w:space="0" w:color="17556C"/>
              <w:bottom w:val="single" w:sz="4" w:space="0" w:color="17556C"/>
              <w:right w:val="single" w:sz="4" w:space="0" w:color="17556C"/>
            </w:tcBorders>
            <w:hideMark/>
          </w:tcPr>
          <w:p w:rsidR="00975E39" w:rsidRPr="00460345" w:rsidRDefault="00975E39" w:rsidP="00A65C10">
            <w:pPr>
              <w:pStyle w:val="Tabletext"/>
              <w:spacing w:before="50" w:after="50"/>
            </w:pPr>
            <w:r w:rsidRPr="00460345">
              <w:t xml:space="preserve">EPA advisor </w:t>
            </w:r>
          </w:p>
        </w:tc>
        <w:tc>
          <w:tcPr>
            <w:tcW w:w="3040" w:type="dxa"/>
            <w:tcBorders>
              <w:top w:val="single" w:sz="4" w:space="0" w:color="17556C"/>
              <w:left w:val="single" w:sz="4" w:space="0" w:color="17556C"/>
              <w:bottom w:val="single" w:sz="4" w:space="0" w:color="17556C"/>
            </w:tcBorders>
            <w:hideMark/>
          </w:tcPr>
          <w:p w:rsidR="00975E39" w:rsidRPr="00460345" w:rsidRDefault="00975E39" w:rsidP="00A65C10">
            <w:pPr>
              <w:pStyle w:val="Tabletext"/>
              <w:spacing w:before="50" w:after="50"/>
            </w:pPr>
            <w:r w:rsidRPr="00460345">
              <w:t>$103.75</w:t>
            </w:r>
          </w:p>
        </w:tc>
      </w:tr>
      <w:tr w:rsidR="00975E39" w:rsidTr="00D834A3">
        <w:tc>
          <w:tcPr>
            <w:tcW w:w="3114" w:type="dxa"/>
            <w:tcBorders>
              <w:top w:val="single" w:sz="4" w:space="0" w:color="17556C"/>
              <w:bottom w:val="single" w:sz="4" w:space="0" w:color="17556C"/>
              <w:right w:val="single" w:sz="4" w:space="0" w:color="17556C"/>
            </w:tcBorders>
            <w:hideMark/>
          </w:tcPr>
          <w:p w:rsidR="00975E39" w:rsidRPr="00460345" w:rsidRDefault="00975E39" w:rsidP="00A65C10">
            <w:pPr>
              <w:pStyle w:val="Tabletext"/>
              <w:spacing w:before="50" w:after="50"/>
            </w:pPr>
            <w:r w:rsidRPr="00460345">
              <w:t xml:space="preserve">EPA senior advisor </w:t>
            </w:r>
          </w:p>
        </w:tc>
        <w:tc>
          <w:tcPr>
            <w:tcW w:w="3040" w:type="dxa"/>
            <w:tcBorders>
              <w:top w:val="single" w:sz="4" w:space="0" w:color="17556C"/>
              <w:left w:val="single" w:sz="4" w:space="0" w:color="17556C"/>
              <w:bottom w:val="single" w:sz="4" w:space="0" w:color="17556C"/>
            </w:tcBorders>
            <w:hideMark/>
          </w:tcPr>
          <w:p w:rsidR="00975E39" w:rsidRPr="00460345" w:rsidRDefault="00975E39" w:rsidP="00A65C10">
            <w:pPr>
              <w:pStyle w:val="Tabletext"/>
              <w:spacing w:before="50" w:after="50"/>
            </w:pPr>
            <w:r w:rsidRPr="00460345">
              <w:t>$116.12</w:t>
            </w:r>
          </w:p>
        </w:tc>
      </w:tr>
      <w:tr w:rsidR="00975E39" w:rsidTr="00D834A3">
        <w:tc>
          <w:tcPr>
            <w:tcW w:w="3114" w:type="dxa"/>
            <w:tcBorders>
              <w:top w:val="single" w:sz="4" w:space="0" w:color="17556C"/>
              <w:bottom w:val="single" w:sz="4" w:space="0" w:color="17556C"/>
              <w:right w:val="single" w:sz="4" w:space="0" w:color="17556C"/>
            </w:tcBorders>
            <w:hideMark/>
          </w:tcPr>
          <w:p w:rsidR="00975E39" w:rsidRPr="00460345" w:rsidRDefault="00975E39" w:rsidP="00A65C10">
            <w:pPr>
              <w:pStyle w:val="Tabletext"/>
              <w:spacing w:before="50" w:after="50"/>
            </w:pPr>
            <w:r w:rsidRPr="00460345">
              <w:t xml:space="preserve">Project leader </w:t>
            </w:r>
          </w:p>
        </w:tc>
        <w:tc>
          <w:tcPr>
            <w:tcW w:w="3040" w:type="dxa"/>
            <w:tcBorders>
              <w:top w:val="single" w:sz="4" w:space="0" w:color="17556C"/>
              <w:left w:val="single" w:sz="4" w:space="0" w:color="17556C"/>
              <w:bottom w:val="single" w:sz="4" w:space="0" w:color="17556C"/>
            </w:tcBorders>
            <w:hideMark/>
          </w:tcPr>
          <w:p w:rsidR="00975E39" w:rsidRPr="00460345" w:rsidRDefault="00975E39" w:rsidP="00A65C10">
            <w:pPr>
              <w:pStyle w:val="Tabletext"/>
              <w:spacing w:before="50" w:after="50"/>
            </w:pPr>
            <w:r w:rsidRPr="00460345">
              <w:t>$140.80</w:t>
            </w:r>
          </w:p>
        </w:tc>
      </w:tr>
      <w:tr w:rsidR="00975E39" w:rsidTr="00D834A3">
        <w:tc>
          <w:tcPr>
            <w:tcW w:w="3114" w:type="dxa"/>
            <w:tcBorders>
              <w:top w:val="single" w:sz="4" w:space="0" w:color="17556C"/>
              <w:bottom w:val="single" w:sz="4" w:space="0" w:color="17556C"/>
              <w:right w:val="single" w:sz="4" w:space="0" w:color="17556C"/>
            </w:tcBorders>
            <w:hideMark/>
          </w:tcPr>
          <w:p w:rsidR="00975E39" w:rsidRPr="00460345" w:rsidRDefault="00975E39" w:rsidP="00A65C10">
            <w:pPr>
              <w:pStyle w:val="Tabletext"/>
              <w:spacing w:before="50" w:after="50"/>
            </w:pPr>
            <w:r w:rsidRPr="00460345">
              <w:t>Principal technical advisor</w:t>
            </w:r>
          </w:p>
        </w:tc>
        <w:tc>
          <w:tcPr>
            <w:tcW w:w="3040" w:type="dxa"/>
            <w:tcBorders>
              <w:top w:val="single" w:sz="4" w:space="0" w:color="17556C"/>
              <w:left w:val="single" w:sz="4" w:space="0" w:color="17556C"/>
              <w:bottom w:val="single" w:sz="4" w:space="0" w:color="17556C"/>
            </w:tcBorders>
            <w:hideMark/>
          </w:tcPr>
          <w:p w:rsidR="00975E39" w:rsidRPr="00460345" w:rsidRDefault="00975E39" w:rsidP="00A65C10">
            <w:pPr>
              <w:pStyle w:val="Tabletext"/>
              <w:spacing w:before="50" w:after="50"/>
            </w:pPr>
            <w:r w:rsidRPr="00460345">
              <w:t>$290.00</w:t>
            </w:r>
          </w:p>
        </w:tc>
      </w:tr>
    </w:tbl>
    <w:p w:rsidR="00975E39" w:rsidRPr="006F1651" w:rsidRDefault="00C0696C" w:rsidP="006F1651">
      <w:pPr>
        <w:pStyle w:val="Heading3"/>
      </w:pPr>
      <w:r w:rsidRPr="006F1651">
        <w:t>Efficiency</w:t>
      </w:r>
    </w:p>
    <w:p w:rsidR="00975E39" w:rsidRPr="0088088F" w:rsidRDefault="00975E39" w:rsidP="00A9683C">
      <w:pPr>
        <w:pStyle w:val="BodyText"/>
      </w:pPr>
      <w:r w:rsidRPr="0088088F">
        <w:t xml:space="preserve">The EPA invoices applicants on a monthly basis, and the invoicing system is underpinned by detailed information. However, the EPA has identified some </w:t>
      </w:r>
      <w:proofErr w:type="gramStart"/>
      <w:r w:rsidRPr="0088088F">
        <w:t>inefficiencies</w:t>
      </w:r>
      <w:proofErr w:type="gramEnd"/>
      <w:r w:rsidRPr="0088088F">
        <w:t xml:space="preserve"> with its current invoicing approach including physical handling of receipts, operating a manual schedule of charges, and that </w:t>
      </w:r>
      <w:r>
        <w:t xml:space="preserve">decision-making committees (DMCs) </w:t>
      </w:r>
      <w:r w:rsidRPr="0088088F">
        <w:t>compile their own detailed expenses.</w:t>
      </w:r>
    </w:p>
    <w:p w:rsidR="00975E39" w:rsidRPr="006F1651" w:rsidRDefault="00975E39" w:rsidP="006F1651">
      <w:pPr>
        <w:pStyle w:val="Heading3"/>
      </w:pPr>
      <w:r w:rsidRPr="006F1651">
        <w:t>Recommendations</w:t>
      </w:r>
    </w:p>
    <w:p w:rsidR="00975E39" w:rsidRPr="006819CB" w:rsidRDefault="00975E39" w:rsidP="00A9683C">
      <w:pPr>
        <w:pStyle w:val="BodyText"/>
      </w:pPr>
      <w:r>
        <w:t xml:space="preserve">Opportunities </w:t>
      </w:r>
      <w:r w:rsidRPr="006819CB">
        <w:t>for new cost</w:t>
      </w:r>
      <w:r>
        <w:t xml:space="preserve"> recovery are limited for EEZ consenting because </w:t>
      </w:r>
      <w:r w:rsidRPr="006819CB">
        <w:t>the EPA</w:t>
      </w:r>
      <w:r>
        <w:t xml:space="preserve"> is already entitled to </w:t>
      </w:r>
      <w:r w:rsidRPr="006819CB">
        <w:t xml:space="preserve">recover the </w:t>
      </w:r>
      <w:r>
        <w:t xml:space="preserve">direct and indirect </w:t>
      </w:r>
      <w:r w:rsidRPr="006819CB">
        <w:t>costs associated with processing a specific application for a marine consent</w:t>
      </w:r>
      <w:r>
        <w:t>. However, the following opportunities could be explored:</w:t>
      </w:r>
    </w:p>
    <w:p w:rsidR="00975E39" w:rsidRPr="0070553A" w:rsidRDefault="00975E39" w:rsidP="00A9683C">
      <w:pPr>
        <w:pStyle w:val="Bullet"/>
        <w:rPr>
          <w:rFonts w:asciiTheme="minorHAnsi" w:hAnsiTheme="minorHAnsi"/>
        </w:rPr>
      </w:pPr>
      <w:r>
        <w:t>T</w:t>
      </w:r>
      <w:r w:rsidRPr="00DD59BF">
        <w:t>he extent of work that managers are doing for marine consents</w:t>
      </w:r>
      <w:r>
        <w:t xml:space="preserve"> was not anticipated at the time of setting marine consent o</w:t>
      </w:r>
      <w:r w:rsidRPr="0088088F">
        <w:t>verhead rates</w:t>
      </w:r>
      <w:r w:rsidR="00A9683C">
        <w:rPr>
          <w:rFonts w:asciiTheme="minorHAnsi" w:hAnsiTheme="minorHAnsi"/>
        </w:rPr>
        <w:t>.</w:t>
      </w:r>
      <w:r w:rsidRPr="0070553A">
        <w:rPr>
          <w:rStyle w:val="FootnoteReference"/>
          <w:rFonts w:asciiTheme="minorHAnsi" w:hAnsiTheme="minorHAnsi"/>
          <w:szCs w:val="22"/>
        </w:rPr>
        <w:footnoteReference w:id="18"/>
      </w:r>
    </w:p>
    <w:p w:rsidR="00975E39" w:rsidRPr="0070553A" w:rsidRDefault="00975E39" w:rsidP="00A9683C">
      <w:pPr>
        <w:pStyle w:val="Bullet"/>
      </w:pPr>
      <w:r>
        <w:t>T</w:t>
      </w:r>
      <w:r w:rsidRPr="0070553A">
        <w:t xml:space="preserve">he EPA’s cost recovery approach for monitoring is to recover 80% </w:t>
      </w:r>
      <w:r>
        <w:t xml:space="preserve">of </w:t>
      </w:r>
      <w:r w:rsidRPr="0070553A">
        <w:t>staff time costs from the applicant, and 100% of all other costs (for example, transport)</w:t>
      </w:r>
      <w:r>
        <w:t>.</w:t>
      </w:r>
      <w:r w:rsidRPr="0070553A">
        <w:t xml:space="preserve"> </w:t>
      </w:r>
      <w:r>
        <w:t>T</w:t>
      </w:r>
      <w:r w:rsidRPr="0070553A">
        <w:t>he current cost recovery rate is well below this figure. The low cost recovery rate may reflect the newness of the regime, and consequently a need to have better information on monitoring costs. We recommend the EPA review the recovery rate at a time when the monitoring regime is more mature.</w:t>
      </w:r>
    </w:p>
    <w:p w:rsidR="001040B1" w:rsidRPr="00291E49" w:rsidRDefault="001040B1" w:rsidP="00291E49">
      <w:pPr>
        <w:pStyle w:val="Heading2"/>
      </w:pPr>
      <w:bookmarkStart w:id="97" w:name="_Toc414309455"/>
      <w:bookmarkStart w:id="98" w:name="_Toc417469870"/>
      <w:r w:rsidRPr="00291E49">
        <w:lastRenderedPageBreak/>
        <w:t>Hazardous substances and new organisms</w:t>
      </w:r>
      <w:bookmarkEnd w:id="97"/>
      <w:bookmarkEnd w:id="98"/>
    </w:p>
    <w:p w:rsidR="001040B1" w:rsidRPr="006F1651" w:rsidRDefault="001040B1" w:rsidP="006F1651">
      <w:pPr>
        <w:pStyle w:val="Heading3"/>
      </w:pPr>
      <w:r w:rsidRPr="006F1651">
        <w:t xml:space="preserve">Context </w:t>
      </w:r>
    </w:p>
    <w:p w:rsidR="001040B1" w:rsidRDefault="001040B1" w:rsidP="001040B1">
      <w:pPr>
        <w:pStyle w:val="BodyText"/>
      </w:pPr>
      <w:r>
        <w:t>Under the Hazardous Substances and New Organisms Act 1996 (HSNO Act) the EPA is responsible for assessing and deciding applications for hazardous substances and new organisms (HSNO), and coordinating and facilitating compliance with the HSNO Act.</w:t>
      </w:r>
      <w:r w:rsidR="006631F4">
        <w:t xml:space="preserve"> </w:t>
      </w:r>
      <w:r>
        <w:t>The EPA roles include:</w:t>
      </w:r>
      <w:r>
        <w:rPr>
          <w:rStyle w:val="FootnoteReference"/>
        </w:rPr>
        <w:footnoteReference w:id="19"/>
      </w:r>
    </w:p>
    <w:p w:rsidR="001040B1" w:rsidRDefault="001040B1" w:rsidP="001040B1">
      <w:pPr>
        <w:pStyle w:val="Bullet"/>
      </w:pPr>
      <w:r>
        <w:t>making decisions on applications for HSNO</w:t>
      </w:r>
    </w:p>
    <w:p w:rsidR="001040B1" w:rsidRDefault="001040B1" w:rsidP="001040B1">
      <w:pPr>
        <w:pStyle w:val="Bullet"/>
      </w:pPr>
      <w:r>
        <w:t>providing advice and support for HSNO processes and the HSNO Committee</w:t>
      </w:r>
    </w:p>
    <w:p w:rsidR="001040B1" w:rsidRDefault="001040B1" w:rsidP="001040B1">
      <w:pPr>
        <w:pStyle w:val="Bullet"/>
      </w:pPr>
      <w:r>
        <w:t>having oversight of the delegated new organism decision-making of Institutional Biological Safety Committees</w:t>
      </w:r>
    </w:p>
    <w:p w:rsidR="001040B1" w:rsidRDefault="001040B1" w:rsidP="001040B1">
      <w:pPr>
        <w:pStyle w:val="Bullet"/>
      </w:pPr>
      <w:proofErr w:type="gramStart"/>
      <w:r>
        <w:t>coordinating</w:t>
      </w:r>
      <w:proofErr w:type="gramEnd"/>
      <w:r>
        <w:t xml:space="preserve"> and facilitating compliance with the HSNO regime.</w:t>
      </w:r>
    </w:p>
    <w:p w:rsidR="001040B1" w:rsidRPr="006F1651" w:rsidRDefault="001040B1" w:rsidP="006F1651">
      <w:pPr>
        <w:pStyle w:val="Heading3"/>
      </w:pPr>
      <w:r w:rsidRPr="006F1651">
        <w:t>Authority</w:t>
      </w:r>
    </w:p>
    <w:p w:rsidR="001040B1" w:rsidRPr="005C7245" w:rsidRDefault="001040B1" w:rsidP="001040B1">
      <w:pPr>
        <w:pStyle w:val="BodyText"/>
      </w:pPr>
      <w:r>
        <w:t xml:space="preserve">Under section 21 of the HSNO Act, the EPA is able to fix charges to recover the actual and reasonable costs incurred in carrying out its HSNO function. The HSNO Act requires charges to </w:t>
      </w:r>
      <w:r w:rsidRPr="005C7245">
        <w:t>be publically notified before being decided or changed.</w:t>
      </w:r>
      <w:r w:rsidRPr="005C7245">
        <w:rPr>
          <w:rStyle w:val="FootnoteReference"/>
        </w:rPr>
        <w:footnoteReference w:id="20"/>
      </w:r>
      <w:r w:rsidRPr="005C7245">
        <w:t xml:space="preserve"> </w:t>
      </w:r>
    </w:p>
    <w:p w:rsidR="001040B1" w:rsidRPr="006F1651" w:rsidRDefault="001040B1" w:rsidP="006F1651">
      <w:pPr>
        <w:pStyle w:val="Heading3"/>
      </w:pPr>
      <w:r w:rsidRPr="006F1651">
        <w:t>Justification</w:t>
      </w:r>
    </w:p>
    <w:p w:rsidR="001040B1" w:rsidRDefault="001040B1" w:rsidP="001040B1">
      <w:pPr>
        <w:pStyle w:val="BodyText"/>
      </w:pPr>
      <w:r>
        <w:t>The original intention was for the HSNO function to be 100% cost-recovered for processing applications. However, in 2003 Cabinet approval was sought for the Environmental Risk Management Authority (ERMA) to reduce this rate of cost recovery to a fair and reasonable level that reflects actual costs, recognises public benefits, provides predictable fees and is consistent with other policy, particularly the Government’s Growth and Innovation Framework (ie, not stifling innovation through setting high application fees). The Cabinet paper proposed a schedule of fixed fees for the various types of HSNO applications that would result in an average cost recovery rate of 17%.</w:t>
      </w:r>
      <w:r>
        <w:rPr>
          <w:rStyle w:val="FootnoteReference"/>
        </w:rPr>
        <w:footnoteReference w:id="21"/>
      </w:r>
      <w:r>
        <w:t xml:space="preserve"> </w:t>
      </w:r>
    </w:p>
    <w:p w:rsidR="00975E39" w:rsidRDefault="00C45044" w:rsidP="00C45044">
      <w:pPr>
        <w:pStyle w:val="Tableheading"/>
      </w:pPr>
      <w:bookmarkStart w:id="99" w:name="_Toc414309824"/>
      <w:r>
        <w:t xml:space="preserve">Table 6: </w:t>
      </w:r>
      <w:r>
        <w:tab/>
        <w:t>Assessing who benefits from the HSNO activities</w:t>
      </w:r>
      <w:bookmarkEnd w:id="99"/>
    </w:p>
    <w:tbl>
      <w:tblPr>
        <w:tblW w:w="7933" w:type="dxa"/>
        <w:tblInd w:w="113" w:type="dxa"/>
        <w:tblBorders>
          <w:top w:val="single" w:sz="4" w:space="0" w:color="17556C"/>
          <w:bottom w:val="single" w:sz="4" w:space="0" w:color="17556C"/>
          <w:insideH w:val="single" w:sz="4" w:space="0" w:color="17556C"/>
        </w:tblBorders>
        <w:tblLayout w:type="fixed"/>
        <w:tblLook w:val="04A0" w:firstRow="1" w:lastRow="0" w:firstColumn="1" w:lastColumn="0" w:noHBand="0" w:noVBand="1"/>
      </w:tblPr>
      <w:tblGrid>
        <w:gridCol w:w="2405"/>
        <w:gridCol w:w="2552"/>
        <w:gridCol w:w="2976"/>
      </w:tblGrid>
      <w:tr w:rsidR="007028A0" w:rsidRPr="00A65C10" w:rsidTr="007028A0">
        <w:tc>
          <w:tcPr>
            <w:tcW w:w="2405" w:type="dxa"/>
            <w:tcBorders>
              <w:bottom w:val="single" w:sz="4" w:space="0" w:color="17556C"/>
              <w:right w:val="single" w:sz="4" w:space="0" w:color="17556C"/>
            </w:tcBorders>
            <w:shd w:val="clear" w:color="auto" w:fill="17556C"/>
            <w:hideMark/>
          </w:tcPr>
          <w:p w:rsidR="007028A0" w:rsidRPr="00A65C10" w:rsidRDefault="007028A0" w:rsidP="00A65FCE">
            <w:pPr>
              <w:pStyle w:val="TableTextbold"/>
              <w:rPr>
                <w:color w:val="FFFFFF" w:themeColor="background1"/>
              </w:rPr>
            </w:pPr>
            <w:r>
              <w:rPr>
                <w:color w:val="FFFFFF" w:themeColor="background1"/>
              </w:rPr>
              <w:t>Mostly p</w:t>
            </w:r>
            <w:r w:rsidRPr="00A65C10">
              <w:rPr>
                <w:color w:val="FFFFFF" w:themeColor="background1"/>
              </w:rPr>
              <w:t>rivate benefit</w:t>
            </w:r>
            <w:r>
              <w:rPr>
                <w:color w:val="FFFFFF" w:themeColor="background1"/>
              </w:rPr>
              <w:t>s</w:t>
            </w:r>
          </w:p>
        </w:tc>
        <w:tc>
          <w:tcPr>
            <w:tcW w:w="2552" w:type="dxa"/>
            <w:tcBorders>
              <w:left w:val="single" w:sz="4" w:space="0" w:color="17556C"/>
              <w:bottom w:val="single" w:sz="4" w:space="0" w:color="17556C"/>
              <w:right w:val="single" w:sz="4" w:space="0" w:color="17556C"/>
            </w:tcBorders>
            <w:shd w:val="clear" w:color="auto" w:fill="17556C"/>
            <w:hideMark/>
          </w:tcPr>
          <w:p w:rsidR="007028A0" w:rsidRPr="00A65C10" w:rsidRDefault="007028A0" w:rsidP="00A65FCE">
            <w:pPr>
              <w:pStyle w:val="TableTextbold"/>
              <w:rPr>
                <w:color w:val="FFFFFF" w:themeColor="background1"/>
              </w:rPr>
            </w:pPr>
            <w:r w:rsidRPr="00A65C10">
              <w:rPr>
                <w:color w:val="FFFFFF" w:themeColor="background1"/>
              </w:rPr>
              <w:t xml:space="preserve">Mixed benefits </w:t>
            </w:r>
          </w:p>
        </w:tc>
        <w:tc>
          <w:tcPr>
            <w:tcW w:w="2976" w:type="dxa"/>
            <w:tcBorders>
              <w:left w:val="single" w:sz="4" w:space="0" w:color="17556C"/>
              <w:bottom w:val="single" w:sz="4" w:space="0" w:color="17556C"/>
            </w:tcBorders>
            <w:shd w:val="clear" w:color="auto" w:fill="17556C"/>
            <w:hideMark/>
          </w:tcPr>
          <w:p w:rsidR="007028A0" w:rsidRPr="00A65C10" w:rsidRDefault="007028A0" w:rsidP="00A65FCE">
            <w:pPr>
              <w:pStyle w:val="TableTextbold"/>
              <w:rPr>
                <w:color w:val="FFFFFF" w:themeColor="background1"/>
              </w:rPr>
            </w:pPr>
            <w:r>
              <w:rPr>
                <w:color w:val="FFFFFF" w:themeColor="background1"/>
              </w:rPr>
              <w:t>Mostly p</w:t>
            </w:r>
            <w:r w:rsidRPr="00A65C10">
              <w:rPr>
                <w:color w:val="FFFFFF" w:themeColor="background1"/>
              </w:rPr>
              <w:t>ublic benefit</w:t>
            </w:r>
            <w:r>
              <w:rPr>
                <w:color w:val="FFFFFF" w:themeColor="background1"/>
              </w:rPr>
              <w:t>s</w:t>
            </w:r>
          </w:p>
        </w:tc>
      </w:tr>
      <w:tr w:rsidR="007028A0" w:rsidTr="007028A0">
        <w:tc>
          <w:tcPr>
            <w:tcW w:w="2405" w:type="dxa"/>
            <w:tcBorders>
              <w:top w:val="single" w:sz="4" w:space="0" w:color="17556C"/>
              <w:right w:val="single" w:sz="4" w:space="0" w:color="17556C"/>
            </w:tcBorders>
          </w:tcPr>
          <w:p w:rsidR="007028A0" w:rsidRDefault="007028A0" w:rsidP="00CE60CB">
            <w:pPr>
              <w:pStyle w:val="Tabletext"/>
              <w:rPr>
                <w:vertAlign w:val="superscript"/>
              </w:rPr>
            </w:pPr>
            <w:r>
              <w:t>Oversight of IBSC</w:t>
            </w:r>
            <w:r>
              <w:rPr>
                <w:vertAlign w:val="superscript"/>
              </w:rPr>
              <w:t>*</w:t>
            </w:r>
          </w:p>
          <w:p w:rsidR="007028A0" w:rsidRDefault="007028A0" w:rsidP="005B6D13">
            <w:pPr>
              <w:pStyle w:val="Tabletext"/>
            </w:pPr>
            <w:r>
              <w:t>Decision on applications for hazardous substances and new organisms</w:t>
            </w:r>
            <w:r>
              <w:rPr>
                <w:vertAlign w:val="superscript"/>
              </w:rPr>
              <w:t>2</w:t>
            </w:r>
            <w:r>
              <w:t xml:space="preserve"> (though the balance of private and public benefits could vary)</w:t>
            </w:r>
          </w:p>
          <w:p w:rsidR="007028A0" w:rsidRDefault="007028A0" w:rsidP="008555B0">
            <w:pPr>
              <w:pStyle w:val="Tabletext"/>
            </w:pPr>
            <w:r>
              <w:t>Servicing and supporting the HSNO Committee</w:t>
            </w:r>
          </w:p>
          <w:p w:rsidR="007028A0" w:rsidRPr="00CE60CB" w:rsidRDefault="007028A0" w:rsidP="00CE60CB">
            <w:pPr>
              <w:pStyle w:val="Tabletext"/>
            </w:pPr>
          </w:p>
        </w:tc>
        <w:tc>
          <w:tcPr>
            <w:tcW w:w="2552" w:type="dxa"/>
            <w:tcBorders>
              <w:top w:val="single" w:sz="4" w:space="0" w:color="17556C"/>
              <w:left w:val="single" w:sz="4" w:space="0" w:color="17556C"/>
              <w:right w:val="single" w:sz="4" w:space="0" w:color="17556C"/>
            </w:tcBorders>
          </w:tcPr>
          <w:p w:rsidR="007028A0" w:rsidRDefault="007028A0" w:rsidP="00CE60CB">
            <w:pPr>
              <w:pStyle w:val="Tabletext"/>
            </w:pPr>
            <w:r>
              <w:t>Providing information and advice to assist potential applicants and submitters</w:t>
            </w:r>
          </w:p>
          <w:p w:rsidR="007028A0" w:rsidRDefault="007028A0" w:rsidP="00CE60CB">
            <w:pPr>
              <w:pStyle w:val="Tabletext"/>
            </w:pPr>
            <w:r w:rsidRPr="0088088F">
              <w:t>Maintenance of the HS</w:t>
            </w:r>
            <w:r>
              <w:t>NO applications</w:t>
            </w:r>
            <w:r w:rsidRPr="0088088F">
              <w:t xml:space="preserve"> register</w:t>
            </w:r>
            <w:r>
              <w:t xml:space="preserve"> </w:t>
            </w:r>
          </w:p>
          <w:p w:rsidR="007028A0" w:rsidRDefault="007028A0" w:rsidP="008555B0">
            <w:pPr>
              <w:pStyle w:val="Tabletext"/>
            </w:pPr>
            <w:r>
              <w:t>Providing permission to use certain hazardous substances</w:t>
            </w:r>
            <w:r>
              <w:rPr>
                <w:vertAlign w:val="superscript"/>
              </w:rPr>
              <w:t>2</w:t>
            </w:r>
          </w:p>
          <w:p w:rsidR="007028A0" w:rsidRPr="00CE60CB" w:rsidRDefault="007028A0" w:rsidP="00CE60CB">
            <w:pPr>
              <w:pStyle w:val="Tabletext"/>
            </w:pPr>
            <w:r>
              <w:t>Maintain register of exposure limits</w:t>
            </w:r>
          </w:p>
        </w:tc>
        <w:tc>
          <w:tcPr>
            <w:tcW w:w="2976" w:type="dxa"/>
            <w:tcBorders>
              <w:top w:val="single" w:sz="4" w:space="0" w:color="17556C"/>
              <w:left w:val="single" w:sz="4" w:space="0" w:color="17556C"/>
            </w:tcBorders>
          </w:tcPr>
          <w:p w:rsidR="007028A0" w:rsidRDefault="007028A0" w:rsidP="00CE60CB">
            <w:pPr>
              <w:pStyle w:val="Tabletext"/>
            </w:pPr>
            <w:r>
              <w:t>Register of importers and manufacturers</w:t>
            </w:r>
          </w:p>
          <w:p w:rsidR="007028A0" w:rsidRDefault="007028A0" w:rsidP="00CE60CB">
            <w:pPr>
              <w:pStyle w:val="Tabletext"/>
            </w:pPr>
            <w:r>
              <w:t>Administer biosafety clearing house</w:t>
            </w:r>
          </w:p>
          <w:p w:rsidR="007028A0" w:rsidRDefault="007028A0" w:rsidP="00CE60CB">
            <w:pPr>
              <w:pStyle w:val="Tabletext"/>
            </w:pPr>
            <w:r>
              <w:t>Participating in international activities to ensure applying best practice</w:t>
            </w:r>
          </w:p>
          <w:p w:rsidR="007028A0" w:rsidRDefault="007028A0" w:rsidP="00CE60CB">
            <w:pPr>
              <w:pStyle w:val="Tabletext"/>
            </w:pPr>
            <w:r>
              <w:t>Recommending improvements and providing input to legislation changes</w:t>
            </w:r>
          </w:p>
          <w:p w:rsidR="007028A0" w:rsidRDefault="007028A0" w:rsidP="00CE60CB">
            <w:pPr>
              <w:pStyle w:val="Tabletext"/>
              <w:rPr>
                <w:highlight w:val="yellow"/>
              </w:rPr>
            </w:pPr>
            <w:r>
              <w:t xml:space="preserve">Monitor the effectiveness of the HSNO Act, support enforcement and </w:t>
            </w:r>
            <w:r>
              <w:lastRenderedPageBreak/>
              <w:t>compliance activities</w:t>
            </w:r>
          </w:p>
          <w:p w:rsidR="007028A0" w:rsidRDefault="007028A0" w:rsidP="00CE60CB">
            <w:pPr>
              <w:pStyle w:val="Tabletext"/>
            </w:pPr>
            <w:r>
              <w:t>Education and public information awareness</w:t>
            </w:r>
          </w:p>
          <w:p w:rsidR="007028A0" w:rsidRPr="0088088F" w:rsidRDefault="007028A0" w:rsidP="00CE60CB">
            <w:pPr>
              <w:pStyle w:val="Tabletext"/>
            </w:pPr>
            <w:r>
              <w:t>Issue and maintain EPA notices</w:t>
            </w:r>
          </w:p>
        </w:tc>
      </w:tr>
    </w:tbl>
    <w:p w:rsidR="00C45044" w:rsidRPr="0088088F" w:rsidRDefault="006631F4" w:rsidP="00A65C10">
      <w:pPr>
        <w:pStyle w:val="Note"/>
        <w:ind w:left="284" w:hanging="284"/>
      </w:pPr>
      <w:r>
        <w:rPr>
          <w:vertAlign w:val="superscript"/>
        </w:rPr>
        <w:lastRenderedPageBreak/>
        <w:t xml:space="preserve"> </w:t>
      </w:r>
    </w:p>
    <w:p w:rsidR="00C45044" w:rsidRPr="0088088F" w:rsidRDefault="007028A0" w:rsidP="0028176A">
      <w:pPr>
        <w:pStyle w:val="Note"/>
        <w:spacing w:before="60" w:after="120"/>
        <w:ind w:left="284" w:hanging="284"/>
        <w:rPr>
          <w:highlight w:val="yellow"/>
        </w:rPr>
      </w:pPr>
      <w:r>
        <w:rPr>
          <w:sz w:val="20"/>
          <w:vertAlign w:val="superscript"/>
        </w:rPr>
        <w:t>*</w:t>
      </w:r>
      <w:r w:rsidR="00A65C10">
        <w:rPr>
          <w:sz w:val="20"/>
          <w:vertAlign w:val="superscript"/>
        </w:rPr>
        <w:tab/>
      </w:r>
      <w:r w:rsidR="00C45044" w:rsidRPr="0088088F">
        <w:t>Note HSNO decision</w:t>
      </w:r>
      <w:r w:rsidR="00C45044">
        <w:t>-</w:t>
      </w:r>
      <w:r w:rsidR="00C45044" w:rsidRPr="0088088F">
        <w:t>making activities are, in theory, cost recovered at 17% of the actual cost through payment of a fixed rate application fee.</w:t>
      </w:r>
    </w:p>
    <w:p w:rsidR="00C45044" w:rsidRPr="006F1651" w:rsidRDefault="00C45044" w:rsidP="006F1651">
      <w:pPr>
        <w:pStyle w:val="Heading3"/>
      </w:pPr>
      <w:r w:rsidRPr="006F1651">
        <w:t>Accountability</w:t>
      </w:r>
    </w:p>
    <w:p w:rsidR="00C45044" w:rsidRDefault="00C45044" w:rsidP="00C45044">
      <w:pPr>
        <w:pStyle w:val="BodyText"/>
      </w:pPr>
      <w:r>
        <w:t>The EPA currently charges fixed fees for various activities carried out as part of the HSNO function. Further details on these fees are available on the EPA’s website</w:t>
      </w:r>
      <w:r w:rsidR="000C1E67">
        <w:t>.</w:t>
      </w:r>
      <w:r>
        <w:rPr>
          <w:rStyle w:val="FootnoteReference"/>
        </w:rPr>
        <w:footnoteReference w:id="22"/>
      </w:r>
    </w:p>
    <w:p w:rsidR="00CA5CA1" w:rsidRPr="006F1651" w:rsidRDefault="00CA5CA1" w:rsidP="006F1651">
      <w:pPr>
        <w:pStyle w:val="Heading3"/>
      </w:pPr>
      <w:r w:rsidRPr="006F1651">
        <w:t>Efficiency</w:t>
      </w:r>
    </w:p>
    <w:p w:rsidR="00CA5CA1" w:rsidRDefault="00CA5CA1" w:rsidP="00CA5CA1">
      <w:pPr>
        <w:pStyle w:val="BodyText"/>
      </w:pPr>
      <w:r>
        <w:t>The current fees for HSNO applications, as charged by the EPA, came into effect on 1 October 2010. These rates sought to continue to recover the cost of processing applications at 17%.</w:t>
      </w:r>
      <w:r>
        <w:rPr>
          <w:rStyle w:val="FootnoteReference"/>
        </w:rPr>
        <w:footnoteReference w:id="23"/>
      </w:r>
      <w:r>
        <w:t xml:space="preserve"> The following observations are made about the HSNO cost recovery approaches:</w:t>
      </w:r>
    </w:p>
    <w:p w:rsidR="0093067C" w:rsidRPr="0093067C" w:rsidRDefault="0093067C" w:rsidP="0093067C">
      <w:pPr>
        <w:pStyle w:val="Heading5"/>
        <w:spacing w:after="80"/>
      </w:pPr>
      <w:r w:rsidRPr="0088088F">
        <w:t>Hazardous substances</w:t>
      </w:r>
    </w:p>
    <w:p w:rsidR="0093067C" w:rsidRPr="0088088F" w:rsidRDefault="0093067C" w:rsidP="0093067C">
      <w:pPr>
        <w:pStyle w:val="Bullet"/>
      </w:pPr>
      <w:r w:rsidRPr="0088088F">
        <w:t xml:space="preserve">Setting fixed charges and using group standards has provided certainty for applicants and is an efficient way to manage costs while maintaining appropriate regulatory oversight of risk. </w:t>
      </w:r>
    </w:p>
    <w:p w:rsidR="0093067C" w:rsidRPr="0088088F" w:rsidRDefault="0093067C" w:rsidP="0093067C">
      <w:pPr>
        <w:pStyle w:val="Heading5"/>
        <w:spacing w:after="80"/>
      </w:pPr>
      <w:r w:rsidRPr="0088088F">
        <w:t>New organisms</w:t>
      </w:r>
    </w:p>
    <w:p w:rsidR="0093067C" w:rsidRPr="0088088F" w:rsidRDefault="0093067C" w:rsidP="0093067C">
      <w:pPr>
        <w:pStyle w:val="Bullet"/>
      </w:pPr>
      <w:r w:rsidRPr="0088088F">
        <w:t>Having fixed fees for ‘new organism applications for release’ has provided certainty in planning for applicants and the EPA</w:t>
      </w:r>
      <w:r>
        <w:t>.</w:t>
      </w:r>
    </w:p>
    <w:p w:rsidR="0093067C" w:rsidRPr="0088088F" w:rsidRDefault="0093067C" w:rsidP="0093067C">
      <w:pPr>
        <w:pStyle w:val="Bullet"/>
      </w:pPr>
      <w:r w:rsidRPr="0088088F">
        <w:t>The information requirements to progress to full release continue to be identified as a potential barrier to attracting innovative activity and investment to New Zealand.</w:t>
      </w:r>
      <w:r w:rsidR="006631F4">
        <w:t xml:space="preserve"> </w:t>
      </w:r>
      <w:r w:rsidRPr="0088088F">
        <w:t>These vary per application and are not the same thing as the application fee.</w:t>
      </w:r>
    </w:p>
    <w:p w:rsidR="0093067C" w:rsidRPr="006F1651" w:rsidRDefault="0093067C" w:rsidP="006F1651">
      <w:pPr>
        <w:pStyle w:val="Heading3"/>
      </w:pPr>
      <w:r w:rsidRPr="006F1651">
        <w:t>Recommendations</w:t>
      </w:r>
    </w:p>
    <w:p w:rsidR="0093067C" w:rsidRPr="000B4120" w:rsidRDefault="0093067C" w:rsidP="0093067C">
      <w:pPr>
        <w:pStyle w:val="BodyText"/>
      </w:pPr>
      <w:r w:rsidRPr="000B4120">
        <w:t xml:space="preserve">Opportunities for new cost recovery are potentially limited </w:t>
      </w:r>
      <w:r w:rsidRPr="0088088F">
        <w:t xml:space="preserve">under HSNO </w:t>
      </w:r>
      <w:r w:rsidRPr="000B4120">
        <w:t>because</w:t>
      </w:r>
      <w:r w:rsidRPr="0088088F">
        <w:t xml:space="preserve"> increasing fees would not encourage greater innovative activity, and may lead to non-compliant behaviour. However, we</w:t>
      </w:r>
      <w:r w:rsidRPr="000B4120">
        <w:t xml:space="preserve"> recommend that the cost recovery regime for HSNO be reviewed. The aspects of the existing HSNO cost recovery regime that we recommend are considered as part of a review, in particular, are:</w:t>
      </w:r>
    </w:p>
    <w:p w:rsidR="0093067C" w:rsidRPr="000B4120" w:rsidRDefault="0093067C" w:rsidP="0093067C">
      <w:pPr>
        <w:pStyle w:val="Bullet"/>
      </w:pPr>
      <w:r>
        <w:t>T</w:t>
      </w:r>
      <w:r w:rsidRPr="000B4120">
        <w:t>he decision to cost recover HSNO decision</w:t>
      </w:r>
      <w:r>
        <w:t>-</w:t>
      </w:r>
      <w:r w:rsidRPr="000B4120">
        <w:t>making at</w:t>
      </w:r>
      <w:r w:rsidR="00710F67">
        <w:t xml:space="preserve"> an average of</w:t>
      </w:r>
      <w:r w:rsidRPr="000B4120">
        <w:t xml:space="preserve"> 17% of the actual cost should be re</w:t>
      </w:r>
      <w:r w:rsidR="00524BE1">
        <w:noBreakHyphen/>
      </w:r>
      <w:r w:rsidRPr="000B4120">
        <w:t>examined to identify if this rate is still appropriate (</w:t>
      </w:r>
      <w:r>
        <w:t>ie,</w:t>
      </w:r>
      <w:r w:rsidRPr="000B4120">
        <w:t xml:space="preserve"> could it be higher or should it be lower and why?)</w:t>
      </w:r>
      <w:r>
        <w:t>.</w:t>
      </w:r>
    </w:p>
    <w:p w:rsidR="0093067C" w:rsidRPr="000B4120" w:rsidRDefault="0093067C" w:rsidP="0093067C">
      <w:pPr>
        <w:pStyle w:val="Bullet"/>
      </w:pPr>
      <w:r w:rsidRPr="000B4120">
        <w:t>Consideration of the charging framework or</w:t>
      </w:r>
      <w:r w:rsidR="00EF50BB">
        <w:t xml:space="preserve"> mechanism for cost recovery (i</w:t>
      </w:r>
      <w:r w:rsidRPr="000B4120">
        <w:t>e</w:t>
      </w:r>
      <w:r w:rsidR="00EF50BB">
        <w:t>,</w:t>
      </w:r>
      <w:r w:rsidRPr="000B4120">
        <w:t xml:space="preserve"> fixed fee, recovering actual and reasonable costs, levy, </w:t>
      </w:r>
      <w:proofErr w:type="spellStart"/>
      <w:r w:rsidRPr="000B4120">
        <w:t>etc</w:t>
      </w:r>
      <w:proofErr w:type="spellEnd"/>
      <w:r w:rsidRPr="000B4120">
        <w:t xml:space="preserve">). HSNO applicants are currently charged a </w:t>
      </w:r>
      <w:r w:rsidRPr="000B4120">
        <w:lastRenderedPageBreak/>
        <w:t>fixed fee while nationally significant proposal and EEZ decision</w:t>
      </w:r>
      <w:r>
        <w:t>-</w:t>
      </w:r>
      <w:r w:rsidRPr="000B4120">
        <w:t>making applicants are required to pay the actual and reasonable costs (or a percentage of these)</w:t>
      </w:r>
      <w:r>
        <w:t>.</w:t>
      </w:r>
      <w:r w:rsidR="006631F4">
        <w:t xml:space="preserve"> </w:t>
      </w:r>
    </w:p>
    <w:p w:rsidR="0093067C" w:rsidRPr="000B4120" w:rsidRDefault="0093067C" w:rsidP="0093067C">
      <w:pPr>
        <w:pStyle w:val="Bullet"/>
      </w:pPr>
      <w:r w:rsidRPr="000B4120">
        <w:t xml:space="preserve">The possibility of recovering the cost of supporting the HSNO Committee. This is currently not cost recovered. Recovering the cost of supporting this Committee would be consistent with the approach taken in the </w:t>
      </w:r>
      <w:r w:rsidRPr="0088088F">
        <w:t>NSP</w:t>
      </w:r>
      <w:r w:rsidRPr="000B4120">
        <w:t xml:space="preserve"> and marine consenting areas</w:t>
      </w:r>
      <w:r>
        <w:t>.</w:t>
      </w:r>
    </w:p>
    <w:p w:rsidR="0093067C" w:rsidRPr="000B4120" w:rsidRDefault="0093067C" w:rsidP="0093067C">
      <w:pPr>
        <w:pStyle w:val="Bullet"/>
      </w:pPr>
      <w:r>
        <w:t>W</w:t>
      </w:r>
      <w:r w:rsidRPr="0088088F">
        <w:t xml:space="preserve">hether the </w:t>
      </w:r>
      <w:r w:rsidRPr="000B4120">
        <w:t xml:space="preserve">EPA </w:t>
      </w:r>
      <w:r w:rsidRPr="0088088F">
        <w:t>co</w:t>
      </w:r>
      <w:r w:rsidRPr="000B4120">
        <w:t>uld charg</w:t>
      </w:r>
      <w:r w:rsidRPr="0088088F">
        <w:t>e</w:t>
      </w:r>
      <w:r w:rsidRPr="000B4120">
        <w:t xml:space="preserve"> interested parties to view their </w:t>
      </w:r>
      <w:r>
        <w:t xml:space="preserve">‘HSNO applications’ and ‘substance </w:t>
      </w:r>
      <w:r w:rsidRPr="000B4120">
        <w:t>exposure limits</w:t>
      </w:r>
      <w:r>
        <w:t>’ registers</w:t>
      </w:r>
      <w:r w:rsidRPr="000B4120">
        <w:t>. As these are primarily used by industry, there could in theory be a charge placed on</w:t>
      </w:r>
      <w:r>
        <w:t xml:space="preserve"> their</w:t>
      </w:r>
      <w:r w:rsidRPr="000B4120">
        <w:t xml:space="preserve"> use (</w:t>
      </w:r>
      <w:r>
        <w:t>eg,</w:t>
      </w:r>
      <w:r w:rsidRPr="000B4120">
        <w:t xml:space="preserve"> an annual subscription or pay-per-view). However, section</w:t>
      </w:r>
      <w:r>
        <w:t>s</w:t>
      </w:r>
      <w:r w:rsidRPr="000B4120">
        <w:t xml:space="preserve"> </w:t>
      </w:r>
      <w:r>
        <w:t xml:space="preserve">20(5) and </w:t>
      </w:r>
      <w:r w:rsidRPr="000B4120">
        <w:t>20</w:t>
      </w:r>
      <w:r>
        <w:t>A</w:t>
      </w:r>
      <w:r w:rsidRPr="000B4120">
        <w:t xml:space="preserve"> of the HSNO Act require the EPA to make the register</w:t>
      </w:r>
      <w:r>
        <w:t>s</w:t>
      </w:r>
      <w:r w:rsidRPr="000B4120">
        <w:t xml:space="preserve"> available for inspection to any member of the public.</w:t>
      </w:r>
      <w:r w:rsidR="006631F4">
        <w:t xml:space="preserve"> </w:t>
      </w:r>
      <w:r w:rsidRPr="000B4120">
        <w:t>Therefore</w:t>
      </w:r>
      <w:r>
        <w:t>,</w:t>
      </w:r>
      <w:r w:rsidRPr="000B4120">
        <w:t xml:space="preserve"> it might not be possible to impose such a charge.</w:t>
      </w:r>
      <w:r w:rsidR="006631F4">
        <w:t xml:space="preserve"> </w:t>
      </w:r>
    </w:p>
    <w:p w:rsidR="00271194" w:rsidRPr="00291E49" w:rsidRDefault="00271194" w:rsidP="00291E49">
      <w:pPr>
        <w:pStyle w:val="Heading2"/>
      </w:pPr>
      <w:bookmarkStart w:id="100" w:name="_Toc414309456"/>
      <w:bookmarkStart w:id="101" w:name="_Toc417469871"/>
      <w:r w:rsidRPr="00291E49">
        <w:t>Ozone and import-export regulations</w:t>
      </w:r>
      <w:bookmarkEnd w:id="100"/>
      <w:bookmarkEnd w:id="101"/>
    </w:p>
    <w:p w:rsidR="00271194" w:rsidRPr="006F1651" w:rsidRDefault="00271194" w:rsidP="006F1651">
      <w:pPr>
        <w:pStyle w:val="Heading3"/>
      </w:pPr>
      <w:bookmarkStart w:id="102" w:name="_Toc401758769"/>
      <w:bookmarkStart w:id="103" w:name="_Toc401819797"/>
      <w:bookmarkStart w:id="104" w:name="_Toc401844346"/>
      <w:bookmarkStart w:id="105" w:name="_Toc402340099"/>
      <w:bookmarkStart w:id="106" w:name="_Toc402435520"/>
      <w:bookmarkStart w:id="107" w:name="_Toc405450361"/>
      <w:r w:rsidRPr="006F1651">
        <w:t>Context</w:t>
      </w:r>
    </w:p>
    <w:p w:rsidR="00271194" w:rsidRDefault="00271194" w:rsidP="00271194">
      <w:pPr>
        <w:pStyle w:val="BodyText"/>
      </w:pPr>
      <w:r>
        <w:t>The EPA has activities additional to its HSNO functions under the Ozone Layer Protection Act 1996, Imports and Exports (Restrictions) Act 1988, and Imports and Exports (Restrictions) Prohibition Order (No 2) 2004. These activities include regulating ozone-depleting substances and certain chemicals and hazardous waste controlled by international agreements</w:t>
      </w:r>
      <w:r w:rsidR="00A62B70">
        <w:t>.</w:t>
      </w:r>
      <w:r>
        <w:rPr>
          <w:rStyle w:val="FootnoteReference"/>
        </w:rPr>
        <w:footnoteReference w:id="24"/>
      </w:r>
    </w:p>
    <w:p w:rsidR="00271194" w:rsidRPr="006F1651" w:rsidRDefault="00271194" w:rsidP="006F1651">
      <w:pPr>
        <w:pStyle w:val="Heading3"/>
      </w:pPr>
      <w:r w:rsidRPr="006F1651">
        <w:t>Authority</w:t>
      </w:r>
    </w:p>
    <w:p w:rsidR="00271194" w:rsidRDefault="00271194" w:rsidP="00271194">
      <w:pPr>
        <w:pStyle w:val="BodyText"/>
      </w:pPr>
      <w:r>
        <w:t>The existing legislative framework does not allow the EPA to recover costs for any of these functions.</w:t>
      </w:r>
    </w:p>
    <w:p w:rsidR="00271194" w:rsidRPr="006F1651" w:rsidRDefault="00271194" w:rsidP="006F1651">
      <w:pPr>
        <w:pStyle w:val="Heading3"/>
      </w:pPr>
      <w:r w:rsidRPr="006F1651">
        <w:t>Justification</w:t>
      </w:r>
    </w:p>
    <w:p w:rsidR="00271194" w:rsidRPr="00271194" w:rsidRDefault="00271194" w:rsidP="00A62B70">
      <w:pPr>
        <w:pStyle w:val="BodyText"/>
        <w:spacing w:after="100"/>
      </w:pPr>
      <w:r>
        <w:t>We have identified two activities with mixed benefits:</w:t>
      </w:r>
    </w:p>
    <w:p w:rsidR="00271194" w:rsidRDefault="00271194" w:rsidP="00A62B70">
      <w:pPr>
        <w:pStyle w:val="Bullet"/>
        <w:spacing w:after="100"/>
      </w:pPr>
      <w:r>
        <w:t>issuing permits and providing information and advice to permit holders for ozone-depleting substances imports and exports</w:t>
      </w:r>
    </w:p>
    <w:p w:rsidR="00271194" w:rsidRDefault="00271194" w:rsidP="00A62B70">
      <w:pPr>
        <w:pStyle w:val="Bullet"/>
        <w:spacing w:after="100"/>
      </w:pPr>
      <w:proofErr w:type="gramStart"/>
      <w:r>
        <w:t>issuing</w:t>
      </w:r>
      <w:proofErr w:type="gramEnd"/>
      <w:r>
        <w:t xml:space="preserve"> permits and providing information and advice to permit holders for waste imports and exports.</w:t>
      </w:r>
    </w:p>
    <w:p w:rsidR="00271194" w:rsidRPr="00271194" w:rsidRDefault="00271194" w:rsidP="00271194">
      <w:pPr>
        <w:pStyle w:val="Heading5"/>
      </w:pPr>
      <w:r>
        <w:t>Ozone depleting substances permits</w:t>
      </w:r>
    </w:p>
    <w:p w:rsidR="00271194" w:rsidRDefault="00271194" w:rsidP="00A62B70">
      <w:pPr>
        <w:pStyle w:val="BodyText"/>
        <w:spacing w:before="100" w:after="100"/>
      </w:pPr>
      <w:r>
        <w:t>The activity to issue permits and provide information and advice to permit holders for ozone-depleting substances imports and exports is predominantly related to approving exemptions to</w:t>
      </w:r>
      <w:r w:rsidR="00C44B7D">
        <w:t> </w:t>
      </w:r>
      <w:r>
        <w:t>import or export ozone depleting substances. Most ozone-depleting substances are being</w:t>
      </w:r>
      <w:r w:rsidR="00C44B7D">
        <w:t> </w:t>
      </w:r>
      <w:r>
        <w:t>phased out so this activity is primarily about approving exemptions where there is no suitable alternative.</w:t>
      </w:r>
    </w:p>
    <w:p w:rsidR="00271194" w:rsidRDefault="00271194" w:rsidP="00A62B70">
      <w:pPr>
        <w:pStyle w:val="BodyText"/>
        <w:spacing w:before="100" w:after="100"/>
      </w:pPr>
      <w:r>
        <w:t xml:space="preserve">The ultimate purpose of the ozone-depleting substances permitting system is to ensure compliance with the Montreal Protocol and prevent depletion of the ozone layer. In our view, charging for these permits could lead to the perverse outcome of fewer importers seeking permits and an increase in illegal imports. </w:t>
      </w:r>
    </w:p>
    <w:p w:rsidR="00271194" w:rsidRDefault="00271194" w:rsidP="00271194">
      <w:pPr>
        <w:pStyle w:val="Heading5"/>
      </w:pPr>
      <w:r>
        <w:lastRenderedPageBreak/>
        <w:t>Hazardous waste imports and exports</w:t>
      </w:r>
    </w:p>
    <w:p w:rsidR="00271194" w:rsidRPr="00271194" w:rsidRDefault="00271194" w:rsidP="00A62B70">
      <w:pPr>
        <w:pStyle w:val="BodyText"/>
        <w:spacing w:before="100" w:after="100"/>
      </w:pPr>
      <w:r>
        <w:t>A permit is required to export hazardous waste from New Zealand, with the exporter deciding if the waste they are exporting is hazardous (and consequently if a permit is required). The applicant is required to get a permit from all countries the h</w:t>
      </w:r>
      <w:r w:rsidRPr="00271194">
        <w:t>azardous waste transits through, with some of these other countries charging for such permits. New Zealand does not have the facilit</w:t>
      </w:r>
      <w:r w:rsidR="0055020B">
        <w:t>ies</w:t>
      </w:r>
      <w:r w:rsidRPr="00271194">
        <w:t>, demand or technology in place to process such waste.</w:t>
      </w:r>
    </w:p>
    <w:p w:rsidR="006A4141" w:rsidRDefault="00271194" w:rsidP="00A62B70">
      <w:pPr>
        <w:pStyle w:val="BodyText"/>
        <w:spacing w:before="100" w:after="100"/>
      </w:pPr>
      <w:r w:rsidRPr="00271194">
        <w:t>New Zealand could consider charging for the import or transit of hazardous waste and chemicals that originate from other countries. However</w:t>
      </w:r>
      <w:r w:rsidR="0055020B">
        <w:t>:</w:t>
      </w:r>
    </w:p>
    <w:p w:rsidR="006A4141" w:rsidRDefault="00271194" w:rsidP="0055020B">
      <w:pPr>
        <w:pStyle w:val="BodyText"/>
        <w:numPr>
          <w:ilvl w:val="0"/>
          <w:numId w:val="16"/>
        </w:numPr>
        <w:spacing w:before="100" w:after="100"/>
      </w:pPr>
      <w:r w:rsidRPr="00271194">
        <w:t>the</w:t>
      </w:r>
      <w:r>
        <w:t xml:space="preserve">re is anecdotal evidence that current compliance with permitting requirements </w:t>
      </w:r>
      <w:r w:rsidR="00BD16D8">
        <w:t>could be</w:t>
      </w:r>
      <w:r w:rsidR="00C3140C">
        <w:t xml:space="preserve"> low</w:t>
      </w:r>
      <w:r w:rsidR="006A4141">
        <w:t xml:space="preserve"> </w:t>
      </w:r>
    </w:p>
    <w:p w:rsidR="00271194" w:rsidRDefault="00D91B9E" w:rsidP="0055020B">
      <w:pPr>
        <w:pStyle w:val="BodyText"/>
        <w:numPr>
          <w:ilvl w:val="0"/>
          <w:numId w:val="16"/>
        </w:numPr>
        <w:spacing w:before="100" w:after="100"/>
      </w:pPr>
      <w:proofErr w:type="gramStart"/>
      <w:r>
        <w:t>c</w:t>
      </w:r>
      <w:r w:rsidR="00271194">
        <w:t>harging</w:t>
      </w:r>
      <w:proofErr w:type="gramEnd"/>
      <w:r w:rsidR="00271194">
        <w:t xml:space="preserve"> the Pacific Island countries a fee for these permits may be counter to the intent of the </w:t>
      </w:r>
      <w:proofErr w:type="spellStart"/>
      <w:r w:rsidR="00271194">
        <w:t>Waigani</w:t>
      </w:r>
      <w:proofErr w:type="spellEnd"/>
      <w:r w:rsidR="00271194">
        <w:t xml:space="preserve"> Convention and New Zealand’s other relations with these countries.</w:t>
      </w:r>
    </w:p>
    <w:p w:rsidR="00271194" w:rsidRPr="006F1651" w:rsidRDefault="00271194" w:rsidP="006F1651">
      <w:pPr>
        <w:pStyle w:val="Heading3"/>
      </w:pPr>
      <w:r w:rsidRPr="006F1651">
        <w:t>Recommendations</w:t>
      </w:r>
    </w:p>
    <w:p w:rsidR="00271194" w:rsidRDefault="00271194" w:rsidP="00271194">
      <w:pPr>
        <w:pStyle w:val="BodyText"/>
        <w:rPr>
          <w:rFonts w:asciiTheme="minorHAnsi" w:hAnsiTheme="minorHAnsi" w:cs="Arial"/>
          <w:color w:val="231F20"/>
        </w:rPr>
      </w:pPr>
      <w:r>
        <w:rPr>
          <w:rFonts w:asciiTheme="minorHAnsi" w:hAnsiTheme="minorHAnsi" w:cs="Arial"/>
          <w:color w:val="231F20"/>
        </w:rPr>
        <w:t xml:space="preserve">Having mixed benefits suggests there is some potential for at least partially recovering the cost associated with issuing these permits. However, in our view, charging for these permits runs counter to encouraging higher levels of compliance. </w:t>
      </w:r>
    </w:p>
    <w:p w:rsidR="00271194" w:rsidRDefault="00271194" w:rsidP="00271194">
      <w:pPr>
        <w:pStyle w:val="BodyText"/>
        <w:rPr>
          <w:rFonts w:asciiTheme="minorHAnsi" w:hAnsiTheme="minorHAnsi" w:cs="Arial"/>
          <w:color w:val="231F20"/>
        </w:rPr>
      </w:pPr>
      <w:r>
        <w:rPr>
          <w:rFonts w:asciiTheme="minorHAnsi" w:hAnsiTheme="minorHAnsi" w:cs="Arial"/>
          <w:color w:val="231F20"/>
        </w:rPr>
        <w:t xml:space="preserve">We recommend maintaining the </w:t>
      </w:r>
      <w:r w:rsidRPr="00B01BD3">
        <w:rPr>
          <w:rFonts w:asciiTheme="minorHAnsi" w:hAnsiTheme="minorHAnsi" w:cs="Arial"/>
          <w:i/>
          <w:color w:val="231F20"/>
        </w:rPr>
        <w:t>status quo</w:t>
      </w:r>
      <w:r>
        <w:rPr>
          <w:rFonts w:asciiTheme="minorHAnsi" w:hAnsiTheme="minorHAnsi" w:cs="Arial"/>
          <w:color w:val="231F20"/>
        </w:rPr>
        <w:t>.</w:t>
      </w:r>
    </w:p>
    <w:p w:rsidR="00C44B7D" w:rsidRPr="0088088F" w:rsidRDefault="00C44B7D" w:rsidP="00C44B7D">
      <w:pPr>
        <w:pStyle w:val="Heading2"/>
      </w:pPr>
      <w:bookmarkStart w:id="108" w:name="_Toc414309457"/>
      <w:bookmarkStart w:id="109" w:name="_Toc417469872"/>
      <w:bookmarkEnd w:id="102"/>
      <w:bookmarkEnd w:id="103"/>
      <w:bookmarkEnd w:id="104"/>
      <w:bookmarkEnd w:id="105"/>
      <w:bookmarkEnd w:id="106"/>
      <w:bookmarkEnd w:id="107"/>
      <w:r w:rsidRPr="0088088F">
        <w:t xml:space="preserve">Emissions Trading Scheme </w:t>
      </w:r>
      <w:r>
        <w:t>a</w:t>
      </w:r>
      <w:r w:rsidRPr="0088088F">
        <w:t>dministration</w:t>
      </w:r>
      <w:bookmarkEnd w:id="108"/>
      <w:bookmarkEnd w:id="109"/>
    </w:p>
    <w:p w:rsidR="00C44B7D" w:rsidRPr="006F1651" w:rsidRDefault="00C44B7D" w:rsidP="006F1651">
      <w:pPr>
        <w:pStyle w:val="Heading3"/>
      </w:pPr>
      <w:r w:rsidRPr="006F1651">
        <w:t>Context</w:t>
      </w:r>
    </w:p>
    <w:p w:rsidR="00C44B7D" w:rsidRDefault="00C44B7D" w:rsidP="00542B53">
      <w:pPr>
        <w:pStyle w:val="BodyText"/>
      </w:pPr>
      <w:r w:rsidRPr="004629C7">
        <w:t>The EPA has a key role in the implementation of the New Zealand Emissions Trading Scheme</w:t>
      </w:r>
      <w:r w:rsidR="00635C86">
        <w:t> </w:t>
      </w:r>
      <w:r w:rsidRPr="004629C7">
        <w:t>(NZETS) and operation of the New Zealand Emission Unit Register (NZEUR).</w:t>
      </w:r>
      <w:r>
        <w:t xml:space="preserve"> Its activities include</w:t>
      </w:r>
      <w:r w:rsidR="00542B53">
        <w:t>:</w:t>
      </w:r>
      <w:r>
        <w:rPr>
          <w:rStyle w:val="FootnoteReference"/>
        </w:rPr>
        <w:footnoteReference w:id="25"/>
      </w:r>
    </w:p>
    <w:p w:rsidR="00C44B7D" w:rsidRDefault="00C44B7D" w:rsidP="00542B53">
      <w:pPr>
        <w:pStyle w:val="Bullet"/>
      </w:pPr>
      <w:r>
        <w:t>operation of the NZEUR to enable domestic and international emission units to be traded</w:t>
      </w:r>
    </w:p>
    <w:p w:rsidR="00C44B7D" w:rsidRDefault="00C44B7D" w:rsidP="00542B53">
      <w:pPr>
        <w:pStyle w:val="Bullet"/>
      </w:pPr>
      <w:r>
        <w:t>decisions on activities to support registration, entitlements, obligations and the allocation of units</w:t>
      </w:r>
    </w:p>
    <w:p w:rsidR="00C44B7D" w:rsidRDefault="00C44B7D" w:rsidP="00542B53">
      <w:pPr>
        <w:pStyle w:val="Bullet"/>
      </w:pPr>
      <w:r>
        <w:t>monitoring the implementation of the Climate Change Response Act through compliance and reporting activities</w:t>
      </w:r>
    </w:p>
    <w:p w:rsidR="00C44B7D" w:rsidRDefault="00C44B7D" w:rsidP="00542B53">
      <w:pPr>
        <w:pStyle w:val="Bullet"/>
      </w:pPr>
      <w:proofErr w:type="gramStart"/>
      <w:r>
        <w:t>providing</w:t>
      </w:r>
      <w:proofErr w:type="gramEnd"/>
      <w:r>
        <w:t xml:space="preserve"> information and support to the Ministry for the Environment to ensure New Zealand meets its international obligations.</w:t>
      </w:r>
    </w:p>
    <w:p w:rsidR="00C44B7D" w:rsidRPr="006F1651" w:rsidRDefault="00C44B7D" w:rsidP="006F1651">
      <w:pPr>
        <w:pStyle w:val="Heading3"/>
      </w:pPr>
      <w:r w:rsidRPr="006F1651">
        <w:t>Authority</w:t>
      </w:r>
    </w:p>
    <w:p w:rsidR="00C44B7D" w:rsidRDefault="00C44B7D" w:rsidP="00542B53">
      <w:pPr>
        <w:pStyle w:val="BodyText"/>
      </w:pPr>
      <w:r>
        <w:t>The EPA is currently able to recover the costs associated with making an emissions ruling. This is authorised by the Climate Change Response Act 2002</w:t>
      </w:r>
      <w:r>
        <w:rPr>
          <w:rStyle w:val="FootnoteReference"/>
        </w:rPr>
        <w:footnoteReference w:id="26"/>
      </w:r>
      <w:r>
        <w:t xml:space="preserve"> which enables regulations to be made to prescribe fees and payment procedures.</w:t>
      </w:r>
      <w:r w:rsidR="006631F4">
        <w:t xml:space="preserve"> </w:t>
      </w:r>
    </w:p>
    <w:p w:rsidR="00C44B7D" w:rsidRDefault="00C44B7D" w:rsidP="00542B53">
      <w:pPr>
        <w:pStyle w:val="BodyText"/>
      </w:pPr>
      <w:r>
        <w:t>The Climate Change Response Act also provides for making regulations to recover the costs associated with:</w:t>
      </w:r>
    </w:p>
    <w:p w:rsidR="00C44B7D" w:rsidRDefault="00C44B7D" w:rsidP="00542B53">
      <w:pPr>
        <w:pStyle w:val="Bullet"/>
      </w:pPr>
      <w:r w:rsidRPr="00D143D4">
        <w:lastRenderedPageBreak/>
        <w:t>proc</w:t>
      </w:r>
      <w:r>
        <w:t>essing applications and returns</w:t>
      </w:r>
    </w:p>
    <w:p w:rsidR="00C44B7D" w:rsidRDefault="00C44B7D" w:rsidP="00542B53">
      <w:pPr>
        <w:pStyle w:val="Bullet"/>
      </w:pPr>
      <w:r w:rsidRPr="00D143D4">
        <w:t>providing, operating, and maintaining systems, databases, and oth</w:t>
      </w:r>
      <w:r w:rsidRPr="001D1E51">
        <w:t xml:space="preserve">er processes in connection with administration of the NZETS </w:t>
      </w:r>
    </w:p>
    <w:p w:rsidR="00C44B7D" w:rsidRDefault="00C44B7D" w:rsidP="00542B53">
      <w:pPr>
        <w:pStyle w:val="Bullet"/>
      </w:pPr>
      <w:proofErr w:type="gramStart"/>
      <w:r w:rsidRPr="00D143D4">
        <w:t>services</w:t>
      </w:r>
      <w:proofErr w:type="gramEnd"/>
      <w:r w:rsidRPr="00D143D4">
        <w:t xml:space="preserve"> provided by third parties.</w:t>
      </w:r>
    </w:p>
    <w:p w:rsidR="00C44B7D" w:rsidRDefault="00C44B7D" w:rsidP="00A50EF2">
      <w:pPr>
        <w:pStyle w:val="BodyText"/>
      </w:pPr>
      <w:r>
        <w:t>However, to date regulations have been passed only for the Ministry for Primary Industries to recover the costs associated with processing forestry applications, and for the EPA to recover costs associated with processing emissions rulings</w:t>
      </w:r>
      <w:r w:rsidR="00542B53">
        <w:t>.</w:t>
      </w:r>
      <w:r>
        <w:rPr>
          <w:rStyle w:val="FootnoteReference"/>
        </w:rPr>
        <w:footnoteReference w:id="27"/>
      </w:r>
    </w:p>
    <w:p w:rsidR="00C44B7D" w:rsidRPr="006F1651" w:rsidRDefault="00C44B7D" w:rsidP="006F1651">
      <w:pPr>
        <w:pStyle w:val="Heading3"/>
      </w:pPr>
      <w:r w:rsidRPr="006F1651">
        <w:t>Justification</w:t>
      </w:r>
    </w:p>
    <w:p w:rsidR="00C45044" w:rsidRDefault="00A50EF2" w:rsidP="00A50EF2">
      <w:pPr>
        <w:pStyle w:val="Tableheading"/>
      </w:pPr>
      <w:bookmarkStart w:id="110" w:name="_Toc414309825"/>
      <w:r w:rsidRPr="00A50EF2">
        <w:t xml:space="preserve">Table 7: </w:t>
      </w:r>
      <w:r>
        <w:tab/>
      </w:r>
      <w:r w:rsidRPr="00A50EF2">
        <w:t>Assessing who benefits from the administration of the NZETS and NZEUR</w:t>
      </w:r>
      <w:bookmarkEnd w:id="110"/>
    </w:p>
    <w:tbl>
      <w:tblPr>
        <w:tblW w:w="8505" w:type="dxa"/>
        <w:tblInd w:w="108" w:type="dxa"/>
        <w:tblBorders>
          <w:top w:val="single" w:sz="4" w:space="0" w:color="17556C"/>
          <w:bottom w:val="single" w:sz="4" w:space="0" w:color="17556C"/>
          <w:insideH w:val="single" w:sz="4" w:space="0" w:color="17556C"/>
        </w:tblBorders>
        <w:tblLayout w:type="fixed"/>
        <w:tblLook w:val="04A0" w:firstRow="1" w:lastRow="0" w:firstColumn="1" w:lastColumn="0" w:noHBand="0" w:noVBand="1"/>
      </w:tblPr>
      <w:tblGrid>
        <w:gridCol w:w="2127"/>
        <w:gridCol w:w="3402"/>
        <w:gridCol w:w="2976"/>
      </w:tblGrid>
      <w:tr w:rsidR="0077212C" w:rsidRPr="0077212C" w:rsidTr="00265BE2">
        <w:tc>
          <w:tcPr>
            <w:tcW w:w="2127" w:type="dxa"/>
            <w:tcBorders>
              <w:right w:val="single" w:sz="4" w:space="0" w:color="17556C"/>
            </w:tcBorders>
            <w:shd w:val="clear" w:color="auto" w:fill="17556C"/>
            <w:hideMark/>
          </w:tcPr>
          <w:p w:rsidR="00A50EF2" w:rsidRPr="0077212C" w:rsidRDefault="006A0D9C" w:rsidP="006A0D9C">
            <w:pPr>
              <w:pStyle w:val="TableTextbold"/>
              <w:rPr>
                <w:color w:val="FFFFFF" w:themeColor="background1"/>
              </w:rPr>
            </w:pPr>
            <w:r>
              <w:rPr>
                <w:color w:val="FFFFFF" w:themeColor="background1"/>
              </w:rPr>
              <w:t>Mostly p</w:t>
            </w:r>
            <w:r w:rsidR="00A50EF2" w:rsidRPr="0077212C">
              <w:rPr>
                <w:color w:val="FFFFFF" w:themeColor="background1"/>
              </w:rPr>
              <w:t>rivate benefit</w:t>
            </w:r>
            <w:r>
              <w:rPr>
                <w:color w:val="FFFFFF" w:themeColor="background1"/>
              </w:rPr>
              <w:t>s</w:t>
            </w:r>
          </w:p>
        </w:tc>
        <w:tc>
          <w:tcPr>
            <w:tcW w:w="3402" w:type="dxa"/>
            <w:tcBorders>
              <w:left w:val="single" w:sz="4" w:space="0" w:color="17556C"/>
              <w:right w:val="single" w:sz="4" w:space="0" w:color="17556C"/>
            </w:tcBorders>
            <w:shd w:val="clear" w:color="auto" w:fill="17556C"/>
            <w:hideMark/>
          </w:tcPr>
          <w:p w:rsidR="00A50EF2" w:rsidRPr="0077212C" w:rsidRDefault="00A50EF2" w:rsidP="006A0D9C">
            <w:pPr>
              <w:pStyle w:val="TableTextbold"/>
              <w:rPr>
                <w:color w:val="FFFFFF" w:themeColor="background1"/>
              </w:rPr>
            </w:pPr>
            <w:r w:rsidRPr="0077212C">
              <w:rPr>
                <w:color w:val="FFFFFF" w:themeColor="background1"/>
              </w:rPr>
              <w:t>Mixed benefit</w:t>
            </w:r>
            <w:r w:rsidR="006A0D9C">
              <w:rPr>
                <w:color w:val="FFFFFF" w:themeColor="background1"/>
              </w:rPr>
              <w:t>s</w:t>
            </w:r>
          </w:p>
        </w:tc>
        <w:tc>
          <w:tcPr>
            <w:tcW w:w="2976" w:type="dxa"/>
            <w:tcBorders>
              <w:left w:val="single" w:sz="4" w:space="0" w:color="17556C"/>
            </w:tcBorders>
            <w:shd w:val="clear" w:color="auto" w:fill="17556C"/>
            <w:hideMark/>
          </w:tcPr>
          <w:p w:rsidR="00A50EF2" w:rsidRPr="0077212C" w:rsidRDefault="006A0D9C" w:rsidP="006A0D9C">
            <w:pPr>
              <w:pStyle w:val="TableTextbold"/>
              <w:rPr>
                <w:color w:val="FFFFFF" w:themeColor="background1"/>
              </w:rPr>
            </w:pPr>
            <w:r>
              <w:rPr>
                <w:color w:val="FFFFFF" w:themeColor="background1"/>
              </w:rPr>
              <w:t>Mostly p</w:t>
            </w:r>
            <w:r w:rsidR="00A50EF2" w:rsidRPr="0077212C">
              <w:rPr>
                <w:color w:val="FFFFFF" w:themeColor="background1"/>
              </w:rPr>
              <w:t>ublic benefit</w:t>
            </w:r>
            <w:r>
              <w:rPr>
                <w:color w:val="FFFFFF" w:themeColor="background1"/>
              </w:rPr>
              <w:t>s</w:t>
            </w:r>
          </w:p>
        </w:tc>
      </w:tr>
      <w:tr w:rsidR="00A50EF2" w:rsidRPr="0077212C" w:rsidTr="00265BE2">
        <w:tc>
          <w:tcPr>
            <w:tcW w:w="2127" w:type="dxa"/>
            <w:tcBorders>
              <w:right w:val="single" w:sz="4" w:space="0" w:color="17556C"/>
            </w:tcBorders>
          </w:tcPr>
          <w:p w:rsidR="00A50EF2" w:rsidRPr="0077212C" w:rsidRDefault="00A50EF2" w:rsidP="0077212C">
            <w:pPr>
              <w:pStyle w:val="Tabletext"/>
            </w:pPr>
            <w:r w:rsidRPr="0077212C">
              <w:t>Registration of voluntary participants</w:t>
            </w:r>
          </w:p>
        </w:tc>
        <w:tc>
          <w:tcPr>
            <w:tcW w:w="3402" w:type="dxa"/>
            <w:tcBorders>
              <w:left w:val="single" w:sz="4" w:space="0" w:color="17556C"/>
              <w:right w:val="single" w:sz="4" w:space="0" w:color="17556C"/>
            </w:tcBorders>
          </w:tcPr>
          <w:p w:rsidR="00A50EF2" w:rsidRPr="0077212C" w:rsidRDefault="00A50EF2" w:rsidP="0077212C">
            <w:pPr>
              <w:pStyle w:val="Tabletext"/>
            </w:pPr>
            <w:r w:rsidRPr="0077212C">
              <w:t>Making decisions on applications for allocations</w:t>
            </w:r>
          </w:p>
          <w:p w:rsidR="00A50EF2" w:rsidRPr="0077212C" w:rsidRDefault="00A50EF2" w:rsidP="0077212C">
            <w:pPr>
              <w:pStyle w:val="Tabletext"/>
            </w:pPr>
            <w:r w:rsidRPr="0077212C">
              <w:t>Registration of mandatory participants</w:t>
            </w:r>
          </w:p>
          <w:p w:rsidR="00A50EF2" w:rsidRPr="0077212C" w:rsidRDefault="00A50EF2" w:rsidP="0077212C">
            <w:pPr>
              <w:pStyle w:val="Tabletext"/>
            </w:pPr>
            <w:r w:rsidRPr="0077212C">
              <w:t>Unit holding and transaction accounting</w:t>
            </w:r>
          </w:p>
          <w:p w:rsidR="00A50EF2" w:rsidRPr="0077212C" w:rsidRDefault="00A50EF2" w:rsidP="0077212C">
            <w:pPr>
              <w:pStyle w:val="Tabletext"/>
            </w:pPr>
            <w:r w:rsidRPr="0077212C">
              <w:t>Decisions on unique emissions factors</w:t>
            </w:r>
          </w:p>
          <w:p w:rsidR="00A50EF2" w:rsidRPr="0077212C" w:rsidRDefault="00A50EF2" w:rsidP="0077212C">
            <w:pPr>
              <w:pStyle w:val="Tabletext"/>
            </w:pPr>
            <w:r w:rsidRPr="0077212C">
              <w:t>Cross border transactions</w:t>
            </w:r>
          </w:p>
          <w:p w:rsidR="00A50EF2" w:rsidRPr="0077212C" w:rsidRDefault="00A50EF2" w:rsidP="0077212C">
            <w:pPr>
              <w:pStyle w:val="Tabletext"/>
            </w:pPr>
            <w:r w:rsidRPr="0077212C">
              <w:t>Opening and closing holding accounts</w:t>
            </w:r>
          </w:p>
        </w:tc>
        <w:tc>
          <w:tcPr>
            <w:tcW w:w="2976" w:type="dxa"/>
            <w:tcBorders>
              <w:left w:val="single" w:sz="4" w:space="0" w:color="17556C"/>
            </w:tcBorders>
          </w:tcPr>
          <w:p w:rsidR="00A50EF2" w:rsidRPr="0077212C" w:rsidRDefault="00A50EF2" w:rsidP="0077212C">
            <w:pPr>
              <w:pStyle w:val="Tabletext"/>
            </w:pPr>
            <w:r w:rsidRPr="0077212C">
              <w:t>Annual emissions returns</w:t>
            </w:r>
          </w:p>
          <w:p w:rsidR="00A50EF2" w:rsidRPr="0077212C" w:rsidRDefault="00A50EF2" w:rsidP="0077212C">
            <w:pPr>
              <w:pStyle w:val="Tabletext"/>
            </w:pPr>
            <w:r w:rsidRPr="0077212C">
              <w:t>Carry out directions of the Registrar</w:t>
            </w:r>
          </w:p>
          <w:p w:rsidR="00A50EF2" w:rsidRPr="0077212C" w:rsidRDefault="00A50EF2" w:rsidP="0077212C">
            <w:pPr>
              <w:pStyle w:val="Tabletext"/>
            </w:pPr>
            <w:r w:rsidRPr="0077212C">
              <w:t>Ensure compliance</w:t>
            </w:r>
          </w:p>
          <w:p w:rsidR="00A50EF2" w:rsidRPr="0077212C" w:rsidRDefault="00A50EF2" w:rsidP="0077212C">
            <w:pPr>
              <w:pStyle w:val="Tabletext"/>
            </w:pPr>
            <w:r w:rsidRPr="0077212C">
              <w:t>Audit participants</w:t>
            </w:r>
          </w:p>
          <w:p w:rsidR="00A50EF2" w:rsidRPr="0077212C" w:rsidRDefault="00A50EF2" w:rsidP="0077212C">
            <w:pPr>
              <w:pStyle w:val="Tabletext"/>
            </w:pPr>
            <w:r w:rsidRPr="0077212C">
              <w:t>International compliance</w:t>
            </w:r>
          </w:p>
        </w:tc>
      </w:tr>
    </w:tbl>
    <w:p w:rsidR="0077212C" w:rsidRDefault="0077212C" w:rsidP="0077212C">
      <w:pPr>
        <w:pStyle w:val="BodyText"/>
        <w:spacing w:before="0" w:after="0"/>
        <w:rPr>
          <w:rFonts w:asciiTheme="minorHAnsi" w:hAnsiTheme="minorHAnsi"/>
        </w:rPr>
      </w:pPr>
    </w:p>
    <w:p w:rsidR="00A50EF2" w:rsidRPr="003E5BD2" w:rsidRDefault="00A50EF2" w:rsidP="0077212C">
      <w:pPr>
        <w:pStyle w:val="BodyText"/>
        <w:spacing w:before="0"/>
      </w:pPr>
      <w:r w:rsidRPr="003E5BD2">
        <w:rPr>
          <w:rFonts w:asciiTheme="minorHAnsi" w:hAnsiTheme="minorHAnsi"/>
        </w:rPr>
        <w:t xml:space="preserve">The Climate Change Response Act </w:t>
      </w:r>
      <w:r>
        <w:rPr>
          <w:rFonts w:asciiTheme="minorHAnsi" w:hAnsiTheme="minorHAnsi"/>
        </w:rPr>
        <w:t>provides</w:t>
      </w:r>
      <w:r w:rsidRPr="003E5BD2">
        <w:rPr>
          <w:rFonts w:asciiTheme="minorHAnsi" w:hAnsiTheme="minorHAnsi"/>
        </w:rPr>
        <w:t xml:space="preserve"> scope to increase the rate of cost recovery for the EPA to administer the NZETS and NZEUR. For example, the regulations could be amended to enable the EPA to cost recover </w:t>
      </w:r>
      <w:r w:rsidRPr="003E5BD2">
        <w:t xml:space="preserve">processing applications and returns as well as funding its activities to provide, operate, and maintain systems, databases, and other processes in connection with administration of the NZETS. </w:t>
      </w:r>
    </w:p>
    <w:p w:rsidR="00A50EF2" w:rsidRPr="006F1651" w:rsidRDefault="00A50EF2" w:rsidP="006F1651">
      <w:pPr>
        <w:pStyle w:val="Heading3"/>
      </w:pPr>
      <w:r w:rsidRPr="006F1651">
        <w:t>Accountability</w:t>
      </w:r>
    </w:p>
    <w:p w:rsidR="00A50EF2" w:rsidRDefault="00A50EF2" w:rsidP="00D54C12">
      <w:pPr>
        <w:pStyle w:val="BodyText"/>
      </w:pPr>
      <w:r>
        <w:t xml:space="preserve">The </w:t>
      </w:r>
      <w:r w:rsidRPr="00BE542D">
        <w:t>Climate Change (Emissions Rulings: Fees and Charges) Regulations 2010</w:t>
      </w:r>
      <w:r>
        <w:t xml:space="preserve"> provide the application fee for an emissions ruling and hourly rate charged after the first four hours of processing time. The current hourly rate charged is </w:t>
      </w:r>
      <w:r w:rsidRPr="00397D03">
        <w:t>$117.50.</w:t>
      </w:r>
      <w:r>
        <w:t xml:space="preserve"> </w:t>
      </w:r>
    </w:p>
    <w:p w:rsidR="00A50EF2" w:rsidRPr="006F1651" w:rsidRDefault="00A50EF2" w:rsidP="006F1651">
      <w:pPr>
        <w:pStyle w:val="Heading3"/>
      </w:pPr>
      <w:r w:rsidRPr="006F1651">
        <w:t>Efficiency</w:t>
      </w:r>
    </w:p>
    <w:p w:rsidR="00A50EF2" w:rsidRDefault="00A50EF2" w:rsidP="00D54C12">
      <w:pPr>
        <w:pStyle w:val="BodyText"/>
      </w:pPr>
      <w:r>
        <w:t>In theory, the EPA can cost recover making emission rulings at 100%. There have not been any applications for a ruling in the past 2</w:t>
      </w:r>
      <w:r w:rsidR="00D54C12">
        <w:t>–</w:t>
      </w:r>
      <w:r>
        <w:t>3 years. Therefore, we are unable to identify the actual rate of cost recovery of this activity compared to the theoretical rate.</w:t>
      </w:r>
    </w:p>
    <w:p w:rsidR="00A50EF2" w:rsidRPr="006F1651" w:rsidRDefault="00A50EF2" w:rsidP="006F1651">
      <w:pPr>
        <w:pStyle w:val="Heading3"/>
      </w:pPr>
      <w:r w:rsidRPr="006F1651">
        <w:t>Recommendations</w:t>
      </w:r>
    </w:p>
    <w:p w:rsidR="00A50EF2" w:rsidRPr="00D54C12" w:rsidRDefault="00A50EF2" w:rsidP="00D54C12">
      <w:pPr>
        <w:pStyle w:val="BodyText"/>
      </w:pPr>
      <w:r>
        <w:t>W</w:t>
      </w:r>
      <w:r w:rsidRPr="003E5BD2">
        <w:t xml:space="preserve">hile there are certain opportunities to recover costs for ETS activities, implementing changes to the current system is not considered appropriate at this time. </w:t>
      </w:r>
    </w:p>
    <w:p w:rsidR="00A50EF2" w:rsidRDefault="00A50EF2" w:rsidP="00D54C12">
      <w:pPr>
        <w:pStyle w:val="BodyText"/>
      </w:pPr>
      <w:r>
        <w:t>Below are some examples of the types of issues that would need to be considered before making any changes to the cost recovery regime:</w:t>
      </w:r>
    </w:p>
    <w:p w:rsidR="00A50EF2" w:rsidRDefault="00A50EF2" w:rsidP="00D54C12">
      <w:pPr>
        <w:pStyle w:val="Bullet"/>
      </w:pPr>
      <w:r>
        <w:t xml:space="preserve">There is a risk that imposing a charge to register voluntary participants could deter participation and could undermine an applicant’s ability to access their entitlement to an </w:t>
      </w:r>
      <w:r>
        <w:lastRenderedPageBreak/>
        <w:t xml:space="preserve">allocation </w:t>
      </w:r>
      <w:r w:rsidRPr="00FF011E">
        <w:t xml:space="preserve">if they are a forester, or to abate their emissions at the lowest cost if they are an </w:t>
      </w:r>
      <w:r>
        <w:t>‘</w:t>
      </w:r>
      <w:r w:rsidRPr="00FF011E">
        <w:t>opt in</w:t>
      </w:r>
      <w:r>
        <w:t>’</w:t>
      </w:r>
      <w:r w:rsidRPr="00FF011E">
        <w:t xml:space="preserve"> participant, for example in the Liquid Fossil Fuels sector</w:t>
      </w:r>
      <w:r>
        <w:t>.</w:t>
      </w:r>
    </w:p>
    <w:p w:rsidR="00A50EF2" w:rsidRDefault="00A50EF2" w:rsidP="00D54C12">
      <w:pPr>
        <w:pStyle w:val="Bullet"/>
      </w:pPr>
      <w:r>
        <w:t xml:space="preserve">In some instances, such as applying for allocations of units or registration of mandatory participants, introducing cost recovery would require an applicant to pay before receiving a benefit, which potentially undermines the applicant’s ability to access their entitlement and the context of the wider ETS policy settings. </w:t>
      </w:r>
    </w:p>
    <w:p w:rsidR="00A50EF2" w:rsidRDefault="00A50EF2" w:rsidP="00D54C12">
      <w:pPr>
        <w:pStyle w:val="Bullet"/>
      </w:pPr>
      <w:r>
        <w:t>For other activities, such as unit holding and transaction accounting where there are less than 10,000 accounts, it might be that the cost of administering any new cost recovery is greater than any benefits gained from the additional revenue generated.</w:t>
      </w:r>
    </w:p>
    <w:p w:rsidR="00A50EF2" w:rsidRDefault="00A50EF2" w:rsidP="00D54C12">
      <w:pPr>
        <w:pStyle w:val="BodyText"/>
      </w:pPr>
      <w:r w:rsidRPr="003E5BD2">
        <w:t>The ETS Review</w:t>
      </w:r>
      <w:r w:rsidR="004D339D">
        <w:t>, scheduled for the end of 2015</w:t>
      </w:r>
      <w:r w:rsidR="00437E64">
        <w:t xml:space="preserve"> </w:t>
      </w:r>
      <w:r w:rsidRPr="003E5BD2">
        <w:t>would be an opportunity to consider any cost recovery changes</w:t>
      </w:r>
      <w:r>
        <w:t>,</w:t>
      </w:r>
      <w:r w:rsidRPr="003E5BD2">
        <w:t xml:space="preserve"> within</w:t>
      </w:r>
      <w:r w:rsidR="00D54C12">
        <w:t> </w:t>
      </w:r>
      <w:r w:rsidRPr="003E5BD2">
        <w:t xml:space="preserve">the context of wider ETS policy settings. </w:t>
      </w:r>
      <w:r>
        <w:t>As part of this review, consideration could be</w:t>
      </w:r>
      <w:r w:rsidR="00DA6529">
        <w:t> </w:t>
      </w:r>
      <w:r>
        <w:t>given to opportunities for new cost recovery of activities associated with ad</w:t>
      </w:r>
      <w:bookmarkStart w:id="111" w:name="_Ref405200226"/>
      <w:r>
        <w:t>ministering the</w:t>
      </w:r>
      <w:r w:rsidR="00DA6529">
        <w:t> </w:t>
      </w:r>
      <w:r>
        <w:t>NZ</w:t>
      </w:r>
      <w:r w:rsidR="00F220FD">
        <w:t xml:space="preserve"> </w:t>
      </w:r>
      <w:r>
        <w:t>ETS and NZEUR</w:t>
      </w:r>
      <w:bookmarkEnd w:id="111"/>
      <w:r w:rsidR="00D54C12">
        <w:t>.</w:t>
      </w:r>
    </w:p>
    <w:p w:rsidR="0070797A" w:rsidRDefault="0070797A">
      <w:pPr>
        <w:spacing w:before="0" w:after="200" w:line="276" w:lineRule="auto"/>
        <w:jc w:val="left"/>
        <w:rPr>
          <w:lang w:eastAsia="en-US"/>
        </w:rPr>
      </w:pPr>
      <w:r>
        <w:rPr>
          <w:lang w:eastAsia="en-US"/>
        </w:rPr>
        <w:br w:type="page"/>
      </w:r>
    </w:p>
    <w:p w:rsidR="0070797A" w:rsidRDefault="0070797A" w:rsidP="0070797A">
      <w:pPr>
        <w:pStyle w:val="Heading1"/>
      </w:pPr>
      <w:bookmarkStart w:id="112" w:name="_Toc174765997"/>
      <w:bookmarkStart w:id="113" w:name="_Toc214704941"/>
      <w:bookmarkStart w:id="114" w:name="_Toc414309458"/>
      <w:bookmarkStart w:id="115" w:name="_Toc417469873"/>
      <w:r w:rsidRPr="0070797A">
        <w:lastRenderedPageBreak/>
        <w:t>References</w:t>
      </w:r>
      <w:bookmarkEnd w:id="112"/>
      <w:bookmarkEnd w:id="113"/>
      <w:bookmarkEnd w:id="114"/>
      <w:bookmarkEnd w:id="115"/>
    </w:p>
    <w:p w:rsidR="00423F5B" w:rsidRDefault="00423F5B" w:rsidP="00423F5B">
      <w:pPr>
        <w:pStyle w:val="References"/>
        <w:rPr>
          <w:noProof/>
        </w:rPr>
      </w:pPr>
      <w:r>
        <w:rPr>
          <w:noProof/>
        </w:rPr>
        <w:t xml:space="preserve">Controller and Auditor-General, 2008. </w:t>
      </w:r>
      <w:r>
        <w:rPr>
          <w:i/>
          <w:iCs/>
          <w:noProof/>
        </w:rPr>
        <w:t xml:space="preserve">Charging fees for public sector goods and services. </w:t>
      </w:r>
      <w:r>
        <w:rPr>
          <w:noProof/>
        </w:rPr>
        <w:t>Wellington: Office of the Auditor-General.</w:t>
      </w:r>
    </w:p>
    <w:p w:rsidR="00423F5B" w:rsidRDefault="00423F5B" w:rsidP="00423F5B">
      <w:pPr>
        <w:pStyle w:val="References"/>
        <w:rPr>
          <w:noProof/>
        </w:rPr>
      </w:pPr>
      <w:r>
        <w:rPr>
          <w:noProof/>
        </w:rPr>
        <w:t xml:space="preserve">Environmental Protection Anthority, 2014. </w:t>
      </w:r>
      <w:r>
        <w:rPr>
          <w:i/>
          <w:iCs/>
          <w:noProof/>
        </w:rPr>
        <w:t xml:space="preserve">MfE Cost Recovery Review Work-Stream Three Year Review of the EPA: EPA Cost Recovery Opportunities for HSNO (meeting note). </w:t>
      </w:r>
      <w:r>
        <w:rPr>
          <w:noProof/>
        </w:rPr>
        <w:t>Wellington: Unpublished document.</w:t>
      </w:r>
    </w:p>
    <w:p w:rsidR="00423F5B" w:rsidRDefault="00423F5B" w:rsidP="00423F5B">
      <w:pPr>
        <w:pStyle w:val="References"/>
        <w:rPr>
          <w:noProof/>
        </w:rPr>
      </w:pPr>
      <w:r>
        <w:rPr>
          <w:noProof/>
        </w:rPr>
        <w:t xml:space="preserve">Environmental Protection Authority, 2014. </w:t>
      </w:r>
      <w:r>
        <w:rPr>
          <w:i/>
          <w:iCs/>
          <w:noProof/>
        </w:rPr>
        <w:t xml:space="preserve">MfE Cost Recovery Review Work-Stream Three Year Review of the EPA: EPA Cost Recovery Opportunities for EEZ (Meeting note). </w:t>
      </w:r>
      <w:r>
        <w:rPr>
          <w:noProof/>
        </w:rPr>
        <w:t>Wellington: Unpublished document.</w:t>
      </w:r>
    </w:p>
    <w:p w:rsidR="00423F5B" w:rsidRDefault="00423F5B" w:rsidP="00423F5B">
      <w:pPr>
        <w:pStyle w:val="References"/>
        <w:rPr>
          <w:noProof/>
        </w:rPr>
      </w:pPr>
      <w:r>
        <w:rPr>
          <w:noProof/>
        </w:rPr>
        <w:t xml:space="preserve">Environmental Protection Authority, 2014. </w:t>
      </w:r>
      <w:r>
        <w:rPr>
          <w:i/>
          <w:iCs/>
          <w:noProof/>
        </w:rPr>
        <w:t xml:space="preserve">MfE Cost Recovery Review Work-Stream Three Year Review of the EPA: EPA Cost Recovery Opportunities for Nationally Significant Proposals (meeting note). </w:t>
      </w:r>
      <w:r>
        <w:rPr>
          <w:noProof/>
        </w:rPr>
        <w:t>Wellington: Unpublished work.</w:t>
      </w:r>
    </w:p>
    <w:p w:rsidR="00423F5B" w:rsidRDefault="00423F5B" w:rsidP="00423F5B">
      <w:pPr>
        <w:pStyle w:val="References"/>
        <w:rPr>
          <w:noProof/>
        </w:rPr>
      </w:pPr>
      <w:r>
        <w:rPr>
          <w:noProof/>
        </w:rPr>
        <w:t xml:space="preserve">Environmental Protection Authority, 2014. </w:t>
      </w:r>
      <w:r>
        <w:rPr>
          <w:i/>
          <w:iCs/>
          <w:noProof/>
        </w:rPr>
        <w:t xml:space="preserve">MfE Cost Recovery Review Work-Stream Three Year Review of the EPA: EPA cost recovery opportunities for the ETS (Meeting note). </w:t>
      </w:r>
      <w:r>
        <w:rPr>
          <w:noProof/>
        </w:rPr>
        <w:t>Wellington: Unpublished document.</w:t>
      </w:r>
    </w:p>
    <w:p w:rsidR="00423F5B" w:rsidRDefault="00423F5B" w:rsidP="00423F5B">
      <w:pPr>
        <w:pStyle w:val="References"/>
        <w:rPr>
          <w:noProof/>
        </w:rPr>
      </w:pPr>
      <w:r>
        <w:rPr>
          <w:noProof/>
        </w:rPr>
        <w:t xml:space="preserve">Environmental Protection Authority, 2014. </w:t>
      </w:r>
      <w:r>
        <w:rPr>
          <w:i/>
          <w:iCs/>
          <w:noProof/>
        </w:rPr>
        <w:t>Statement of performance expectations 2014</w:t>
      </w:r>
      <w:r w:rsidR="00B618EB">
        <w:rPr>
          <w:i/>
          <w:iCs/>
          <w:noProof/>
        </w:rPr>
        <w:t>–</w:t>
      </w:r>
      <w:r>
        <w:rPr>
          <w:i/>
          <w:iCs/>
          <w:noProof/>
        </w:rPr>
        <w:t xml:space="preserve">15. </w:t>
      </w:r>
      <w:r>
        <w:rPr>
          <w:noProof/>
        </w:rPr>
        <w:t>Wellington: Environmental Protection Authority.</w:t>
      </w:r>
    </w:p>
    <w:p w:rsidR="00423F5B" w:rsidRDefault="00423F5B" w:rsidP="00423F5B">
      <w:pPr>
        <w:pStyle w:val="References"/>
        <w:rPr>
          <w:noProof/>
        </w:rPr>
      </w:pPr>
      <w:r>
        <w:rPr>
          <w:noProof/>
        </w:rPr>
        <w:t xml:space="preserve">Environmental Protection Authority, n.d. </w:t>
      </w:r>
      <w:r>
        <w:rPr>
          <w:i/>
          <w:iCs/>
          <w:noProof/>
        </w:rPr>
        <w:t xml:space="preserve">Cost recovery policy. </w:t>
      </w:r>
      <w:r>
        <w:rPr>
          <w:noProof/>
        </w:rPr>
        <w:t xml:space="preserve">[Online] Available at: </w:t>
      </w:r>
      <w:r w:rsidRPr="00423F5B">
        <w:rPr>
          <w:noProof/>
        </w:rPr>
        <w:t>http://www.epa.govt.nz/Resource-management/about-rm/policies-procedures-guides/Pages/Cost-recovery-policy.aspx</w:t>
      </w:r>
      <w:r w:rsidR="003B740F">
        <w:rPr>
          <w:noProof/>
        </w:rPr>
        <w:t xml:space="preserve"> </w:t>
      </w:r>
      <w:r>
        <w:rPr>
          <w:noProof/>
        </w:rPr>
        <w:t>[Accessed 7 October 2014].</w:t>
      </w:r>
    </w:p>
    <w:p w:rsidR="00423F5B" w:rsidRDefault="00423F5B" w:rsidP="00423F5B">
      <w:pPr>
        <w:pStyle w:val="References"/>
        <w:rPr>
          <w:noProof/>
        </w:rPr>
      </w:pPr>
      <w:r>
        <w:rPr>
          <w:noProof/>
        </w:rPr>
        <w:t xml:space="preserve">Environmental Protection Authority, n.d. </w:t>
      </w:r>
      <w:r>
        <w:rPr>
          <w:i/>
          <w:iCs/>
          <w:noProof/>
        </w:rPr>
        <w:t xml:space="preserve">EPA cost recovery (EEZ). </w:t>
      </w:r>
      <w:r>
        <w:rPr>
          <w:noProof/>
        </w:rPr>
        <w:t xml:space="preserve">[Online] Available at: </w:t>
      </w:r>
      <w:r w:rsidRPr="00423F5B">
        <w:rPr>
          <w:noProof/>
        </w:rPr>
        <w:t>http://www.epa.govt.nz/EEZ/about_eez/Pages/cost_recovery.aspx</w:t>
      </w:r>
      <w:r>
        <w:rPr>
          <w:noProof/>
        </w:rPr>
        <w:t xml:space="preserve"> [Accessed 8 October 2014].</w:t>
      </w:r>
    </w:p>
    <w:p w:rsidR="00423F5B" w:rsidRDefault="00423F5B" w:rsidP="00423F5B">
      <w:pPr>
        <w:pStyle w:val="References"/>
        <w:rPr>
          <w:noProof/>
        </w:rPr>
      </w:pPr>
      <w:r>
        <w:rPr>
          <w:noProof/>
        </w:rPr>
        <w:t xml:space="preserve">Environmental Protection Authority, n.d. </w:t>
      </w:r>
      <w:r>
        <w:rPr>
          <w:i/>
          <w:iCs/>
          <w:noProof/>
        </w:rPr>
        <w:t xml:space="preserve">Fees and charges for hazardous substances and new organisms. </w:t>
      </w:r>
      <w:r>
        <w:rPr>
          <w:noProof/>
        </w:rPr>
        <w:t xml:space="preserve">[Online] Available at: </w:t>
      </w:r>
      <w:r w:rsidRPr="00423F5B">
        <w:rPr>
          <w:noProof/>
        </w:rPr>
        <w:t>http://www.epa.govt.nz/about-us/fees/Pages/default.aspx</w:t>
      </w:r>
      <w:r w:rsidRPr="003B740F">
        <w:rPr>
          <w:noProof/>
        </w:rPr>
        <w:t xml:space="preserve"> </w:t>
      </w:r>
      <w:r>
        <w:rPr>
          <w:noProof/>
        </w:rPr>
        <w:t>[Accessed 9</w:t>
      </w:r>
      <w:r w:rsidR="003B740F">
        <w:rPr>
          <w:noProof/>
        </w:rPr>
        <w:t> </w:t>
      </w:r>
      <w:r>
        <w:rPr>
          <w:noProof/>
        </w:rPr>
        <w:t>October 2014].</w:t>
      </w:r>
    </w:p>
    <w:p w:rsidR="00423F5B" w:rsidRDefault="00423F5B" w:rsidP="00423F5B">
      <w:pPr>
        <w:pStyle w:val="References"/>
        <w:rPr>
          <w:noProof/>
        </w:rPr>
      </w:pPr>
      <w:r>
        <w:rPr>
          <w:noProof/>
        </w:rPr>
        <w:t xml:space="preserve">Environmental Protection Authority, n.d. </w:t>
      </w:r>
      <w:r>
        <w:rPr>
          <w:i/>
          <w:iCs/>
          <w:noProof/>
        </w:rPr>
        <w:t xml:space="preserve">How the emission unit register works. </w:t>
      </w:r>
      <w:r>
        <w:rPr>
          <w:noProof/>
        </w:rPr>
        <w:t xml:space="preserve">[Online] Available at: </w:t>
      </w:r>
      <w:r w:rsidRPr="00423F5B">
        <w:rPr>
          <w:noProof/>
        </w:rPr>
        <w:t xml:space="preserve">http://www.epa.govt.nz/e-m-t/Pages/More-about-registry.aspx </w:t>
      </w:r>
      <w:r>
        <w:rPr>
          <w:noProof/>
        </w:rPr>
        <w:t>[Accessed 20 October 2014].</w:t>
      </w:r>
    </w:p>
    <w:p w:rsidR="00423F5B" w:rsidRDefault="00423F5B" w:rsidP="00423F5B">
      <w:pPr>
        <w:pStyle w:val="References"/>
        <w:rPr>
          <w:noProof/>
        </w:rPr>
      </w:pPr>
      <w:r>
        <w:rPr>
          <w:noProof/>
        </w:rPr>
        <w:t xml:space="preserve">Environmental Risk Management Authority, 2009. </w:t>
      </w:r>
      <w:r w:rsidR="003B740F">
        <w:rPr>
          <w:i/>
          <w:iCs/>
          <w:noProof/>
        </w:rPr>
        <w:t>Fees and Charges Review –</w:t>
      </w:r>
      <w:r>
        <w:rPr>
          <w:i/>
          <w:iCs/>
          <w:noProof/>
        </w:rPr>
        <w:t xml:space="preserve"> ERMA Board paper. </w:t>
      </w:r>
      <w:r>
        <w:rPr>
          <w:noProof/>
        </w:rPr>
        <w:t>Wellington: Unpublished document.</w:t>
      </w:r>
    </w:p>
    <w:p w:rsidR="00423F5B" w:rsidRDefault="00423F5B" w:rsidP="00423F5B">
      <w:pPr>
        <w:pStyle w:val="References"/>
        <w:rPr>
          <w:noProof/>
        </w:rPr>
      </w:pPr>
      <w:r>
        <w:rPr>
          <w:noProof/>
        </w:rPr>
        <w:t xml:space="preserve">Key, J., 2014. </w:t>
      </w:r>
      <w:r>
        <w:rPr>
          <w:i/>
          <w:iCs/>
          <w:noProof/>
        </w:rPr>
        <w:t xml:space="preserve">Speech from the Throne. </w:t>
      </w:r>
      <w:r>
        <w:rPr>
          <w:noProof/>
        </w:rPr>
        <w:t xml:space="preserve">[Online] Available at: </w:t>
      </w:r>
      <w:r w:rsidRPr="00423F5B">
        <w:rPr>
          <w:noProof/>
        </w:rPr>
        <w:t>http://beehive.govt.nz/speech/speech-throne-2</w:t>
      </w:r>
    </w:p>
    <w:p w:rsidR="00423F5B" w:rsidRDefault="00423F5B" w:rsidP="00423F5B">
      <w:pPr>
        <w:pStyle w:val="References"/>
        <w:rPr>
          <w:noProof/>
        </w:rPr>
      </w:pPr>
      <w:r>
        <w:rPr>
          <w:noProof/>
        </w:rPr>
        <w:t xml:space="preserve">Minister for the Environment, 2003. </w:t>
      </w:r>
      <w:r>
        <w:rPr>
          <w:i/>
          <w:iCs/>
          <w:noProof/>
        </w:rPr>
        <w:t xml:space="preserve">Review of Cost Recovery Policy: Applications to ERMA for Approvals [POL (03) 217]. </w:t>
      </w:r>
      <w:r>
        <w:rPr>
          <w:noProof/>
        </w:rPr>
        <w:t>Wellington: Unpublished document.</w:t>
      </w:r>
    </w:p>
    <w:p w:rsidR="00423F5B" w:rsidRDefault="00423F5B" w:rsidP="00423F5B">
      <w:pPr>
        <w:pStyle w:val="References"/>
        <w:rPr>
          <w:noProof/>
        </w:rPr>
      </w:pPr>
      <w:r>
        <w:rPr>
          <w:noProof/>
        </w:rPr>
        <w:t xml:space="preserve">Minister for the Environment, 2006. </w:t>
      </w:r>
      <w:r>
        <w:rPr>
          <w:i/>
          <w:iCs/>
          <w:noProof/>
        </w:rPr>
        <w:t xml:space="preserve">Report back on Review of ERMA New Zealand Cost Recovery Policy [POL(06)96]. </w:t>
      </w:r>
      <w:r>
        <w:rPr>
          <w:noProof/>
        </w:rPr>
        <w:t>Wellington: Unpublished document.</w:t>
      </w:r>
    </w:p>
    <w:p w:rsidR="00423F5B" w:rsidRDefault="00423F5B" w:rsidP="00423F5B">
      <w:pPr>
        <w:pStyle w:val="References"/>
        <w:rPr>
          <w:noProof/>
        </w:rPr>
      </w:pPr>
      <w:r>
        <w:rPr>
          <w:noProof/>
        </w:rPr>
        <w:t xml:space="preserve">Ministry for the Environment, 2009. </w:t>
      </w:r>
      <w:r>
        <w:rPr>
          <w:i/>
          <w:iCs/>
          <w:noProof/>
        </w:rPr>
        <w:t xml:space="preserve">Departmental Report on the Resource Management (Simplifying and Streamling) Amendment Bill: TRANCHE THREE CLAUSES. </w:t>
      </w:r>
      <w:r>
        <w:rPr>
          <w:noProof/>
        </w:rPr>
        <w:t>Wellington: NZ Parliament.</w:t>
      </w:r>
    </w:p>
    <w:p w:rsidR="00423F5B" w:rsidRDefault="00423F5B" w:rsidP="00423F5B">
      <w:pPr>
        <w:pStyle w:val="References"/>
        <w:rPr>
          <w:noProof/>
        </w:rPr>
      </w:pPr>
      <w:r>
        <w:rPr>
          <w:noProof/>
        </w:rPr>
        <w:t xml:space="preserve">Ministry for the Environment, 2009. </w:t>
      </w:r>
      <w:r>
        <w:rPr>
          <w:i/>
          <w:iCs/>
          <w:noProof/>
        </w:rPr>
        <w:t xml:space="preserve">Resource Management (Simplifying and Streamlining) Amendment Bill 2009: Regilatory Impact Statement. </w:t>
      </w:r>
      <w:r>
        <w:rPr>
          <w:noProof/>
        </w:rPr>
        <w:t>Wellington: Ministry for the Environment.</w:t>
      </w:r>
    </w:p>
    <w:p w:rsidR="00423F5B" w:rsidRDefault="00423F5B" w:rsidP="00423F5B">
      <w:pPr>
        <w:pStyle w:val="References"/>
        <w:rPr>
          <w:noProof/>
        </w:rPr>
      </w:pPr>
      <w:r>
        <w:rPr>
          <w:noProof/>
        </w:rPr>
        <w:t xml:space="preserve">Ministry for the Environment, 2012. </w:t>
      </w:r>
      <w:r>
        <w:rPr>
          <w:i/>
          <w:iCs/>
          <w:noProof/>
        </w:rPr>
        <w:t xml:space="preserve">Managing our oceans: A discussion document on the regulations proposed under the Exclusive Economic Zone and Continental Shelf (Environmental Effects) Bill. </w:t>
      </w:r>
      <w:r>
        <w:rPr>
          <w:noProof/>
        </w:rPr>
        <w:t>Wellington: Ministry for the Environment.</w:t>
      </w:r>
    </w:p>
    <w:p w:rsidR="00423F5B" w:rsidRDefault="00423F5B" w:rsidP="00423F5B">
      <w:pPr>
        <w:pStyle w:val="References"/>
        <w:rPr>
          <w:noProof/>
        </w:rPr>
      </w:pPr>
      <w:r>
        <w:rPr>
          <w:noProof/>
        </w:rPr>
        <w:lastRenderedPageBreak/>
        <w:t xml:space="preserve">Ministry for the Environment, 2012. </w:t>
      </w:r>
      <w:r>
        <w:rPr>
          <w:i/>
          <w:iCs/>
          <w:noProof/>
        </w:rPr>
        <w:t xml:space="preserve">Regulatory Impact Statement: Regulations under the Exclusive Economic Zone and Continental Shelf (Environmental Effects) Act, </w:t>
      </w:r>
      <w:r>
        <w:rPr>
          <w:noProof/>
        </w:rPr>
        <w:t>Wellington: Ministry for the Environment.</w:t>
      </w:r>
    </w:p>
    <w:p w:rsidR="00423F5B" w:rsidRDefault="00423F5B" w:rsidP="00423F5B">
      <w:pPr>
        <w:pStyle w:val="References"/>
        <w:rPr>
          <w:noProof/>
        </w:rPr>
      </w:pPr>
      <w:r>
        <w:rPr>
          <w:noProof/>
        </w:rPr>
        <w:t xml:space="preserve">New Zealand Government, 1991. </w:t>
      </w:r>
      <w:r>
        <w:rPr>
          <w:i/>
          <w:iCs/>
          <w:noProof/>
        </w:rPr>
        <w:t xml:space="preserve">Resource Management Act. </w:t>
      </w:r>
      <w:r>
        <w:rPr>
          <w:noProof/>
        </w:rPr>
        <w:t>Wellington: New Zealand Government.</w:t>
      </w:r>
    </w:p>
    <w:p w:rsidR="00423F5B" w:rsidRDefault="00423F5B" w:rsidP="00423F5B">
      <w:pPr>
        <w:pStyle w:val="References"/>
        <w:rPr>
          <w:noProof/>
        </w:rPr>
      </w:pPr>
      <w:r>
        <w:rPr>
          <w:noProof/>
        </w:rPr>
        <w:t xml:space="preserve">New Zealand Government, 1996. </w:t>
      </w:r>
      <w:r>
        <w:rPr>
          <w:i/>
          <w:iCs/>
          <w:noProof/>
        </w:rPr>
        <w:t xml:space="preserve">Hazardous Substances and New Organisms Act. </w:t>
      </w:r>
      <w:r>
        <w:rPr>
          <w:noProof/>
        </w:rPr>
        <w:t>Wellington: New Zealand Government.</w:t>
      </w:r>
    </w:p>
    <w:p w:rsidR="00423F5B" w:rsidRDefault="00423F5B" w:rsidP="00423F5B">
      <w:pPr>
        <w:pStyle w:val="References"/>
        <w:rPr>
          <w:noProof/>
        </w:rPr>
      </w:pPr>
      <w:r>
        <w:rPr>
          <w:noProof/>
        </w:rPr>
        <w:t xml:space="preserve">New Zealand Government, 2005. </w:t>
      </w:r>
      <w:r>
        <w:rPr>
          <w:i/>
          <w:iCs/>
          <w:noProof/>
        </w:rPr>
        <w:t xml:space="preserve">Resource Management Amendment Act 2005. </w:t>
      </w:r>
      <w:r>
        <w:rPr>
          <w:noProof/>
        </w:rPr>
        <w:t>Wellington: NZ Government.</w:t>
      </w:r>
    </w:p>
    <w:p w:rsidR="00423F5B" w:rsidRDefault="00423F5B" w:rsidP="00423F5B">
      <w:pPr>
        <w:pStyle w:val="References"/>
        <w:rPr>
          <w:noProof/>
        </w:rPr>
      </w:pPr>
      <w:r>
        <w:rPr>
          <w:noProof/>
        </w:rPr>
        <w:t xml:space="preserve">New Zealand Government, 2012. </w:t>
      </w:r>
      <w:r>
        <w:rPr>
          <w:i/>
          <w:iCs/>
          <w:noProof/>
        </w:rPr>
        <w:t xml:space="preserve">Exclusive Economic Zone and Continental Shelf (Environmental Effects) Act 2012. </w:t>
      </w:r>
      <w:r>
        <w:rPr>
          <w:noProof/>
        </w:rPr>
        <w:t>Wellington: New Zealand Government.</w:t>
      </w:r>
    </w:p>
    <w:p w:rsidR="00423F5B" w:rsidRDefault="00423F5B" w:rsidP="00423F5B">
      <w:pPr>
        <w:pStyle w:val="References"/>
        <w:rPr>
          <w:noProof/>
        </w:rPr>
      </w:pPr>
      <w:r>
        <w:rPr>
          <w:noProof/>
        </w:rPr>
        <w:t xml:space="preserve">Productivity Commission, 2014. Chapter 12: Approaches to funding regulators. In: </w:t>
      </w:r>
      <w:r>
        <w:rPr>
          <w:i/>
          <w:iCs/>
          <w:noProof/>
        </w:rPr>
        <w:t xml:space="preserve">Regulatory Institutions and Practices. </w:t>
      </w:r>
      <w:r w:rsidR="003B740F">
        <w:rPr>
          <w:noProof/>
        </w:rPr>
        <w:t>Wellington: s.n., pp. 322–</w:t>
      </w:r>
      <w:r>
        <w:rPr>
          <w:noProof/>
        </w:rPr>
        <w:t>352.</w:t>
      </w:r>
    </w:p>
    <w:p w:rsidR="00423F5B" w:rsidRDefault="00423F5B" w:rsidP="00423F5B">
      <w:pPr>
        <w:pStyle w:val="References"/>
      </w:pPr>
      <w:r>
        <w:rPr>
          <w:noProof/>
        </w:rPr>
        <w:t xml:space="preserve">The Treasury, 2002. </w:t>
      </w:r>
      <w:r>
        <w:rPr>
          <w:i/>
          <w:iCs/>
          <w:noProof/>
        </w:rPr>
        <w:t xml:space="preserve">Guidleines for Setting Charges in the Public Sector, </w:t>
      </w:r>
      <w:r>
        <w:rPr>
          <w:noProof/>
        </w:rPr>
        <w:t>Wellington: The Treasury.</w:t>
      </w:r>
    </w:p>
    <w:p w:rsidR="00423F5B" w:rsidRPr="00423F5B" w:rsidRDefault="00423F5B" w:rsidP="00423F5B">
      <w:pPr>
        <w:pStyle w:val="BodyText"/>
      </w:pPr>
    </w:p>
    <w:sectPr w:rsidR="00423F5B" w:rsidRPr="00423F5B" w:rsidSect="00952C6E">
      <w:headerReference w:type="even" r:id="rId29"/>
      <w:headerReference w:type="default" r:id="rId30"/>
      <w:footerReference w:type="even" r:id="rId31"/>
      <w:footerReference w:type="default" r:id="rId32"/>
      <w:headerReference w:type="first" r:id="rId33"/>
      <w:endnotePr>
        <w:numFmt w:val="decimal"/>
      </w:endnotePr>
      <w:pgSz w:w="11907" w:h="16840" w:code="9"/>
      <w:pgMar w:top="1134" w:right="1418" w:bottom="1134" w:left="1418" w:header="567" w:footer="567" w:gutter="567"/>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50884" w15:done="0"/>
  <w15:commentEx w15:paraId="0F248CA5" w15:done="0"/>
  <w15:commentEx w15:paraId="08343D82" w15:done="0"/>
  <w15:commentEx w15:paraId="5728541B" w15:done="0"/>
  <w15:commentEx w15:paraId="412F6C45" w15:done="0"/>
  <w15:commentEx w15:paraId="53597273" w15:done="0"/>
  <w15:commentEx w15:paraId="1E25728B" w15:done="0"/>
  <w15:commentEx w15:paraId="1DA8095A" w15:done="0"/>
  <w15:commentEx w15:paraId="527B86C7" w15:done="0"/>
  <w15:commentEx w15:paraId="2FF29B76" w15:done="0"/>
  <w15:commentEx w15:paraId="0942DB02" w15:done="0"/>
  <w15:commentEx w15:paraId="64D886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5C" w:rsidRDefault="00B1315C" w:rsidP="009B0142">
      <w:pPr>
        <w:spacing w:after="0" w:line="240" w:lineRule="auto"/>
      </w:pPr>
      <w:r>
        <w:separator/>
      </w:r>
    </w:p>
  </w:endnote>
  <w:endnote w:type="continuationSeparator" w:id="0">
    <w:p w:rsidR="00B1315C" w:rsidRPr="00775A35" w:rsidRDefault="00B1315C" w:rsidP="009B0142">
      <w:pPr>
        <w:spacing w:after="0" w:line="240" w:lineRule="auto"/>
        <w:rPr>
          <w:color w:val="FFFFFF" w:themeColor="background1"/>
        </w:rPr>
      </w:pPr>
      <w:r w:rsidRPr="00775A35">
        <w:rPr>
          <w:color w:val="FFFFFF" w:themeColor="background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rsidP="00A9473E">
    <w:pPr>
      <w:pStyle w:val="Footereven"/>
    </w:pPr>
    <w:r>
      <w:fldChar w:fldCharType="begin"/>
    </w:r>
    <w:r>
      <w:instrText xml:space="preserve"> PAGE   \* MERGEFORMAT </w:instrText>
    </w:r>
    <w:r>
      <w:fldChar w:fldCharType="separate"/>
    </w:r>
    <w:r>
      <w:rPr>
        <w:noProof/>
      </w:rPr>
      <w:t>ii</w:t>
    </w:r>
    <w:r>
      <w:rPr>
        <w:noProof/>
      </w:rPr>
      <w:fldChar w:fldCharType="end"/>
    </w:r>
    <w:r>
      <w:rPr>
        <w:noProof/>
      </w:rPr>
      <w:tab/>
    </w:r>
    <w:r w:rsidRPr="00A9473E">
      <w:t>Improving our resource management system: A discussion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rsidP="00A9473E">
    <w:pPr>
      <w:pStyle w:val="Footerodd"/>
    </w:pPr>
    <w:r>
      <w:tab/>
    </w:r>
    <w:r w:rsidRPr="00A9473E">
      <w:t>Improving our resource management system: A discussion document</w:t>
    </w:r>
    <w:r>
      <w:tab/>
    </w: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3211A3" w:rsidRDefault="00B1315C" w:rsidP="003211A3">
    <w:pPr>
      <w:pStyle w:val="Footer"/>
      <w:tabs>
        <w:tab w:val="clear" w:pos="4513"/>
        <w:tab w:val="clear" w:pos="9026"/>
      </w:tabs>
      <w:ind w:left="-57"/>
      <w:jc w:val="left"/>
    </w:pPr>
    <w:r>
      <w:rPr>
        <w:noProof/>
      </w:rPr>
      <w:drawing>
        <wp:inline distT="0" distB="0" distL="0" distR="0" wp14:anchorId="7FF79E14" wp14:editId="59785069">
          <wp:extent cx="2498785" cy="551935"/>
          <wp:effectExtent l="0" t="0" r="0" b="0"/>
          <wp:docPr id="10" name="Picture 10"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NZ_Gov"/>
                  <pic:cNvPicPr>
                    <a:picLocks noChangeAspect="1" noChangeArrowheads="1"/>
                  </pic:cNvPicPr>
                </pic:nvPicPr>
                <pic:blipFill rotWithShape="1">
                  <a:blip r:embed="rId1">
                    <a:extLst>
                      <a:ext uri="{28A0092B-C50C-407E-A947-70E740481C1C}">
                        <a14:useLocalDpi xmlns:a14="http://schemas.microsoft.com/office/drawing/2010/main" val="0"/>
                      </a:ext>
                    </a:extLst>
                  </a:blip>
                  <a:srcRect l="6376" b="18919"/>
                  <a:stretch/>
                </pic:blipFill>
                <pic:spPr bwMode="auto">
                  <a:xfrm>
                    <a:off x="0" y="0"/>
                    <a:ext cx="2501116" cy="5524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40640A" w:rsidRDefault="00B1315C" w:rsidP="004064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F866C3" w:rsidRDefault="00B1315C" w:rsidP="0040640A">
    <w:pPr>
      <w:pStyle w:val="Footereven"/>
      <w:rPr>
        <w:szCs w:val="18"/>
      </w:rPr>
    </w:pPr>
    <w:r w:rsidRPr="00291424">
      <w:rPr>
        <w:rStyle w:val="PageNumber"/>
        <w:rFonts w:ascii="Calibri" w:hAnsi="Calibri"/>
        <w:b w:val="0"/>
        <w:sz w:val="18"/>
        <w:szCs w:val="18"/>
      </w:rPr>
      <w:fldChar w:fldCharType="begin"/>
    </w:r>
    <w:r w:rsidRPr="00291424">
      <w:rPr>
        <w:rStyle w:val="PageNumber"/>
        <w:rFonts w:ascii="Calibri" w:hAnsi="Calibri"/>
        <w:b w:val="0"/>
        <w:sz w:val="18"/>
        <w:szCs w:val="18"/>
      </w:rPr>
      <w:instrText xml:space="preserve"> PAGE </w:instrText>
    </w:r>
    <w:r w:rsidRPr="00291424">
      <w:rPr>
        <w:rStyle w:val="PageNumber"/>
        <w:rFonts w:ascii="Calibri" w:hAnsi="Calibri"/>
        <w:b w:val="0"/>
        <w:sz w:val="18"/>
        <w:szCs w:val="18"/>
      </w:rPr>
      <w:fldChar w:fldCharType="separate"/>
    </w:r>
    <w:r w:rsidR="00C13428">
      <w:rPr>
        <w:rStyle w:val="PageNumber"/>
        <w:rFonts w:ascii="Calibri" w:hAnsi="Calibri"/>
        <w:b w:val="0"/>
        <w:noProof/>
        <w:sz w:val="18"/>
        <w:szCs w:val="18"/>
      </w:rPr>
      <w:t>4</w:t>
    </w:r>
    <w:r w:rsidRPr="00291424">
      <w:rPr>
        <w:rStyle w:val="PageNumber"/>
        <w:rFonts w:ascii="Calibri" w:hAnsi="Calibri"/>
        <w:b w:val="0"/>
        <w:sz w:val="18"/>
        <w:szCs w:val="18"/>
      </w:rPr>
      <w:fldChar w:fldCharType="end"/>
    </w:r>
    <w:r w:rsidRPr="00F866C3">
      <w:rPr>
        <w:szCs w:val="18"/>
      </w:rPr>
      <w:tab/>
    </w:r>
    <w:r>
      <w:rPr>
        <w:szCs w:val="18"/>
      </w:rPr>
      <w:t>EPA C</w:t>
    </w:r>
    <w:r w:rsidRPr="00FC0282">
      <w:rPr>
        <w:szCs w:val="18"/>
      </w:rPr>
      <w:t xml:space="preserve">ost </w:t>
    </w:r>
    <w:r>
      <w:rPr>
        <w:szCs w:val="18"/>
      </w:rPr>
      <w:t>R</w:t>
    </w:r>
    <w:r w:rsidR="00D34C30">
      <w:rPr>
        <w:szCs w:val="18"/>
      </w:rPr>
      <w:t>ecovery Practices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F866C3" w:rsidRDefault="00B1315C" w:rsidP="00FC0282">
    <w:pPr>
      <w:pStyle w:val="Footerodd"/>
      <w:rPr>
        <w:szCs w:val="18"/>
      </w:rPr>
    </w:pPr>
    <w:r w:rsidRPr="00F866C3">
      <w:rPr>
        <w:szCs w:val="18"/>
      </w:rPr>
      <w:tab/>
    </w:r>
    <w:r w:rsidRPr="00FC0282">
      <w:rPr>
        <w:szCs w:val="18"/>
      </w:rPr>
      <w:t xml:space="preserve">EPA </w:t>
    </w:r>
    <w:r>
      <w:rPr>
        <w:szCs w:val="18"/>
      </w:rPr>
      <w:t>C</w:t>
    </w:r>
    <w:r w:rsidRPr="00FC0282">
      <w:rPr>
        <w:szCs w:val="18"/>
      </w:rPr>
      <w:t xml:space="preserve">ost </w:t>
    </w:r>
    <w:r>
      <w:rPr>
        <w:szCs w:val="18"/>
      </w:rPr>
      <w:t>R</w:t>
    </w:r>
    <w:r w:rsidRPr="00FC0282">
      <w:rPr>
        <w:szCs w:val="18"/>
      </w:rPr>
      <w:t>ecovery</w:t>
    </w:r>
    <w:r w:rsidR="00D34C30">
      <w:rPr>
        <w:szCs w:val="18"/>
      </w:rPr>
      <w:t xml:space="preserve"> Practices</w:t>
    </w:r>
    <w:r w:rsidRPr="00F866C3">
      <w:rPr>
        <w:szCs w:val="18"/>
      </w:rPr>
      <w:tab/>
    </w:r>
    <w:r w:rsidRPr="00291424">
      <w:rPr>
        <w:rStyle w:val="PageNumber"/>
        <w:rFonts w:ascii="Calibri" w:hAnsi="Calibri"/>
        <w:b w:val="0"/>
        <w:sz w:val="18"/>
        <w:szCs w:val="18"/>
      </w:rPr>
      <w:fldChar w:fldCharType="begin"/>
    </w:r>
    <w:r w:rsidRPr="00291424">
      <w:rPr>
        <w:rStyle w:val="PageNumber"/>
        <w:rFonts w:ascii="Calibri" w:hAnsi="Calibri"/>
        <w:b w:val="0"/>
        <w:sz w:val="18"/>
        <w:szCs w:val="18"/>
      </w:rPr>
      <w:instrText xml:space="preserve"> PAGE </w:instrText>
    </w:r>
    <w:r w:rsidRPr="00291424">
      <w:rPr>
        <w:rStyle w:val="PageNumber"/>
        <w:rFonts w:ascii="Calibri" w:hAnsi="Calibri"/>
        <w:b w:val="0"/>
        <w:sz w:val="18"/>
        <w:szCs w:val="18"/>
      </w:rPr>
      <w:fldChar w:fldCharType="separate"/>
    </w:r>
    <w:r w:rsidR="00C13428">
      <w:rPr>
        <w:rStyle w:val="PageNumber"/>
        <w:rFonts w:ascii="Calibri" w:hAnsi="Calibri"/>
        <w:b w:val="0"/>
        <w:noProof/>
        <w:sz w:val="18"/>
        <w:szCs w:val="18"/>
      </w:rPr>
      <w:t>3</w:t>
    </w:r>
    <w:r w:rsidRPr="00291424">
      <w:rPr>
        <w:rStyle w:val="PageNumber"/>
        <w:rFonts w:ascii="Calibri" w:hAnsi="Calibri"/>
        <w:b w:val="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CB44C4" w:rsidRDefault="00B1315C" w:rsidP="00CB44C4">
    <w:pPr>
      <w:pStyle w:val="Footereven"/>
    </w:pP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C13428">
      <w:rPr>
        <w:rStyle w:val="PageNumber"/>
        <w:rFonts w:ascii="Calibri" w:hAnsi="Calibri"/>
        <w:b w:val="0"/>
        <w:bCs w:val="0"/>
        <w:noProof/>
        <w:sz w:val="18"/>
        <w:szCs w:val="16"/>
      </w:rPr>
      <w:t>26</w:t>
    </w:r>
    <w:r w:rsidRPr="00CB44C4">
      <w:rPr>
        <w:rStyle w:val="PageNumber"/>
        <w:rFonts w:ascii="Calibri" w:hAnsi="Calibri"/>
        <w:b w:val="0"/>
        <w:bCs w:val="0"/>
        <w:sz w:val="18"/>
        <w:szCs w:val="16"/>
      </w:rPr>
      <w:fldChar w:fldCharType="end"/>
    </w:r>
    <w:r w:rsidRPr="00CB44C4">
      <w:tab/>
    </w:r>
    <w:r w:rsidRPr="00FC0282">
      <w:rPr>
        <w:szCs w:val="18"/>
      </w:rPr>
      <w:t xml:space="preserve">EPA </w:t>
    </w:r>
    <w:r>
      <w:rPr>
        <w:szCs w:val="18"/>
      </w:rPr>
      <w:t>C</w:t>
    </w:r>
    <w:r w:rsidRPr="00FC0282">
      <w:rPr>
        <w:szCs w:val="18"/>
      </w:rPr>
      <w:t xml:space="preserve">ost </w:t>
    </w:r>
    <w:r>
      <w:rPr>
        <w:szCs w:val="18"/>
      </w:rPr>
      <w:t>R</w:t>
    </w:r>
    <w:r w:rsidRPr="00FC0282">
      <w:rPr>
        <w:szCs w:val="18"/>
      </w:rPr>
      <w:t>ecovery</w:t>
    </w:r>
    <w:r w:rsidR="00D34C30">
      <w:rPr>
        <w:szCs w:val="18"/>
      </w:rPr>
      <w:t xml:space="preserve"> Practices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Pr="00CB44C4" w:rsidRDefault="00B1315C" w:rsidP="00CB44C4">
    <w:pPr>
      <w:pStyle w:val="Footerodd"/>
    </w:pPr>
    <w:r w:rsidRPr="00CB44C4">
      <w:tab/>
    </w:r>
    <w:r w:rsidRPr="00FC0282">
      <w:rPr>
        <w:szCs w:val="18"/>
      </w:rPr>
      <w:t xml:space="preserve">EPA </w:t>
    </w:r>
    <w:r>
      <w:rPr>
        <w:szCs w:val="18"/>
      </w:rPr>
      <w:t>C</w:t>
    </w:r>
    <w:r w:rsidRPr="00FC0282">
      <w:rPr>
        <w:szCs w:val="18"/>
      </w:rPr>
      <w:t xml:space="preserve">ost </w:t>
    </w:r>
    <w:r>
      <w:rPr>
        <w:szCs w:val="18"/>
      </w:rPr>
      <w:t>R</w:t>
    </w:r>
    <w:r w:rsidRPr="00FC0282">
      <w:rPr>
        <w:szCs w:val="18"/>
      </w:rPr>
      <w:t>ecovery</w:t>
    </w:r>
    <w:r w:rsidR="00D34C30">
      <w:rPr>
        <w:szCs w:val="18"/>
      </w:rPr>
      <w:t xml:space="preserve"> Practices </w:t>
    </w:r>
    <w:r w:rsidRPr="00CB44C4">
      <w:tab/>
    </w: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C13428">
      <w:rPr>
        <w:rStyle w:val="PageNumber"/>
        <w:rFonts w:ascii="Calibri" w:hAnsi="Calibri"/>
        <w:b w:val="0"/>
        <w:bCs w:val="0"/>
        <w:noProof/>
        <w:sz w:val="18"/>
        <w:szCs w:val="16"/>
      </w:rPr>
      <w:t>5</w:t>
    </w:r>
    <w:r w:rsidRPr="00CB44C4">
      <w:rPr>
        <w:rStyle w:val="PageNumber"/>
        <w:rFonts w:ascii="Calibri" w:hAnsi="Calibri"/>
        <w:b w:val="0"/>
        <w:bCs w:val="0"/>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5C" w:rsidRDefault="00B1315C" w:rsidP="00DC6114">
      <w:pPr>
        <w:spacing w:before="0" w:after="60" w:line="240" w:lineRule="auto"/>
      </w:pPr>
      <w:r>
        <w:separator/>
      </w:r>
    </w:p>
  </w:footnote>
  <w:footnote w:type="continuationSeparator" w:id="0">
    <w:p w:rsidR="00B1315C" w:rsidRDefault="00B1315C" w:rsidP="009B0142">
      <w:pPr>
        <w:spacing w:after="0" w:line="240" w:lineRule="auto"/>
      </w:pPr>
      <w:r>
        <w:continuationSeparator/>
      </w:r>
    </w:p>
  </w:footnote>
  <w:footnote w:id="1">
    <w:p w:rsidR="00B1315C" w:rsidRPr="00744515" w:rsidRDefault="00B1315C">
      <w:pPr>
        <w:pStyle w:val="FootnoteText"/>
        <w:rPr>
          <w:lang w:val="en-NZ"/>
        </w:rPr>
      </w:pPr>
      <w:r>
        <w:rPr>
          <w:rStyle w:val="FootnoteReference"/>
        </w:rPr>
        <w:footnoteRef/>
      </w:r>
      <w:r>
        <w:t xml:space="preserve"> </w:t>
      </w:r>
      <w:r>
        <w:rPr>
          <w:lang w:val="en-NZ"/>
        </w:rPr>
        <w:tab/>
      </w:r>
      <w:hyperlink r:id="rId1" w:history="1">
        <w:r w:rsidRPr="0088088F">
          <w:rPr>
            <w:rStyle w:val="Hyperlink"/>
            <w:rFonts w:asciiTheme="minorHAnsi" w:hAnsiTheme="minorHAnsi"/>
            <w:szCs w:val="18"/>
          </w:rPr>
          <w:t>http://www.treasury.govt.nz/publications/guidance/planning/charges/charges-dec02.pdf</w:t>
        </w:r>
      </w:hyperlink>
      <w:r>
        <w:rPr>
          <w:rStyle w:val="Hyperlink"/>
          <w:rFonts w:asciiTheme="minorHAnsi" w:hAnsiTheme="minorHAnsi"/>
          <w:szCs w:val="18"/>
        </w:rPr>
        <w:t>.</w:t>
      </w:r>
    </w:p>
  </w:footnote>
  <w:footnote w:id="2">
    <w:p w:rsidR="00B1315C" w:rsidRPr="00744515" w:rsidRDefault="00B1315C">
      <w:pPr>
        <w:pStyle w:val="FootnoteText"/>
        <w:rPr>
          <w:lang w:val="en-NZ"/>
        </w:rPr>
      </w:pPr>
      <w:r>
        <w:rPr>
          <w:rStyle w:val="FootnoteReference"/>
        </w:rPr>
        <w:footnoteRef/>
      </w:r>
      <w:r>
        <w:t xml:space="preserve"> </w:t>
      </w:r>
      <w:r>
        <w:rPr>
          <w:lang w:val="en-NZ"/>
        </w:rPr>
        <w:tab/>
      </w:r>
      <w:hyperlink r:id="rId2" w:history="1">
        <w:r w:rsidRPr="0088088F">
          <w:rPr>
            <w:rStyle w:val="Hyperlink"/>
            <w:rFonts w:asciiTheme="minorHAnsi" w:hAnsiTheme="minorHAnsi"/>
            <w:szCs w:val="18"/>
          </w:rPr>
          <w:t>http://oag.govt.nz/2008/charging-fees/docs/charging-fees.pdf</w:t>
        </w:r>
      </w:hyperlink>
      <w:r>
        <w:rPr>
          <w:rStyle w:val="Hyperlink"/>
          <w:rFonts w:asciiTheme="minorHAnsi" w:hAnsiTheme="minorHAnsi"/>
          <w:szCs w:val="18"/>
        </w:rPr>
        <w:t>.</w:t>
      </w:r>
    </w:p>
  </w:footnote>
  <w:footnote w:id="3">
    <w:p w:rsidR="00B1315C" w:rsidRPr="0088088F" w:rsidRDefault="00B1315C" w:rsidP="001E6EFB">
      <w:pPr>
        <w:pStyle w:val="FootnoteText"/>
      </w:pPr>
      <w:r w:rsidRPr="0088088F">
        <w:rPr>
          <w:rStyle w:val="FootnoteReference"/>
          <w:rFonts w:asciiTheme="minorHAnsi" w:hAnsiTheme="minorHAnsi"/>
          <w:szCs w:val="18"/>
        </w:rPr>
        <w:footnoteRef/>
      </w:r>
      <w:r w:rsidRPr="0088088F">
        <w:t xml:space="preserve"> </w:t>
      </w:r>
      <w:r>
        <w:tab/>
      </w:r>
      <w:r w:rsidRPr="0088088F">
        <w:rPr>
          <w:bCs/>
          <w:noProof/>
        </w:rPr>
        <w:t>Environmental Protection Authority.</w:t>
      </w:r>
      <w:r w:rsidRPr="0088088F">
        <w:rPr>
          <w:noProof/>
        </w:rPr>
        <w:t xml:space="preserve"> </w:t>
      </w:r>
      <w:r>
        <w:rPr>
          <w:noProof/>
        </w:rPr>
        <w:t xml:space="preserve">2014. </w:t>
      </w:r>
      <w:r w:rsidRPr="0088088F">
        <w:rPr>
          <w:i/>
          <w:iCs/>
          <w:noProof/>
        </w:rPr>
        <w:t>Statement of performance expectations 2014</w:t>
      </w:r>
      <w:r>
        <w:rPr>
          <w:i/>
          <w:iCs/>
          <w:noProof/>
          <w:lang w:val="en-NZ"/>
        </w:rPr>
        <w:t>–</w:t>
      </w:r>
      <w:r w:rsidRPr="0088088F">
        <w:rPr>
          <w:i/>
          <w:iCs/>
          <w:noProof/>
        </w:rPr>
        <w:t xml:space="preserve">15. </w:t>
      </w:r>
      <w:r w:rsidRPr="0088088F">
        <w:rPr>
          <w:noProof/>
        </w:rPr>
        <w:t>Wellington: Environmental Protection Authority.</w:t>
      </w:r>
    </w:p>
  </w:footnote>
  <w:footnote w:id="4">
    <w:p w:rsidR="00B1315C" w:rsidRDefault="00B1315C" w:rsidP="00774C45">
      <w:pPr>
        <w:pStyle w:val="FootnoteText"/>
      </w:pPr>
      <w:r w:rsidRPr="00270CA3">
        <w:rPr>
          <w:rStyle w:val="FootnoteReference"/>
        </w:rPr>
        <w:footnoteRef/>
      </w:r>
      <w:r w:rsidRPr="00270CA3">
        <w:t xml:space="preserve"> </w:t>
      </w:r>
      <w:r>
        <w:tab/>
      </w:r>
      <w:r w:rsidRPr="00774C45">
        <w:t>For example, the Speech from the Throne 2014 for the State Opening of Parliament identifies that: the Government plans to build a more productive and competitive economy, supporting more jobs and higher incomes, as set out in the Business Growth Agenda; balanced and sensible management of our natural resources can meet environmental responsibilities while creating economic opportunities; the Government will continue to encourage petroleum and mineral exploration while adhering to strong environmental and safety provisions; legislation will be introduced to amend the Resource Management Act to provide more certainty, timeliness and cost-effectiveness around resource allocation deci</w:t>
      </w:r>
      <w:r w:rsidRPr="0088088F">
        <w:t>sions.</w:t>
      </w:r>
    </w:p>
  </w:footnote>
  <w:footnote w:id="5">
    <w:p w:rsidR="00B1315C" w:rsidRDefault="00B1315C" w:rsidP="00774C45">
      <w:pPr>
        <w:pStyle w:val="FootnoteText"/>
      </w:pPr>
      <w:r>
        <w:rPr>
          <w:rStyle w:val="FootnoteReference"/>
        </w:rPr>
        <w:footnoteRef/>
      </w:r>
      <w:r>
        <w:t xml:space="preserve"> </w:t>
      </w:r>
      <w:r>
        <w:tab/>
      </w:r>
      <w:r w:rsidRPr="0088522D">
        <w:rPr>
          <w:rFonts w:asciiTheme="minorHAnsi" w:hAnsiTheme="minorHAnsi"/>
          <w:bCs/>
          <w:noProof/>
          <w:szCs w:val="18"/>
        </w:rPr>
        <w:t>The Treasury.</w:t>
      </w:r>
      <w:r w:rsidRPr="00B32D46">
        <w:rPr>
          <w:rFonts w:asciiTheme="minorHAnsi" w:hAnsiTheme="minorHAnsi"/>
          <w:noProof/>
          <w:szCs w:val="18"/>
        </w:rPr>
        <w:t xml:space="preserve"> </w:t>
      </w:r>
      <w:r>
        <w:rPr>
          <w:rFonts w:asciiTheme="minorHAnsi" w:hAnsiTheme="minorHAnsi"/>
          <w:noProof/>
          <w:szCs w:val="18"/>
        </w:rPr>
        <w:t xml:space="preserve">2002. </w:t>
      </w:r>
      <w:r w:rsidRPr="00B32D46">
        <w:rPr>
          <w:rFonts w:asciiTheme="minorHAnsi" w:hAnsiTheme="minorHAnsi"/>
          <w:i/>
          <w:iCs/>
          <w:noProof/>
          <w:szCs w:val="18"/>
        </w:rPr>
        <w:t xml:space="preserve">Guidleines for Setting Charges in the Public Sector. </w:t>
      </w:r>
      <w:r w:rsidRPr="00B32D46">
        <w:rPr>
          <w:rFonts w:asciiTheme="minorHAnsi" w:hAnsiTheme="minorHAnsi"/>
          <w:noProof/>
          <w:szCs w:val="18"/>
        </w:rPr>
        <w:t>Wellington: The Treasury.</w:t>
      </w:r>
      <w:r>
        <w:rPr>
          <w:noProof/>
        </w:rPr>
        <w:t xml:space="preserve"> </w:t>
      </w:r>
    </w:p>
  </w:footnote>
  <w:footnote w:id="6">
    <w:p w:rsidR="00B1315C" w:rsidRDefault="00B1315C" w:rsidP="00C6404F">
      <w:pPr>
        <w:pStyle w:val="FootnoteText"/>
      </w:pPr>
      <w:r>
        <w:rPr>
          <w:rStyle w:val="FootnoteReference"/>
        </w:rPr>
        <w:footnoteRef/>
      </w:r>
      <w:r>
        <w:t xml:space="preserve"> </w:t>
      </w:r>
      <w:r>
        <w:tab/>
      </w:r>
      <w:r w:rsidRPr="00937EF7">
        <w:rPr>
          <w:rFonts w:asciiTheme="minorHAnsi" w:hAnsiTheme="minorHAnsi"/>
          <w:bCs/>
          <w:noProof/>
          <w:szCs w:val="18"/>
        </w:rPr>
        <w:t>Environmental Protection Authority.</w:t>
      </w:r>
      <w:r w:rsidRPr="00937EF7">
        <w:rPr>
          <w:rFonts w:asciiTheme="minorHAnsi" w:hAnsiTheme="minorHAnsi"/>
          <w:noProof/>
          <w:szCs w:val="18"/>
        </w:rPr>
        <w:t xml:space="preserve"> </w:t>
      </w:r>
      <w:r>
        <w:rPr>
          <w:rFonts w:asciiTheme="minorHAnsi" w:hAnsiTheme="minorHAnsi"/>
          <w:noProof/>
          <w:szCs w:val="18"/>
        </w:rPr>
        <w:t xml:space="preserve">2014. </w:t>
      </w:r>
      <w:r w:rsidRPr="00937EF7">
        <w:rPr>
          <w:rFonts w:asciiTheme="minorHAnsi" w:hAnsiTheme="minorHAnsi"/>
          <w:i/>
          <w:iCs/>
          <w:noProof/>
          <w:szCs w:val="18"/>
        </w:rPr>
        <w:t>Statement of performance expectations 2014</w:t>
      </w:r>
      <w:r>
        <w:rPr>
          <w:rFonts w:asciiTheme="minorHAnsi" w:hAnsiTheme="minorHAnsi"/>
          <w:i/>
          <w:iCs/>
          <w:noProof/>
          <w:szCs w:val="18"/>
          <w:lang w:val="en-NZ"/>
        </w:rPr>
        <w:t>–</w:t>
      </w:r>
      <w:r w:rsidRPr="00937EF7">
        <w:rPr>
          <w:rFonts w:asciiTheme="minorHAnsi" w:hAnsiTheme="minorHAnsi"/>
          <w:i/>
          <w:iCs/>
          <w:noProof/>
          <w:szCs w:val="18"/>
        </w:rPr>
        <w:t xml:space="preserve">15. </w:t>
      </w:r>
      <w:r w:rsidRPr="00937EF7">
        <w:rPr>
          <w:rFonts w:asciiTheme="minorHAnsi" w:hAnsiTheme="minorHAnsi"/>
          <w:noProof/>
          <w:szCs w:val="18"/>
        </w:rPr>
        <w:t>Wellington: Environmental Protection Authority.</w:t>
      </w:r>
    </w:p>
  </w:footnote>
  <w:footnote w:id="7">
    <w:p w:rsidR="00B1315C" w:rsidRDefault="00B1315C" w:rsidP="00BF7EE0">
      <w:pPr>
        <w:pStyle w:val="FootnoteText"/>
      </w:pPr>
      <w:r w:rsidRPr="00AF2B69">
        <w:rPr>
          <w:rStyle w:val="FootnoteReference"/>
          <w:rFonts w:asciiTheme="minorHAnsi" w:hAnsiTheme="minorHAnsi"/>
        </w:rPr>
        <w:footnoteRef/>
      </w:r>
      <w:r w:rsidRPr="00AF2B69">
        <w:rPr>
          <w:rFonts w:asciiTheme="minorHAnsi" w:hAnsiTheme="minorHAnsi"/>
        </w:rPr>
        <w:t xml:space="preserve"> S</w:t>
      </w:r>
      <w:r w:rsidRPr="00AF2B69">
        <w:rPr>
          <w:rFonts w:asciiTheme="minorHAnsi" w:hAnsiTheme="minorHAnsi"/>
          <w:szCs w:val="22"/>
          <w:lang w:eastAsia="en-NZ"/>
        </w:rPr>
        <w:t>ection 149ZD(4) of the RMA</w:t>
      </w:r>
      <w:r>
        <w:rPr>
          <w:rFonts w:asciiTheme="minorHAnsi" w:hAnsiTheme="minorHAnsi"/>
          <w:szCs w:val="22"/>
          <w:lang w:eastAsia="en-NZ"/>
        </w:rPr>
        <w:t>.</w:t>
      </w:r>
    </w:p>
  </w:footnote>
  <w:footnote w:id="8">
    <w:p w:rsidR="00B1315C" w:rsidRDefault="00B1315C" w:rsidP="00C95CD7">
      <w:pPr>
        <w:pStyle w:val="FootnoteText"/>
      </w:pPr>
      <w:r>
        <w:rPr>
          <w:rStyle w:val="FootnoteReference"/>
        </w:rPr>
        <w:footnoteRef/>
      </w:r>
      <w:r>
        <w:t xml:space="preserve"> </w:t>
      </w:r>
      <w:r>
        <w:tab/>
      </w:r>
      <w:hyperlink r:id="rId3" w:history="1">
        <w:r w:rsidRPr="00937EF7">
          <w:rPr>
            <w:rStyle w:val="Hyperlink"/>
            <w:rFonts w:asciiTheme="minorHAnsi" w:hAnsiTheme="minorHAnsi"/>
            <w:szCs w:val="18"/>
          </w:rPr>
          <w:t>http://www.epa.govt.nz/Publications/Cost_Recovery_Policy_Proposals_National_Significance.pdf</w:t>
        </w:r>
      </w:hyperlink>
      <w:r>
        <w:rPr>
          <w:rStyle w:val="Hyperlink"/>
          <w:rFonts w:asciiTheme="minorHAnsi" w:hAnsiTheme="minorHAnsi"/>
          <w:szCs w:val="18"/>
        </w:rPr>
        <w:t>.</w:t>
      </w:r>
      <w:r>
        <w:t xml:space="preserve"> </w:t>
      </w:r>
    </w:p>
  </w:footnote>
  <w:footnote w:id="9">
    <w:p w:rsidR="00B1315C" w:rsidRDefault="00B1315C" w:rsidP="009505D8">
      <w:pPr>
        <w:pStyle w:val="FootnoteText"/>
      </w:pPr>
      <w:r>
        <w:rPr>
          <w:rStyle w:val="FootnoteReference"/>
        </w:rPr>
        <w:footnoteRef/>
      </w:r>
      <w:r>
        <w:t xml:space="preserve"> </w:t>
      </w:r>
      <w:r>
        <w:tab/>
      </w:r>
      <w:r>
        <w:rPr>
          <w:lang w:eastAsia="en-NZ"/>
        </w:rPr>
        <w:t>Working hours excludes leave, sick leave, training and time required for administrative and miscellaneous tasks.</w:t>
      </w:r>
    </w:p>
  </w:footnote>
  <w:footnote w:id="10">
    <w:p w:rsidR="00B1315C" w:rsidRPr="00937EF7" w:rsidRDefault="00B1315C" w:rsidP="009505D8">
      <w:pPr>
        <w:pStyle w:val="FootnoteText"/>
        <w:rPr>
          <w:rFonts w:asciiTheme="minorHAnsi" w:hAnsiTheme="minorHAnsi"/>
          <w:szCs w:val="18"/>
        </w:rPr>
      </w:pPr>
      <w:r w:rsidRPr="00937EF7">
        <w:rPr>
          <w:rStyle w:val="FootnoteReference"/>
          <w:rFonts w:asciiTheme="minorHAnsi" w:hAnsiTheme="minorHAnsi"/>
          <w:szCs w:val="18"/>
        </w:rPr>
        <w:footnoteRef/>
      </w:r>
      <w:r w:rsidRPr="00937EF7">
        <w:rPr>
          <w:rFonts w:asciiTheme="minorHAnsi" w:hAnsiTheme="minorHAnsi"/>
          <w:szCs w:val="18"/>
        </w:rPr>
        <w:t xml:space="preserve"> </w:t>
      </w:r>
      <w:r>
        <w:rPr>
          <w:rFonts w:asciiTheme="minorHAnsi" w:hAnsiTheme="minorHAnsi"/>
          <w:szCs w:val="18"/>
        </w:rPr>
        <w:tab/>
      </w:r>
      <w:r w:rsidRPr="00937EF7">
        <w:rPr>
          <w:rFonts w:asciiTheme="minorHAnsi" w:hAnsiTheme="minorHAnsi"/>
          <w:bCs/>
          <w:noProof/>
          <w:szCs w:val="18"/>
        </w:rPr>
        <w:t>Environmental Protection Authority.</w:t>
      </w:r>
      <w:r w:rsidRPr="00937EF7">
        <w:rPr>
          <w:rFonts w:asciiTheme="minorHAnsi" w:hAnsiTheme="minorHAnsi"/>
          <w:noProof/>
          <w:szCs w:val="18"/>
        </w:rPr>
        <w:t xml:space="preserve"> </w:t>
      </w:r>
      <w:r>
        <w:rPr>
          <w:rFonts w:asciiTheme="minorHAnsi" w:hAnsiTheme="minorHAnsi"/>
          <w:noProof/>
          <w:szCs w:val="18"/>
        </w:rPr>
        <w:t xml:space="preserve">Unpublished. </w:t>
      </w:r>
      <w:r w:rsidRPr="00937EF7">
        <w:rPr>
          <w:rFonts w:asciiTheme="minorHAnsi" w:hAnsiTheme="minorHAnsi"/>
          <w:noProof/>
          <w:szCs w:val="18"/>
        </w:rPr>
        <w:t xml:space="preserve">MfE Cost Recovery Review Work-Stream Three Year Review of the EPA: EPA Cost Recovery Opportunities for Nationally Significant Proposals (meeting note). </w:t>
      </w:r>
    </w:p>
  </w:footnote>
  <w:footnote w:id="11">
    <w:p w:rsidR="00B1315C" w:rsidRDefault="00B1315C" w:rsidP="00785ECD">
      <w:pPr>
        <w:pStyle w:val="FootnoteText"/>
      </w:pPr>
      <w:r>
        <w:rPr>
          <w:rStyle w:val="FootnoteReference"/>
        </w:rPr>
        <w:footnoteRef/>
      </w:r>
      <w:r>
        <w:rPr>
          <w:rFonts w:asciiTheme="minorHAnsi" w:hAnsiTheme="minorHAnsi"/>
          <w:bCs/>
          <w:noProof/>
          <w:szCs w:val="18"/>
        </w:rPr>
        <w:tab/>
      </w:r>
      <w:r w:rsidRPr="0088088F">
        <w:rPr>
          <w:rFonts w:asciiTheme="minorHAnsi" w:hAnsiTheme="minorHAnsi"/>
          <w:bCs/>
          <w:noProof/>
          <w:szCs w:val="18"/>
        </w:rPr>
        <w:t>Environmental Protection Authority.</w:t>
      </w:r>
      <w:r w:rsidRPr="0088088F">
        <w:rPr>
          <w:rFonts w:asciiTheme="minorHAnsi" w:hAnsiTheme="minorHAnsi"/>
          <w:noProof/>
          <w:szCs w:val="18"/>
        </w:rPr>
        <w:t xml:space="preserve"> </w:t>
      </w:r>
      <w:r>
        <w:rPr>
          <w:rFonts w:asciiTheme="minorHAnsi" w:hAnsiTheme="minorHAnsi"/>
          <w:noProof/>
          <w:szCs w:val="18"/>
        </w:rPr>
        <w:t xml:space="preserve">2014. </w:t>
      </w:r>
      <w:r w:rsidRPr="0088088F">
        <w:rPr>
          <w:rFonts w:asciiTheme="minorHAnsi" w:hAnsiTheme="minorHAnsi"/>
          <w:i/>
          <w:iCs/>
          <w:noProof/>
          <w:szCs w:val="18"/>
        </w:rPr>
        <w:t>Statement o</w:t>
      </w:r>
      <w:r>
        <w:rPr>
          <w:rFonts w:asciiTheme="minorHAnsi" w:hAnsiTheme="minorHAnsi"/>
          <w:i/>
          <w:iCs/>
          <w:noProof/>
          <w:szCs w:val="18"/>
        </w:rPr>
        <w:t>f performance expectations 2014–</w:t>
      </w:r>
      <w:r w:rsidRPr="0088088F">
        <w:rPr>
          <w:rFonts w:asciiTheme="minorHAnsi" w:hAnsiTheme="minorHAnsi"/>
          <w:i/>
          <w:iCs/>
          <w:noProof/>
          <w:szCs w:val="18"/>
        </w:rPr>
        <w:t xml:space="preserve">15. </w:t>
      </w:r>
      <w:r w:rsidRPr="0088088F">
        <w:rPr>
          <w:rFonts w:asciiTheme="minorHAnsi" w:hAnsiTheme="minorHAnsi"/>
          <w:noProof/>
          <w:szCs w:val="18"/>
        </w:rPr>
        <w:t>Wellington: Environmental Protection Authority.</w:t>
      </w:r>
    </w:p>
  </w:footnote>
  <w:footnote w:id="12">
    <w:p w:rsidR="00B1315C" w:rsidRPr="00AF2B69" w:rsidRDefault="00B1315C" w:rsidP="00785ECD">
      <w:pPr>
        <w:pStyle w:val="FootnoteText"/>
        <w:rPr>
          <w:rFonts w:asciiTheme="minorHAnsi" w:hAnsiTheme="minorHAnsi"/>
        </w:rPr>
      </w:pPr>
      <w:r w:rsidRPr="00AF2B69">
        <w:rPr>
          <w:rStyle w:val="FootnoteReference"/>
          <w:rFonts w:asciiTheme="minorHAnsi" w:hAnsiTheme="minorHAnsi"/>
        </w:rPr>
        <w:footnoteRef/>
      </w:r>
      <w:r w:rsidRPr="00AF2B69">
        <w:rPr>
          <w:rFonts w:asciiTheme="minorHAnsi" w:hAnsiTheme="minorHAnsi"/>
        </w:rPr>
        <w:t xml:space="preserve"> </w:t>
      </w:r>
      <w:r>
        <w:rPr>
          <w:rFonts w:asciiTheme="minorHAnsi" w:hAnsiTheme="minorHAnsi"/>
        </w:rPr>
        <w:tab/>
      </w:r>
      <w:r>
        <w:rPr>
          <w:rFonts w:asciiTheme="minorHAnsi" w:hAnsiTheme="minorHAnsi"/>
          <w:lang w:val="en-NZ"/>
        </w:rPr>
        <w:t xml:space="preserve">EEZ Act, </w:t>
      </w:r>
      <w:r w:rsidRPr="00AF2B69">
        <w:rPr>
          <w:rFonts w:asciiTheme="minorHAnsi" w:hAnsiTheme="minorHAnsi"/>
          <w:szCs w:val="22"/>
          <w:lang w:eastAsia="en-NZ"/>
        </w:rPr>
        <w:t>Section 143</w:t>
      </w:r>
      <w:r>
        <w:rPr>
          <w:rFonts w:asciiTheme="minorHAnsi" w:hAnsiTheme="minorHAnsi"/>
          <w:szCs w:val="22"/>
          <w:lang w:eastAsia="en-NZ"/>
        </w:rPr>
        <w:t>.</w:t>
      </w:r>
    </w:p>
  </w:footnote>
  <w:footnote w:id="13">
    <w:p w:rsidR="00B1315C" w:rsidRPr="00AF2B69" w:rsidRDefault="00B1315C" w:rsidP="00785ECD">
      <w:pPr>
        <w:pStyle w:val="FootnoteText"/>
        <w:rPr>
          <w:rFonts w:asciiTheme="minorHAnsi" w:hAnsiTheme="minorHAnsi"/>
        </w:rPr>
      </w:pPr>
      <w:r w:rsidRPr="00AF2B69">
        <w:rPr>
          <w:rStyle w:val="FootnoteReference"/>
          <w:rFonts w:asciiTheme="minorHAnsi" w:hAnsiTheme="minorHAnsi"/>
        </w:rPr>
        <w:footnoteRef/>
      </w:r>
      <w:r w:rsidRPr="00AF2B69">
        <w:rPr>
          <w:rFonts w:asciiTheme="minorHAnsi" w:hAnsiTheme="minorHAnsi"/>
        </w:rPr>
        <w:t xml:space="preserve"> </w:t>
      </w:r>
      <w:r>
        <w:rPr>
          <w:rFonts w:asciiTheme="minorHAnsi" w:hAnsiTheme="minorHAnsi"/>
        </w:rPr>
        <w:tab/>
      </w:r>
      <w:r>
        <w:rPr>
          <w:rFonts w:asciiTheme="minorHAnsi" w:hAnsiTheme="minorHAnsi"/>
          <w:lang w:val="en-NZ"/>
        </w:rPr>
        <w:t xml:space="preserve">EEZ Act, </w:t>
      </w:r>
      <w:r>
        <w:rPr>
          <w:rFonts w:asciiTheme="minorHAnsi" w:hAnsiTheme="minorHAnsi"/>
          <w:szCs w:val="22"/>
          <w:lang w:eastAsia="en-NZ"/>
        </w:rPr>
        <w:t>S</w:t>
      </w:r>
      <w:r w:rsidRPr="00AF2B69">
        <w:rPr>
          <w:rFonts w:asciiTheme="minorHAnsi" w:hAnsiTheme="minorHAnsi"/>
          <w:szCs w:val="22"/>
          <w:lang w:eastAsia="en-NZ"/>
        </w:rPr>
        <w:t>ection 144</w:t>
      </w:r>
      <w:r>
        <w:rPr>
          <w:rFonts w:asciiTheme="minorHAnsi" w:hAnsiTheme="minorHAnsi"/>
          <w:szCs w:val="22"/>
          <w:lang w:eastAsia="en-NZ"/>
        </w:rPr>
        <w:t>.</w:t>
      </w:r>
    </w:p>
  </w:footnote>
  <w:footnote w:id="14">
    <w:p w:rsidR="00B1315C" w:rsidRDefault="00B1315C" w:rsidP="00785ECD">
      <w:pPr>
        <w:pStyle w:val="FootnoteText"/>
      </w:pPr>
      <w:r w:rsidRPr="00AF2B69">
        <w:rPr>
          <w:rStyle w:val="FootnoteReference"/>
          <w:rFonts w:asciiTheme="minorHAnsi" w:hAnsiTheme="minorHAnsi"/>
        </w:rPr>
        <w:footnoteRef/>
      </w:r>
      <w:r w:rsidRPr="00AF2B69">
        <w:rPr>
          <w:rFonts w:asciiTheme="minorHAnsi" w:hAnsiTheme="minorHAnsi"/>
        </w:rPr>
        <w:t xml:space="preserve"> </w:t>
      </w:r>
      <w:r>
        <w:rPr>
          <w:rFonts w:asciiTheme="minorHAnsi" w:hAnsiTheme="minorHAnsi"/>
        </w:rPr>
        <w:tab/>
      </w:r>
      <w:r>
        <w:rPr>
          <w:rFonts w:asciiTheme="minorHAnsi" w:hAnsiTheme="minorHAnsi"/>
          <w:lang w:val="en-NZ"/>
        </w:rPr>
        <w:t xml:space="preserve">EEZ Act, </w:t>
      </w:r>
      <w:r w:rsidRPr="00AF2B69">
        <w:rPr>
          <w:rFonts w:asciiTheme="minorHAnsi" w:hAnsiTheme="minorHAnsi"/>
          <w:szCs w:val="22"/>
          <w:lang w:eastAsia="en-NZ"/>
        </w:rPr>
        <w:t>Section 146</w:t>
      </w:r>
      <w:r>
        <w:rPr>
          <w:rFonts w:asciiTheme="minorHAnsi" w:hAnsiTheme="minorHAnsi"/>
          <w:szCs w:val="22"/>
          <w:lang w:eastAsia="en-NZ"/>
        </w:rPr>
        <w:t>.</w:t>
      </w:r>
    </w:p>
  </w:footnote>
  <w:footnote w:id="15">
    <w:p w:rsidR="00B1315C" w:rsidRDefault="00B1315C" w:rsidP="003B0F8B">
      <w:pPr>
        <w:pStyle w:val="FootnoteText"/>
      </w:pPr>
      <w:r>
        <w:rPr>
          <w:rStyle w:val="FootnoteReference"/>
        </w:rPr>
        <w:footnoteRef/>
      </w:r>
      <w:r>
        <w:t xml:space="preserve"> </w:t>
      </w:r>
      <w:r>
        <w:tab/>
      </w:r>
      <w:r w:rsidRPr="0088088F">
        <w:rPr>
          <w:rFonts w:asciiTheme="minorHAnsi" w:hAnsiTheme="minorHAnsi"/>
          <w:noProof/>
          <w:szCs w:val="18"/>
        </w:rPr>
        <w:t xml:space="preserve">Ministry for the Environment. </w:t>
      </w:r>
      <w:r>
        <w:rPr>
          <w:rFonts w:asciiTheme="minorHAnsi" w:hAnsiTheme="minorHAnsi"/>
          <w:noProof/>
          <w:szCs w:val="18"/>
        </w:rPr>
        <w:t>2012.</w:t>
      </w:r>
      <w:r w:rsidRPr="0088088F">
        <w:rPr>
          <w:rFonts w:asciiTheme="minorHAnsi" w:hAnsiTheme="minorHAnsi"/>
          <w:i/>
          <w:iCs/>
          <w:noProof/>
          <w:szCs w:val="18"/>
        </w:rPr>
        <w:t xml:space="preserve">Regulatory Impact Statement: Regulations under the Exclusive Economic Zone and Continental Shelf (Environmental Effects) Act. </w:t>
      </w:r>
      <w:r w:rsidRPr="0088088F">
        <w:rPr>
          <w:rFonts w:asciiTheme="minorHAnsi" w:hAnsiTheme="minorHAnsi"/>
          <w:noProof/>
          <w:szCs w:val="18"/>
        </w:rPr>
        <w:t>Wellington: Ministry for the Environment.</w:t>
      </w:r>
    </w:p>
  </w:footnote>
  <w:footnote w:id="16">
    <w:p w:rsidR="00B1315C" w:rsidRDefault="00B1315C" w:rsidP="003B0F8B">
      <w:pPr>
        <w:pStyle w:val="FootnoteText"/>
      </w:pPr>
      <w:r>
        <w:rPr>
          <w:rStyle w:val="FootnoteReference"/>
        </w:rPr>
        <w:footnoteRef/>
      </w:r>
      <w:r>
        <w:t xml:space="preserve"> </w:t>
      </w:r>
      <w:r>
        <w:tab/>
      </w:r>
      <w:r w:rsidRPr="0088522D">
        <w:rPr>
          <w:bCs/>
          <w:noProof/>
        </w:rPr>
        <w:t>Ministry for the Environment.</w:t>
      </w:r>
      <w:r w:rsidRPr="00B72028">
        <w:rPr>
          <w:noProof/>
        </w:rPr>
        <w:t xml:space="preserve"> </w:t>
      </w:r>
      <w:r>
        <w:rPr>
          <w:noProof/>
        </w:rPr>
        <w:t xml:space="preserve">2012. </w:t>
      </w:r>
      <w:r>
        <w:rPr>
          <w:i/>
          <w:iCs/>
          <w:noProof/>
        </w:rPr>
        <w:t xml:space="preserve">Managing our oceans: A discussion document on the regulations proposed under the Exclusive Economic Zone and Continental Shelf (Environmental Effects) Bill. </w:t>
      </w:r>
      <w:r>
        <w:rPr>
          <w:noProof/>
        </w:rPr>
        <w:t xml:space="preserve">Wellington Ministry for the Environment. </w:t>
      </w:r>
    </w:p>
  </w:footnote>
  <w:footnote w:id="17">
    <w:p w:rsidR="00B1315C" w:rsidRDefault="00B1315C" w:rsidP="003B0F8B">
      <w:pPr>
        <w:pStyle w:val="FootnoteText"/>
      </w:pPr>
      <w:r>
        <w:rPr>
          <w:rStyle w:val="FootnoteReference"/>
        </w:rPr>
        <w:footnoteRef/>
      </w:r>
      <w:r>
        <w:t xml:space="preserve"> </w:t>
      </w:r>
      <w:r>
        <w:tab/>
      </w:r>
      <w:hyperlink r:id="rId4" w:history="1">
        <w:r w:rsidRPr="00390E25">
          <w:rPr>
            <w:rStyle w:val="Hyperlink"/>
          </w:rPr>
          <w:t>http://www.epa.govt.nz/EEZ/about_eez/Pages/cost_recovery.aspx</w:t>
        </w:r>
      </w:hyperlink>
      <w:r>
        <w:rPr>
          <w:rStyle w:val="Hyperlink"/>
        </w:rPr>
        <w:t>.</w:t>
      </w:r>
      <w:r>
        <w:t xml:space="preserve"> </w:t>
      </w:r>
    </w:p>
  </w:footnote>
  <w:footnote w:id="18">
    <w:p w:rsidR="00B1315C" w:rsidRDefault="00B1315C" w:rsidP="00975E39">
      <w:pPr>
        <w:pStyle w:val="FootnoteText"/>
      </w:pPr>
      <w:r>
        <w:rPr>
          <w:rStyle w:val="FootnoteReference"/>
        </w:rPr>
        <w:footnoteRef/>
      </w:r>
      <w:r>
        <w:t xml:space="preserve"> </w:t>
      </w:r>
      <w:r>
        <w:tab/>
      </w:r>
      <w:r w:rsidRPr="0088522D">
        <w:rPr>
          <w:rFonts w:asciiTheme="minorHAnsi" w:hAnsiTheme="minorHAnsi"/>
          <w:bCs/>
          <w:noProof/>
          <w:szCs w:val="18"/>
        </w:rPr>
        <w:t>Environmental Protection Authority.</w:t>
      </w:r>
      <w:r w:rsidRPr="00543D35">
        <w:rPr>
          <w:rFonts w:asciiTheme="minorHAnsi" w:hAnsiTheme="minorHAnsi"/>
          <w:noProof/>
          <w:szCs w:val="18"/>
        </w:rPr>
        <w:t xml:space="preserve"> </w:t>
      </w:r>
      <w:r>
        <w:rPr>
          <w:rFonts w:asciiTheme="minorHAnsi" w:hAnsiTheme="minorHAnsi"/>
          <w:noProof/>
          <w:szCs w:val="18"/>
        </w:rPr>
        <w:t xml:space="preserve">Unpublished. </w:t>
      </w:r>
      <w:r w:rsidRPr="00543D35">
        <w:rPr>
          <w:rFonts w:asciiTheme="minorHAnsi" w:hAnsiTheme="minorHAnsi"/>
          <w:noProof/>
          <w:szCs w:val="18"/>
        </w:rPr>
        <w:t>MfE Cost Recovery Review Work-Stream Three Year Review of the EPA: EPA Cost Recovery Opportunities for EEZ (</w:t>
      </w:r>
      <w:r>
        <w:rPr>
          <w:rFonts w:asciiTheme="minorHAnsi" w:hAnsiTheme="minorHAnsi"/>
          <w:noProof/>
          <w:szCs w:val="18"/>
        </w:rPr>
        <w:t>m</w:t>
      </w:r>
      <w:r w:rsidRPr="00543D35">
        <w:rPr>
          <w:rFonts w:asciiTheme="minorHAnsi" w:hAnsiTheme="minorHAnsi"/>
          <w:noProof/>
          <w:szCs w:val="18"/>
        </w:rPr>
        <w:t xml:space="preserve">eeting note). </w:t>
      </w:r>
    </w:p>
  </w:footnote>
  <w:footnote w:id="19">
    <w:p w:rsidR="00B1315C" w:rsidRPr="0088088F" w:rsidRDefault="00B1315C" w:rsidP="001040B1">
      <w:pPr>
        <w:pStyle w:val="FootnoteText"/>
        <w:rPr>
          <w:rFonts w:asciiTheme="minorHAnsi" w:hAnsiTheme="minorHAnsi"/>
          <w:szCs w:val="18"/>
        </w:rPr>
      </w:pPr>
      <w:r w:rsidRPr="0088088F">
        <w:rPr>
          <w:rStyle w:val="FootnoteReference"/>
          <w:rFonts w:asciiTheme="minorHAnsi" w:hAnsiTheme="minorHAnsi"/>
          <w:szCs w:val="18"/>
        </w:rPr>
        <w:footnoteRef/>
      </w:r>
      <w:r w:rsidRPr="0088088F">
        <w:rPr>
          <w:rFonts w:asciiTheme="minorHAnsi" w:hAnsiTheme="minorHAnsi"/>
          <w:szCs w:val="18"/>
        </w:rPr>
        <w:t xml:space="preserve"> </w:t>
      </w:r>
      <w:r>
        <w:rPr>
          <w:rFonts w:asciiTheme="minorHAnsi" w:hAnsiTheme="minorHAnsi"/>
          <w:szCs w:val="18"/>
        </w:rPr>
        <w:tab/>
      </w:r>
      <w:r w:rsidRPr="0088522D">
        <w:rPr>
          <w:rFonts w:asciiTheme="minorHAnsi" w:hAnsiTheme="minorHAnsi"/>
          <w:bCs/>
          <w:noProof/>
          <w:szCs w:val="18"/>
        </w:rPr>
        <w:t>Environmental Protection Authority.</w:t>
      </w:r>
      <w:r w:rsidRPr="0088088F">
        <w:rPr>
          <w:rFonts w:asciiTheme="minorHAnsi" w:hAnsiTheme="minorHAnsi"/>
          <w:noProof/>
          <w:szCs w:val="18"/>
        </w:rPr>
        <w:t xml:space="preserve"> </w:t>
      </w:r>
      <w:r>
        <w:rPr>
          <w:rFonts w:asciiTheme="minorHAnsi" w:hAnsiTheme="minorHAnsi"/>
          <w:noProof/>
          <w:szCs w:val="18"/>
        </w:rPr>
        <w:t xml:space="preserve">2014. </w:t>
      </w:r>
      <w:r w:rsidRPr="0088088F">
        <w:rPr>
          <w:rFonts w:asciiTheme="minorHAnsi" w:hAnsiTheme="minorHAnsi"/>
          <w:i/>
          <w:iCs/>
          <w:noProof/>
          <w:szCs w:val="18"/>
        </w:rPr>
        <w:t>Statement o</w:t>
      </w:r>
      <w:r>
        <w:rPr>
          <w:rFonts w:asciiTheme="minorHAnsi" w:hAnsiTheme="minorHAnsi"/>
          <w:i/>
          <w:iCs/>
          <w:noProof/>
          <w:szCs w:val="18"/>
        </w:rPr>
        <w:t>f performance expectations 2014–</w:t>
      </w:r>
      <w:r w:rsidRPr="0088088F">
        <w:rPr>
          <w:rFonts w:asciiTheme="minorHAnsi" w:hAnsiTheme="minorHAnsi"/>
          <w:i/>
          <w:iCs/>
          <w:noProof/>
          <w:szCs w:val="18"/>
        </w:rPr>
        <w:t xml:space="preserve">15. </w:t>
      </w:r>
      <w:r w:rsidRPr="0088088F">
        <w:rPr>
          <w:rFonts w:asciiTheme="minorHAnsi" w:hAnsiTheme="minorHAnsi"/>
          <w:noProof/>
          <w:szCs w:val="18"/>
        </w:rPr>
        <w:t>Wellington: Environmental Protection Authority.</w:t>
      </w:r>
    </w:p>
  </w:footnote>
  <w:footnote w:id="20">
    <w:p w:rsidR="00B1315C" w:rsidRDefault="00B1315C" w:rsidP="00CE60CB">
      <w:pPr>
        <w:pStyle w:val="FootnoteText"/>
      </w:pPr>
      <w:r>
        <w:rPr>
          <w:rStyle w:val="FootnoteReference"/>
        </w:rPr>
        <w:footnoteRef/>
      </w:r>
      <w:r>
        <w:t xml:space="preserve"> </w:t>
      </w:r>
      <w:r>
        <w:tab/>
      </w:r>
      <w:r w:rsidRPr="0088522D">
        <w:rPr>
          <w:bCs/>
          <w:noProof/>
        </w:rPr>
        <w:t>New Zealand Government.</w:t>
      </w:r>
      <w:r w:rsidRPr="0088088F">
        <w:rPr>
          <w:noProof/>
        </w:rPr>
        <w:t xml:space="preserve"> </w:t>
      </w:r>
      <w:r>
        <w:rPr>
          <w:noProof/>
        </w:rPr>
        <w:t xml:space="preserve">1996. </w:t>
      </w:r>
      <w:r w:rsidRPr="0088088F">
        <w:rPr>
          <w:i/>
          <w:iCs/>
          <w:noProof/>
        </w:rPr>
        <w:t xml:space="preserve">Hazardous Substances and New Organisms Act . </w:t>
      </w:r>
      <w:r w:rsidRPr="0088088F">
        <w:rPr>
          <w:noProof/>
        </w:rPr>
        <w:t>Wellington: New Zealand Government.</w:t>
      </w:r>
    </w:p>
  </w:footnote>
  <w:footnote w:id="21">
    <w:p w:rsidR="00B1315C" w:rsidRDefault="00B1315C" w:rsidP="00CE60CB">
      <w:pPr>
        <w:pStyle w:val="FootnoteText"/>
        <w:rPr>
          <w:noProof/>
        </w:rPr>
      </w:pPr>
      <w:r>
        <w:rPr>
          <w:rStyle w:val="FootnoteReference"/>
        </w:rPr>
        <w:footnoteRef/>
      </w:r>
      <w:r>
        <w:t xml:space="preserve"> </w:t>
      </w:r>
      <w:r>
        <w:tab/>
      </w:r>
      <w:r w:rsidRPr="0088522D">
        <w:rPr>
          <w:bCs/>
          <w:noProof/>
        </w:rPr>
        <w:t>Minister for the Environment.</w:t>
      </w:r>
      <w:r w:rsidRPr="0088088F">
        <w:rPr>
          <w:noProof/>
        </w:rPr>
        <w:t xml:space="preserve"> </w:t>
      </w:r>
      <w:r>
        <w:rPr>
          <w:noProof/>
        </w:rPr>
        <w:t xml:space="preserve">Unpublished. </w:t>
      </w:r>
      <w:r w:rsidRPr="0028176A">
        <w:rPr>
          <w:i/>
          <w:noProof/>
        </w:rPr>
        <w:t>Review of Cost Recovery Policy: Applications to ERMA for Approvals [POL (03) 217]</w:t>
      </w:r>
      <w:r w:rsidRPr="0088088F">
        <w:rPr>
          <w:noProof/>
        </w:rPr>
        <w:t xml:space="preserve">. </w:t>
      </w:r>
    </w:p>
  </w:footnote>
  <w:footnote w:id="22">
    <w:p w:rsidR="00B1315C" w:rsidRDefault="00B1315C" w:rsidP="000C1E67">
      <w:pPr>
        <w:pStyle w:val="FootnoteText"/>
      </w:pPr>
      <w:r>
        <w:rPr>
          <w:rStyle w:val="FootnoteReference"/>
        </w:rPr>
        <w:footnoteRef/>
      </w:r>
      <w:r>
        <w:tab/>
      </w:r>
      <w:r w:rsidRPr="000C1E67">
        <w:rPr>
          <w:bCs/>
          <w:noProof/>
        </w:rPr>
        <w:t>Environmental Protection Authority.</w:t>
      </w:r>
      <w:r w:rsidRPr="000C1E67">
        <w:rPr>
          <w:noProof/>
        </w:rPr>
        <w:t xml:space="preserve"> </w:t>
      </w:r>
      <w:r>
        <w:rPr>
          <w:noProof/>
        </w:rPr>
        <w:t xml:space="preserve">Fees and charges for hazardous substances and new organisms. </w:t>
      </w:r>
      <w:r>
        <w:rPr>
          <w:i/>
          <w:iCs/>
          <w:noProof/>
        </w:rPr>
        <w:t xml:space="preserve">Environmental Protection Authority. </w:t>
      </w:r>
      <w:r>
        <w:rPr>
          <w:noProof/>
        </w:rPr>
        <w:t>[Online] [Cited: 9 October 2014.] http://www.epa.govt.nz/about-us/fees/Pages/default.aspx.</w:t>
      </w:r>
    </w:p>
  </w:footnote>
  <w:footnote w:id="23">
    <w:p w:rsidR="00B1315C" w:rsidRDefault="00B1315C" w:rsidP="00CA5CA1">
      <w:pPr>
        <w:pStyle w:val="FootnoteText"/>
      </w:pPr>
      <w:r>
        <w:rPr>
          <w:rStyle w:val="FootnoteReference"/>
        </w:rPr>
        <w:footnoteRef/>
      </w:r>
      <w:r>
        <w:t xml:space="preserve"> </w:t>
      </w:r>
      <w:r>
        <w:tab/>
      </w:r>
      <w:r w:rsidRPr="00114D90">
        <w:rPr>
          <w:bCs/>
          <w:noProof/>
        </w:rPr>
        <w:t>Environmental Risk Management Authority.</w:t>
      </w:r>
      <w:r>
        <w:rPr>
          <w:noProof/>
        </w:rPr>
        <w:t xml:space="preserve"> </w:t>
      </w:r>
      <w:r>
        <w:rPr>
          <w:i/>
          <w:iCs/>
          <w:noProof/>
        </w:rPr>
        <w:t xml:space="preserve">Fees and Charges Review </w:t>
      </w:r>
      <w:r>
        <w:rPr>
          <w:i/>
          <w:iCs/>
          <w:noProof/>
          <w:lang w:val="en-NZ"/>
        </w:rPr>
        <w:t>–</w:t>
      </w:r>
      <w:r>
        <w:rPr>
          <w:i/>
          <w:iCs/>
          <w:noProof/>
        </w:rPr>
        <w:t xml:space="preserve"> ERMA Board paper. </w:t>
      </w:r>
      <w:r>
        <w:rPr>
          <w:noProof/>
        </w:rPr>
        <w:t>Wellington : Unpublished document, 2009.</w:t>
      </w:r>
    </w:p>
  </w:footnote>
  <w:footnote w:id="24">
    <w:p w:rsidR="00B1315C" w:rsidRPr="00A62B70" w:rsidRDefault="00B1315C" w:rsidP="00271194">
      <w:pPr>
        <w:pStyle w:val="FootnoteText"/>
        <w:rPr>
          <w:lang w:val="en-NZ"/>
        </w:rPr>
      </w:pPr>
      <w:r>
        <w:rPr>
          <w:rStyle w:val="FootnoteReference"/>
        </w:rPr>
        <w:footnoteRef/>
      </w:r>
      <w:r>
        <w:t xml:space="preserve"> </w:t>
      </w:r>
      <w:r>
        <w:tab/>
      </w:r>
      <w:r w:rsidRPr="0088522D">
        <w:rPr>
          <w:bCs/>
          <w:noProof/>
        </w:rPr>
        <w:t>Environmental Protection Authority.</w:t>
      </w:r>
      <w:r>
        <w:rPr>
          <w:noProof/>
        </w:rPr>
        <w:t xml:space="preserve"> </w:t>
      </w:r>
      <w:r w:rsidRPr="000246BD">
        <w:rPr>
          <w:iCs/>
          <w:noProof/>
        </w:rPr>
        <w:t>2014.</w:t>
      </w:r>
      <w:r>
        <w:rPr>
          <w:i/>
          <w:iCs/>
          <w:noProof/>
        </w:rPr>
        <w:t xml:space="preserve"> Statement of performance expectations 2014</w:t>
      </w:r>
      <w:r>
        <w:rPr>
          <w:i/>
          <w:iCs/>
          <w:noProof/>
          <w:lang w:val="en-NZ"/>
        </w:rPr>
        <w:t>–</w:t>
      </w:r>
      <w:r>
        <w:rPr>
          <w:i/>
          <w:iCs/>
          <w:noProof/>
        </w:rPr>
        <w:t xml:space="preserve">15. </w:t>
      </w:r>
      <w:r>
        <w:rPr>
          <w:noProof/>
        </w:rPr>
        <w:t>Wellington: Environmental Protection Authority</w:t>
      </w:r>
      <w:r>
        <w:rPr>
          <w:noProof/>
          <w:lang w:val="en-NZ"/>
        </w:rPr>
        <w:t>.</w:t>
      </w:r>
    </w:p>
  </w:footnote>
  <w:footnote w:id="25">
    <w:p w:rsidR="00B1315C" w:rsidRDefault="00B1315C" w:rsidP="00C44B7D">
      <w:pPr>
        <w:pStyle w:val="FootnoteText"/>
      </w:pPr>
      <w:r>
        <w:rPr>
          <w:rStyle w:val="FootnoteReference"/>
        </w:rPr>
        <w:footnoteRef/>
      </w:r>
      <w:r>
        <w:rPr>
          <w:rFonts w:asciiTheme="minorHAnsi" w:hAnsiTheme="minorHAnsi"/>
          <w:bCs/>
          <w:noProof/>
          <w:szCs w:val="18"/>
        </w:rPr>
        <w:tab/>
      </w:r>
      <w:r w:rsidRPr="0088522D">
        <w:rPr>
          <w:rFonts w:asciiTheme="minorHAnsi" w:hAnsiTheme="minorHAnsi"/>
          <w:bCs/>
          <w:noProof/>
          <w:szCs w:val="18"/>
        </w:rPr>
        <w:t>Environmental Protection Authority.</w:t>
      </w:r>
      <w:r>
        <w:rPr>
          <w:rFonts w:asciiTheme="minorHAnsi" w:hAnsiTheme="minorHAnsi"/>
          <w:bCs/>
          <w:noProof/>
          <w:szCs w:val="18"/>
        </w:rPr>
        <w:t xml:space="preserve"> 2014.</w:t>
      </w:r>
      <w:r w:rsidRPr="0088088F">
        <w:rPr>
          <w:rFonts w:asciiTheme="minorHAnsi" w:hAnsiTheme="minorHAnsi"/>
          <w:noProof/>
          <w:szCs w:val="18"/>
        </w:rPr>
        <w:t xml:space="preserve"> </w:t>
      </w:r>
      <w:r w:rsidRPr="0088088F">
        <w:rPr>
          <w:rFonts w:asciiTheme="minorHAnsi" w:hAnsiTheme="minorHAnsi"/>
          <w:i/>
          <w:iCs/>
          <w:noProof/>
          <w:szCs w:val="18"/>
        </w:rPr>
        <w:t>Statement of performance expectations 2014</w:t>
      </w:r>
      <w:r>
        <w:rPr>
          <w:rFonts w:asciiTheme="minorHAnsi" w:hAnsiTheme="minorHAnsi"/>
          <w:i/>
          <w:iCs/>
          <w:noProof/>
          <w:szCs w:val="18"/>
          <w:lang w:val="en-NZ"/>
        </w:rPr>
        <w:t>–</w:t>
      </w:r>
      <w:r w:rsidRPr="0088088F">
        <w:rPr>
          <w:rFonts w:asciiTheme="minorHAnsi" w:hAnsiTheme="minorHAnsi"/>
          <w:i/>
          <w:iCs/>
          <w:noProof/>
          <w:szCs w:val="18"/>
        </w:rPr>
        <w:t xml:space="preserve">15. </w:t>
      </w:r>
      <w:r w:rsidRPr="0088088F">
        <w:rPr>
          <w:rFonts w:asciiTheme="minorHAnsi" w:hAnsiTheme="minorHAnsi"/>
          <w:noProof/>
          <w:szCs w:val="18"/>
        </w:rPr>
        <w:t>Wellington: Environmental Protection Authority.</w:t>
      </w:r>
      <w:r>
        <w:rPr>
          <w:noProof/>
        </w:rPr>
        <w:t xml:space="preserve"> </w:t>
      </w:r>
    </w:p>
  </w:footnote>
  <w:footnote w:id="26">
    <w:p w:rsidR="00B1315C" w:rsidRDefault="00B1315C" w:rsidP="00C44B7D">
      <w:pPr>
        <w:pStyle w:val="FootnoteText"/>
      </w:pPr>
      <w:r>
        <w:rPr>
          <w:rStyle w:val="FootnoteReference"/>
        </w:rPr>
        <w:footnoteRef/>
      </w:r>
      <w:r>
        <w:t xml:space="preserve"> </w:t>
      </w:r>
      <w:r>
        <w:tab/>
      </w:r>
      <w:r>
        <w:rPr>
          <w:szCs w:val="22"/>
          <w:lang w:eastAsia="en-NZ"/>
        </w:rPr>
        <w:t>Section 167 of the Climate Change Response Act 2002.</w:t>
      </w:r>
    </w:p>
  </w:footnote>
  <w:footnote w:id="27">
    <w:p w:rsidR="00B1315C" w:rsidRDefault="00B1315C" w:rsidP="00C44B7D">
      <w:pPr>
        <w:pStyle w:val="FootnoteText"/>
      </w:pPr>
      <w:r>
        <w:rPr>
          <w:rStyle w:val="FootnoteReference"/>
        </w:rPr>
        <w:footnoteRef/>
      </w:r>
      <w:r>
        <w:t xml:space="preserve"> </w:t>
      </w:r>
      <w:r>
        <w:tab/>
      </w:r>
      <w:r w:rsidRPr="0088522D">
        <w:rPr>
          <w:rFonts w:asciiTheme="minorHAnsi" w:hAnsiTheme="minorHAnsi"/>
          <w:bCs/>
          <w:noProof/>
          <w:szCs w:val="18"/>
        </w:rPr>
        <w:t>Environmental Protection Authority.</w:t>
      </w:r>
      <w:r>
        <w:rPr>
          <w:rFonts w:asciiTheme="minorHAnsi" w:hAnsiTheme="minorHAnsi"/>
          <w:bCs/>
          <w:noProof/>
          <w:szCs w:val="18"/>
        </w:rPr>
        <w:t xml:space="preserve"> Unpublished.</w:t>
      </w:r>
      <w:r w:rsidRPr="0088088F">
        <w:rPr>
          <w:rFonts w:asciiTheme="minorHAnsi" w:hAnsiTheme="minorHAnsi"/>
          <w:noProof/>
          <w:szCs w:val="18"/>
        </w:rPr>
        <w:t xml:space="preserve"> </w:t>
      </w:r>
      <w:r w:rsidRPr="0088088F">
        <w:rPr>
          <w:rFonts w:asciiTheme="minorHAnsi" w:hAnsiTheme="minorHAnsi"/>
          <w:i/>
          <w:iCs/>
          <w:noProof/>
          <w:szCs w:val="18"/>
        </w:rPr>
        <w:t>MfE Cost Recovery Review Work-Stream Three Year Review of the EPA: EPA cost recovery opportunities for the ETS (</w:t>
      </w:r>
      <w:r>
        <w:rPr>
          <w:rFonts w:asciiTheme="minorHAnsi" w:hAnsiTheme="minorHAnsi"/>
          <w:i/>
          <w:iCs/>
          <w:noProof/>
          <w:szCs w:val="18"/>
        </w:rPr>
        <w:t>m</w:t>
      </w:r>
      <w:r w:rsidRPr="0088088F">
        <w:rPr>
          <w:rFonts w:asciiTheme="minorHAnsi" w:hAnsiTheme="minorHAnsi"/>
          <w:i/>
          <w:iCs/>
          <w:noProof/>
          <w:szCs w:val="18"/>
        </w:rPr>
        <w:t xml:space="preserve">eeting note).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rsidP="0011066F">
    <w:pPr>
      <w:pStyle w:val="Header"/>
      <w:tabs>
        <w:tab w:val="clear" w:pos="4513"/>
        <w:tab w:val="clear" w:pos="9026"/>
      </w:tabs>
      <w:ind w:left="-57"/>
    </w:pPr>
    <w:r>
      <w:rPr>
        <w:noProof/>
      </w:rPr>
      <w:drawing>
        <wp:inline distT="0" distB="0" distL="0" distR="0" wp14:anchorId="2FD25DDB" wp14:editId="346774C6">
          <wp:extent cx="2214206" cy="629076"/>
          <wp:effectExtent l="0" t="0" r="0" b="0"/>
          <wp:docPr id="9" name="Picture 9"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
                    <a:extLst>
                      <a:ext uri="{28A0092B-C50C-407E-A947-70E740481C1C}">
                        <a14:useLocalDpi xmlns:a14="http://schemas.microsoft.com/office/drawing/2010/main" val="0"/>
                      </a:ext>
                    </a:extLst>
                  </a:blip>
                  <a:srcRect l="2927" t="8191" r="2281" b="7092"/>
                  <a:stretch>
                    <a:fillRect/>
                  </a:stretch>
                </pic:blipFill>
                <pic:spPr bwMode="auto">
                  <a:xfrm>
                    <a:off x="0" y="0"/>
                    <a:ext cx="2214206" cy="629076"/>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rsidP="004064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5C" w:rsidRDefault="00B1315C" w:rsidP="00406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nsid w:val="0EB0199C"/>
    <w:multiLevelType w:val="hybridMultilevel"/>
    <w:tmpl w:val="3C7E1392"/>
    <w:lvl w:ilvl="0" w:tplc="F822B5CE">
      <w:start w:val="1"/>
      <w:numFmt w:val="lowerLetter"/>
      <w:pStyle w:val="Bodytex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2336D93"/>
    <w:multiLevelType w:val="hybridMultilevel"/>
    <w:tmpl w:val="E5BCDC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E7824AD"/>
    <w:multiLevelType w:val="hybridMultilevel"/>
    <w:tmpl w:val="70FE5E90"/>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735440E"/>
    <w:multiLevelType w:val="hybridMultilevel"/>
    <w:tmpl w:val="1F08BAC4"/>
    <w:lvl w:ilvl="0" w:tplc="14090001">
      <w:start w:val="1"/>
      <w:numFmt w:val="bullet"/>
      <w:lvlText w:val=""/>
      <w:lvlJc w:val="left"/>
      <w:pPr>
        <w:ind w:left="774" w:hanging="360"/>
      </w:pPr>
      <w:rPr>
        <w:rFonts w:ascii="Symbol" w:hAnsi="Symbol" w:hint="default"/>
      </w:rPr>
    </w:lvl>
    <w:lvl w:ilvl="1" w:tplc="14090003">
      <w:start w:val="1"/>
      <w:numFmt w:val="bullet"/>
      <w:lvlText w:val="o"/>
      <w:lvlJc w:val="left"/>
      <w:pPr>
        <w:ind w:left="1494" w:hanging="360"/>
      </w:pPr>
      <w:rPr>
        <w:rFonts w:ascii="Courier New" w:hAnsi="Courier New" w:cs="Courier New" w:hint="default"/>
      </w:rPr>
    </w:lvl>
    <w:lvl w:ilvl="2" w:tplc="14090005">
      <w:start w:val="1"/>
      <w:numFmt w:val="bullet"/>
      <w:lvlText w:val=""/>
      <w:lvlJc w:val="left"/>
      <w:pPr>
        <w:ind w:left="2214" w:hanging="360"/>
      </w:pPr>
      <w:rPr>
        <w:rFonts w:ascii="Wingdings" w:hAnsi="Wingdings" w:hint="default"/>
      </w:rPr>
    </w:lvl>
    <w:lvl w:ilvl="3" w:tplc="14090001">
      <w:start w:val="1"/>
      <w:numFmt w:val="bullet"/>
      <w:lvlText w:val=""/>
      <w:lvlJc w:val="left"/>
      <w:pPr>
        <w:ind w:left="2934" w:hanging="360"/>
      </w:pPr>
      <w:rPr>
        <w:rFonts w:ascii="Symbol" w:hAnsi="Symbol" w:hint="default"/>
      </w:rPr>
    </w:lvl>
    <w:lvl w:ilvl="4" w:tplc="14090003">
      <w:start w:val="1"/>
      <w:numFmt w:val="bullet"/>
      <w:lvlText w:val="o"/>
      <w:lvlJc w:val="left"/>
      <w:pPr>
        <w:ind w:left="3654" w:hanging="360"/>
      </w:pPr>
      <w:rPr>
        <w:rFonts w:ascii="Courier New" w:hAnsi="Courier New" w:cs="Courier New" w:hint="default"/>
      </w:rPr>
    </w:lvl>
    <w:lvl w:ilvl="5" w:tplc="14090005">
      <w:start w:val="1"/>
      <w:numFmt w:val="bullet"/>
      <w:lvlText w:val=""/>
      <w:lvlJc w:val="left"/>
      <w:pPr>
        <w:ind w:left="4374" w:hanging="360"/>
      </w:pPr>
      <w:rPr>
        <w:rFonts w:ascii="Wingdings" w:hAnsi="Wingdings" w:hint="default"/>
      </w:rPr>
    </w:lvl>
    <w:lvl w:ilvl="6" w:tplc="14090001">
      <w:start w:val="1"/>
      <w:numFmt w:val="bullet"/>
      <w:lvlText w:val=""/>
      <w:lvlJc w:val="left"/>
      <w:pPr>
        <w:ind w:left="5094" w:hanging="360"/>
      </w:pPr>
      <w:rPr>
        <w:rFonts w:ascii="Symbol" w:hAnsi="Symbol" w:hint="default"/>
      </w:rPr>
    </w:lvl>
    <w:lvl w:ilvl="7" w:tplc="14090003">
      <w:start w:val="1"/>
      <w:numFmt w:val="bullet"/>
      <w:lvlText w:val="o"/>
      <w:lvlJc w:val="left"/>
      <w:pPr>
        <w:ind w:left="5814" w:hanging="360"/>
      </w:pPr>
      <w:rPr>
        <w:rFonts w:ascii="Courier New" w:hAnsi="Courier New" w:cs="Courier New" w:hint="default"/>
      </w:rPr>
    </w:lvl>
    <w:lvl w:ilvl="8" w:tplc="14090005">
      <w:start w:val="1"/>
      <w:numFmt w:val="bullet"/>
      <w:lvlText w:val=""/>
      <w:lvlJc w:val="left"/>
      <w:pPr>
        <w:ind w:left="6534" w:hanging="360"/>
      </w:pPr>
      <w:rPr>
        <w:rFonts w:ascii="Wingdings" w:hAnsi="Wingdings" w:hint="default"/>
      </w:rPr>
    </w:lvl>
  </w:abstractNum>
  <w:abstractNum w:abstractNumId="6">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F862EB2"/>
    <w:multiLevelType w:val="hybridMultilevel"/>
    <w:tmpl w:val="30045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1">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12">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3">
    <w:nsid w:val="653A1DB2"/>
    <w:multiLevelType w:val="multilevel"/>
    <w:tmpl w:val="7C9A8406"/>
    <w:lvl w:ilvl="0">
      <w:start w:val="1"/>
      <w:numFmt w:val="bullet"/>
      <w:lvlText w:val=""/>
      <w:lvlJc w:val="left"/>
      <w:pPr>
        <w:tabs>
          <w:tab w:val="num" w:pos="720"/>
        </w:tabs>
        <w:ind w:left="720" w:hanging="360"/>
      </w:pPr>
      <w:rPr>
        <w:rFonts w:ascii="Symbol" w:hAnsi="Symbol" w:hint="default"/>
        <w:sz w:val="20"/>
      </w:rPr>
    </w:lvl>
    <w:lvl w:ilvl="1">
      <w:start w:val="1"/>
      <w:numFmt w:val="bullet"/>
      <w:pStyle w:val="Sub-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E4D254A"/>
    <w:multiLevelType w:val="singleLevel"/>
    <w:tmpl w:val="DF2C48E8"/>
    <w:lvl w:ilvl="0">
      <w:start w:val="1"/>
      <w:numFmt w:val="bullet"/>
      <w:pStyle w:val="Bullet"/>
      <w:lvlText w:val=""/>
      <w:lvlJc w:val="left"/>
      <w:pPr>
        <w:tabs>
          <w:tab w:val="num" w:pos="567"/>
        </w:tabs>
        <w:ind w:left="567" w:hanging="567"/>
      </w:pPr>
      <w:rPr>
        <w:rFonts w:ascii="Symbol" w:hAnsi="Symbol" w:hint="default"/>
        <w:color w:val="auto"/>
        <w:sz w:val="18"/>
        <w:szCs w:val="20"/>
      </w:rPr>
    </w:lvl>
  </w:abstractNum>
  <w:num w:numId="1">
    <w:abstractNumId w:val="15"/>
  </w:num>
  <w:num w:numId="2">
    <w:abstractNumId w:val="4"/>
  </w:num>
  <w:num w:numId="3">
    <w:abstractNumId w:val="13"/>
  </w:num>
  <w:num w:numId="4">
    <w:abstractNumId w:val="11"/>
  </w:num>
  <w:num w:numId="5">
    <w:abstractNumId w:val="12"/>
  </w:num>
  <w:num w:numId="6">
    <w:abstractNumId w:val="1"/>
  </w:num>
  <w:num w:numId="7">
    <w:abstractNumId w:val="14"/>
  </w:num>
  <w:num w:numId="8">
    <w:abstractNumId w:val="6"/>
  </w:num>
  <w:num w:numId="9">
    <w:abstractNumId w:val="2"/>
  </w:num>
  <w:num w:numId="10">
    <w:abstractNumId w:val="10"/>
  </w:num>
  <w:num w:numId="11">
    <w:abstractNumId w:val="0"/>
  </w:num>
  <w:num w:numId="12">
    <w:abstractNumId w:val="8"/>
  </w:num>
  <w:num w:numId="13">
    <w:abstractNumId w:val="9"/>
  </w:num>
  <w:num w:numId="14">
    <w:abstractNumId w:val="3"/>
  </w:num>
  <w:num w:numId="15">
    <w:abstractNumId w:val="5"/>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97"/>
  <w:evenAndOddHeaders/>
  <w:characterSpacingControl w:val="doNotCompress"/>
  <w:hdrShapeDefaults>
    <o:shapedefaults v:ext="edit" spidmax="18433" style="mso-height-percent:200;mso-width-relative:margin;mso-height-relative:margin" fillcolor="none [3212]" strokecolor="none [3212]">
      <v:fill color="none [3212]"/>
      <v:stroke color="none [3212]"/>
      <v:textbox style="mso-fit-shape-to-text:t"/>
      <o:colormru v:ext="edit" colors="#002663,#e36f1e"/>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BC"/>
    <w:rsid w:val="000007A8"/>
    <w:rsid w:val="00000C79"/>
    <w:rsid w:val="00000EDA"/>
    <w:rsid w:val="00000F26"/>
    <w:rsid w:val="000012D2"/>
    <w:rsid w:val="00001F78"/>
    <w:rsid w:val="000023D0"/>
    <w:rsid w:val="000026C2"/>
    <w:rsid w:val="00002B93"/>
    <w:rsid w:val="000030DA"/>
    <w:rsid w:val="00003761"/>
    <w:rsid w:val="000037F4"/>
    <w:rsid w:val="00003B1B"/>
    <w:rsid w:val="0000481D"/>
    <w:rsid w:val="0000489D"/>
    <w:rsid w:val="000048DE"/>
    <w:rsid w:val="00004906"/>
    <w:rsid w:val="00004C46"/>
    <w:rsid w:val="00004D33"/>
    <w:rsid w:val="000056EA"/>
    <w:rsid w:val="00005741"/>
    <w:rsid w:val="00005E53"/>
    <w:rsid w:val="000068A3"/>
    <w:rsid w:val="00007DF9"/>
    <w:rsid w:val="000106F8"/>
    <w:rsid w:val="00010711"/>
    <w:rsid w:val="000108B0"/>
    <w:rsid w:val="00010E41"/>
    <w:rsid w:val="00010E93"/>
    <w:rsid w:val="0001138E"/>
    <w:rsid w:val="00011A10"/>
    <w:rsid w:val="0001209E"/>
    <w:rsid w:val="0001257F"/>
    <w:rsid w:val="00012D8F"/>
    <w:rsid w:val="000133E6"/>
    <w:rsid w:val="000135A0"/>
    <w:rsid w:val="00013856"/>
    <w:rsid w:val="000149B9"/>
    <w:rsid w:val="00015037"/>
    <w:rsid w:val="000151E4"/>
    <w:rsid w:val="000158BE"/>
    <w:rsid w:val="00015AD9"/>
    <w:rsid w:val="00015C38"/>
    <w:rsid w:val="00015D15"/>
    <w:rsid w:val="000165A8"/>
    <w:rsid w:val="00016629"/>
    <w:rsid w:val="00016A59"/>
    <w:rsid w:val="00016A68"/>
    <w:rsid w:val="00016F0B"/>
    <w:rsid w:val="000170EE"/>
    <w:rsid w:val="00017A25"/>
    <w:rsid w:val="000201FC"/>
    <w:rsid w:val="00020988"/>
    <w:rsid w:val="00020B30"/>
    <w:rsid w:val="00021190"/>
    <w:rsid w:val="0002140C"/>
    <w:rsid w:val="00021ADA"/>
    <w:rsid w:val="0002208D"/>
    <w:rsid w:val="00022363"/>
    <w:rsid w:val="000228D7"/>
    <w:rsid w:val="00022AE8"/>
    <w:rsid w:val="00022B2E"/>
    <w:rsid w:val="00022E4A"/>
    <w:rsid w:val="00022E94"/>
    <w:rsid w:val="0002392B"/>
    <w:rsid w:val="00023E33"/>
    <w:rsid w:val="00023FF3"/>
    <w:rsid w:val="000244FB"/>
    <w:rsid w:val="00024549"/>
    <w:rsid w:val="00024D09"/>
    <w:rsid w:val="00024D77"/>
    <w:rsid w:val="00024D78"/>
    <w:rsid w:val="00024FB3"/>
    <w:rsid w:val="000251D1"/>
    <w:rsid w:val="00025A9D"/>
    <w:rsid w:val="000260A1"/>
    <w:rsid w:val="00026454"/>
    <w:rsid w:val="00026792"/>
    <w:rsid w:val="00026A9B"/>
    <w:rsid w:val="00027616"/>
    <w:rsid w:val="0002785D"/>
    <w:rsid w:val="00027EF6"/>
    <w:rsid w:val="000305BF"/>
    <w:rsid w:val="0003090B"/>
    <w:rsid w:val="00030A14"/>
    <w:rsid w:val="000311D8"/>
    <w:rsid w:val="00031870"/>
    <w:rsid w:val="00031898"/>
    <w:rsid w:val="00031F48"/>
    <w:rsid w:val="00032087"/>
    <w:rsid w:val="0003264B"/>
    <w:rsid w:val="00032C7B"/>
    <w:rsid w:val="0003306A"/>
    <w:rsid w:val="000330A5"/>
    <w:rsid w:val="00033F7F"/>
    <w:rsid w:val="000340E5"/>
    <w:rsid w:val="00034789"/>
    <w:rsid w:val="00034B7E"/>
    <w:rsid w:val="0003567D"/>
    <w:rsid w:val="00035B0E"/>
    <w:rsid w:val="00035C08"/>
    <w:rsid w:val="000368BA"/>
    <w:rsid w:val="000368E7"/>
    <w:rsid w:val="00037A03"/>
    <w:rsid w:val="000404CA"/>
    <w:rsid w:val="000406C7"/>
    <w:rsid w:val="00040AF2"/>
    <w:rsid w:val="00040F16"/>
    <w:rsid w:val="00041197"/>
    <w:rsid w:val="00041450"/>
    <w:rsid w:val="00041647"/>
    <w:rsid w:val="000416B0"/>
    <w:rsid w:val="000417F9"/>
    <w:rsid w:val="0004233F"/>
    <w:rsid w:val="00043037"/>
    <w:rsid w:val="000439A3"/>
    <w:rsid w:val="0004450B"/>
    <w:rsid w:val="00044758"/>
    <w:rsid w:val="000451FB"/>
    <w:rsid w:val="000454FC"/>
    <w:rsid w:val="00045F92"/>
    <w:rsid w:val="000461F2"/>
    <w:rsid w:val="00046392"/>
    <w:rsid w:val="000469D7"/>
    <w:rsid w:val="00046D42"/>
    <w:rsid w:val="000470C0"/>
    <w:rsid w:val="000474CC"/>
    <w:rsid w:val="00047BF4"/>
    <w:rsid w:val="00047C9C"/>
    <w:rsid w:val="00050253"/>
    <w:rsid w:val="0005058A"/>
    <w:rsid w:val="0005096C"/>
    <w:rsid w:val="00050B86"/>
    <w:rsid w:val="00050D30"/>
    <w:rsid w:val="000510BC"/>
    <w:rsid w:val="0005116B"/>
    <w:rsid w:val="0005117C"/>
    <w:rsid w:val="00053482"/>
    <w:rsid w:val="0005366C"/>
    <w:rsid w:val="000539C9"/>
    <w:rsid w:val="000540E1"/>
    <w:rsid w:val="000543A5"/>
    <w:rsid w:val="000547B5"/>
    <w:rsid w:val="0005492F"/>
    <w:rsid w:val="000550B4"/>
    <w:rsid w:val="0005523D"/>
    <w:rsid w:val="000558A4"/>
    <w:rsid w:val="000564B9"/>
    <w:rsid w:val="00057765"/>
    <w:rsid w:val="000579B8"/>
    <w:rsid w:val="00057B6F"/>
    <w:rsid w:val="00060366"/>
    <w:rsid w:val="00060B0A"/>
    <w:rsid w:val="00060DF7"/>
    <w:rsid w:val="0006140D"/>
    <w:rsid w:val="0006180D"/>
    <w:rsid w:val="00061FF5"/>
    <w:rsid w:val="00062755"/>
    <w:rsid w:val="00062E11"/>
    <w:rsid w:val="000630F5"/>
    <w:rsid w:val="00063505"/>
    <w:rsid w:val="00063944"/>
    <w:rsid w:val="00063B9C"/>
    <w:rsid w:val="00064358"/>
    <w:rsid w:val="00064AD9"/>
    <w:rsid w:val="00064D7A"/>
    <w:rsid w:val="0006547C"/>
    <w:rsid w:val="00065584"/>
    <w:rsid w:val="00065812"/>
    <w:rsid w:val="00065D31"/>
    <w:rsid w:val="00066BE8"/>
    <w:rsid w:val="000672AD"/>
    <w:rsid w:val="000675B8"/>
    <w:rsid w:val="0006769A"/>
    <w:rsid w:val="0006778A"/>
    <w:rsid w:val="00070AE0"/>
    <w:rsid w:val="00070C17"/>
    <w:rsid w:val="00071BF0"/>
    <w:rsid w:val="00071EA3"/>
    <w:rsid w:val="00071EC2"/>
    <w:rsid w:val="00072934"/>
    <w:rsid w:val="000729E6"/>
    <w:rsid w:val="000733B3"/>
    <w:rsid w:val="0007387E"/>
    <w:rsid w:val="0007591B"/>
    <w:rsid w:val="000762DA"/>
    <w:rsid w:val="00076592"/>
    <w:rsid w:val="00077198"/>
    <w:rsid w:val="00077C2A"/>
    <w:rsid w:val="00080072"/>
    <w:rsid w:val="00080233"/>
    <w:rsid w:val="00080242"/>
    <w:rsid w:val="00080FA6"/>
    <w:rsid w:val="00081000"/>
    <w:rsid w:val="0008105F"/>
    <w:rsid w:val="0008151E"/>
    <w:rsid w:val="000820F7"/>
    <w:rsid w:val="00082322"/>
    <w:rsid w:val="000823C7"/>
    <w:rsid w:val="000825C4"/>
    <w:rsid w:val="000828AD"/>
    <w:rsid w:val="00083109"/>
    <w:rsid w:val="000848B4"/>
    <w:rsid w:val="0008547E"/>
    <w:rsid w:val="00085BB5"/>
    <w:rsid w:val="00085FC6"/>
    <w:rsid w:val="0008679A"/>
    <w:rsid w:val="000902E4"/>
    <w:rsid w:val="00090560"/>
    <w:rsid w:val="00090597"/>
    <w:rsid w:val="00090635"/>
    <w:rsid w:val="00090687"/>
    <w:rsid w:val="00090CDD"/>
    <w:rsid w:val="000910B6"/>
    <w:rsid w:val="000912DF"/>
    <w:rsid w:val="000914EE"/>
    <w:rsid w:val="000919B1"/>
    <w:rsid w:val="00091B94"/>
    <w:rsid w:val="00091D8C"/>
    <w:rsid w:val="00091E7B"/>
    <w:rsid w:val="0009220D"/>
    <w:rsid w:val="00092530"/>
    <w:rsid w:val="00093E35"/>
    <w:rsid w:val="00093E6D"/>
    <w:rsid w:val="00093FA5"/>
    <w:rsid w:val="000941A8"/>
    <w:rsid w:val="00094604"/>
    <w:rsid w:val="00094B7B"/>
    <w:rsid w:val="00095847"/>
    <w:rsid w:val="00095854"/>
    <w:rsid w:val="0009611A"/>
    <w:rsid w:val="00096ABE"/>
    <w:rsid w:val="00096DD7"/>
    <w:rsid w:val="000970AC"/>
    <w:rsid w:val="00097595"/>
    <w:rsid w:val="00097A49"/>
    <w:rsid w:val="00097AB3"/>
    <w:rsid w:val="00097F58"/>
    <w:rsid w:val="000A08BC"/>
    <w:rsid w:val="000A08D2"/>
    <w:rsid w:val="000A0F7E"/>
    <w:rsid w:val="000A107F"/>
    <w:rsid w:val="000A16B7"/>
    <w:rsid w:val="000A1AF9"/>
    <w:rsid w:val="000A3266"/>
    <w:rsid w:val="000A368D"/>
    <w:rsid w:val="000A4F81"/>
    <w:rsid w:val="000A53D1"/>
    <w:rsid w:val="000A56A2"/>
    <w:rsid w:val="000A5C56"/>
    <w:rsid w:val="000A62B6"/>
    <w:rsid w:val="000A6ACA"/>
    <w:rsid w:val="000A6E17"/>
    <w:rsid w:val="000A75E0"/>
    <w:rsid w:val="000A7EA2"/>
    <w:rsid w:val="000B089F"/>
    <w:rsid w:val="000B0BD8"/>
    <w:rsid w:val="000B1438"/>
    <w:rsid w:val="000B1481"/>
    <w:rsid w:val="000B1487"/>
    <w:rsid w:val="000B166D"/>
    <w:rsid w:val="000B18CA"/>
    <w:rsid w:val="000B1F4D"/>
    <w:rsid w:val="000B2876"/>
    <w:rsid w:val="000B2AFD"/>
    <w:rsid w:val="000B2FFD"/>
    <w:rsid w:val="000B30C8"/>
    <w:rsid w:val="000B32CB"/>
    <w:rsid w:val="000B39F7"/>
    <w:rsid w:val="000B3D28"/>
    <w:rsid w:val="000B3D68"/>
    <w:rsid w:val="000B3E60"/>
    <w:rsid w:val="000B41D1"/>
    <w:rsid w:val="000B440C"/>
    <w:rsid w:val="000B47D0"/>
    <w:rsid w:val="000B4E23"/>
    <w:rsid w:val="000B5852"/>
    <w:rsid w:val="000B5CEF"/>
    <w:rsid w:val="000B5DEF"/>
    <w:rsid w:val="000B6480"/>
    <w:rsid w:val="000B6654"/>
    <w:rsid w:val="000B66E8"/>
    <w:rsid w:val="000B6B4F"/>
    <w:rsid w:val="000B6BB3"/>
    <w:rsid w:val="000B6BF8"/>
    <w:rsid w:val="000B77F4"/>
    <w:rsid w:val="000B7DD5"/>
    <w:rsid w:val="000B7F87"/>
    <w:rsid w:val="000C0881"/>
    <w:rsid w:val="000C1900"/>
    <w:rsid w:val="000C1E67"/>
    <w:rsid w:val="000C22D9"/>
    <w:rsid w:val="000C2493"/>
    <w:rsid w:val="000C2BAF"/>
    <w:rsid w:val="000C3963"/>
    <w:rsid w:val="000C40DC"/>
    <w:rsid w:val="000C4116"/>
    <w:rsid w:val="000C4F16"/>
    <w:rsid w:val="000C4FD0"/>
    <w:rsid w:val="000C5677"/>
    <w:rsid w:val="000C650E"/>
    <w:rsid w:val="000C69DE"/>
    <w:rsid w:val="000C6A03"/>
    <w:rsid w:val="000C7122"/>
    <w:rsid w:val="000C7A44"/>
    <w:rsid w:val="000C7C6B"/>
    <w:rsid w:val="000C7E9C"/>
    <w:rsid w:val="000D016D"/>
    <w:rsid w:val="000D15E1"/>
    <w:rsid w:val="000D1A57"/>
    <w:rsid w:val="000D24F3"/>
    <w:rsid w:val="000D2A9E"/>
    <w:rsid w:val="000D305D"/>
    <w:rsid w:val="000D3D29"/>
    <w:rsid w:val="000D564A"/>
    <w:rsid w:val="000D62BA"/>
    <w:rsid w:val="000D6390"/>
    <w:rsid w:val="000D64D3"/>
    <w:rsid w:val="000D6B47"/>
    <w:rsid w:val="000D6C40"/>
    <w:rsid w:val="000D747D"/>
    <w:rsid w:val="000D748F"/>
    <w:rsid w:val="000D7587"/>
    <w:rsid w:val="000D78F1"/>
    <w:rsid w:val="000E01BE"/>
    <w:rsid w:val="000E0596"/>
    <w:rsid w:val="000E10C8"/>
    <w:rsid w:val="000E1457"/>
    <w:rsid w:val="000E18FD"/>
    <w:rsid w:val="000E2093"/>
    <w:rsid w:val="000E219E"/>
    <w:rsid w:val="000E2234"/>
    <w:rsid w:val="000E243D"/>
    <w:rsid w:val="000E2BA7"/>
    <w:rsid w:val="000E3376"/>
    <w:rsid w:val="000E3FDE"/>
    <w:rsid w:val="000E45A9"/>
    <w:rsid w:val="000E4750"/>
    <w:rsid w:val="000E4C0D"/>
    <w:rsid w:val="000E5B32"/>
    <w:rsid w:val="000E5DCF"/>
    <w:rsid w:val="000E68D9"/>
    <w:rsid w:val="000E695A"/>
    <w:rsid w:val="000E7244"/>
    <w:rsid w:val="000E77B0"/>
    <w:rsid w:val="000E7C22"/>
    <w:rsid w:val="000F0292"/>
    <w:rsid w:val="000F03B4"/>
    <w:rsid w:val="000F0474"/>
    <w:rsid w:val="000F1382"/>
    <w:rsid w:val="000F14AB"/>
    <w:rsid w:val="000F16AD"/>
    <w:rsid w:val="000F1C36"/>
    <w:rsid w:val="000F1DC9"/>
    <w:rsid w:val="000F2875"/>
    <w:rsid w:val="000F3AD8"/>
    <w:rsid w:val="000F4372"/>
    <w:rsid w:val="000F4560"/>
    <w:rsid w:val="000F4D5E"/>
    <w:rsid w:val="000F552D"/>
    <w:rsid w:val="000F5648"/>
    <w:rsid w:val="000F5A6D"/>
    <w:rsid w:val="000F5C62"/>
    <w:rsid w:val="000F5C92"/>
    <w:rsid w:val="000F6673"/>
    <w:rsid w:val="000F69F1"/>
    <w:rsid w:val="000F6A12"/>
    <w:rsid w:val="000F76C5"/>
    <w:rsid w:val="000F7721"/>
    <w:rsid w:val="000F77BA"/>
    <w:rsid w:val="000F7AD6"/>
    <w:rsid w:val="00100561"/>
    <w:rsid w:val="00101D40"/>
    <w:rsid w:val="00101DBC"/>
    <w:rsid w:val="001020A5"/>
    <w:rsid w:val="001024F2"/>
    <w:rsid w:val="001027D6"/>
    <w:rsid w:val="00102A28"/>
    <w:rsid w:val="00102CE5"/>
    <w:rsid w:val="00103223"/>
    <w:rsid w:val="00103560"/>
    <w:rsid w:val="00103D50"/>
    <w:rsid w:val="00103D85"/>
    <w:rsid w:val="001040B1"/>
    <w:rsid w:val="00104123"/>
    <w:rsid w:val="00104EDD"/>
    <w:rsid w:val="001054BC"/>
    <w:rsid w:val="001055B3"/>
    <w:rsid w:val="001059BB"/>
    <w:rsid w:val="00105FEC"/>
    <w:rsid w:val="001063D8"/>
    <w:rsid w:val="001063F9"/>
    <w:rsid w:val="00106B16"/>
    <w:rsid w:val="00106B2C"/>
    <w:rsid w:val="00107098"/>
    <w:rsid w:val="00107B36"/>
    <w:rsid w:val="001104C5"/>
    <w:rsid w:val="0011066F"/>
    <w:rsid w:val="00111E2C"/>
    <w:rsid w:val="00111F2E"/>
    <w:rsid w:val="00111F3A"/>
    <w:rsid w:val="001127EF"/>
    <w:rsid w:val="001129AC"/>
    <w:rsid w:val="00112D0A"/>
    <w:rsid w:val="00112DC1"/>
    <w:rsid w:val="00112EF2"/>
    <w:rsid w:val="00112F43"/>
    <w:rsid w:val="00112F74"/>
    <w:rsid w:val="001141AE"/>
    <w:rsid w:val="0011434D"/>
    <w:rsid w:val="00114C6C"/>
    <w:rsid w:val="00114CF6"/>
    <w:rsid w:val="00114D90"/>
    <w:rsid w:val="00115392"/>
    <w:rsid w:val="0011545E"/>
    <w:rsid w:val="00115797"/>
    <w:rsid w:val="00115B86"/>
    <w:rsid w:val="00115BA4"/>
    <w:rsid w:val="00115D1D"/>
    <w:rsid w:val="0011668D"/>
    <w:rsid w:val="001168D9"/>
    <w:rsid w:val="00116A50"/>
    <w:rsid w:val="00116E53"/>
    <w:rsid w:val="00117198"/>
    <w:rsid w:val="001177B3"/>
    <w:rsid w:val="00117A9E"/>
    <w:rsid w:val="00117CAD"/>
    <w:rsid w:val="001200B8"/>
    <w:rsid w:val="00120BF0"/>
    <w:rsid w:val="001211EF"/>
    <w:rsid w:val="0012121A"/>
    <w:rsid w:val="0012190B"/>
    <w:rsid w:val="0012193D"/>
    <w:rsid w:val="001222E5"/>
    <w:rsid w:val="00122A54"/>
    <w:rsid w:val="0012320F"/>
    <w:rsid w:val="001243B6"/>
    <w:rsid w:val="00124550"/>
    <w:rsid w:val="00124C41"/>
    <w:rsid w:val="00124E2B"/>
    <w:rsid w:val="00126375"/>
    <w:rsid w:val="0012671C"/>
    <w:rsid w:val="00130057"/>
    <w:rsid w:val="00130538"/>
    <w:rsid w:val="00130DF2"/>
    <w:rsid w:val="001310BF"/>
    <w:rsid w:val="00131294"/>
    <w:rsid w:val="001316C0"/>
    <w:rsid w:val="00131A15"/>
    <w:rsid w:val="00131B77"/>
    <w:rsid w:val="00131D7E"/>
    <w:rsid w:val="001323F2"/>
    <w:rsid w:val="00132430"/>
    <w:rsid w:val="001327B7"/>
    <w:rsid w:val="0013280A"/>
    <w:rsid w:val="00132B6B"/>
    <w:rsid w:val="00132C78"/>
    <w:rsid w:val="00132CA9"/>
    <w:rsid w:val="00132D64"/>
    <w:rsid w:val="00132EEC"/>
    <w:rsid w:val="00132FFA"/>
    <w:rsid w:val="001336FD"/>
    <w:rsid w:val="00133807"/>
    <w:rsid w:val="001341AC"/>
    <w:rsid w:val="0013422E"/>
    <w:rsid w:val="00134357"/>
    <w:rsid w:val="001349C3"/>
    <w:rsid w:val="00135331"/>
    <w:rsid w:val="001357BC"/>
    <w:rsid w:val="00135F80"/>
    <w:rsid w:val="001362EE"/>
    <w:rsid w:val="00136D63"/>
    <w:rsid w:val="00136F46"/>
    <w:rsid w:val="0013758D"/>
    <w:rsid w:val="00140082"/>
    <w:rsid w:val="0014024E"/>
    <w:rsid w:val="00140675"/>
    <w:rsid w:val="001406C8"/>
    <w:rsid w:val="001409C1"/>
    <w:rsid w:val="001415DE"/>
    <w:rsid w:val="00141C23"/>
    <w:rsid w:val="00141DEC"/>
    <w:rsid w:val="001423B1"/>
    <w:rsid w:val="00142582"/>
    <w:rsid w:val="0014280E"/>
    <w:rsid w:val="00142FEB"/>
    <w:rsid w:val="001431DA"/>
    <w:rsid w:val="0014381B"/>
    <w:rsid w:val="00143CBA"/>
    <w:rsid w:val="001448C0"/>
    <w:rsid w:val="001450D9"/>
    <w:rsid w:val="001451A1"/>
    <w:rsid w:val="00145A24"/>
    <w:rsid w:val="00145A2A"/>
    <w:rsid w:val="00145FB4"/>
    <w:rsid w:val="00146023"/>
    <w:rsid w:val="00146440"/>
    <w:rsid w:val="00146670"/>
    <w:rsid w:val="00146832"/>
    <w:rsid w:val="00147021"/>
    <w:rsid w:val="0014735C"/>
    <w:rsid w:val="001473C3"/>
    <w:rsid w:val="00147618"/>
    <w:rsid w:val="001477FE"/>
    <w:rsid w:val="00147CA6"/>
    <w:rsid w:val="00150837"/>
    <w:rsid w:val="001512BB"/>
    <w:rsid w:val="001514A5"/>
    <w:rsid w:val="00151833"/>
    <w:rsid w:val="00151F01"/>
    <w:rsid w:val="001539BD"/>
    <w:rsid w:val="00153A2B"/>
    <w:rsid w:val="00153D29"/>
    <w:rsid w:val="00154922"/>
    <w:rsid w:val="001564B0"/>
    <w:rsid w:val="0015671A"/>
    <w:rsid w:val="00157D67"/>
    <w:rsid w:val="001603FF"/>
    <w:rsid w:val="001609AC"/>
    <w:rsid w:val="00160AB4"/>
    <w:rsid w:val="00160FA2"/>
    <w:rsid w:val="00161FF2"/>
    <w:rsid w:val="00162658"/>
    <w:rsid w:val="0016328E"/>
    <w:rsid w:val="00163552"/>
    <w:rsid w:val="0016356F"/>
    <w:rsid w:val="00163D14"/>
    <w:rsid w:val="0016409D"/>
    <w:rsid w:val="00164FA7"/>
    <w:rsid w:val="00165621"/>
    <w:rsid w:val="0016585E"/>
    <w:rsid w:val="00165D4D"/>
    <w:rsid w:val="001660E9"/>
    <w:rsid w:val="0016612C"/>
    <w:rsid w:val="001662F0"/>
    <w:rsid w:val="001664E2"/>
    <w:rsid w:val="001666CC"/>
    <w:rsid w:val="00167B15"/>
    <w:rsid w:val="001700C1"/>
    <w:rsid w:val="00170759"/>
    <w:rsid w:val="00170944"/>
    <w:rsid w:val="00170CE6"/>
    <w:rsid w:val="0017106A"/>
    <w:rsid w:val="001711E6"/>
    <w:rsid w:val="001719C0"/>
    <w:rsid w:val="00171FF2"/>
    <w:rsid w:val="00172129"/>
    <w:rsid w:val="00172B4A"/>
    <w:rsid w:val="00172F1D"/>
    <w:rsid w:val="0017372C"/>
    <w:rsid w:val="00173B79"/>
    <w:rsid w:val="00173FA1"/>
    <w:rsid w:val="00174569"/>
    <w:rsid w:val="001749B4"/>
    <w:rsid w:val="00175379"/>
    <w:rsid w:val="001755C2"/>
    <w:rsid w:val="00176245"/>
    <w:rsid w:val="0017680C"/>
    <w:rsid w:val="00176B9C"/>
    <w:rsid w:val="0017743E"/>
    <w:rsid w:val="0017745E"/>
    <w:rsid w:val="001775B5"/>
    <w:rsid w:val="0017794A"/>
    <w:rsid w:val="00177AB2"/>
    <w:rsid w:val="00177EFA"/>
    <w:rsid w:val="00177F50"/>
    <w:rsid w:val="00180260"/>
    <w:rsid w:val="001802E5"/>
    <w:rsid w:val="00181586"/>
    <w:rsid w:val="00181D58"/>
    <w:rsid w:val="00182C66"/>
    <w:rsid w:val="00182E15"/>
    <w:rsid w:val="001830C0"/>
    <w:rsid w:val="001832DC"/>
    <w:rsid w:val="00183578"/>
    <w:rsid w:val="00184411"/>
    <w:rsid w:val="0018453A"/>
    <w:rsid w:val="00184707"/>
    <w:rsid w:val="00184C43"/>
    <w:rsid w:val="00185802"/>
    <w:rsid w:val="00185AB0"/>
    <w:rsid w:val="00185B66"/>
    <w:rsid w:val="00185C4E"/>
    <w:rsid w:val="001863A6"/>
    <w:rsid w:val="001863C2"/>
    <w:rsid w:val="001872B6"/>
    <w:rsid w:val="0018779A"/>
    <w:rsid w:val="0018796A"/>
    <w:rsid w:val="001879DB"/>
    <w:rsid w:val="00190274"/>
    <w:rsid w:val="001902E5"/>
    <w:rsid w:val="00190789"/>
    <w:rsid w:val="001908EA"/>
    <w:rsid w:val="00190A1C"/>
    <w:rsid w:val="001911A3"/>
    <w:rsid w:val="00191508"/>
    <w:rsid w:val="0019154A"/>
    <w:rsid w:val="001918F5"/>
    <w:rsid w:val="00193940"/>
    <w:rsid w:val="00193CEF"/>
    <w:rsid w:val="00193E90"/>
    <w:rsid w:val="001948D0"/>
    <w:rsid w:val="00194B7C"/>
    <w:rsid w:val="00194C15"/>
    <w:rsid w:val="001953D9"/>
    <w:rsid w:val="00195458"/>
    <w:rsid w:val="00195B85"/>
    <w:rsid w:val="00195B98"/>
    <w:rsid w:val="00195F04"/>
    <w:rsid w:val="0019605E"/>
    <w:rsid w:val="00196F2C"/>
    <w:rsid w:val="0019734C"/>
    <w:rsid w:val="001973A2"/>
    <w:rsid w:val="00197B5D"/>
    <w:rsid w:val="00197DA8"/>
    <w:rsid w:val="00197F35"/>
    <w:rsid w:val="00197F4B"/>
    <w:rsid w:val="00197FCE"/>
    <w:rsid w:val="001A0728"/>
    <w:rsid w:val="001A0932"/>
    <w:rsid w:val="001A09A7"/>
    <w:rsid w:val="001A0A61"/>
    <w:rsid w:val="001A0BF0"/>
    <w:rsid w:val="001A0C9E"/>
    <w:rsid w:val="001A104C"/>
    <w:rsid w:val="001A1106"/>
    <w:rsid w:val="001A14A9"/>
    <w:rsid w:val="001A235D"/>
    <w:rsid w:val="001A2377"/>
    <w:rsid w:val="001A2772"/>
    <w:rsid w:val="001A2DA6"/>
    <w:rsid w:val="001A2E5E"/>
    <w:rsid w:val="001A3033"/>
    <w:rsid w:val="001A3147"/>
    <w:rsid w:val="001A32D9"/>
    <w:rsid w:val="001A34CC"/>
    <w:rsid w:val="001A390C"/>
    <w:rsid w:val="001A4751"/>
    <w:rsid w:val="001A4DAD"/>
    <w:rsid w:val="001A5239"/>
    <w:rsid w:val="001A567F"/>
    <w:rsid w:val="001A5C45"/>
    <w:rsid w:val="001A5E9B"/>
    <w:rsid w:val="001A6402"/>
    <w:rsid w:val="001A7377"/>
    <w:rsid w:val="001A7A8F"/>
    <w:rsid w:val="001B0AA7"/>
    <w:rsid w:val="001B15C4"/>
    <w:rsid w:val="001B16FD"/>
    <w:rsid w:val="001B23BD"/>
    <w:rsid w:val="001B2813"/>
    <w:rsid w:val="001B31DB"/>
    <w:rsid w:val="001B33FC"/>
    <w:rsid w:val="001B36AD"/>
    <w:rsid w:val="001B36FC"/>
    <w:rsid w:val="001B39C9"/>
    <w:rsid w:val="001B4539"/>
    <w:rsid w:val="001B4609"/>
    <w:rsid w:val="001B4A2C"/>
    <w:rsid w:val="001B4D86"/>
    <w:rsid w:val="001B5AFC"/>
    <w:rsid w:val="001B5E7B"/>
    <w:rsid w:val="001B6280"/>
    <w:rsid w:val="001B6515"/>
    <w:rsid w:val="001B7628"/>
    <w:rsid w:val="001B7C27"/>
    <w:rsid w:val="001B7D1F"/>
    <w:rsid w:val="001C002E"/>
    <w:rsid w:val="001C0865"/>
    <w:rsid w:val="001C1D69"/>
    <w:rsid w:val="001C2931"/>
    <w:rsid w:val="001C31F2"/>
    <w:rsid w:val="001C3421"/>
    <w:rsid w:val="001C35CA"/>
    <w:rsid w:val="001C3E6E"/>
    <w:rsid w:val="001C4A10"/>
    <w:rsid w:val="001C4CD9"/>
    <w:rsid w:val="001C50CE"/>
    <w:rsid w:val="001C5EB7"/>
    <w:rsid w:val="001C6161"/>
    <w:rsid w:val="001C7838"/>
    <w:rsid w:val="001D015E"/>
    <w:rsid w:val="001D0634"/>
    <w:rsid w:val="001D0702"/>
    <w:rsid w:val="001D0BDA"/>
    <w:rsid w:val="001D13F0"/>
    <w:rsid w:val="001D175D"/>
    <w:rsid w:val="001D1B56"/>
    <w:rsid w:val="001D268A"/>
    <w:rsid w:val="001D2C28"/>
    <w:rsid w:val="001D36FF"/>
    <w:rsid w:val="001D4423"/>
    <w:rsid w:val="001D4984"/>
    <w:rsid w:val="001D4B9E"/>
    <w:rsid w:val="001D50A3"/>
    <w:rsid w:val="001D51E9"/>
    <w:rsid w:val="001D59C8"/>
    <w:rsid w:val="001D5A98"/>
    <w:rsid w:val="001D5EF4"/>
    <w:rsid w:val="001D6711"/>
    <w:rsid w:val="001D6738"/>
    <w:rsid w:val="001D6A74"/>
    <w:rsid w:val="001D6C4C"/>
    <w:rsid w:val="001D6C8D"/>
    <w:rsid w:val="001D7062"/>
    <w:rsid w:val="001D78CF"/>
    <w:rsid w:val="001D7F92"/>
    <w:rsid w:val="001E0033"/>
    <w:rsid w:val="001E01D2"/>
    <w:rsid w:val="001E038B"/>
    <w:rsid w:val="001E03F0"/>
    <w:rsid w:val="001E079B"/>
    <w:rsid w:val="001E0883"/>
    <w:rsid w:val="001E0EBE"/>
    <w:rsid w:val="001E11C7"/>
    <w:rsid w:val="001E2148"/>
    <w:rsid w:val="001E2878"/>
    <w:rsid w:val="001E297A"/>
    <w:rsid w:val="001E2D94"/>
    <w:rsid w:val="001E33A0"/>
    <w:rsid w:val="001E3417"/>
    <w:rsid w:val="001E38CB"/>
    <w:rsid w:val="001E394D"/>
    <w:rsid w:val="001E45F9"/>
    <w:rsid w:val="001E48F8"/>
    <w:rsid w:val="001E4901"/>
    <w:rsid w:val="001E5185"/>
    <w:rsid w:val="001E5BF1"/>
    <w:rsid w:val="001E5FA7"/>
    <w:rsid w:val="001E60E1"/>
    <w:rsid w:val="001E63B8"/>
    <w:rsid w:val="001E6632"/>
    <w:rsid w:val="001E6BFA"/>
    <w:rsid w:val="001E6EFB"/>
    <w:rsid w:val="001E7012"/>
    <w:rsid w:val="001E701C"/>
    <w:rsid w:val="001E7247"/>
    <w:rsid w:val="001E763E"/>
    <w:rsid w:val="001E7DD5"/>
    <w:rsid w:val="001F0547"/>
    <w:rsid w:val="001F07D8"/>
    <w:rsid w:val="001F0BBF"/>
    <w:rsid w:val="001F0BDA"/>
    <w:rsid w:val="001F0C37"/>
    <w:rsid w:val="001F226A"/>
    <w:rsid w:val="001F2EE9"/>
    <w:rsid w:val="001F3A1D"/>
    <w:rsid w:val="001F3DB0"/>
    <w:rsid w:val="001F4B3D"/>
    <w:rsid w:val="001F4DC7"/>
    <w:rsid w:val="001F5668"/>
    <w:rsid w:val="001F5AA6"/>
    <w:rsid w:val="001F5F19"/>
    <w:rsid w:val="001F67D7"/>
    <w:rsid w:val="001F6BC1"/>
    <w:rsid w:val="001F725B"/>
    <w:rsid w:val="001F749A"/>
    <w:rsid w:val="001F7B8C"/>
    <w:rsid w:val="002002C4"/>
    <w:rsid w:val="00200641"/>
    <w:rsid w:val="00200C7C"/>
    <w:rsid w:val="002020F8"/>
    <w:rsid w:val="0020244A"/>
    <w:rsid w:val="002024CF"/>
    <w:rsid w:val="00202B54"/>
    <w:rsid w:val="00202F60"/>
    <w:rsid w:val="00203E55"/>
    <w:rsid w:val="00203E8D"/>
    <w:rsid w:val="00204C02"/>
    <w:rsid w:val="00204DF6"/>
    <w:rsid w:val="00205DC3"/>
    <w:rsid w:val="00205F72"/>
    <w:rsid w:val="00205FA1"/>
    <w:rsid w:val="002060E3"/>
    <w:rsid w:val="00206351"/>
    <w:rsid w:val="002066B0"/>
    <w:rsid w:val="00206AD7"/>
    <w:rsid w:val="00206E91"/>
    <w:rsid w:val="0020717B"/>
    <w:rsid w:val="00207C33"/>
    <w:rsid w:val="00210683"/>
    <w:rsid w:val="00210838"/>
    <w:rsid w:val="002109F3"/>
    <w:rsid w:val="0021107F"/>
    <w:rsid w:val="002111EB"/>
    <w:rsid w:val="0021147A"/>
    <w:rsid w:val="002116E2"/>
    <w:rsid w:val="00211EE2"/>
    <w:rsid w:val="002127B3"/>
    <w:rsid w:val="00213436"/>
    <w:rsid w:val="00213553"/>
    <w:rsid w:val="0021392D"/>
    <w:rsid w:val="00213AAE"/>
    <w:rsid w:val="00213C7E"/>
    <w:rsid w:val="00214487"/>
    <w:rsid w:val="002152F5"/>
    <w:rsid w:val="00217216"/>
    <w:rsid w:val="00217876"/>
    <w:rsid w:val="00217F95"/>
    <w:rsid w:val="0022074F"/>
    <w:rsid w:val="0022147D"/>
    <w:rsid w:val="0022198B"/>
    <w:rsid w:val="002228ED"/>
    <w:rsid w:val="00222E2E"/>
    <w:rsid w:val="002230E2"/>
    <w:rsid w:val="00224AAB"/>
    <w:rsid w:val="00224B93"/>
    <w:rsid w:val="00225145"/>
    <w:rsid w:val="002253D7"/>
    <w:rsid w:val="002257D3"/>
    <w:rsid w:val="002259A3"/>
    <w:rsid w:val="00226610"/>
    <w:rsid w:val="00226705"/>
    <w:rsid w:val="00226EAC"/>
    <w:rsid w:val="0022709E"/>
    <w:rsid w:val="00227A9A"/>
    <w:rsid w:val="00227B40"/>
    <w:rsid w:val="00227ED3"/>
    <w:rsid w:val="002301A8"/>
    <w:rsid w:val="00230562"/>
    <w:rsid w:val="002306F3"/>
    <w:rsid w:val="00230F7B"/>
    <w:rsid w:val="00230FB8"/>
    <w:rsid w:val="0023135B"/>
    <w:rsid w:val="00231E7F"/>
    <w:rsid w:val="002324B6"/>
    <w:rsid w:val="00233638"/>
    <w:rsid w:val="00233710"/>
    <w:rsid w:val="00233CD1"/>
    <w:rsid w:val="00234A61"/>
    <w:rsid w:val="002350DF"/>
    <w:rsid w:val="00235265"/>
    <w:rsid w:val="00235A3B"/>
    <w:rsid w:val="00235B8A"/>
    <w:rsid w:val="002360DE"/>
    <w:rsid w:val="002364BA"/>
    <w:rsid w:val="00237035"/>
    <w:rsid w:val="002370CB"/>
    <w:rsid w:val="0023718E"/>
    <w:rsid w:val="002372F9"/>
    <w:rsid w:val="002378CB"/>
    <w:rsid w:val="00240C78"/>
    <w:rsid w:val="00240E9B"/>
    <w:rsid w:val="002410B0"/>
    <w:rsid w:val="00241261"/>
    <w:rsid w:val="002418AA"/>
    <w:rsid w:val="00241976"/>
    <w:rsid w:val="00241F7A"/>
    <w:rsid w:val="002440BF"/>
    <w:rsid w:val="00244698"/>
    <w:rsid w:val="0024497D"/>
    <w:rsid w:val="00244C0B"/>
    <w:rsid w:val="002451B6"/>
    <w:rsid w:val="002458D8"/>
    <w:rsid w:val="00245A09"/>
    <w:rsid w:val="00245B04"/>
    <w:rsid w:val="00245CCA"/>
    <w:rsid w:val="00245E60"/>
    <w:rsid w:val="002464EC"/>
    <w:rsid w:val="002467EE"/>
    <w:rsid w:val="00246EB6"/>
    <w:rsid w:val="00246FA8"/>
    <w:rsid w:val="002475E7"/>
    <w:rsid w:val="002479E6"/>
    <w:rsid w:val="00247A68"/>
    <w:rsid w:val="002501C7"/>
    <w:rsid w:val="00250522"/>
    <w:rsid w:val="00250630"/>
    <w:rsid w:val="00250B9C"/>
    <w:rsid w:val="00250C52"/>
    <w:rsid w:val="00251088"/>
    <w:rsid w:val="002517D2"/>
    <w:rsid w:val="002518CC"/>
    <w:rsid w:val="00251A37"/>
    <w:rsid w:val="00252090"/>
    <w:rsid w:val="00252968"/>
    <w:rsid w:val="00252BE2"/>
    <w:rsid w:val="0025336B"/>
    <w:rsid w:val="002543D4"/>
    <w:rsid w:val="0025456B"/>
    <w:rsid w:val="00254BB9"/>
    <w:rsid w:val="00256329"/>
    <w:rsid w:val="002569B0"/>
    <w:rsid w:val="00256CEB"/>
    <w:rsid w:val="002572D5"/>
    <w:rsid w:val="002574EF"/>
    <w:rsid w:val="00257567"/>
    <w:rsid w:val="00257AB5"/>
    <w:rsid w:val="00260460"/>
    <w:rsid w:val="00260C04"/>
    <w:rsid w:val="0026146E"/>
    <w:rsid w:val="0026262D"/>
    <w:rsid w:val="002628AF"/>
    <w:rsid w:val="00262A34"/>
    <w:rsid w:val="00263BA9"/>
    <w:rsid w:val="00264076"/>
    <w:rsid w:val="0026423A"/>
    <w:rsid w:val="0026492C"/>
    <w:rsid w:val="00265BE2"/>
    <w:rsid w:val="00265E0C"/>
    <w:rsid w:val="002660FD"/>
    <w:rsid w:val="002662FB"/>
    <w:rsid w:val="00266F3D"/>
    <w:rsid w:val="00267438"/>
    <w:rsid w:val="00270AD6"/>
    <w:rsid w:val="00270DC5"/>
    <w:rsid w:val="00271194"/>
    <w:rsid w:val="0027143B"/>
    <w:rsid w:val="00271A7B"/>
    <w:rsid w:val="00271B41"/>
    <w:rsid w:val="00271EE8"/>
    <w:rsid w:val="0027248A"/>
    <w:rsid w:val="00272910"/>
    <w:rsid w:val="00272A3E"/>
    <w:rsid w:val="00273B7F"/>
    <w:rsid w:val="002740C0"/>
    <w:rsid w:val="0027431A"/>
    <w:rsid w:val="00274AD3"/>
    <w:rsid w:val="00274B1B"/>
    <w:rsid w:val="00274BF6"/>
    <w:rsid w:val="00275B73"/>
    <w:rsid w:val="00275BA7"/>
    <w:rsid w:val="00275CD2"/>
    <w:rsid w:val="002769D5"/>
    <w:rsid w:val="00276DC2"/>
    <w:rsid w:val="00277380"/>
    <w:rsid w:val="00277488"/>
    <w:rsid w:val="00277603"/>
    <w:rsid w:val="00277870"/>
    <w:rsid w:val="00277C2D"/>
    <w:rsid w:val="00277E02"/>
    <w:rsid w:val="00280F76"/>
    <w:rsid w:val="002810AF"/>
    <w:rsid w:val="00281209"/>
    <w:rsid w:val="00281449"/>
    <w:rsid w:val="0028176A"/>
    <w:rsid w:val="002823C4"/>
    <w:rsid w:val="002824F0"/>
    <w:rsid w:val="0028271A"/>
    <w:rsid w:val="002829C1"/>
    <w:rsid w:val="00282CF6"/>
    <w:rsid w:val="0028328B"/>
    <w:rsid w:val="00283740"/>
    <w:rsid w:val="00284228"/>
    <w:rsid w:val="0028441F"/>
    <w:rsid w:val="002851A6"/>
    <w:rsid w:val="00285962"/>
    <w:rsid w:val="00285D66"/>
    <w:rsid w:val="0028608B"/>
    <w:rsid w:val="0028687C"/>
    <w:rsid w:val="00287382"/>
    <w:rsid w:val="00287FD4"/>
    <w:rsid w:val="00290002"/>
    <w:rsid w:val="0029030A"/>
    <w:rsid w:val="002903ED"/>
    <w:rsid w:val="00290BB9"/>
    <w:rsid w:val="00290C44"/>
    <w:rsid w:val="00290E41"/>
    <w:rsid w:val="00290F20"/>
    <w:rsid w:val="00291242"/>
    <w:rsid w:val="00291424"/>
    <w:rsid w:val="00291745"/>
    <w:rsid w:val="00291E49"/>
    <w:rsid w:val="00291E4E"/>
    <w:rsid w:val="0029209F"/>
    <w:rsid w:val="00292610"/>
    <w:rsid w:val="00292ADE"/>
    <w:rsid w:val="00292F3C"/>
    <w:rsid w:val="00292FB3"/>
    <w:rsid w:val="00293066"/>
    <w:rsid w:val="002932C1"/>
    <w:rsid w:val="00293B96"/>
    <w:rsid w:val="00293E82"/>
    <w:rsid w:val="0029404A"/>
    <w:rsid w:val="0029414B"/>
    <w:rsid w:val="002943BF"/>
    <w:rsid w:val="00294FDA"/>
    <w:rsid w:val="0029531C"/>
    <w:rsid w:val="002957A5"/>
    <w:rsid w:val="00296DBB"/>
    <w:rsid w:val="002A0497"/>
    <w:rsid w:val="002A0821"/>
    <w:rsid w:val="002A0B0D"/>
    <w:rsid w:val="002A0E76"/>
    <w:rsid w:val="002A1721"/>
    <w:rsid w:val="002A194C"/>
    <w:rsid w:val="002A2050"/>
    <w:rsid w:val="002A20F9"/>
    <w:rsid w:val="002A234F"/>
    <w:rsid w:val="002A2487"/>
    <w:rsid w:val="002A3804"/>
    <w:rsid w:val="002A39DC"/>
    <w:rsid w:val="002A4500"/>
    <w:rsid w:val="002A48C2"/>
    <w:rsid w:val="002A4FAB"/>
    <w:rsid w:val="002A5032"/>
    <w:rsid w:val="002A5263"/>
    <w:rsid w:val="002A5292"/>
    <w:rsid w:val="002A5442"/>
    <w:rsid w:val="002A583C"/>
    <w:rsid w:val="002A645B"/>
    <w:rsid w:val="002A6CCF"/>
    <w:rsid w:val="002A72C0"/>
    <w:rsid w:val="002A7436"/>
    <w:rsid w:val="002A7550"/>
    <w:rsid w:val="002A7732"/>
    <w:rsid w:val="002A7C48"/>
    <w:rsid w:val="002A7FB6"/>
    <w:rsid w:val="002B059F"/>
    <w:rsid w:val="002B0A9E"/>
    <w:rsid w:val="002B1691"/>
    <w:rsid w:val="002B1A1E"/>
    <w:rsid w:val="002B1A6E"/>
    <w:rsid w:val="002B1CB7"/>
    <w:rsid w:val="002B1FBF"/>
    <w:rsid w:val="002B2002"/>
    <w:rsid w:val="002B218B"/>
    <w:rsid w:val="002B2988"/>
    <w:rsid w:val="002B2EC6"/>
    <w:rsid w:val="002B30D6"/>
    <w:rsid w:val="002B393C"/>
    <w:rsid w:val="002B39D0"/>
    <w:rsid w:val="002B3EC0"/>
    <w:rsid w:val="002B449B"/>
    <w:rsid w:val="002B5206"/>
    <w:rsid w:val="002B58CC"/>
    <w:rsid w:val="002B6000"/>
    <w:rsid w:val="002B6E12"/>
    <w:rsid w:val="002B6FE8"/>
    <w:rsid w:val="002B72F0"/>
    <w:rsid w:val="002B7681"/>
    <w:rsid w:val="002B76CE"/>
    <w:rsid w:val="002B7CD7"/>
    <w:rsid w:val="002C014A"/>
    <w:rsid w:val="002C077A"/>
    <w:rsid w:val="002C1D4A"/>
    <w:rsid w:val="002C2004"/>
    <w:rsid w:val="002C2705"/>
    <w:rsid w:val="002C2745"/>
    <w:rsid w:val="002C3256"/>
    <w:rsid w:val="002C369F"/>
    <w:rsid w:val="002C3B70"/>
    <w:rsid w:val="002C43DA"/>
    <w:rsid w:val="002C4446"/>
    <w:rsid w:val="002C4B5C"/>
    <w:rsid w:val="002C4D40"/>
    <w:rsid w:val="002C5305"/>
    <w:rsid w:val="002C5506"/>
    <w:rsid w:val="002C5AAD"/>
    <w:rsid w:val="002C5F39"/>
    <w:rsid w:val="002C6790"/>
    <w:rsid w:val="002C696F"/>
    <w:rsid w:val="002C69B2"/>
    <w:rsid w:val="002C6F1C"/>
    <w:rsid w:val="002C71F4"/>
    <w:rsid w:val="002C758D"/>
    <w:rsid w:val="002C7B7B"/>
    <w:rsid w:val="002C7D4D"/>
    <w:rsid w:val="002D0AD9"/>
    <w:rsid w:val="002D0FDB"/>
    <w:rsid w:val="002D15E6"/>
    <w:rsid w:val="002D1BD4"/>
    <w:rsid w:val="002D1F75"/>
    <w:rsid w:val="002D2453"/>
    <w:rsid w:val="002D2A8C"/>
    <w:rsid w:val="002D2BE5"/>
    <w:rsid w:val="002D2BF0"/>
    <w:rsid w:val="002D2C21"/>
    <w:rsid w:val="002D2C73"/>
    <w:rsid w:val="002D30BB"/>
    <w:rsid w:val="002D37CC"/>
    <w:rsid w:val="002D3AE7"/>
    <w:rsid w:val="002D3CAC"/>
    <w:rsid w:val="002D3F58"/>
    <w:rsid w:val="002D444A"/>
    <w:rsid w:val="002D4706"/>
    <w:rsid w:val="002D4C9A"/>
    <w:rsid w:val="002D53CE"/>
    <w:rsid w:val="002D59A3"/>
    <w:rsid w:val="002D61A8"/>
    <w:rsid w:val="002D6269"/>
    <w:rsid w:val="002D630D"/>
    <w:rsid w:val="002D6861"/>
    <w:rsid w:val="002D72E9"/>
    <w:rsid w:val="002D7380"/>
    <w:rsid w:val="002D78BB"/>
    <w:rsid w:val="002E010F"/>
    <w:rsid w:val="002E07B9"/>
    <w:rsid w:val="002E0D60"/>
    <w:rsid w:val="002E148C"/>
    <w:rsid w:val="002E15C7"/>
    <w:rsid w:val="002E1781"/>
    <w:rsid w:val="002E1E42"/>
    <w:rsid w:val="002E20B6"/>
    <w:rsid w:val="002E22ED"/>
    <w:rsid w:val="002E2435"/>
    <w:rsid w:val="002E3333"/>
    <w:rsid w:val="002E37DC"/>
    <w:rsid w:val="002E472D"/>
    <w:rsid w:val="002E5188"/>
    <w:rsid w:val="002E52C7"/>
    <w:rsid w:val="002E5815"/>
    <w:rsid w:val="002E586A"/>
    <w:rsid w:val="002E58F0"/>
    <w:rsid w:val="002E5CA2"/>
    <w:rsid w:val="002E5EFC"/>
    <w:rsid w:val="002E5FE6"/>
    <w:rsid w:val="002E6BB7"/>
    <w:rsid w:val="002E6CEB"/>
    <w:rsid w:val="002E7284"/>
    <w:rsid w:val="002E7917"/>
    <w:rsid w:val="002E7A6B"/>
    <w:rsid w:val="002E7F8E"/>
    <w:rsid w:val="002F0D3D"/>
    <w:rsid w:val="002F10E2"/>
    <w:rsid w:val="002F13B9"/>
    <w:rsid w:val="002F1A28"/>
    <w:rsid w:val="002F1A80"/>
    <w:rsid w:val="002F21AE"/>
    <w:rsid w:val="002F25AF"/>
    <w:rsid w:val="002F29AA"/>
    <w:rsid w:val="002F2BCC"/>
    <w:rsid w:val="002F2C99"/>
    <w:rsid w:val="002F3814"/>
    <w:rsid w:val="002F3DFB"/>
    <w:rsid w:val="002F43FA"/>
    <w:rsid w:val="002F49F8"/>
    <w:rsid w:val="002F54E9"/>
    <w:rsid w:val="002F57D3"/>
    <w:rsid w:val="002F612A"/>
    <w:rsid w:val="002F6960"/>
    <w:rsid w:val="002F73FA"/>
    <w:rsid w:val="002F7812"/>
    <w:rsid w:val="00300020"/>
    <w:rsid w:val="003005F6"/>
    <w:rsid w:val="003006AC"/>
    <w:rsid w:val="003006D8"/>
    <w:rsid w:val="00300F40"/>
    <w:rsid w:val="003011B9"/>
    <w:rsid w:val="0030153D"/>
    <w:rsid w:val="00301BA4"/>
    <w:rsid w:val="00301D8D"/>
    <w:rsid w:val="00301FD0"/>
    <w:rsid w:val="00302208"/>
    <w:rsid w:val="00302656"/>
    <w:rsid w:val="003027DE"/>
    <w:rsid w:val="00302965"/>
    <w:rsid w:val="00302ED5"/>
    <w:rsid w:val="003030E7"/>
    <w:rsid w:val="0030310C"/>
    <w:rsid w:val="0030315C"/>
    <w:rsid w:val="003035A4"/>
    <w:rsid w:val="003036F7"/>
    <w:rsid w:val="00303745"/>
    <w:rsid w:val="00303F9F"/>
    <w:rsid w:val="003040E2"/>
    <w:rsid w:val="00304667"/>
    <w:rsid w:val="00304680"/>
    <w:rsid w:val="00304A8B"/>
    <w:rsid w:val="00304D51"/>
    <w:rsid w:val="0030516D"/>
    <w:rsid w:val="00305230"/>
    <w:rsid w:val="00305724"/>
    <w:rsid w:val="0030584B"/>
    <w:rsid w:val="0030674D"/>
    <w:rsid w:val="00306F54"/>
    <w:rsid w:val="00306FF1"/>
    <w:rsid w:val="003073E3"/>
    <w:rsid w:val="00307B24"/>
    <w:rsid w:val="00310798"/>
    <w:rsid w:val="0031097B"/>
    <w:rsid w:val="00311439"/>
    <w:rsid w:val="003119CB"/>
    <w:rsid w:val="00311F0B"/>
    <w:rsid w:val="00312167"/>
    <w:rsid w:val="00313F2B"/>
    <w:rsid w:val="0031413C"/>
    <w:rsid w:val="0031428C"/>
    <w:rsid w:val="003146DA"/>
    <w:rsid w:val="00314BF1"/>
    <w:rsid w:val="00314FDD"/>
    <w:rsid w:val="00315E06"/>
    <w:rsid w:val="00315FD8"/>
    <w:rsid w:val="0031750F"/>
    <w:rsid w:val="00317BE0"/>
    <w:rsid w:val="003202B3"/>
    <w:rsid w:val="003210C9"/>
    <w:rsid w:val="003211A3"/>
    <w:rsid w:val="003212E1"/>
    <w:rsid w:val="00321510"/>
    <w:rsid w:val="003224B2"/>
    <w:rsid w:val="00323414"/>
    <w:rsid w:val="00323B19"/>
    <w:rsid w:val="0032496E"/>
    <w:rsid w:val="00324979"/>
    <w:rsid w:val="00324A71"/>
    <w:rsid w:val="00324EE5"/>
    <w:rsid w:val="00325B45"/>
    <w:rsid w:val="003261FA"/>
    <w:rsid w:val="003262D2"/>
    <w:rsid w:val="0032670B"/>
    <w:rsid w:val="003268F9"/>
    <w:rsid w:val="00327634"/>
    <w:rsid w:val="003305CF"/>
    <w:rsid w:val="00330670"/>
    <w:rsid w:val="0033073F"/>
    <w:rsid w:val="003308F9"/>
    <w:rsid w:val="00330B9E"/>
    <w:rsid w:val="00330E23"/>
    <w:rsid w:val="00330FC6"/>
    <w:rsid w:val="003314C1"/>
    <w:rsid w:val="0033157C"/>
    <w:rsid w:val="00331596"/>
    <w:rsid w:val="0033271F"/>
    <w:rsid w:val="00332AFD"/>
    <w:rsid w:val="003331CC"/>
    <w:rsid w:val="00333591"/>
    <w:rsid w:val="00333650"/>
    <w:rsid w:val="0033367C"/>
    <w:rsid w:val="00333A4A"/>
    <w:rsid w:val="00334210"/>
    <w:rsid w:val="00334C09"/>
    <w:rsid w:val="0033504D"/>
    <w:rsid w:val="00335D7D"/>
    <w:rsid w:val="00336051"/>
    <w:rsid w:val="00336227"/>
    <w:rsid w:val="0033674B"/>
    <w:rsid w:val="00336B82"/>
    <w:rsid w:val="0034037E"/>
    <w:rsid w:val="00340B6A"/>
    <w:rsid w:val="00340E85"/>
    <w:rsid w:val="0034107E"/>
    <w:rsid w:val="00341327"/>
    <w:rsid w:val="003419D2"/>
    <w:rsid w:val="0034204B"/>
    <w:rsid w:val="003421EA"/>
    <w:rsid w:val="00342828"/>
    <w:rsid w:val="00342D0B"/>
    <w:rsid w:val="003434B8"/>
    <w:rsid w:val="00343691"/>
    <w:rsid w:val="003439CC"/>
    <w:rsid w:val="00344629"/>
    <w:rsid w:val="00345A8A"/>
    <w:rsid w:val="00345C29"/>
    <w:rsid w:val="00345C75"/>
    <w:rsid w:val="00345D7C"/>
    <w:rsid w:val="003461E1"/>
    <w:rsid w:val="00346929"/>
    <w:rsid w:val="0034726E"/>
    <w:rsid w:val="0034772D"/>
    <w:rsid w:val="00347ADA"/>
    <w:rsid w:val="003500D4"/>
    <w:rsid w:val="00350300"/>
    <w:rsid w:val="00350483"/>
    <w:rsid w:val="003504FE"/>
    <w:rsid w:val="003514F7"/>
    <w:rsid w:val="0035150A"/>
    <w:rsid w:val="003526C9"/>
    <w:rsid w:val="00352F1F"/>
    <w:rsid w:val="00353164"/>
    <w:rsid w:val="00353A8D"/>
    <w:rsid w:val="00353DDE"/>
    <w:rsid w:val="00354143"/>
    <w:rsid w:val="00354CF1"/>
    <w:rsid w:val="003552CF"/>
    <w:rsid w:val="00355452"/>
    <w:rsid w:val="003559A4"/>
    <w:rsid w:val="00355A5F"/>
    <w:rsid w:val="00355B2B"/>
    <w:rsid w:val="0035600F"/>
    <w:rsid w:val="003564F8"/>
    <w:rsid w:val="00356842"/>
    <w:rsid w:val="003569BE"/>
    <w:rsid w:val="00356EF2"/>
    <w:rsid w:val="00357A1C"/>
    <w:rsid w:val="00357A9F"/>
    <w:rsid w:val="00357DE0"/>
    <w:rsid w:val="003606EB"/>
    <w:rsid w:val="00360E0B"/>
    <w:rsid w:val="003614FB"/>
    <w:rsid w:val="00361511"/>
    <w:rsid w:val="00361751"/>
    <w:rsid w:val="003620F0"/>
    <w:rsid w:val="00362187"/>
    <w:rsid w:val="003629BB"/>
    <w:rsid w:val="00362B0F"/>
    <w:rsid w:val="00362CD3"/>
    <w:rsid w:val="0036301A"/>
    <w:rsid w:val="0036308D"/>
    <w:rsid w:val="00363C6F"/>
    <w:rsid w:val="00363CA9"/>
    <w:rsid w:val="0036422A"/>
    <w:rsid w:val="003643FA"/>
    <w:rsid w:val="003646B0"/>
    <w:rsid w:val="0036529A"/>
    <w:rsid w:val="003658F6"/>
    <w:rsid w:val="00365A93"/>
    <w:rsid w:val="0036658C"/>
    <w:rsid w:val="0036698A"/>
    <w:rsid w:val="00366EFF"/>
    <w:rsid w:val="00367418"/>
    <w:rsid w:val="00367517"/>
    <w:rsid w:val="00367B09"/>
    <w:rsid w:val="003701CC"/>
    <w:rsid w:val="00371A2E"/>
    <w:rsid w:val="00372800"/>
    <w:rsid w:val="00372E3A"/>
    <w:rsid w:val="00372F97"/>
    <w:rsid w:val="0037305C"/>
    <w:rsid w:val="00373319"/>
    <w:rsid w:val="003736DA"/>
    <w:rsid w:val="00373D46"/>
    <w:rsid w:val="00374E8D"/>
    <w:rsid w:val="00374F3B"/>
    <w:rsid w:val="00375714"/>
    <w:rsid w:val="00375B84"/>
    <w:rsid w:val="00375C5F"/>
    <w:rsid w:val="00375DDA"/>
    <w:rsid w:val="00376045"/>
    <w:rsid w:val="0037628C"/>
    <w:rsid w:val="0037666D"/>
    <w:rsid w:val="00376EAA"/>
    <w:rsid w:val="00377535"/>
    <w:rsid w:val="00377AF2"/>
    <w:rsid w:val="00377DBC"/>
    <w:rsid w:val="00377FDF"/>
    <w:rsid w:val="003802E3"/>
    <w:rsid w:val="003803B9"/>
    <w:rsid w:val="003804F6"/>
    <w:rsid w:val="0038070C"/>
    <w:rsid w:val="003810F8"/>
    <w:rsid w:val="003812BD"/>
    <w:rsid w:val="00381AEB"/>
    <w:rsid w:val="00381CBE"/>
    <w:rsid w:val="00382903"/>
    <w:rsid w:val="0038322B"/>
    <w:rsid w:val="003832A6"/>
    <w:rsid w:val="00383797"/>
    <w:rsid w:val="003838AC"/>
    <w:rsid w:val="0038519C"/>
    <w:rsid w:val="00385570"/>
    <w:rsid w:val="003858F7"/>
    <w:rsid w:val="00386157"/>
    <w:rsid w:val="003869A4"/>
    <w:rsid w:val="00387139"/>
    <w:rsid w:val="0038719E"/>
    <w:rsid w:val="00387296"/>
    <w:rsid w:val="0038767D"/>
    <w:rsid w:val="003876F0"/>
    <w:rsid w:val="0038780D"/>
    <w:rsid w:val="00390812"/>
    <w:rsid w:val="00390F6F"/>
    <w:rsid w:val="003910A8"/>
    <w:rsid w:val="0039132D"/>
    <w:rsid w:val="00391C06"/>
    <w:rsid w:val="003924C9"/>
    <w:rsid w:val="0039267C"/>
    <w:rsid w:val="003926E8"/>
    <w:rsid w:val="003928AC"/>
    <w:rsid w:val="00392C85"/>
    <w:rsid w:val="00393391"/>
    <w:rsid w:val="00393938"/>
    <w:rsid w:val="003942F0"/>
    <w:rsid w:val="00394651"/>
    <w:rsid w:val="00395053"/>
    <w:rsid w:val="00395E42"/>
    <w:rsid w:val="00396BEA"/>
    <w:rsid w:val="00396D64"/>
    <w:rsid w:val="00397314"/>
    <w:rsid w:val="003A0011"/>
    <w:rsid w:val="003A00A2"/>
    <w:rsid w:val="003A0851"/>
    <w:rsid w:val="003A092F"/>
    <w:rsid w:val="003A0C0B"/>
    <w:rsid w:val="003A1F90"/>
    <w:rsid w:val="003A201D"/>
    <w:rsid w:val="003A230E"/>
    <w:rsid w:val="003A2751"/>
    <w:rsid w:val="003A2BDE"/>
    <w:rsid w:val="003A2E6E"/>
    <w:rsid w:val="003A36B6"/>
    <w:rsid w:val="003A3F51"/>
    <w:rsid w:val="003A43B6"/>
    <w:rsid w:val="003A43DB"/>
    <w:rsid w:val="003A4D07"/>
    <w:rsid w:val="003A50FB"/>
    <w:rsid w:val="003A559F"/>
    <w:rsid w:val="003A5AD8"/>
    <w:rsid w:val="003A616D"/>
    <w:rsid w:val="003A633B"/>
    <w:rsid w:val="003A6A11"/>
    <w:rsid w:val="003A6EBF"/>
    <w:rsid w:val="003A70A6"/>
    <w:rsid w:val="003A7C2E"/>
    <w:rsid w:val="003B099C"/>
    <w:rsid w:val="003B0F8B"/>
    <w:rsid w:val="003B0FCB"/>
    <w:rsid w:val="003B1982"/>
    <w:rsid w:val="003B1B77"/>
    <w:rsid w:val="003B1D1D"/>
    <w:rsid w:val="003B1D8E"/>
    <w:rsid w:val="003B2766"/>
    <w:rsid w:val="003B30C5"/>
    <w:rsid w:val="003B3A4E"/>
    <w:rsid w:val="003B3A6F"/>
    <w:rsid w:val="003B3D8A"/>
    <w:rsid w:val="003B4235"/>
    <w:rsid w:val="003B44A6"/>
    <w:rsid w:val="003B4796"/>
    <w:rsid w:val="003B4B47"/>
    <w:rsid w:val="003B588D"/>
    <w:rsid w:val="003B5B55"/>
    <w:rsid w:val="003B5B6C"/>
    <w:rsid w:val="003B5D04"/>
    <w:rsid w:val="003B5F45"/>
    <w:rsid w:val="003B63EA"/>
    <w:rsid w:val="003B740F"/>
    <w:rsid w:val="003C055E"/>
    <w:rsid w:val="003C0FD2"/>
    <w:rsid w:val="003C22BE"/>
    <w:rsid w:val="003C2536"/>
    <w:rsid w:val="003C3889"/>
    <w:rsid w:val="003C40A8"/>
    <w:rsid w:val="003C41DA"/>
    <w:rsid w:val="003C48B2"/>
    <w:rsid w:val="003C548F"/>
    <w:rsid w:val="003C5EA0"/>
    <w:rsid w:val="003C6667"/>
    <w:rsid w:val="003C6D3B"/>
    <w:rsid w:val="003C75B6"/>
    <w:rsid w:val="003C771A"/>
    <w:rsid w:val="003C7C79"/>
    <w:rsid w:val="003C7F43"/>
    <w:rsid w:val="003D01A8"/>
    <w:rsid w:val="003D05DB"/>
    <w:rsid w:val="003D0782"/>
    <w:rsid w:val="003D0879"/>
    <w:rsid w:val="003D08D6"/>
    <w:rsid w:val="003D0993"/>
    <w:rsid w:val="003D0B5E"/>
    <w:rsid w:val="003D11F6"/>
    <w:rsid w:val="003D1BA8"/>
    <w:rsid w:val="003D1D15"/>
    <w:rsid w:val="003D289A"/>
    <w:rsid w:val="003D2A18"/>
    <w:rsid w:val="003D2E5D"/>
    <w:rsid w:val="003D2F2C"/>
    <w:rsid w:val="003D3756"/>
    <w:rsid w:val="003D3B31"/>
    <w:rsid w:val="003D3C3F"/>
    <w:rsid w:val="003D4138"/>
    <w:rsid w:val="003D41DB"/>
    <w:rsid w:val="003D4825"/>
    <w:rsid w:val="003D4D3A"/>
    <w:rsid w:val="003D54E1"/>
    <w:rsid w:val="003D57CB"/>
    <w:rsid w:val="003D6505"/>
    <w:rsid w:val="003D66C5"/>
    <w:rsid w:val="003D6CEA"/>
    <w:rsid w:val="003D7003"/>
    <w:rsid w:val="003D70D4"/>
    <w:rsid w:val="003D7670"/>
    <w:rsid w:val="003D7B5E"/>
    <w:rsid w:val="003E0832"/>
    <w:rsid w:val="003E0B3A"/>
    <w:rsid w:val="003E0EB3"/>
    <w:rsid w:val="003E1228"/>
    <w:rsid w:val="003E1836"/>
    <w:rsid w:val="003E1FAC"/>
    <w:rsid w:val="003E2554"/>
    <w:rsid w:val="003E29C7"/>
    <w:rsid w:val="003E2E42"/>
    <w:rsid w:val="003E308F"/>
    <w:rsid w:val="003E333F"/>
    <w:rsid w:val="003E38D1"/>
    <w:rsid w:val="003E4278"/>
    <w:rsid w:val="003E43BE"/>
    <w:rsid w:val="003E4557"/>
    <w:rsid w:val="003E4901"/>
    <w:rsid w:val="003E51FC"/>
    <w:rsid w:val="003E52A4"/>
    <w:rsid w:val="003E5AB5"/>
    <w:rsid w:val="003E5D10"/>
    <w:rsid w:val="003E71C9"/>
    <w:rsid w:val="003E74C5"/>
    <w:rsid w:val="003E7F3F"/>
    <w:rsid w:val="003F00CF"/>
    <w:rsid w:val="003F0519"/>
    <w:rsid w:val="003F0818"/>
    <w:rsid w:val="003F0952"/>
    <w:rsid w:val="003F0A69"/>
    <w:rsid w:val="003F0C32"/>
    <w:rsid w:val="003F10FB"/>
    <w:rsid w:val="003F1307"/>
    <w:rsid w:val="003F134F"/>
    <w:rsid w:val="003F1651"/>
    <w:rsid w:val="003F21C1"/>
    <w:rsid w:val="003F27E4"/>
    <w:rsid w:val="003F29A0"/>
    <w:rsid w:val="003F29D2"/>
    <w:rsid w:val="003F3B40"/>
    <w:rsid w:val="003F3BB9"/>
    <w:rsid w:val="003F4826"/>
    <w:rsid w:val="003F4F7E"/>
    <w:rsid w:val="003F6197"/>
    <w:rsid w:val="003F61B6"/>
    <w:rsid w:val="003F6201"/>
    <w:rsid w:val="003F6222"/>
    <w:rsid w:val="003F6973"/>
    <w:rsid w:val="003F73E6"/>
    <w:rsid w:val="003F744B"/>
    <w:rsid w:val="003F74C0"/>
    <w:rsid w:val="003F7B46"/>
    <w:rsid w:val="003F7C01"/>
    <w:rsid w:val="004000B0"/>
    <w:rsid w:val="00401170"/>
    <w:rsid w:val="00401E07"/>
    <w:rsid w:val="00401F06"/>
    <w:rsid w:val="00401FF7"/>
    <w:rsid w:val="00402164"/>
    <w:rsid w:val="00402E2E"/>
    <w:rsid w:val="00403AA3"/>
    <w:rsid w:val="00403BBA"/>
    <w:rsid w:val="00404568"/>
    <w:rsid w:val="00405074"/>
    <w:rsid w:val="00405D30"/>
    <w:rsid w:val="00406358"/>
    <w:rsid w:val="0040640A"/>
    <w:rsid w:val="00406807"/>
    <w:rsid w:val="00406A68"/>
    <w:rsid w:val="00406F3B"/>
    <w:rsid w:val="0040756B"/>
    <w:rsid w:val="00407E1B"/>
    <w:rsid w:val="00410818"/>
    <w:rsid w:val="00410875"/>
    <w:rsid w:val="00410A8F"/>
    <w:rsid w:val="00410C21"/>
    <w:rsid w:val="00410E26"/>
    <w:rsid w:val="00412761"/>
    <w:rsid w:val="00413483"/>
    <w:rsid w:val="0041351D"/>
    <w:rsid w:val="004135C7"/>
    <w:rsid w:val="00413DA5"/>
    <w:rsid w:val="00413FEE"/>
    <w:rsid w:val="004142E9"/>
    <w:rsid w:val="00414314"/>
    <w:rsid w:val="0041460A"/>
    <w:rsid w:val="00416790"/>
    <w:rsid w:val="004167FA"/>
    <w:rsid w:val="00416C45"/>
    <w:rsid w:val="0041773F"/>
    <w:rsid w:val="004200A2"/>
    <w:rsid w:val="004200DC"/>
    <w:rsid w:val="00420FF7"/>
    <w:rsid w:val="0042146F"/>
    <w:rsid w:val="00421C4E"/>
    <w:rsid w:val="00421C8F"/>
    <w:rsid w:val="00421DA8"/>
    <w:rsid w:val="00422CEA"/>
    <w:rsid w:val="00422D6D"/>
    <w:rsid w:val="004233D9"/>
    <w:rsid w:val="00423AA7"/>
    <w:rsid w:val="00423F5B"/>
    <w:rsid w:val="004247F6"/>
    <w:rsid w:val="00424BC4"/>
    <w:rsid w:val="00425053"/>
    <w:rsid w:val="004270E4"/>
    <w:rsid w:val="00427EED"/>
    <w:rsid w:val="00430C26"/>
    <w:rsid w:val="004315E4"/>
    <w:rsid w:val="00431D38"/>
    <w:rsid w:val="00431DCE"/>
    <w:rsid w:val="004322EB"/>
    <w:rsid w:val="004324DC"/>
    <w:rsid w:val="00432881"/>
    <w:rsid w:val="00432B02"/>
    <w:rsid w:val="00432B65"/>
    <w:rsid w:val="00432FEF"/>
    <w:rsid w:val="00433A06"/>
    <w:rsid w:val="00433C5D"/>
    <w:rsid w:val="00434767"/>
    <w:rsid w:val="004348EF"/>
    <w:rsid w:val="00435753"/>
    <w:rsid w:val="0043577B"/>
    <w:rsid w:val="00435966"/>
    <w:rsid w:val="00436083"/>
    <w:rsid w:val="00436095"/>
    <w:rsid w:val="004363C2"/>
    <w:rsid w:val="00436B2C"/>
    <w:rsid w:val="004372E7"/>
    <w:rsid w:val="00437449"/>
    <w:rsid w:val="004374A6"/>
    <w:rsid w:val="0043783A"/>
    <w:rsid w:val="00437AFA"/>
    <w:rsid w:val="00437E64"/>
    <w:rsid w:val="0044069F"/>
    <w:rsid w:val="00441020"/>
    <w:rsid w:val="004412AF"/>
    <w:rsid w:val="0044135B"/>
    <w:rsid w:val="0044189B"/>
    <w:rsid w:val="00441F99"/>
    <w:rsid w:val="004421BE"/>
    <w:rsid w:val="004437C6"/>
    <w:rsid w:val="00443B50"/>
    <w:rsid w:val="00443BF6"/>
    <w:rsid w:val="00443D0E"/>
    <w:rsid w:val="0044474C"/>
    <w:rsid w:val="00444ACE"/>
    <w:rsid w:val="00444ADD"/>
    <w:rsid w:val="00444D57"/>
    <w:rsid w:val="0044501A"/>
    <w:rsid w:val="0044508F"/>
    <w:rsid w:val="0044559C"/>
    <w:rsid w:val="004456B0"/>
    <w:rsid w:val="004457F6"/>
    <w:rsid w:val="00445C47"/>
    <w:rsid w:val="0044607C"/>
    <w:rsid w:val="004467D9"/>
    <w:rsid w:val="00446A79"/>
    <w:rsid w:val="00450539"/>
    <w:rsid w:val="00450632"/>
    <w:rsid w:val="0045071E"/>
    <w:rsid w:val="004509C6"/>
    <w:rsid w:val="0045134C"/>
    <w:rsid w:val="004515CE"/>
    <w:rsid w:val="004515F3"/>
    <w:rsid w:val="00451A1B"/>
    <w:rsid w:val="00451CC9"/>
    <w:rsid w:val="004525B0"/>
    <w:rsid w:val="00453034"/>
    <w:rsid w:val="00453270"/>
    <w:rsid w:val="004536B3"/>
    <w:rsid w:val="004537F0"/>
    <w:rsid w:val="00453818"/>
    <w:rsid w:val="004538C4"/>
    <w:rsid w:val="00453B67"/>
    <w:rsid w:val="00453D6B"/>
    <w:rsid w:val="004545A7"/>
    <w:rsid w:val="004547B7"/>
    <w:rsid w:val="00455424"/>
    <w:rsid w:val="00455951"/>
    <w:rsid w:val="00457D29"/>
    <w:rsid w:val="00460345"/>
    <w:rsid w:val="00460646"/>
    <w:rsid w:val="00460DD9"/>
    <w:rsid w:val="00461645"/>
    <w:rsid w:val="00461A61"/>
    <w:rsid w:val="00461F02"/>
    <w:rsid w:val="00462488"/>
    <w:rsid w:val="00462B55"/>
    <w:rsid w:val="0046307B"/>
    <w:rsid w:val="0046347D"/>
    <w:rsid w:val="0046384E"/>
    <w:rsid w:val="0046441E"/>
    <w:rsid w:val="004654B3"/>
    <w:rsid w:val="00466153"/>
    <w:rsid w:val="0046629F"/>
    <w:rsid w:val="004662DE"/>
    <w:rsid w:val="0046662B"/>
    <w:rsid w:val="0046716D"/>
    <w:rsid w:val="004672BF"/>
    <w:rsid w:val="0046779D"/>
    <w:rsid w:val="004703B2"/>
    <w:rsid w:val="0047096D"/>
    <w:rsid w:val="00471D67"/>
    <w:rsid w:val="004725E0"/>
    <w:rsid w:val="004736C7"/>
    <w:rsid w:val="00473AE8"/>
    <w:rsid w:val="00473CC8"/>
    <w:rsid w:val="004746ED"/>
    <w:rsid w:val="00475253"/>
    <w:rsid w:val="0047531C"/>
    <w:rsid w:val="004757A8"/>
    <w:rsid w:val="00475873"/>
    <w:rsid w:val="004759A2"/>
    <w:rsid w:val="00475BB2"/>
    <w:rsid w:val="0047608B"/>
    <w:rsid w:val="004772C4"/>
    <w:rsid w:val="0047740E"/>
    <w:rsid w:val="00477684"/>
    <w:rsid w:val="00480247"/>
    <w:rsid w:val="0048051B"/>
    <w:rsid w:val="00480A6E"/>
    <w:rsid w:val="00480B6F"/>
    <w:rsid w:val="00480CDD"/>
    <w:rsid w:val="004810F2"/>
    <w:rsid w:val="0048114B"/>
    <w:rsid w:val="004817F2"/>
    <w:rsid w:val="00481BE1"/>
    <w:rsid w:val="00481C67"/>
    <w:rsid w:val="00482374"/>
    <w:rsid w:val="004826C0"/>
    <w:rsid w:val="00483518"/>
    <w:rsid w:val="0048371D"/>
    <w:rsid w:val="0048375D"/>
    <w:rsid w:val="00483807"/>
    <w:rsid w:val="00483959"/>
    <w:rsid w:val="00483CAF"/>
    <w:rsid w:val="00484125"/>
    <w:rsid w:val="004858DC"/>
    <w:rsid w:val="004859BD"/>
    <w:rsid w:val="00485A93"/>
    <w:rsid w:val="00486BE8"/>
    <w:rsid w:val="004871B2"/>
    <w:rsid w:val="00487372"/>
    <w:rsid w:val="004879A0"/>
    <w:rsid w:val="00487C42"/>
    <w:rsid w:val="00487EAE"/>
    <w:rsid w:val="004901A3"/>
    <w:rsid w:val="0049024B"/>
    <w:rsid w:val="0049057C"/>
    <w:rsid w:val="0049059C"/>
    <w:rsid w:val="004917F8"/>
    <w:rsid w:val="004921C2"/>
    <w:rsid w:val="00492AED"/>
    <w:rsid w:val="00492D81"/>
    <w:rsid w:val="00492FFA"/>
    <w:rsid w:val="004932A4"/>
    <w:rsid w:val="004941DB"/>
    <w:rsid w:val="00494AFC"/>
    <w:rsid w:val="00495E32"/>
    <w:rsid w:val="00495F89"/>
    <w:rsid w:val="004960AB"/>
    <w:rsid w:val="004963D9"/>
    <w:rsid w:val="004963F7"/>
    <w:rsid w:val="00496D65"/>
    <w:rsid w:val="004977D4"/>
    <w:rsid w:val="004978C8"/>
    <w:rsid w:val="00497F2F"/>
    <w:rsid w:val="004A0493"/>
    <w:rsid w:val="004A0497"/>
    <w:rsid w:val="004A0930"/>
    <w:rsid w:val="004A0EDF"/>
    <w:rsid w:val="004A1EFC"/>
    <w:rsid w:val="004A2A4B"/>
    <w:rsid w:val="004A300B"/>
    <w:rsid w:val="004A30A9"/>
    <w:rsid w:val="004A31B9"/>
    <w:rsid w:val="004A3B2A"/>
    <w:rsid w:val="004A427C"/>
    <w:rsid w:val="004A427F"/>
    <w:rsid w:val="004A4E22"/>
    <w:rsid w:val="004A4EEE"/>
    <w:rsid w:val="004A4FD7"/>
    <w:rsid w:val="004A5219"/>
    <w:rsid w:val="004A5BB8"/>
    <w:rsid w:val="004A5DFD"/>
    <w:rsid w:val="004A6176"/>
    <w:rsid w:val="004A650D"/>
    <w:rsid w:val="004A65F8"/>
    <w:rsid w:val="004A66E5"/>
    <w:rsid w:val="004A674D"/>
    <w:rsid w:val="004A6E66"/>
    <w:rsid w:val="004A7BA7"/>
    <w:rsid w:val="004A7BCA"/>
    <w:rsid w:val="004B06B2"/>
    <w:rsid w:val="004B0CB1"/>
    <w:rsid w:val="004B0FB4"/>
    <w:rsid w:val="004B1056"/>
    <w:rsid w:val="004B10E3"/>
    <w:rsid w:val="004B1193"/>
    <w:rsid w:val="004B17DA"/>
    <w:rsid w:val="004B1CAA"/>
    <w:rsid w:val="004B1FC6"/>
    <w:rsid w:val="004B258A"/>
    <w:rsid w:val="004B3935"/>
    <w:rsid w:val="004B3976"/>
    <w:rsid w:val="004B39C7"/>
    <w:rsid w:val="004B40E2"/>
    <w:rsid w:val="004B45BA"/>
    <w:rsid w:val="004B48B9"/>
    <w:rsid w:val="004B4B82"/>
    <w:rsid w:val="004B4CF1"/>
    <w:rsid w:val="004B57A6"/>
    <w:rsid w:val="004B5D94"/>
    <w:rsid w:val="004B6122"/>
    <w:rsid w:val="004B62DA"/>
    <w:rsid w:val="004B63BE"/>
    <w:rsid w:val="004B697C"/>
    <w:rsid w:val="004B70B2"/>
    <w:rsid w:val="004B7605"/>
    <w:rsid w:val="004B7A39"/>
    <w:rsid w:val="004B7A46"/>
    <w:rsid w:val="004B7CD0"/>
    <w:rsid w:val="004C0855"/>
    <w:rsid w:val="004C0CE7"/>
    <w:rsid w:val="004C1B03"/>
    <w:rsid w:val="004C2570"/>
    <w:rsid w:val="004C2E97"/>
    <w:rsid w:val="004C30A2"/>
    <w:rsid w:val="004C30E2"/>
    <w:rsid w:val="004C3EBC"/>
    <w:rsid w:val="004C4409"/>
    <w:rsid w:val="004C48F0"/>
    <w:rsid w:val="004C4DAD"/>
    <w:rsid w:val="004C5307"/>
    <w:rsid w:val="004C536F"/>
    <w:rsid w:val="004C5E6F"/>
    <w:rsid w:val="004C652C"/>
    <w:rsid w:val="004C6556"/>
    <w:rsid w:val="004C66FC"/>
    <w:rsid w:val="004C6EC0"/>
    <w:rsid w:val="004C6F4C"/>
    <w:rsid w:val="004C71BD"/>
    <w:rsid w:val="004C7E06"/>
    <w:rsid w:val="004C7FC5"/>
    <w:rsid w:val="004D0454"/>
    <w:rsid w:val="004D0711"/>
    <w:rsid w:val="004D0712"/>
    <w:rsid w:val="004D0A7C"/>
    <w:rsid w:val="004D0EE7"/>
    <w:rsid w:val="004D145B"/>
    <w:rsid w:val="004D14A9"/>
    <w:rsid w:val="004D1660"/>
    <w:rsid w:val="004D1E2C"/>
    <w:rsid w:val="004D20B0"/>
    <w:rsid w:val="004D23D2"/>
    <w:rsid w:val="004D2878"/>
    <w:rsid w:val="004D2EB7"/>
    <w:rsid w:val="004D3388"/>
    <w:rsid w:val="004D339D"/>
    <w:rsid w:val="004D35E0"/>
    <w:rsid w:val="004D37E6"/>
    <w:rsid w:val="004D3D0B"/>
    <w:rsid w:val="004D416C"/>
    <w:rsid w:val="004D4633"/>
    <w:rsid w:val="004D46C6"/>
    <w:rsid w:val="004D49CD"/>
    <w:rsid w:val="004D4B2F"/>
    <w:rsid w:val="004D4B67"/>
    <w:rsid w:val="004D4F1A"/>
    <w:rsid w:val="004D5010"/>
    <w:rsid w:val="004D50F8"/>
    <w:rsid w:val="004D5940"/>
    <w:rsid w:val="004D6507"/>
    <w:rsid w:val="004D6A19"/>
    <w:rsid w:val="004E0673"/>
    <w:rsid w:val="004E0C5D"/>
    <w:rsid w:val="004E0D3B"/>
    <w:rsid w:val="004E0F9F"/>
    <w:rsid w:val="004E1EE5"/>
    <w:rsid w:val="004E2008"/>
    <w:rsid w:val="004E21E4"/>
    <w:rsid w:val="004E2459"/>
    <w:rsid w:val="004E245B"/>
    <w:rsid w:val="004E26DB"/>
    <w:rsid w:val="004E27B6"/>
    <w:rsid w:val="004E29D0"/>
    <w:rsid w:val="004E2AF3"/>
    <w:rsid w:val="004E2C91"/>
    <w:rsid w:val="004E3202"/>
    <w:rsid w:val="004E32FD"/>
    <w:rsid w:val="004E33FC"/>
    <w:rsid w:val="004E43FC"/>
    <w:rsid w:val="004E44DD"/>
    <w:rsid w:val="004E4595"/>
    <w:rsid w:val="004E4912"/>
    <w:rsid w:val="004E4E50"/>
    <w:rsid w:val="004E5F46"/>
    <w:rsid w:val="004E6104"/>
    <w:rsid w:val="004E69E7"/>
    <w:rsid w:val="004E6CE3"/>
    <w:rsid w:val="004E71B6"/>
    <w:rsid w:val="004E766C"/>
    <w:rsid w:val="004E7887"/>
    <w:rsid w:val="004E7AC4"/>
    <w:rsid w:val="004E7B83"/>
    <w:rsid w:val="004E7C11"/>
    <w:rsid w:val="004E7DE1"/>
    <w:rsid w:val="004F0737"/>
    <w:rsid w:val="004F2804"/>
    <w:rsid w:val="004F296F"/>
    <w:rsid w:val="004F2F1A"/>
    <w:rsid w:val="004F3127"/>
    <w:rsid w:val="004F35E7"/>
    <w:rsid w:val="004F3862"/>
    <w:rsid w:val="004F3A65"/>
    <w:rsid w:val="004F42CF"/>
    <w:rsid w:val="004F44BB"/>
    <w:rsid w:val="004F5849"/>
    <w:rsid w:val="004F6311"/>
    <w:rsid w:val="004F6FD4"/>
    <w:rsid w:val="004F6FF6"/>
    <w:rsid w:val="004F7099"/>
    <w:rsid w:val="004F72D9"/>
    <w:rsid w:val="004F72E1"/>
    <w:rsid w:val="004F79B4"/>
    <w:rsid w:val="00500479"/>
    <w:rsid w:val="0050082F"/>
    <w:rsid w:val="00500BB0"/>
    <w:rsid w:val="00500F83"/>
    <w:rsid w:val="00501758"/>
    <w:rsid w:val="0050243A"/>
    <w:rsid w:val="00502D7A"/>
    <w:rsid w:val="005038B8"/>
    <w:rsid w:val="00503CB1"/>
    <w:rsid w:val="00503CDC"/>
    <w:rsid w:val="00503DB1"/>
    <w:rsid w:val="0050439B"/>
    <w:rsid w:val="005049D9"/>
    <w:rsid w:val="00504A1D"/>
    <w:rsid w:val="00504BD6"/>
    <w:rsid w:val="005057E8"/>
    <w:rsid w:val="00505A06"/>
    <w:rsid w:val="005064D8"/>
    <w:rsid w:val="00506D27"/>
    <w:rsid w:val="005071D4"/>
    <w:rsid w:val="005072B5"/>
    <w:rsid w:val="005073E8"/>
    <w:rsid w:val="00507557"/>
    <w:rsid w:val="00507650"/>
    <w:rsid w:val="005078F6"/>
    <w:rsid w:val="00507EA9"/>
    <w:rsid w:val="0051073F"/>
    <w:rsid w:val="00510C69"/>
    <w:rsid w:val="00511129"/>
    <w:rsid w:val="00511744"/>
    <w:rsid w:val="00511E0C"/>
    <w:rsid w:val="005120B6"/>
    <w:rsid w:val="005121D3"/>
    <w:rsid w:val="005122A7"/>
    <w:rsid w:val="005129DB"/>
    <w:rsid w:val="00512CAC"/>
    <w:rsid w:val="00512D11"/>
    <w:rsid w:val="00512E16"/>
    <w:rsid w:val="00512EA8"/>
    <w:rsid w:val="0051460A"/>
    <w:rsid w:val="00514B42"/>
    <w:rsid w:val="00515069"/>
    <w:rsid w:val="00515C06"/>
    <w:rsid w:val="00516174"/>
    <w:rsid w:val="00516532"/>
    <w:rsid w:val="00516C2B"/>
    <w:rsid w:val="0051701E"/>
    <w:rsid w:val="00517497"/>
    <w:rsid w:val="005175F1"/>
    <w:rsid w:val="005177E5"/>
    <w:rsid w:val="00517AA0"/>
    <w:rsid w:val="00520025"/>
    <w:rsid w:val="005201A2"/>
    <w:rsid w:val="0052052E"/>
    <w:rsid w:val="0052054F"/>
    <w:rsid w:val="00520862"/>
    <w:rsid w:val="00520973"/>
    <w:rsid w:val="005217ED"/>
    <w:rsid w:val="00521922"/>
    <w:rsid w:val="00521BB3"/>
    <w:rsid w:val="0052259C"/>
    <w:rsid w:val="00522631"/>
    <w:rsid w:val="00522793"/>
    <w:rsid w:val="0052301E"/>
    <w:rsid w:val="00523735"/>
    <w:rsid w:val="00523757"/>
    <w:rsid w:val="0052392B"/>
    <w:rsid w:val="00524BE1"/>
    <w:rsid w:val="00524BFF"/>
    <w:rsid w:val="00524C82"/>
    <w:rsid w:val="00524D1F"/>
    <w:rsid w:val="00524E7B"/>
    <w:rsid w:val="005251ED"/>
    <w:rsid w:val="0052524E"/>
    <w:rsid w:val="0052587A"/>
    <w:rsid w:val="00526124"/>
    <w:rsid w:val="00526210"/>
    <w:rsid w:val="00526402"/>
    <w:rsid w:val="005266ED"/>
    <w:rsid w:val="0052670C"/>
    <w:rsid w:val="00526FF8"/>
    <w:rsid w:val="00527D06"/>
    <w:rsid w:val="00527FDF"/>
    <w:rsid w:val="00530239"/>
    <w:rsid w:val="005305F9"/>
    <w:rsid w:val="00530605"/>
    <w:rsid w:val="00530674"/>
    <w:rsid w:val="00530721"/>
    <w:rsid w:val="00530E94"/>
    <w:rsid w:val="005313F4"/>
    <w:rsid w:val="005314D5"/>
    <w:rsid w:val="005320CF"/>
    <w:rsid w:val="00532388"/>
    <w:rsid w:val="00532CB8"/>
    <w:rsid w:val="005330F6"/>
    <w:rsid w:val="00533590"/>
    <w:rsid w:val="00533965"/>
    <w:rsid w:val="00533CC6"/>
    <w:rsid w:val="005345C6"/>
    <w:rsid w:val="0053466D"/>
    <w:rsid w:val="0053492E"/>
    <w:rsid w:val="00534C3B"/>
    <w:rsid w:val="005350E0"/>
    <w:rsid w:val="005355C3"/>
    <w:rsid w:val="00535792"/>
    <w:rsid w:val="005357BA"/>
    <w:rsid w:val="005360CE"/>
    <w:rsid w:val="00536231"/>
    <w:rsid w:val="00536B73"/>
    <w:rsid w:val="00536DBB"/>
    <w:rsid w:val="00536EB9"/>
    <w:rsid w:val="00537A3E"/>
    <w:rsid w:val="00537F1E"/>
    <w:rsid w:val="00540E77"/>
    <w:rsid w:val="00540FF9"/>
    <w:rsid w:val="005410B7"/>
    <w:rsid w:val="005411B6"/>
    <w:rsid w:val="00541565"/>
    <w:rsid w:val="00541AF4"/>
    <w:rsid w:val="00541EF7"/>
    <w:rsid w:val="00542287"/>
    <w:rsid w:val="005423F1"/>
    <w:rsid w:val="005425D9"/>
    <w:rsid w:val="00542B53"/>
    <w:rsid w:val="00542FB8"/>
    <w:rsid w:val="00543010"/>
    <w:rsid w:val="00543407"/>
    <w:rsid w:val="005435E5"/>
    <w:rsid w:val="0054444D"/>
    <w:rsid w:val="0054465D"/>
    <w:rsid w:val="00544692"/>
    <w:rsid w:val="00544ABC"/>
    <w:rsid w:val="00544D87"/>
    <w:rsid w:val="005458BB"/>
    <w:rsid w:val="00545D79"/>
    <w:rsid w:val="0054606E"/>
    <w:rsid w:val="005478C3"/>
    <w:rsid w:val="00547A65"/>
    <w:rsid w:val="0055020B"/>
    <w:rsid w:val="0055030A"/>
    <w:rsid w:val="0055036C"/>
    <w:rsid w:val="005506E4"/>
    <w:rsid w:val="005508AD"/>
    <w:rsid w:val="00550BCF"/>
    <w:rsid w:val="0055121D"/>
    <w:rsid w:val="00551629"/>
    <w:rsid w:val="00552C23"/>
    <w:rsid w:val="00554034"/>
    <w:rsid w:val="0055403C"/>
    <w:rsid w:val="0055404A"/>
    <w:rsid w:val="00554607"/>
    <w:rsid w:val="00554DDD"/>
    <w:rsid w:val="00555B98"/>
    <w:rsid w:val="0055688A"/>
    <w:rsid w:val="005574B5"/>
    <w:rsid w:val="005574DA"/>
    <w:rsid w:val="0055765C"/>
    <w:rsid w:val="00557F62"/>
    <w:rsid w:val="00560006"/>
    <w:rsid w:val="0056001E"/>
    <w:rsid w:val="005600D2"/>
    <w:rsid w:val="005601B2"/>
    <w:rsid w:val="00560399"/>
    <w:rsid w:val="005606F2"/>
    <w:rsid w:val="00560C70"/>
    <w:rsid w:val="0056106B"/>
    <w:rsid w:val="005611F7"/>
    <w:rsid w:val="005622C3"/>
    <w:rsid w:val="005625C5"/>
    <w:rsid w:val="0056274B"/>
    <w:rsid w:val="0056292C"/>
    <w:rsid w:val="00563928"/>
    <w:rsid w:val="005648DF"/>
    <w:rsid w:val="00564E8F"/>
    <w:rsid w:val="00565462"/>
    <w:rsid w:val="00565C4C"/>
    <w:rsid w:val="00565C8F"/>
    <w:rsid w:val="00565EF0"/>
    <w:rsid w:val="005662AF"/>
    <w:rsid w:val="00566320"/>
    <w:rsid w:val="005668A6"/>
    <w:rsid w:val="00566908"/>
    <w:rsid w:val="00566E95"/>
    <w:rsid w:val="005701B9"/>
    <w:rsid w:val="00570452"/>
    <w:rsid w:val="00570682"/>
    <w:rsid w:val="005708CE"/>
    <w:rsid w:val="00570AE9"/>
    <w:rsid w:val="00571188"/>
    <w:rsid w:val="005716E8"/>
    <w:rsid w:val="0057193B"/>
    <w:rsid w:val="00571AE9"/>
    <w:rsid w:val="00571F8C"/>
    <w:rsid w:val="0057337A"/>
    <w:rsid w:val="00573964"/>
    <w:rsid w:val="005743E6"/>
    <w:rsid w:val="00574C83"/>
    <w:rsid w:val="00574D0D"/>
    <w:rsid w:val="005756B4"/>
    <w:rsid w:val="005757CC"/>
    <w:rsid w:val="00575C44"/>
    <w:rsid w:val="00575D77"/>
    <w:rsid w:val="00576434"/>
    <w:rsid w:val="00580176"/>
    <w:rsid w:val="0058027A"/>
    <w:rsid w:val="00581002"/>
    <w:rsid w:val="00581D50"/>
    <w:rsid w:val="00581DEF"/>
    <w:rsid w:val="00581E20"/>
    <w:rsid w:val="005828FD"/>
    <w:rsid w:val="00582F27"/>
    <w:rsid w:val="005833CD"/>
    <w:rsid w:val="00583521"/>
    <w:rsid w:val="0058362C"/>
    <w:rsid w:val="00583D10"/>
    <w:rsid w:val="00584138"/>
    <w:rsid w:val="00584599"/>
    <w:rsid w:val="00584A5C"/>
    <w:rsid w:val="00584B62"/>
    <w:rsid w:val="00584C54"/>
    <w:rsid w:val="00585164"/>
    <w:rsid w:val="005857E8"/>
    <w:rsid w:val="005858BB"/>
    <w:rsid w:val="005859FF"/>
    <w:rsid w:val="00585BA8"/>
    <w:rsid w:val="0058609A"/>
    <w:rsid w:val="0058635C"/>
    <w:rsid w:val="00586750"/>
    <w:rsid w:val="00586AB2"/>
    <w:rsid w:val="00587AEF"/>
    <w:rsid w:val="00587E7A"/>
    <w:rsid w:val="00590AB3"/>
    <w:rsid w:val="00590E83"/>
    <w:rsid w:val="00591BE5"/>
    <w:rsid w:val="00592474"/>
    <w:rsid w:val="005924F6"/>
    <w:rsid w:val="00592B5F"/>
    <w:rsid w:val="00592D71"/>
    <w:rsid w:val="005930A4"/>
    <w:rsid w:val="0059360F"/>
    <w:rsid w:val="005937DA"/>
    <w:rsid w:val="00593C05"/>
    <w:rsid w:val="00594963"/>
    <w:rsid w:val="00594DC2"/>
    <w:rsid w:val="0059528C"/>
    <w:rsid w:val="00595304"/>
    <w:rsid w:val="005954F8"/>
    <w:rsid w:val="00595BE8"/>
    <w:rsid w:val="00595E22"/>
    <w:rsid w:val="005962CD"/>
    <w:rsid w:val="00596534"/>
    <w:rsid w:val="005966D8"/>
    <w:rsid w:val="00596918"/>
    <w:rsid w:val="00596D42"/>
    <w:rsid w:val="00597306"/>
    <w:rsid w:val="005977A2"/>
    <w:rsid w:val="005A039C"/>
    <w:rsid w:val="005A03FE"/>
    <w:rsid w:val="005A08E4"/>
    <w:rsid w:val="005A1165"/>
    <w:rsid w:val="005A1448"/>
    <w:rsid w:val="005A176D"/>
    <w:rsid w:val="005A1CB3"/>
    <w:rsid w:val="005A1FC4"/>
    <w:rsid w:val="005A2CA3"/>
    <w:rsid w:val="005A2F98"/>
    <w:rsid w:val="005A3076"/>
    <w:rsid w:val="005A3821"/>
    <w:rsid w:val="005A3E33"/>
    <w:rsid w:val="005A40B9"/>
    <w:rsid w:val="005A596F"/>
    <w:rsid w:val="005A5A2B"/>
    <w:rsid w:val="005A67D6"/>
    <w:rsid w:val="005A785D"/>
    <w:rsid w:val="005A7AD6"/>
    <w:rsid w:val="005A7C7F"/>
    <w:rsid w:val="005B00C3"/>
    <w:rsid w:val="005B0B9D"/>
    <w:rsid w:val="005B12D3"/>
    <w:rsid w:val="005B1B7E"/>
    <w:rsid w:val="005B1FF5"/>
    <w:rsid w:val="005B2073"/>
    <w:rsid w:val="005B2B26"/>
    <w:rsid w:val="005B309A"/>
    <w:rsid w:val="005B3514"/>
    <w:rsid w:val="005B3AC7"/>
    <w:rsid w:val="005B3B1A"/>
    <w:rsid w:val="005B4AC3"/>
    <w:rsid w:val="005B4E34"/>
    <w:rsid w:val="005B5674"/>
    <w:rsid w:val="005B56A0"/>
    <w:rsid w:val="005B57DF"/>
    <w:rsid w:val="005B69AE"/>
    <w:rsid w:val="005B6BB9"/>
    <w:rsid w:val="005B6D13"/>
    <w:rsid w:val="005B7F2E"/>
    <w:rsid w:val="005C05A2"/>
    <w:rsid w:val="005C066E"/>
    <w:rsid w:val="005C1063"/>
    <w:rsid w:val="005C1311"/>
    <w:rsid w:val="005C174C"/>
    <w:rsid w:val="005C1779"/>
    <w:rsid w:val="005C19EA"/>
    <w:rsid w:val="005C1B85"/>
    <w:rsid w:val="005C214F"/>
    <w:rsid w:val="005C2770"/>
    <w:rsid w:val="005C2986"/>
    <w:rsid w:val="005C2ED0"/>
    <w:rsid w:val="005C3250"/>
    <w:rsid w:val="005C336A"/>
    <w:rsid w:val="005C3401"/>
    <w:rsid w:val="005C3645"/>
    <w:rsid w:val="005C38AB"/>
    <w:rsid w:val="005C38ED"/>
    <w:rsid w:val="005C3BA2"/>
    <w:rsid w:val="005C3F0B"/>
    <w:rsid w:val="005C4C79"/>
    <w:rsid w:val="005C521F"/>
    <w:rsid w:val="005C52AC"/>
    <w:rsid w:val="005C52FA"/>
    <w:rsid w:val="005C5504"/>
    <w:rsid w:val="005C5D4E"/>
    <w:rsid w:val="005C642C"/>
    <w:rsid w:val="005C65F6"/>
    <w:rsid w:val="005C7230"/>
    <w:rsid w:val="005C7245"/>
    <w:rsid w:val="005C7584"/>
    <w:rsid w:val="005C7A3E"/>
    <w:rsid w:val="005C7D61"/>
    <w:rsid w:val="005D03EC"/>
    <w:rsid w:val="005D0682"/>
    <w:rsid w:val="005D06BC"/>
    <w:rsid w:val="005D10C7"/>
    <w:rsid w:val="005D10CD"/>
    <w:rsid w:val="005D132B"/>
    <w:rsid w:val="005D135C"/>
    <w:rsid w:val="005D1B97"/>
    <w:rsid w:val="005D1CED"/>
    <w:rsid w:val="005D2139"/>
    <w:rsid w:val="005D2280"/>
    <w:rsid w:val="005D230B"/>
    <w:rsid w:val="005D236E"/>
    <w:rsid w:val="005D2D80"/>
    <w:rsid w:val="005D2DE8"/>
    <w:rsid w:val="005D2E81"/>
    <w:rsid w:val="005D34E2"/>
    <w:rsid w:val="005D3DFD"/>
    <w:rsid w:val="005D3ECA"/>
    <w:rsid w:val="005D3F07"/>
    <w:rsid w:val="005D4036"/>
    <w:rsid w:val="005D43FA"/>
    <w:rsid w:val="005D44BC"/>
    <w:rsid w:val="005D457A"/>
    <w:rsid w:val="005D4B82"/>
    <w:rsid w:val="005D4D03"/>
    <w:rsid w:val="005D5272"/>
    <w:rsid w:val="005D52EC"/>
    <w:rsid w:val="005D531C"/>
    <w:rsid w:val="005D5954"/>
    <w:rsid w:val="005D5A7A"/>
    <w:rsid w:val="005D5ABF"/>
    <w:rsid w:val="005D64A8"/>
    <w:rsid w:val="005D68DF"/>
    <w:rsid w:val="005D6B63"/>
    <w:rsid w:val="005D6D42"/>
    <w:rsid w:val="005D6DD9"/>
    <w:rsid w:val="005D72F7"/>
    <w:rsid w:val="005D7951"/>
    <w:rsid w:val="005D7971"/>
    <w:rsid w:val="005E05C4"/>
    <w:rsid w:val="005E0A6B"/>
    <w:rsid w:val="005E0FCC"/>
    <w:rsid w:val="005E18D1"/>
    <w:rsid w:val="005E1941"/>
    <w:rsid w:val="005E1953"/>
    <w:rsid w:val="005E1973"/>
    <w:rsid w:val="005E1CBB"/>
    <w:rsid w:val="005E2629"/>
    <w:rsid w:val="005E2CC1"/>
    <w:rsid w:val="005E30E8"/>
    <w:rsid w:val="005E32A1"/>
    <w:rsid w:val="005E32C9"/>
    <w:rsid w:val="005E3341"/>
    <w:rsid w:val="005E358F"/>
    <w:rsid w:val="005E37D5"/>
    <w:rsid w:val="005E4071"/>
    <w:rsid w:val="005E441C"/>
    <w:rsid w:val="005E4808"/>
    <w:rsid w:val="005E4BD3"/>
    <w:rsid w:val="005E50F9"/>
    <w:rsid w:val="005E559F"/>
    <w:rsid w:val="005E58D2"/>
    <w:rsid w:val="005E6149"/>
    <w:rsid w:val="005E61B2"/>
    <w:rsid w:val="005E6659"/>
    <w:rsid w:val="005E6F8D"/>
    <w:rsid w:val="005E7A50"/>
    <w:rsid w:val="005E7C98"/>
    <w:rsid w:val="005F034E"/>
    <w:rsid w:val="005F0A06"/>
    <w:rsid w:val="005F0C7D"/>
    <w:rsid w:val="005F111C"/>
    <w:rsid w:val="005F1171"/>
    <w:rsid w:val="005F158B"/>
    <w:rsid w:val="005F1659"/>
    <w:rsid w:val="005F1832"/>
    <w:rsid w:val="005F237A"/>
    <w:rsid w:val="005F2542"/>
    <w:rsid w:val="005F264F"/>
    <w:rsid w:val="005F267A"/>
    <w:rsid w:val="005F29FC"/>
    <w:rsid w:val="005F2B91"/>
    <w:rsid w:val="005F2E2C"/>
    <w:rsid w:val="005F31D5"/>
    <w:rsid w:val="005F3302"/>
    <w:rsid w:val="005F4653"/>
    <w:rsid w:val="005F4C3F"/>
    <w:rsid w:val="005F5DE3"/>
    <w:rsid w:val="005F6FCC"/>
    <w:rsid w:val="005F7ADD"/>
    <w:rsid w:val="005F7DDC"/>
    <w:rsid w:val="005F7F2D"/>
    <w:rsid w:val="00600C6E"/>
    <w:rsid w:val="00600CE0"/>
    <w:rsid w:val="0060152C"/>
    <w:rsid w:val="0060156F"/>
    <w:rsid w:val="0060186A"/>
    <w:rsid w:val="00601A9D"/>
    <w:rsid w:val="00601C96"/>
    <w:rsid w:val="00601FDA"/>
    <w:rsid w:val="00602367"/>
    <w:rsid w:val="00602B9D"/>
    <w:rsid w:val="00602E0A"/>
    <w:rsid w:val="006032F1"/>
    <w:rsid w:val="00603310"/>
    <w:rsid w:val="00603E05"/>
    <w:rsid w:val="00604194"/>
    <w:rsid w:val="006044CE"/>
    <w:rsid w:val="00604511"/>
    <w:rsid w:val="0060455E"/>
    <w:rsid w:val="00604773"/>
    <w:rsid w:val="00604AE3"/>
    <w:rsid w:val="00605169"/>
    <w:rsid w:val="0060561F"/>
    <w:rsid w:val="00605EB3"/>
    <w:rsid w:val="00605ECD"/>
    <w:rsid w:val="00606BC6"/>
    <w:rsid w:val="00606DB3"/>
    <w:rsid w:val="0060778D"/>
    <w:rsid w:val="00607AC1"/>
    <w:rsid w:val="00607E92"/>
    <w:rsid w:val="006101B8"/>
    <w:rsid w:val="006106FC"/>
    <w:rsid w:val="00610BB7"/>
    <w:rsid w:val="00610FD5"/>
    <w:rsid w:val="00611344"/>
    <w:rsid w:val="00611F7C"/>
    <w:rsid w:val="00612363"/>
    <w:rsid w:val="006130F4"/>
    <w:rsid w:val="006140E6"/>
    <w:rsid w:val="0061432B"/>
    <w:rsid w:val="006149C6"/>
    <w:rsid w:val="00614EC5"/>
    <w:rsid w:val="00614ED8"/>
    <w:rsid w:val="00615C43"/>
    <w:rsid w:val="00615D32"/>
    <w:rsid w:val="00615E39"/>
    <w:rsid w:val="006164CD"/>
    <w:rsid w:val="006166C9"/>
    <w:rsid w:val="006167F0"/>
    <w:rsid w:val="00617032"/>
    <w:rsid w:val="00617169"/>
    <w:rsid w:val="0061716D"/>
    <w:rsid w:val="00617696"/>
    <w:rsid w:val="00617C76"/>
    <w:rsid w:val="0062000D"/>
    <w:rsid w:val="00621BE5"/>
    <w:rsid w:val="00621C39"/>
    <w:rsid w:val="00621D85"/>
    <w:rsid w:val="00621DE8"/>
    <w:rsid w:val="00621EEA"/>
    <w:rsid w:val="00622638"/>
    <w:rsid w:val="00622EA5"/>
    <w:rsid w:val="0062388D"/>
    <w:rsid w:val="00623ABB"/>
    <w:rsid w:val="00624092"/>
    <w:rsid w:val="00624D8E"/>
    <w:rsid w:val="00624DE8"/>
    <w:rsid w:val="00625069"/>
    <w:rsid w:val="006251A2"/>
    <w:rsid w:val="00625276"/>
    <w:rsid w:val="00625519"/>
    <w:rsid w:val="00625B31"/>
    <w:rsid w:val="00625C2F"/>
    <w:rsid w:val="00625E5E"/>
    <w:rsid w:val="00626F2A"/>
    <w:rsid w:val="006272C7"/>
    <w:rsid w:val="006272FE"/>
    <w:rsid w:val="00627451"/>
    <w:rsid w:val="00627864"/>
    <w:rsid w:val="00627AA5"/>
    <w:rsid w:val="00627B49"/>
    <w:rsid w:val="00630217"/>
    <w:rsid w:val="00630285"/>
    <w:rsid w:val="0063038D"/>
    <w:rsid w:val="00630E97"/>
    <w:rsid w:val="006311C7"/>
    <w:rsid w:val="00631D90"/>
    <w:rsid w:val="006321E7"/>
    <w:rsid w:val="0063224C"/>
    <w:rsid w:val="00632707"/>
    <w:rsid w:val="00633047"/>
    <w:rsid w:val="006332C7"/>
    <w:rsid w:val="00633A48"/>
    <w:rsid w:val="00633E1B"/>
    <w:rsid w:val="00634502"/>
    <w:rsid w:val="00634ECD"/>
    <w:rsid w:val="00635609"/>
    <w:rsid w:val="00635714"/>
    <w:rsid w:val="00635C86"/>
    <w:rsid w:val="006367E8"/>
    <w:rsid w:val="00637045"/>
    <w:rsid w:val="0063736F"/>
    <w:rsid w:val="006373C3"/>
    <w:rsid w:val="00637F23"/>
    <w:rsid w:val="00637F82"/>
    <w:rsid w:val="0064052B"/>
    <w:rsid w:val="006416A0"/>
    <w:rsid w:val="00641A5F"/>
    <w:rsid w:val="006424D6"/>
    <w:rsid w:val="00642527"/>
    <w:rsid w:val="00642E5C"/>
    <w:rsid w:val="006437A2"/>
    <w:rsid w:val="0064406E"/>
    <w:rsid w:val="006440A3"/>
    <w:rsid w:val="006442D9"/>
    <w:rsid w:val="0064441D"/>
    <w:rsid w:val="00644974"/>
    <w:rsid w:val="00644C60"/>
    <w:rsid w:val="00644E63"/>
    <w:rsid w:val="00645D94"/>
    <w:rsid w:val="00645F19"/>
    <w:rsid w:val="00646141"/>
    <w:rsid w:val="00646517"/>
    <w:rsid w:val="006468DC"/>
    <w:rsid w:val="00646E4A"/>
    <w:rsid w:val="006471CA"/>
    <w:rsid w:val="00647578"/>
    <w:rsid w:val="006475B1"/>
    <w:rsid w:val="0064779D"/>
    <w:rsid w:val="00647D7B"/>
    <w:rsid w:val="006500CA"/>
    <w:rsid w:val="0065031E"/>
    <w:rsid w:val="0065044C"/>
    <w:rsid w:val="00650D07"/>
    <w:rsid w:val="00650D39"/>
    <w:rsid w:val="0065159F"/>
    <w:rsid w:val="006516C0"/>
    <w:rsid w:val="0065174B"/>
    <w:rsid w:val="00651B35"/>
    <w:rsid w:val="0065218B"/>
    <w:rsid w:val="0065256D"/>
    <w:rsid w:val="006526DC"/>
    <w:rsid w:val="006533FA"/>
    <w:rsid w:val="00653B2B"/>
    <w:rsid w:val="006541CB"/>
    <w:rsid w:val="006541E8"/>
    <w:rsid w:val="00654266"/>
    <w:rsid w:val="006544D8"/>
    <w:rsid w:val="00654733"/>
    <w:rsid w:val="0065490C"/>
    <w:rsid w:val="006552FA"/>
    <w:rsid w:val="00656115"/>
    <w:rsid w:val="0065636F"/>
    <w:rsid w:val="006578B4"/>
    <w:rsid w:val="00657CC8"/>
    <w:rsid w:val="00657FCA"/>
    <w:rsid w:val="006600E7"/>
    <w:rsid w:val="00660359"/>
    <w:rsid w:val="00660396"/>
    <w:rsid w:val="00660638"/>
    <w:rsid w:val="006610BB"/>
    <w:rsid w:val="00661225"/>
    <w:rsid w:val="0066122F"/>
    <w:rsid w:val="00661555"/>
    <w:rsid w:val="00661920"/>
    <w:rsid w:val="00661BB4"/>
    <w:rsid w:val="00661C20"/>
    <w:rsid w:val="00661DDC"/>
    <w:rsid w:val="00662310"/>
    <w:rsid w:val="00662323"/>
    <w:rsid w:val="0066282A"/>
    <w:rsid w:val="006631F4"/>
    <w:rsid w:val="00663282"/>
    <w:rsid w:val="00663B6D"/>
    <w:rsid w:val="00663ED2"/>
    <w:rsid w:val="00664097"/>
    <w:rsid w:val="00664D47"/>
    <w:rsid w:val="00665471"/>
    <w:rsid w:val="00665A04"/>
    <w:rsid w:val="00665CC5"/>
    <w:rsid w:val="00666288"/>
    <w:rsid w:val="0066644C"/>
    <w:rsid w:val="006676F4"/>
    <w:rsid w:val="006677FE"/>
    <w:rsid w:val="00667BB8"/>
    <w:rsid w:val="00667F7D"/>
    <w:rsid w:val="006703F9"/>
    <w:rsid w:val="00670820"/>
    <w:rsid w:val="00670BAF"/>
    <w:rsid w:val="00670EF9"/>
    <w:rsid w:val="00671309"/>
    <w:rsid w:val="006714EA"/>
    <w:rsid w:val="006719C1"/>
    <w:rsid w:val="006722E7"/>
    <w:rsid w:val="0067286D"/>
    <w:rsid w:val="00672A8A"/>
    <w:rsid w:val="00672AC1"/>
    <w:rsid w:val="00672FE4"/>
    <w:rsid w:val="00673109"/>
    <w:rsid w:val="00673364"/>
    <w:rsid w:val="006739EF"/>
    <w:rsid w:val="00673A56"/>
    <w:rsid w:val="006745A2"/>
    <w:rsid w:val="00674D18"/>
    <w:rsid w:val="006759BB"/>
    <w:rsid w:val="006759F6"/>
    <w:rsid w:val="00675AD4"/>
    <w:rsid w:val="0067609C"/>
    <w:rsid w:val="006763D7"/>
    <w:rsid w:val="006766BD"/>
    <w:rsid w:val="006768B3"/>
    <w:rsid w:val="0067695C"/>
    <w:rsid w:val="00676B39"/>
    <w:rsid w:val="0067707C"/>
    <w:rsid w:val="0067752B"/>
    <w:rsid w:val="00677642"/>
    <w:rsid w:val="006776F7"/>
    <w:rsid w:val="00677763"/>
    <w:rsid w:val="006779A6"/>
    <w:rsid w:val="00677A7A"/>
    <w:rsid w:val="00677B2F"/>
    <w:rsid w:val="00680520"/>
    <w:rsid w:val="006814ED"/>
    <w:rsid w:val="00682308"/>
    <w:rsid w:val="0068233A"/>
    <w:rsid w:val="00682502"/>
    <w:rsid w:val="006827CD"/>
    <w:rsid w:val="00682EAF"/>
    <w:rsid w:val="00683635"/>
    <w:rsid w:val="00684299"/>
    <w:rsid w:val="00684817"/>
    <w:rsid w:val="00684867"/>
    <w:rsid w:val="006849D5"/>
    <w:rsid w:val="00684EF6"/>
    <w:rsid w:val="00685154"/>
    <w:rsid w:val="006858B5"/>
    <w:rsid w:val="00685A0F"/>
    <w:rsid w:val="00685BED"/>
    <w:rsid w:val="00686201"/>
    <w:rsid w:val="00686AA6"/>
    <w:rsid w:val="00686C66"/>
    <w:rsid w:val="00686DD7"/>
    <w:rsid w:val="006874B5"/>
    <w:rsid w:val="006905EF"/>
    <w:rsid w:val="006907F8"/>
    <w:rsid w:val="00690C3A"/>
    <w:rsid w:val="0069135D"/>
    <w:rsid w:val="006914D4"/>
    <w:rsid w:val="00691576"/>
    <w:rsid w:val="0069215B"/>
    <w:rsid w:val="0069277B"/>
    <w:rsid w:val="006932C8"/>
    <w:rsid w:val="00693347"/>
    <w:rsid w:val="0069359C"/>
    <w:rsid w:val="0069447F"/>
    <w:rsid w:val="0069464C"/>
    <w:rsid w:val="006946AA"/>
    <w:rsid w:val="00694F60"/>
    <w:rsid w:val="0069517E"/>
    <w:rsid w:val="0069549D"/>
    <w:rsid w:val="0069550F"/>
    <w:rsid w:val="0069566F"/>
    <w:rsid w:val="0069568C"/>
    <w:rsid w:val="006958A0"/>
    <w:rsid w:val="00695B93"/>
    <w:rsid w:val="00696E58"/>
    <w:rsid w:val="0069706F"/>
    <w:rsid w:val="00697F2B"/>
    <w:rsid w:val="006A099F"/>
    <w:rsid w:val="006A0A91"/>
    <w:rsid w:val="006A0D9C"/>
    <w:rsid w:val="006A1339"/>
    <w:rsid w:val="006A1467"/>
    <w:rsid w:val="006A15E3"/>
    <w:rsid w:val="006A1954"/>
    <w:rsid w:val="006A19A0"/>
    <w:rsid w:val="006A1C37"/>
    <w:rsid w:val="006A22ED"/>
    <w:rsid w:val="006A2372"/>
    <w:rsid w:val="006A2483"/>
    <w:rsid w:val="006A324D"/>
    <w:rsid w:val="006A3276"/>
    <w:rsid w:val="006A3506"/>
    <w:rsid w:val="006A382B"/>
    <w:rsid w:val="006A3D05"/>
    <w:rsid w:val="006A4141"/>
    <w:rsid w:val="006A50CD"/>
    <w:rsid w:val="006A52F0"/>
    <w:rsid w:val="006A5479"/>
    <w:rsid w:val="006A5725"/>
    <w:rsid w:val="006A5903"/>
    <w:rsid w:val="006A592C"/>
    <w:rsid w:val="006A6A85"/>
    <w:rsid w:val="006A6D14"/>
    <w:rsid w:val="006A722D"/>
    <w:rsid w:val="006A7A36"/>
    <w:rsid w:val="006A7B21"/>
    <w:rsid w:val="006B0A92"/>
    <w:rsid w:val="006B0AA0"/>
    <w:rsid w:val="006B0D88"/>
    <w:rsid w:val="006B0FC2"/>
    <w:rsid w:val="006B1838"/>
    <w:rsid w:val="006B1F37"/>
    <w:rsid w:val="006B2444"/>
    <w:rsid w:val="006B2D37"/>
    <w:rsid w:val="006B349E"/>
    <w:rsid w:val="006B392C"/>
    <w:rsid w:val="006B3AB7"/>
    <w:rsid w:val="006B4413"/>
    <w:rsid w:val="006B491E"/>
    <w:rsid w:val="006B49DE"/>
    <w:rsid w:val="006B4DD9"/>
    <w:rsid w:val="006B5067"/>
    <w:rsid w:val="006B524E"/>
    <w:rsid w:val="006B59F4"/>
    <w:rsid w:val="006B5CAA"/>
    <w:rsid w:val="006B5DC3"/>
    <w:rsid w:val="006B6A5B"/>
    <w:rsid w:val="006B6EAB"/>
    <w:rsid w:val="006B745C"/>
    <w:rsid w:val="006B76D1"/>
    <w:rsid w:val="006B7900"/>
    <w:rsid w:val="006B7D02"/>
    <w:rsid w:val="006C0F8B"/>
    <w:rsid w:val="006C1816"/>
    <w:rsid w:val="006C1C3D"/>
    <w:rsid w:val="006C1CFF"/>
    <w:rsid w:val="006C2514"/>
    <w:rsid w:val="006C2F94"/>
    <w:rsid w:val="006C328E"/>
    <w:rsid w:val="006C385B"/>
    <w:rsid w:val="006C3B21"/>
    <w:rsid w:val="006C3EDB"/>
    <w:rsid w:val="006C42C0"/>
    <w:rsid w:val="006C53A4"/>
    <w:rsid w:val="006C6B02"/>
    <w:rsid w:val="006C6C53"/>
    <w:rsid w:val="006C71AC"/>
    <w:rsid w:val="006C7642"/>
    <w:rsid w:val="006C76E3"/>
    <w:rsid w:val="006C7D3E"/>
    <w:rsid w:val="006D01B1"/>
    <w:rsid w:val="006D02D3"/>
    <w:rsid w:val="006D0BAA"/>
    <w:rsid w:val="006D11E8"/>
    <w:rsid w:val="006D1241"/>
    <w:rsid w:val="006D1F21"/>
    <w:rsid w:val="006D2FEE"/>
    <w:rsid w:val="006D30E5"/>
    <w:rsid w:val="006D3138"/>
    <w:rsid w:val="006D313F"/>
    <w:rsid w:val="006D4625"/>
    <w:rsid w:val="006D4F80"/>
    <w:rsid w:val="006D5744"/>
    <w:rsid w:val="006D57C5"/>
    <w:rsid w:val="006D5DEF"/>
    <w:rsid w:val="006D5E41"/>
    <w:rsid w:val="006D60A3"/>
    <w:rsid w:val="006D6165"/>
    <w:rsid w:val="006D69AE"/>
    <w:rsid w:val="006D714E"/>
    <w:rsid w:val="006D747E"/>
    <w:rsid w:val="006D74B9"/>
    <w:rsid w:val="006D7B7D"/>
    <w:rsid w:val="006D7E41"/>
    <w:rsid w:val="006E1214"/>
    <w:rsid w:val="006E1226"/>
    <w:rsid w:val="006E16B5"/>
    <w:rsid w:val="006E1812"/>
    <w:rsid w:val="006E25CF"/>
    <w:rsid w:val="006E26C8"/>
    <w:rsid w:val="006E30A9"/>
    <w:rsid w:val="006E3239"/>
    <w:rsid w:val="006E3283"/>
    <w:rsid w:val="006E3AC2"/>
    <w:rsid w:val="006E40C1"/>
    <w:rsid w:val="006E47C2"/>
    <w:rsid w:val="006E4BAA"/>
    <w:rsid w:val="006E4BED"/>
    <w:rsid w:val="006E4E37"/>
    <w:rsid w:val="006E4ECC"/>
    <w:rsid w:val="006E523C"/>
    <w:rsid w:val="006E5790"/>
    <w:rsid w:val="006E69DE"/>
    <w:rsid w:val="006E6B77"/>
    <w:rsid w:val="006E7927"/>
    <w:rsid w:val="006E7D29"/>
    <w:rsid w:val="006E7D54"/>
    <w:rsid w:val="006E7F79"/>
    <w:rsid w:val="006F01C8"/>
    <w:rsid w:val="006F036C"/>
    <w:rsid w:val="006F0FB8"/>
    <w:rsid w:val="006F1651"/>
    <w:rsid w:val="006F16D6"/>
    <w:rsid w:val="006F17DE"/>
    <w:rsid w:val="006F1CA6"/>
    <w:rsid w:val="006F2003"/>
    <w:rsid w:val="006F2969"/>
    <w:rsid w:val="006F309B"/>
    <w:rsid w:val="006F3FFA"/>
    <w:rsid w:val="006F4134"/>
    <w:rsid w:val="006F4150"/>
    <w:rsid w:val="006F41A7"/>
    <w:rsid w:val="006F4726"/>
    <w:rsid w:val="006F4C34"/>
    <w:rsid w:val="006F4E16"/>
    <w:rsid w:val="006F4F61"/>
    <w:rsid w:val="006F5003"/>
    <w:rsid w:val="006F5097"/>
    <w:rsid w:val="006F5372"/>
    <w:rsid w:val="006F53BF"/>
    <w:rsid w:val="006F58A9"/>
    <w:rsid w:val="006F5C72"/>
    <w:rsid w:val="006F61EF"/>
    <w:rsid w:val="006F6445"/>
    <w:rsid w:val="006F6D18"/>
    <w:rsid w:val="006F782A"/>
    <w:rsid w:val="006F7FC0"/>
    <w:rsid w:val="00700140"/>
    <w:rsid w:val="00700515"/>
    <w:rsid w:val="00700735"/>
    <w:rsid w:val="00700ADA"/>
    <w:rsid w:val="00700B7B"/>
    <w:rsid w:val="00700EA7"/>
    <w:rsid w:val="00701509"/>
    <w:rsid w:val="007016FB"/>
    <w:rsid w:val="00702008"/>
    <w:rsid w:val="0070275B"/>
    <w:rsid w:val="007028A0"/>
    <w:rsid w:val="00702F21"/>
    <w:rsid w:val="007030B2"/>
    <w:rsid w:val="00703745"/>
    <w:rsid w:val="00704222"/>
    <w:rsid w:val="0070434F"/>
    <w:rsid w:val="00704522"/>
    <w:rsid w:val="0070469F"/>
    <w:rsid w:val="007046BE"/>
    <w:rsid w:val="007052A8"/>
    <w:rsid w:val="007052C5"/>
    <w:rsid w:val="007056C3"/>
    <w:rsid w:val="00706599"/>
    <w:rsid w:val="00706DBE"/>
    <w:rsid w:val="00706E1A"/>
    <w:rsid w:val="0070772E"/>
    <w:rsid w:val="0070797A"/>
    <w:rsid w:val="00710C0A"/>
    <w:rsid w:val="00710CF5"/>
    <w:rsid w:val="00710F67"/>
    <w:rsid w:val="00711BD7"/>
    <w:rsid w:val="007128BC"/>
    <w:rsid w:val="00712E59"/>
    <w:rsid w:val="0071312A"/>
    <w:rsid w:val="007133C7"/>
    <w:rsid w:val="007135DB"/>
    <w:rsid w:val="00713E41"/>
    <w:rsid w:val="00714031"/>
    <w:rsid w:val="007142A2"/>
    <w:rsid w:val="00714521"/>
    <w:rsid w:val="00714D92"/>
    <w:rsid w:val="0071584E"/>
    <w:rsid w:val="007158D8"/>
    <w:rsid w:val="00715A61"/>
    <w:rsid w:val="00715AA3"/>
    <w:rsid w:val="00715E97"/>
    <w:rsid w:val="00716BA7"/>
    <w:rsid w:val="00717219"/>
    <w:rsid w:val="007178C9"/>
    <w:rsid w:val="00717973"/>
    <w:rsid w:val="00717B12"/>
    <w:rsid w:val="00717E1E"/>
    <w:rsid w:val="00720B44"/>
    <w:rsid w:val="00721313"/>
    <w:rsid w:val="00721E8C"/>
    <w:rsid w:val="00722333"/>
    <w:rsid w:val="00723A35"/>
    <w:rsid w:val="00723B59"/>
    <w:rsid w:val="007241F7"/>
    <w:rsid w:val="00724255"/>
    <w:rsid w:val="00724D0E"/>
    <w:rsid w:val="0072522C"/>
    <w:rsid w:val="00726DC2"/>
    <w:rsid w:val="00726FD1"/>
    <w:rsid w:val="00727810"/>
    <w:rsid w:val="00727C48"/>
    <w:rsid w:val="00730C0A"/>
    <w:rsid w:val="007311FD"/>
    <w:rsid w:val="0073226E"/>
    <w:rsid w:val="00732443"/>
    <w:rsid w:val="00732678"/>
    <w:rsid w:val="0073329C"/>
    <w:rsid w:val="00733634"/>
    <w:rsid w:val="007342A2"/>
    <w:rsid w:val="007346EA"/>
    <w:rsid w:val="00734C86"/>
    <w:rsid w:val="00736068"/>
    <w:rsid w:val="00736A28"/>
    <w:rsid w:val="0073749C"/>
    <w:rsid w:val="007400AD"/>
    <w:rsid w:val="00740606"/>
    <w:rsid w:val="007413F5"/>
    <w:rsid w:val="007415E3"/>
    <w:rsid w:val="00741933"/>
    <w:rsid w:val="00741B31"/>
    <w:rsid w:val="0074203B"/>
    <w:rsid w:val="00742759"/>
    <w:rsid w:val="00742C9A"/>
    <w:rsid w:val="007438D5"/>
    <w:rsid w:val="00743DF2"/>
    <w:rsid w:val="00743F6C"/>
    <w:rsid w:val="00744515"/>
    <w:rsid w:val="00744C32"/>
    <w:rsid w:val="0074537E"/>
    <w:rsid w:val="007455FE"/>
    <w:rsid w:val="00745C97"/>
    <w:rsid w:val="00746039"/>
    <w:rsid w:val="007461B8"/>
    <w:rsid w:val="007465C0"/>
    <w:rsid w:val="007471F1"/>
    <w:rsid w:val="00750601"/>
    <w:rsid w:val="0075108C"/>
    <w:rsid w:val="007513FC"/>
    <w:rsid w:val="00751463"/>
    <w:rsid w:val="00751CAE"/>
    <w:rsid w:val="00751E27"/>
    <w:rsid w:val="00751F60"/>
    <w:rsid w:val="007521FE"/>
    <w:rsid w:val="007522B6"/>
    <w:rsid w:val="007527AF"/>
    <w:rsid w:val="007529AF"/>
    <w:rsid w:val="00752C24"/>
    <w:rsid w:val="00753366"/>
    <w:rsid w:val="007535D4"/>
    <w:rsid w:val="007550DA"/>
    <w:rsid w:val="00755520"/>
    <w:rsid w:val="00756A8E"/>
    <w:rsid w:val="00756ACA"/>
    <w:rsid w:val="00757622"/>
    <w:rsid w:val="007578F3"/>
    <w:rsid w:val="00757960"/>
    <w:rsid w:val="00757A2F"/>
    <w:rsid w:val="00757F5D"/>
    <w:rsid w:val="00760001"/>
    <w:rsid w:val="00760241"/>
    <w:rsid w:val="007602E5"/>
    <w:rsid w:val="00760591"/>
    <w:rsid w:val="0076096F"/>
    <w:rsid w:val="00760B32"/>
    <w:rsid w:val="00760EAA"/>
    <w:rsid w:val="0076178A"/>
    <w:rsid w:val="00761FA1"/>
    <w:rsid w:val="007626AC"/>
    <w:rsid w:val="00762912"/>
    <w:rsid w:val="00763100"/>
    <w:rsid w:val="007637A0"/>
    <w:rsid w:val="00764276"/>
    <w:rsid w:val="007642EA"/>
    <w:rsid w:val="007645EE"/>
    <w:rsid w:val="00764601"/>
    <w:rsid w:val="0076496E"/>
    <w:rsid w:val="00764B71"/>
    <w:rsid w:val="007654FC"/>
    <w:rsid w:val="00765B32"/>
    <w:rsid w:val="00766939"/>
    <w:rsid w:val="00766D78"/>
    <w:rsid w:val="00766F07"/>
    <w:rsid w:val="00767334"/>
    <w:rsid w:val="00767648"/>
    <w:rsid w:val="0077038C"/>
    <w:rsid w:val="00770985"/>
    <w:rsid w:val="00770D72"/>
    <w:rsid w:val="00771554"/>
    <w:rsid w:val="007717FE"/>
    <w:rsid w:val="00771AFF"/>
    <w:rsid w:val="00771CE5"/>
    <w:rsid w:val="0077212C"/>
    <w:rsid w:val="0077301F"/>
    <w:rsid w:val="00773783"/>
    <w:rsid w:val="00773E64"/>
    <w:rsid w:val="00773F30"/>
    <w:rsid w:val="0077470D"/>
    <w:rsid w:val="00774C45"/>
    <w:rsid w:val="007753FF"/>
    <w:rsid w:val="007754C9"/>
    <w:rsid w:val="00775A35"/>
    <w:rsid w:val="00775A7B"/>
    <w:rsid w:val="00776054"/>
    <w:rsid w:val="00776A44"/>
    <w:rsid w:val="00776E43"/>
    <w:rsid w:val="00776ED8"/>
    <w:rsid w:val="00777536"/>
    <w:rsid w:val="00777B5B"/>
    <w:rsid w:val="00777CBD"/>
    <w:rsid w:val="00777F2F"/>
    <w:rsid w:val="007802F0"/>
    <w:rsid w:val="00780FAC"/>
    <w:rsid w:val="00781242"/>
    <w:rsid w:val="007816CB"/>
    <w:rsid w:val="0078194C"/>
    <w:rsid w:val="007821E3"/>
    <w:rsid w:val="00782571"/>
    <w:rsid w:val="00782771"/>
    <w:rsid w:val="0078297D"/>
    <w:rsid w:val="00782B99"/>
    <w:rsid w:val="00782E4B"/>
    <w:rsid w:val="00783201"/>
    <w:rsid w:val="00783617"/>
    <w:rsid w:val="00783854"/>
    <w:rsid w:val="00784600"/>
    <w:rsid w:val="00784BBF"/>
    <w:rsid w:val="007853FA"/>
    <w:rsid w:val="00785D87"/>
    <w:rsid w:val="00785ECD"/>
    <w:rsid w:val="00787B56"/>
    <w:rsid w:val="00790426"/>
    <w:rsid w:val="00790997"/>
    <w:rsid w:val="00790A2A"/>
    <w:rsid w:val="00790FB1"/>
    <w:rsid w:val="0079111B"/>
    <w:rsid w:val="00791912"/>
    <w:rsid w:val="007931A0"/>
    <w:rsid w:val="007932EA"/>
    <w:rsid w:val="0079353D"/>
    <w:rsid w:val="007935CD"/>
    <w:rsid w:val="0079374A"/>
    <w:rsid w:val="00793E3C"/>
    <w:rsid w:val="00793F31"/>
    <w:rsid w:val="00793F38"/>
    <w:rsid w:val="0079421F"/>
    <w:rsid w:val="0079529E"/>
    <w:rsid w:val="007969D0"/>
    <w:rsid w:val="00796A8C"/>
    <w:rsid w:val="00796C21"/>
    <w:rsid w:val="00796E1D"/>
    <w:rsid w:val="00797349"/>
    <w:rsid w:val="00797643"/>
    <w:rsid w:val="007A0A47"/>
    <w:rsid w:val="007A0D95"/>
    <w:rsid w:val="007A1BE6"/>
    <w:rsid w:val="007A1EE2"/>
    <w:rsid w:val="007A30A1"/>
    <w:rsid w:val="007A32E2"/>
    <w:rsid w:val="007A3A9B"/>
    <w:rsid w:val="007A4107"/>
    <w:rsid w:val="007A539D"/>
    <w:rsid w:val="007A59D7"/>
    <w:rsid w:val="007A63BA"/>
    <w:rsid w:val="007A6701"/>
    <w:rsid w:val="007A6919"/>
    <w:rsid w:val="007A694C"/>
    <w:rsid w:val="007A7213"/>
    <w:rsid w:val="007A759A"/>
    <w:rsid w:val="007A7BDB"/>
    <w:rsid w:val="007B0538"/>
    <w:rsid w:val="007B05CD"/>
    <w:rsid w:val="007B1282"/>
    <w:rsid w:val="007B1C0B"/>
    <w:rsid w:val="007B1D51"/>
    <w:rsid w:val="007B1ED6"/>
    <w:rsid w:val="007B2518"/>
    <w:rsid w:val="007B281D"/>
    <w:rsid w:val="007B285F"/>
    <w:rsid w:val="007B2E53"/>
    <w:rsid w:val="007B3C5E"/>
    <w:rsid w:val="007B4223"/>
    <w:rsid w:val="007B4EE4"/>
    <w:rsid w:val="007B4F51"/>
    <w:rsid w:val="007B5032"/>
    <w:rsid w:val="007B518A"/>
    <w:rsid w:val="007B5528"/>
    <w:rsid w:val="007B5A99"/>
    <w:rsid w:val="007B5D6B"/>
    <w:rsid w:val="007B5DB0"/>
    <w:rsid w:val="007B5DE2"/>
    <w:rsid w:val="007B5E2F"/>
    <w:rsid w:val="007B64C6"/>
    <w:rsid w:val="007B6B7D"/>
    <w:rsid w:val="007B7521"/>
    <w:rsid w:val="007B7557"/>
    <w:rsid w:val="007B7572"/>
    <w:rsid w:val="007B7776"/>
    <w:rsid w:val="007B78E9"/>
    <w:rsid w:val="007B7EF9"/>
    <w:rsid w:val="007C01D7"/>
    <w:rsid w:val="007C0280"/>
    <w:rsid w:val="007C05CE"/>
    <w:rsid w:val="007C05CF"/>
    <w:rsid w:val="007C083C"/>
    <w:rsid w:val="007C0875"/>
    <w:rsid w:val="007C0D41"/>
    <w:rsid w:val="007C1079"/>
    <w:rsid w:val="007C11B1"/>
    <w:rsid w:val="007C1731"/>
    <w:rsid w:val="007C182E"/>
    <w:rsid w:val="007C1B22"/>
    <w:rsid w:val="007C26EC"/>
    <w:rsid w:val="007C28C2"/>
    <w:rsid w:val="007C2C87"/>
    <w:rsid w:val="007C3261"/>
    <w:rsid w:val="007C3699"/>
    <w:rsid w:val="007C3F25"/>
    <w:rsid w:val="007C4314"/>
    <w:rsid w:val="007C54B3"/>
    <w:rsid w:val="007C5848"/>
    <w:rsid w:val="007C6FF2"/>
    <w:rsid w:val="007C72EB"/>
    <w:rsid w:val="007C73F2"/>
    <w:rsid w:val="007C76CB"/>
    <w:rsid w:val="007C7723"/>
    <w:rsid w:val="007C780C"/>
    <w:rsid w:val="007C78B2"/>
    <w:rsid w:val="007C7A12"/>
    <w:rsid w:val="007C7CB4"/>
    <w:rsid w:val="007D0973"/>
    <w:rsid w:val="007D12FE"/>
    <w:rsid w:val="007D1B69"/>
    <w:rsid w:val="007D24EE"/>
    <w:rsid w:val="007D284E"/>
    <w:rsid w:val="007D2BB6"/>
    <w:rsid w:val="007D37EA"/>
    <w:rsid w:val="007D38CC"/>
    <w:rsid w:val="007D3A34"/>
    <w:rsid w:val="007D3B62"/>
    <w:rsid w:val="007D3EA5"/>
    <w:rsid w:val="007D432F"/>
    <w:rsid w:val="007D4531"/>
    <w:rsid w:val="007D46E8"/>
    <w:rsid w:val="007D4930"/>
    <w:rsid w:val="007D5186"/>
    <w:rsid w:val="007D59A4"/>
    <w:rsid w:val="007D608D"/>
    <w:rsid w:val="007D6580"/>
    <w:rsid w:val="007D6F89"/>
    <w:rsid w:val="007D764A"/>
    <w:rsid w:val="007D7E5B"/>
    <w:rsid w:val="007E004F"/>
    <w:rsid w:val="007E02C5"/>
    <w:rsid w:val="007E0365"/>
    <w:rsid w:val="007E084E"/>
    <w:rsid w:val="007E09AA"/>
    <w:rsid w:val="007E0D9A"/>
    <w:rsid w:val="007E0DB8"/>
    <w:rsid w:val="007E1223"/>
    <w:rsid w:val="007E127C"/>
    <w:rsid w:val="007E3046"/>
    <w:rsid w:val="007E3A83"/>
    <w:rsid w:val="007E430A"/>
    <w:rsid w:val="007E4485"/>
    <w:rsid w:val="007E46C9"/>
    <w:rsid w:val="007E46D2"/>
    <w:rsid w:val="007E49F5"/>
    <w:rsid w:val="007E4CE0"/>
    <w:rsid w:val="007E56C9"/>
    <w:rsid w:val="007E57EB"/>
    <w:rsid w:val="007E5BB6"/>
    <w:rsid w:val="007E5E35"/>
    <w:rsid w:val="007E60C6"/>
    <w:rsid w:val="007E61D9"/>
    <w:rsid w:val="007E664F"/>
    <w:rsid w:val="007E67B6"/>
    <w:rsid w:val="007E6F2B"/>
    <w:rsid w:val="007E7936"/>
    <w:rsid w:val="007E7B16"/>
    <w:rsid w:val="007E7FBD"/>
    <w:rsid w:val="007E7FBF"/>
    <w:rsid w:val="007F0CA1"/>
    <w:rsid w:val="007F12CD"/>
    <w:rsid w:val="007F22E9"/>
    <w:rsid w:val="007F26CD"/>
    <w:rsid w:val="007F2D85"/>
    <w:rsid w:val="007F338D"/>
    <w:rsid w:val="007F346A"/>
    <w:rsid w:val="007F3C80"/>
    <w:rsid w:val="007F3D9B"/>
    <w:rsid w:val="007F3DEC"/>
    <w:rsid w:val="007F3FD6"/>
    <w:rsid w:val="007F4030"/>
    <w:rsid w:val="007F41C7"/>
    <w:rsid w:val="007F47AC"/>
    <w:rsid w:val="007F4ADA"/>
    <w:rsid w:val="007F4DDD"/>
    <w:rsid w:val="007F505C"/>
    <w:rsid w:val="007F5180"/>
    <w:rsid w:val="007F5B34"/>
    <w:rsid w:val="007F5C7E"/>
    <w:rsid w:val="007F636D"/>
    <w:rsid w:val="007F6911"/>
    <w:rsid w:val="007F6BF7"/>
    <w:rsid w:val="007F7535"/>
    <w:rsid w:val="007F759B"/>
    <w:rsid w:val="007F75D2"/>
    <w:rsid w:val="007F7769"/>
    <w:rsid w:val="007F7C30"/>
    <w:rsid w:val="007F7C90"/>
    <w:rsid w:val="007F7D12"/>
    <w:rsid w:val="00800020"/>
    <w:rsid w:val="00800692"/>
    <w:rsid w:val="008014CE"/>
    <w:rsid w:val="008014E9"/>
    <w:rsid w:val="008018CE"/>
    <w:rsid w:val="00802407"/>
    <w:rsid w:val="008029BD"/>
    <w:rsid w:val="008029EA"/>
    <w:rsid w:val="00802AAB"/>
    <w:rsid w:val="00802AD0"/>
    <w:rsid w:val="00802E04"/>
    <w:rsid w:val="00802FBE"/>
    <w:rsid w:val="0080310C"/>
    <w:rsid w:val="00803499"/>
    <w:rsid w:val="00804314"/>
    <w:rsid w:val="00804812"/>
    <w:rsid w:val="00804F70"/>
    <w:rsid w:val="00805471"/>
    <w:rsid w:val="008055DD"/>
    <w:rsid w:val="00806201"/>
    <w:rsid w:val="008063D3"/>
    <w:rsid w:val="008067B0"/>
    <w:rsid w:val="00806D65"/>
    <w:rsid w:val="00806E2B"/>
    <w:rsid w:val="00806E9C"/>
    <w:rsid w:val="00807097"/>
    <w:rsid w:val="00807E7C"/>
    <w:rsid w:val="00807E8C"/>
    <w:rsid w:val="00810256"/>
    <w:rsid w:val="008104BF"/>
    <w:rsid w:val="00810A29"/>
    <w:rsid w:val="00810FE7"/>
    <w:rsid w:val="008110FB"/>
    <w:rsid w:val="00811916"/>
    <w:rsid w:val="00811B5B"/>
    <w:rsid w:val="0081228A"/>
    <w:rsid w:val="00812A51"/>
    <w:rsid w:val="00812AC9"/>
    <w:rsid w:val="00812F14"/>
    <w:rsid w:val="008134A3"/>
    <w:rsid w:val="00813D26"/>
    <w:rsid w:val="00814C2E"/>
    <w:rsid w:val="00814C36"/>
    <w:rsid w:val="0081541F"/>
    <w:rsid w:val="008154AB"/>
    <w:rsid w:val="00816E79"/>
    <w:rsid w:val="00816EC0"/>
    <w:rsid w:val="0081731F"/>
    <w:rsid w:val="008174DC"/>
    <w:rsid w:val="0082068F"/>
    <w:rsid w:val="00820A4D"/>
    <w:rsid w:val="00820B28"/>
    <w:rsid w:val="00821286"/>
    <w:rsid w:val="00821AFD"/>
    <w:rsid w:val="00821B52"/>
    <w:rsid w:val="00823416"/>
    <w:rsid w:val="00823C5C"/>
    <w:rsid w:val="00824182"/>
    <w:rsid w:val="00824618"/>
    <w:rsid w:val="00824905"/>
    <w:rsid w:val="0082551E"/>
    <w:rsid w:val="00825746"/>
    <w:rsid w:val="00825DDA"/>
    <w:rsid w:val="008264AE"/>
    <w:rsid w:val="00826CAE"/>
    <w:rsid w:val="00826D8E"/>
    <w:rsid w:val="00826F0D"/>
    <w:rsid w:val="008276A8"/>
    <w:rsid w:val="00827E87"/>
    <w:rsid w:val="00830628"/>
    <w:rsid w:val="008306CF"/>
    <w:rsid w:val="00830824"/>
    <w:rsid w:val="008309DA"/>
    <w:rsid w:val="00830A66"/>
    <w:rsid w:val="00830BC8"/>
    <w:rsid w:val="008318A8"/>
    <w:rsid w:val="00831DD8"/>
    <w:rsid w:val="008320A9"/>
    <w:rsid w:val="00832563"/>
    <w:rsid w:val="00832600"/>
    <w:rsid w:val="008329DC"/>
    <w:rsid w:val="0083422B"/>
    <w:rsid w:val="00834617"/>
    <w:rsid w:val="00835080"/>
    <w:rsid w:val="0083510E"/>
    <w:rsid w:val="00835223"/>
    <w:rsid w:val="00835787"/>
    <w:rsid w:val="00835BB1"/>
    <w:rsid w:val="008364A4"/>
    <w:rsid w:val="00836503"/>
    <w:rsid w:val="008367CB"/>
    <w:rsid w:val="0083693C"/>
    <w:rsid w:val="00836C70"/>
    <w:rsid w:val="0083717E"/>
    <w:rsid w:val="00837C9A"/>
    <w:rsid w:val="00837CEB"/>
    <w:rsid w:val="00840024"/>
    <w:rsid w:val="00840192"/>
    <w:rsid w:val="008407D3"/>
    <w:rsid w:val="0084124E"/>
    <w:rsid w:val="0084124F"/>
    <w:rsid w:val="00841529"/>
    <w:rsid w:val="00841F97"/>
    <w:rsid w:val="00842E5B"/>
    <w:rsid w:val="00842ECD"/>
    <w:rsid w:val="00842F00"/>
    <w:rsid w:val="00843051"/>
    <w:rsid w:val="00843674"/>
    <w:rsid w:val="008441D5"/>
    <w:rsid w:val="00844920"/>
    <w:rsid w:val="00844B48"/>
    <w:rsid w:val="00844BCE"/>
    <w:rsid w:val="00844CBC"/>
    <w:rsid w:val="00844FE0"/>
    <w:rsid w:val="00845314"/>
    <w:rsid w:val="0084548C"/>
    <w:rsid w:val="00846216"/>
    <w:rsid w:val="00846596"/>
    <w:rsid w:val="0084661F"/>
    <w:rsid w:val="0084670C"/>
    <w:rsid w:val="00846F83"/>
    <w:rsid w:val="008474E8"/>
    <w:rsid w:val="008478F8"/>
    <w:rsid w:val="008501B7"/>
    <w:rsid w:val="00850FFA"/>
    <w:rsid w:val="008510B2"/>
    <w:rsid w:val="00851569"/>
    <w:rsid w:val="008516D7"/>
    <w:rsid w:val="008517A0"/>
    <w:rsid w:val="00851A01"/>
    <w:rsid w:val="00851B70"/>
    <w:rsid w:val="00851C7D"/>
    <w:rsid w:val="00851CD9"/>
    <w:rsid w:val="00851D8E"/>
    <w:rsid w:val="00851EE2"/>
    <w:rsid w:val="00852021"/>
    <w:rsid w:val="00852238"/>
    <w:rsid w:val="0085224D"/>
    <w:rsid w:val="0085253F"/>
    <w:rsid w:val="0085269C"/>
    <w:rsid w:val="00852782"/>
    <w:rsid w:val="00853BEA"/>
    <w:rsid w:val="00854253"/>
    <w:rsid w:val="00854368"/>
    <w:rsid w:val="008544C2"/>
    <w:rsid w:val="008547D8"/>
    <w:rsid w:val="0085487B"/>
    <w:rsid w:val="00854D9D"/>
    <w:rsid w:val="00854E12"/>
    <w:rsid w:val="00855232"/>
    <w:rsid w:val="008555B0"/>
    <w:rsid w:val="00855953"/>
    <w:rsid w:val="00855AB4"/>
    <w:rsid w:val="0085605D"/>
    <w:rsid w:val="00856182"/>
    <w:rsid w:val="00856257"/>
    <w:rsid w:val="008562F7"/>
    <w:rsid w:val="00856897"/>
    <w:rsid w:val="00857A0A"/>
    <w:rsid w:val="0086098B"/>
    <w:rsid w:val="00860A03"/>
    <w:rsid w:val="00860A23"/>
    <w:rsid w:val="00860AC2"/>
    <w:rsid w:val="00861046"/>
    <w:rsid w:val="008612D9"/>
    <w:rsid w:val="0086130A"/>
    <w:rsid w:val="00861558"/>
    <w:rsid w:val="008617AA"/>
    <w:rsid w:val="00861B4B"/>
    <w:rsid w:val="00861BA2"/>
    <w:rsid w:val="00861FBC"/>
    <w:rsid w:val="00862774"/>
    <w:rsid w:val="00862C1C"/>
    <w:rsid w:val="00862F93"/>
    <w:rsid w:val="00863668"/>
    <w:rsid w:val="008637DD"/>
    <w:rsid w:val="00863F90"/>
    <w:rsid w:val="008642A0"/>
    <w:rsid w:val="00864B78"/>
    <w:rsid w:val="00864E80"/>
    <w:rsid w:val="008653C8"/>
    <w:rsid w:val="00865E8D"/>
    <w:rsid w:val="008663A2"/>
    <w:rsid w:val="00866623"/>
    <w:rsid w:val="00866A6F"/>
    <w:rsid w:val="00867107"/>
    <w:rsid w:val="008676DB"/>
    <w:rsid w:val="00870226"/>
    <w:rsid w:val="0087083F"/>
    <w:rsid w:val="0087088A"/>
    <w:rsid w:val="00871415"/>
    <w:rsid w:val="0087214C"/>
    <w:rsid w:val="008721D5"/>
    <w:rsid w:val="008724DB"/>
    <w:rsid w:val="00872B05"/>
    <w:rsid w:val="00873E56"/>
    <w:rsid w:val="00873FA2"/>
    <w:rsid w:val="0087437F"/>
    <w:rsid w:val="008743CE"/>
    <w:rsid w:val="008747C4"/>
    <w:rsid w:val="00874B84"/>
    <w:rsid w:val="00875DEC"/>
    <w:rsid w:val="008762A0"/>
    <w:rsid w:val="00876325"/>
    <w:rsid w:val="00876D24"/>
    <w:rsid w:val="00877B0B"/>
    <w:rsid w:val="00877B41"/>
    <w:rsid w:val="00877BF4"/>
    <w:rsid w:val="00880966"/>
    <w:rsid w:val="00880E41"/>
    <w:rsid w:val="00880F26"/>
    <w:rsid w:val="0088106E"/>
    <w:rsid w:val="008811DE"/>
    <w:rsid w:val="008815C1"/>
    <w:rsid w:val="00881DC0"/>
    <w:rsid w:val="00881DE7"/>
    <w:rsid w:val="008821C0"/>
    <w:rsid w:val="008838D9"/>
    <w:rsid w:val="00883F1F"/>
    <w:rsid w:val="00884336"/>
    <w:rsid w:val="00884AAA"/>
    <w:rsid w:val="0088635B"/>
    <w:rsid w:val="00886AB2"/>
    <w:rsid w:val="00887013"/>
    <w:rsid w:val="008878AC"/>
    <w:rsid w:val="00890FAF"/>
    <w:rsid w:val="00891052"/>
    <w:rsid w:val="0089182F"/>
    <w:rsid w:val="00891FC3"/>
    <w:rsid w:val="008923ED"/>
    <w:rsid w:val="00892433"/>
    <w:rsid w:val="008925B3"/>
    <w:rsid w:val="0089284D"/>
    <w:rsid w:val="00892D77"/>
    <w:rsid w:val="008930E7"/>
    <w:rsid w:val="00893A26"/>
    <w:rsid w:val="00893B5D"/>
    <w:rsid w:val="00893BBD"/>
    <w:rsid w:val="00894002"/>
    <w:rsid w:val="0089473F"/>
    <w:rsid w:val="00894974"/>
    <w:rsid w:val="00894A38"/>
    <w:rsid w:val="008950B1"/>
    <w:rsid w:val="00895A48"/>
    <w:rsid w:val="00895FDE"/>
    <w:rsid w:val="00896979"/>
    <w:rsid w:val="0089721F"/>
    <w:rsid w:val="0089781D"/>
    <w:rsid w:val="00897843"/>
    <w:rsid w:val="00897A4A"/>
    <w:rsid w:val="00897D8E"/>
    <w:rsid w:val="008A020C"/>
    <w:rsid w:val="008A0566"/>
    <w:rsid w:val="008A0AB5"/>
    <w:rsid w:val="008A0D7A"/>
    <w:rsid w:val="008A0E5E"/>
    <w:rsid w:val="008A1A24"/>
    <w:rsid w:val="008A1D48"/>
    <w:rsid w:val="008A2971"/>
    <w:rsid w:val="008A2D72"/>
    <w:rsid w:val="008A2FDD"/>
    <w:rsid w:val="008A3770"/>
    <w:rsid w:val="008A397B"/>
    <w:rsid w:val="008A3B43"/>
    <w:rsid w:val="008A3E93"/>
    <w:rsid w:val="008A3ED0"/>
    <w:rsid w:val="008A3EDA"/>
    <w:rsid w:val="008A3FE5"/>
    <w:rsid w:val="008A4559"/>
    <w:rsid w:val="008A4725"/>
    <w:rsid w:val="008A4E4C"/>
    <w:rsid w:val="008A5030"/>
    <w:rsid w:val="008A601A"/>
    <w:rsid w:val="008A675D"/>
    <w:rsid w:val="008A6AEA"/>
    <w:rsid w:val="008B0F21"/>
    <w:rsid w:val="008B10D0"/>
    <w:rsid w:val="008B13B5"/>
    <w:rsid w:val="008B2BC1"/>
    <w:rsid w:val="008B2C37"/>
    <w:rsid w:val="008B3BAA"/>
    <w:rsid w:val="008B3F51"/>
    <w:rsid w:val="008B4534"/>
    <w:rsid w:val="008B4955"/>
    <w:rsid w:val="008B5A74"/>
    <w:rsid w:val="008B5BC9"/>
    <w:rsid w:val="008B5EB2"/>
    <w:rsid w:val="008B62FC"/>
    <w:rsid w:val="008B650A"/>
    <w:rsid w:val="008B66DB"/>
    <w:rsid w:val="008B68B5"/>
    <w:rsid w:val="008B6CA4"/>
    <w:rsid w:val="008B752F"/>
    <w:rsid w:val="008B78CA"/>
    <w:rsid w:val="008B79C1"/>
    <w:rsid w:val="008C016E"/>
    <w:rsid w:val="008C026C"/>
    <w:rsid w:val="008C0F55"/>
    <w:rsid w:val="008C136C"/>
    <w:rsid w:val="008C1765"/>
    <w:rsid w:val="008C1B70"/>
    <w:rsid w:val="008C1B81"/>
    <w:rsid w:val="008C1D0D"/>
    <w:rsid w:val="008C1E84"/>
    <w:rsid w:val="008C29DC"/>
    <w:rsid w:val="008C2DC4"/>
    <w:rsid w:val="008C30AB"/>
    <w:rsid w:val="008C3108"/>
    <w:rsid w:val="008C3DEF"/>
    <w:rsid w:val="008C3F46"/>
    <w:rsid w:val="008C40B4"/>
    <w:rsid w:val="008C4227"/>
    <w:rsid w:val="008C42A5"/>
    <w:rsid w:val="008C444D"/>
    <w:rsid w:val="008C47D3"/>
    <w:rsid w:val="008C50C4"/>
    <w:rsid w:val="008C53CB"/>
    <w:rsid w:val="008C58FD"/>
    <w:rsid w:val="008C61C6"/>
    <w:rsid w:val="008C6CAF"/>
    <w:rsid w:val="008C6D2A"/>
    <w:rsid w:val="008C6F57"/>
    <w:rsid w:val="008C70F7"/>
    <w:rsid w:val="008C75C6"/>
    <w:rsid w:val="008C7F9A"/>
    <w:rsid w:val="008D0A10"/>
    <w:rsid w:val="008D1007"/>
    <w:rsid w:val="008D11DF"/>
    <w:rsid w:val="008D1400"/>
    <w:rsid w:val="008D1408"/>
    <w:rsid w:val="008D1A79"/>
    <w:rsid w:val="008D20DD"/>
    <w:rsid w:val="008D2457"/>
    <w:rsid w:val="008D260F"/>
    <w:rsid w:val="008D2B95"/>
    <w:rsid w:val="008D2C4F"/>
    <w:rsid w:val="008D354C"/>
    <w:rsid w:val="008D357C"/>
    <w:rsid w:val="008D3593"/>
    <w:rsid w:val="008D3750"/>
    <w:rsid w:val="008D424D"/>
    <w:rsid w:val="008D4508"/>
    <w:rsid w:val="008D4F63"/>
    <w:rsid w:val="008D50FA"/>
    <w:rsid w:val="008D57B6"/>
    <w:rsid w:val="008D5A8F"/>
    <w:rsid w:val="008D620A"/>
    <w:rsid w:val="008D63B3"/>
    <w:rsid w:val="008D6B9D"/>
    <w:rsid w:val="008D7A1B"/>
    <w:rsid w:val="008E04FC"/>
    <w:rsid w:val="008E1047"/>
    <w:rsid w:val="008E280C"/>
    <w:rsid w:val="008E2A09"/>
    <w:rsid w:val="008E2ADC"/>
    <w:rsid w:val="008E2AED"/>
    <w:rsid w:val="008E2BF7"/>
    <w:rsid w:val="008E2C96"/>
    <w:rsid w:val="008E2D41"/>
    <w:rsid w:val="008E2FEC"/>
    <w:rsid w:val="008E3984"/>
    <w:rsid w:val="008E4A97"/>
    <w:rsid w:val="008E4E29"/>
    <w:rsid w:val="008E4E2E"/>
    <w:rsid w:val="008E6165"/>
    <w:rsid w:val="008E7048"/>
    <w:rsid w:val="008F01B9"/>
    <w:rsid w:val="008F03E5"/>
    <w:rsid w:val="008F05DC"/>
    <w:rsid w:val="008F15F3"/>
    <w:rsid w:val="008F1925"/>
    <w:rsid w:val="008F19AA"/>
    <w:rsid w:val="008F1D74"/>
    <w:rsid w:val="008F2169"/>
    <w:rsid w:val="008F21D2"/>
    <w:rsid w:val="008F226A"/>
    <w:rsid w:val="008F2666"/>
    <w:rsid w:val="008F29B0"/>
    <w:rsid w:val="008F3269"/>
    <w:rsid w:val="008F3D4F"/>
    <w:rsid w:val="008F4E3C"/>
    <w:rsid w:val="008F5AE0"/>
    <w:rsid w:val="008F5EFF"/>
    <w:rsid w:val="008F6AAA"/>
    <w:rsid w:val="008F6B10"/>
    <w:rsid w:val="008F6BEF"/>
    <w:rsid w:val="008F6EB9"/>
    <w:rsid w:val="00900261"/>
    <w:rsid w:val="0090102D"/>
    <w:rsid w:val="009015F3"/>
    <w:rsid w:val="009016EF"/>
    <w:rsid w:val="00901BCD"/>
    <w:rsid w:val="0090205E"/>
    <w:rsid w:val="00902363"/>
    <w:rsid w:val="009025DD"/>
    <w:rsid w:val="009027C4"/>
    <w:rsid w:val="00903B1E"/>
    <w:rsid w:val="00903DE0"/>
    <w:rsid w:val="00904C03"/>
    <w:rsid w:val="00904E62"/>
    <w:rsid w:val="00904F57"/>
    <w:rsid w:val="00905525"/>
    <w:rsid w:val="00905526"/>
    <w:rsid w:val="00905581"/>
    <w:rsid w:val="0090617E"/>
    <w:rsid w:val="00906804"/>
    <w:rsid w:val="0090714B"/>
    <w:rsid w:val="0090791B"/>
    <w:rsid w:val="009079B5"/>
    <w:rsid w:val="00907D5B"/>
    <w:rsid w:val="00907E1B"/>
    <w:rsid w:val="00910AD3"/>
    <w:rsid w:val="0091149F"/>
    <w:rsid w:val="0091244E"/>
    <w:rsid w:val="0091257A"/>
    <w:rsid w:val="009125C7"/>
    <w:rsid w:val="00912702"/>
    <w:rsid w:val="00912946"/>
    <w:rsid w:val="00912C91"/>
    <w:rsid w:val="0091343C"/>
    <w:rsid w:val="00913680"/>
    <w:rsid w:val="00913908"/>
    <w:rsid w:val="00914F88"/>
    <w:rsid w:val="009155D8"/>
    <w:rsid w:val="009158DD"/>
    <w:rsid w:val="00915B68"/>
    <w:rsid w:val="00915C8E"/>
    <w:rsid w:val="00915C90"/>
    <w:rsid w:val="00915D91"/>
    <w:rsid w:val="009162E0"/>
    <w:rsid w:val="0091686A"/>
    <w:rsid w:val="00916CBC"/>
    <w:rsid w:val="009170CD"/>
    <w:rsid w:val="009178C9"/>
    <w:rsid w:val="00917A28"/>
    <w:rsid w:val="00917C3A"/>
    <w:rsid w:val="00917E8A"/>
    <w:rsid w:val="00920588"/>
    <w:rsid w:val="00920A2D"/>
    <w:rsid w:val="00921138"/>
    <w:rsid w:val="009211D2"/>
    <w:rsid w:val="00921815"/>
    <w:rsid w:val="0092231C"/>
    <w:rsid w:val="009223E5"/>
    <w:rsid w:val="009229C7"/>
    <w:rsid w:val="009230F3"/>
    <w:rsid w:val="00923DF8"/>
    <w:rsid w:val="00924BEB"/>
    <w:rsid w:val="009250FB"/>
    <w:rsid w:val="00925101"/>
    <w:rsid w:val="009252B5"/>
    <w:rsid w:val="00925856"/>
    <w:rsid w:val="00925873"/>
    <w:rsid w:val="00925C85"/>
    <w:rsid w:val="009260C5"/>
    <w:rsid w:val="00926121"/>
    <w:rsid w:val="009264A1"/>
    <w:rsid w:val="0092686D"/>
    <w:rsid w:val="00926D73"/>
    <w:rsid w:val="00927319"/>
    <w:rsid w:val="00927465"/>
    <w:rsid w:val="00927E5E"/>
    <w:rsid w:val="00927E86"/>
    <w:rsid w:val="009303A9"/>
    <w:rsid w:val="00930604"/>
    <w:rsid w:val="0093067C"/>
    <w:rsid w:val="0093072E"/>
    <w:rsid w:val="009307B9"/>
    <w:rsid w:val="00930D1E"/>
    <w:rsid w:val="00931098"/>
    <w:rsid w:val="00931151"/>
    <w:rsid w:val="00931618"/>
    <w:rsid w:val="00931732"/>
    <w:rsid w:val="0093183E"/>
    <w:rsid w:val="00932425"/>
    <w:rsid w:val="00934811"/>
    <w:rsid w:val="009351AA"/>
    <w:rsid w:val="009353D2"/>
    <w:rsid w:val="0093585F"/>
    <w:rsid w:val="00935F8B"/>
    <w:rsid w:val="00935FF3"/>
    <w:rsid w:val="00936896"/>
    <w:rsid w:val="00936AF9"/>
    <w:rsid w:val="00936C26"/>
    <w:rsid w:val="00936D4B"/>
    <w:rsid w:val="00940C35"/>
    <w:rsid w:val="00941304"/>
    <w:rsid w:val="00941579"/>
    <w:rsid w:val="009415B4"/>
    <w:rsid w:val="00941EE4"/>
    <w:rsid w:val="0094201D"/>
    <w:rsid w:val="0094208C"/>
    <w:rsid w:val="009420B7"/>
    <w:rsid w:val="009426EC"/>
    <w:rsid w:val="009428E3"/>
    <w:rsid w:val="00942AE8"/>
    <w:rsid w:val="00942D6C"/>
    <w:rsid w:val="00943162"/>
    <w:rsid w:val="00943309"/>
    <w:rsid w:val="009433AD"/>
    <w:rsid w:val="00943AF8"/>
    <w:rsid w:val="00943E6F"/>
    <w:rsid w:val="0094417B"/>
    <w:rsid w:val="00944802"/>
    <w:rsid w:val="00944B6B"/>
    <w:rsid w:val="009451A1"/>
    <w:rsid w:val="009458E2"/>
    <w:rsid w:val="00945D28"/>
    <w:rsid w:val="009461D4"/>
    <w:rsid w:val="0094645F"/>
    <w:rsid w:val="0094646E"/>
    <w:rsid w:val="0094692E"/>
    <w:rsid w:val="00946CB7"/>
    <w:rsid w:val="00947A6D"/>
    <w:rsid w:val="00947BE8"/>
    <w:rsid w:val="00947C52"/>
    <w:rsid w:val="0095048E"/>
    <w:rsid w:val="009505D8"/>
    <w:rsid w:val="00950720"/>
    <w:rsid w:val="00950A16"/>
    <w:rsid w:val="00950DDC"/>
    <w:rsid w:val="009512A0"/>
    <w:rsid w:val="00951706"/>
    <w:rsid w:val="009518D4"/>
    <w:rsid w:val="00951CB9"/>
    <w:rsid w:val="0095285F"/>
    <w:rsid w:val="00952C6E"/>
    <w:rsid w:val="00952E2D"/>
    <w:rsid w:val="0095321B"/>
    <w:rsid w:val="0095370E"/>
    <w:rsid w:val="00953F30"/>
    <w:rsid w:val="0095400C"/>
    <w:rsid w:val="00954BFA"/>
    <w:rsid w:val="00955B3C"/>
    <w:rsid w:val="0095602A"/>
    <w:rsid w:val="009560DD"/>
    <w:rsid w:val="00957113"/>
    <w:rsid w:val="00957283"/>
    <w:rsid w:val="0095749B"/>
    <w:rsid w:val="0095759F"/>
    <w:rsid w:val="00957887"/>
    <w:rsid w:val="00957AA5"/>
    <w:rsid w:val="009616FA"/>
    <w:rsid w:val="00961A08"/>
    <w:rsid w:val="00961B95"/>
    <w:rsid w:val="00961C26"/>
    <w:rsid w:val="00962443"/>
    <w:rsid w:val="00962540"/>
    <w:rsid w:val="009625A9"/>
    <w:rsid w:val="009628FF"/>
    <w:rsid w:val="00962945"/>
    <w:rsid w:val="00963E62"/>
    <w:rsid w:val="0096483A"/>
    <w:rsid w:val="00964ECB"/>
    <w:rsid w:val="00965FD2"/>
    <w:rsid w:val="00966190"/>
    <w:rsid w:val="009669E8"/>
    <w:rsid w:val="00966BAA"/>
    <w:rsid w:val="00966DE3"/>
    <w:rsid w:val="00967001"/>
    <w:rsid w:val="009673A1"/>
    <w:rsid w:val="0096769C"/>
    <w:rsid w:val="00967B6B"/>
    <w:rsid w:val="00970052"/>
    <w:rsid w:val="0097080E"/>
    <w:rsid w:val="009713B4"/>
    <w:rsid w:val="009715E8"/>
    <w:rsid w:val="0097181E"/>
    <w:rsid w:val="00971BBF"/>
    <w:rsid w:val="00971C0E"/>
    <w:rsid w:val="00971CCE"/>
    <w:rsid w:val="00971D1D"/>
    <w:rsid w:val="00971D73"/>
    <w:rsid w:val="00972379"/>
    <w:rsid w:val="00974185"/>
    <w:rsid w:val="00974E0F"/>
    <w:rsid w:val="0097564C"/>
    <w:rsid w:val="00975AEA"/>
    <w:rsid w:val="00975E39"/>
    <w:rsid w:val="00977110"/>
    <w:rsid w:val="00977344"/>
    <w:rsid w:val="00977665"/>
    <w:rsid w:val="0097785D"/>
    <w:rsid w:val="009800A4"/>
    <w:rsid w:val="00980B31"/>
    <w:rsid w:val="00981376"/>
    <w:rsid w:val="00981A9B"/>
    <w:rsid w:val="00981B3A"/>
    <w:rsid w:val="00981C47"/>
    <w:rsid w:val="00981CD6"/>
    <w:rsid w:val="009820DF"/>
    <w:rsid w:val="0098240F"/>
    <w:rsid w:val="00982617"/>
    <w:rsid w:val="009830A1"/>
    <w:rsid w:val="00983664"/>
    <w:rsid w:val="00983ED8"/>
    <w:rsid w:val="00985493"/>
    <w:rsid w:val="00985518"/>
    <w:rsid w:val="009858BF"/>
    <w:rsid w:val="009862B3"/>
    <w:rsid w:val="00986699"/>
    <w:rsid w:val="00986DF3"/>
    <w:rsid w:val="009879D0"/>
    <w:rsid w:val="00987EDA"/>
    <w:rsid w:val="00990953"/>
    <w:rsid w:val="00991451"/>
    <w:rsid w:val="00991955"/>
    <w:rsid w:val="00991AA8"/>
    <w:rsid w:val="00991B3B"/>
    <w:rsid w:val="00991D44"/>
    <w:rsid w:val="00991D79"/>
    <w:rsid w:val="00991DC5"/>
    <w:rsid w:val="00992570"/>
    <w:rsid w:val="00992A99"/>
    <w:rsid w:val="00992C1B"/>
    <w:rsid w:val="009933C1"/>
    <w:rsid w:val="00993467"/>
    <w:rsid w:val="009939F6"/>
    <w:rsid w:val="00993CBD"/>
    <w:rsid w:val="00993D16"/>
    <w:rsid w:val="0099412B"/>
    <w:rsid w:val="00994B4F"/>
    <w:rsid w:val="00995403"/>
    <w:rsid w:val="009955FB"/>
    <w:rsid w:val="00995E7E"/>
    <w:rsid w:val="0099754D"/>
    <w:rsid w:val="00997965"/>
    <w:rsid w:val="009A00E5"/>
    <w:rsid w:val="009A06BB"/>
    <w:rsid w:val="009A0795"/>
    <w:rsid w:val="009A08DA"/>
    <w:rsid w:val="009A0B7B"/>
    <w:rsid w:val="009A13B6"/>
    <w:rsid w:val="009A1949"/>
    <w:rsid w:val="009A1BAF"/>
    <w:rsid w:val="009A1DFB"/>
    <w:rsid w:val="009A1FCD"/>
    <w:rsid w:val="009A1FF2"/>
    <w:rsid w:val="009A20E2"/>
    <w:rsid w:val="009A2F6A"/>
    <w:rsid w:val="009A3986"/>
    <w:rsid w:val="009A3EF5"/>
    <w:rsid w:val="009A42AB"/>
    <w:rsid w:val="009A4588"/>
    <w:rsid w:val="009A4593"/>
    <w:rsid w:val="009A49F9"/>
    <w:rsid w:val="009A4BD1"/>
    <w:rsid w:val="009A4D40"/>
    <w:rsid w:val="009A4F49"/>
    <w:rsid w:val="009A5511"/>
    <w:rsid w:val="009A555D"/>
    <w:rsid w:val="009A6317"/>
    <w:rsid w:val="009A633C"/>
    <w:rsid w:val="009A7683"/>
    <w:rsid w:val="009A773F"/>
    <w:rsid w:val="009A7F0B"/>
    <w:rsid w:val="009A7F97"/>
    <w:rsid w:val="009B0142"/>
    <w:rsid w:val="009B0C41"/>
    <w:rsid w:val="009B0F13"/>
    <w:rsid w:val="009B16BC"/>
    <w:rsid w:val="009B191B"/>
    <w:rsid w:val="009B1AC6"/>
    <w:rsid w:val="009B212B"/>
    <w:rsid w:val="009B213C"/>
    <w:rsid w:val="009B248A"/>
    <w:rsid w:val="009B2D80"/>
    <w:rsid w:val="009B2F12"/>
    <w:rsid w:val="009B3049"/>
    <w:rsid w:val="009B3429"/>
    <w:rsid w:val="009B35EF"/>
    <w:rsid w:val="009B3828"/>
    <w:rsid w:val="009B3C30"/>
    <w:rsid w:val="009B47CE"/>
    <w:rsid w:val="009B4B97"/>
    <w:rsid w:val="009B4CE4"/>
    <w:rsid w:val="009B52F0"/>
    <w:rsid w:val="009B5744"/>
    <w:rsid w:val="009B5816"/>
    <w:rsid w:val="009B5E60"/>
    <w:rsid w:val="009B6732"/>
    <w:rsid w:val="009B681A"/>
    <w:rsid w:val="009B6FC5"/>
    <w:rsid w:val="009B71BB"/>
    <w:rsid w:val="009B73ED"/>
    <w:rsid w:val="009B7664"/>
    <w:rsid w:val="009C02BE"/>
    <w:rsid w:val="009C035A"/>
    <w:rsid w:val="009C0956"/>
    <w:rsid w:val="009C0A26"/>
    <w:rsid w:val="009C0BBD"/>
    <w:rsid w:val="009C0D4B"/>
    <w:rsid w:val="009C0EC8"/>
    <w:rsid w:val="009C0FEA"/>
    <w:rsid w:val="009C1282"/>
    <w:rsid w:val="009C1742"/>
    <w:rsid w:val="009C1DF8"/>
    <w:rsid w:val="009C2406"/>
    <w:rsid w:val="009C24C5"/>
    <w:rsid w:val="009C32BA"/>
    <w:rsid w:val="009C3602"/>
    <w:rsid w:val="009C4385"/>
    <w:rsid w:val="009C44B1"/>
    <w:rsid w:val="009C48E2"/>
    <w:rsid w:val="009C4D49"/>
    <w:rsid w:val="009C4FC6"/>
    <w:rsid w:val="009C5ABB"/>
    <w:rsid w:val="009C61A9"/>
    <w:rsid w:val="009C659C"/>
    <w:rsid w:val="009C6E07"/>
    <w:rsid w:val="009C6FAC"/>
    <w:rsid w:val="009C6FB9"/>
    <w:rsid w:val="009C712D"/>
    <w:rsid w:val="009C7141"/>
    <w:rsid w:val="009C767E"/>
    <w:rsid w:val="009D2418"/>
    <w:rsid w:val="009D3253"/>
    <w:rsid w:val="009D3AB3"/>
    <w:rsid w:val="009D3DA8"/>
    <w:rsid w:val="009D3DF8"/>
    <w:rsid w:val="009D3F27"/>
    <w:rsid w:val="009D461B"/>
    <w:rsid w:val="009D4755"/>
    <w:rsid w:val="009D4E12"/>
    <w:rsid w:val="009D4E72"/>
    <w:rsid w:val="009D50F8"/>
    <w:rsid w:val="009D51B4"/>
    <w:rsid w:val="009D5476"/>
    <w:rsid w:val="009D58EE"/>
    <w:rsid w:val="009D5A2C"/>
    <w:rsid w:val="009D5B37"/>
    <w:rsid w:val="009D64CD"/>
    <w:rsid w:val="009D6BFB"/>
    <w:rsid w:val="009D6CB7"/>
    <w:rsid w:val="009D70AE"/>
    <w:rsid w:val="009D757A"/>
    <w:rsid w:val="009D7FAB"/>
    <w:rsid w:val="009E00AC"/>
    <w:rsid w:val="009E0661"/>
    <w:rsid w:val="009E0CD5"/>
    <w:rsid w:val="009E1042"/>
    <w:rsid w:val="009E1D6D"/>
    <w:rsid w:val="009E1EEC"/>
    <w:rsid w:val="009E23FB"/>
    <w:rsid w:val="009E257E"/>
    <w:rsid w:val="009E344F"/>
    <w:rsid w:val="009E35AB"/>
    <w:rsid w:val="009E47F9"/>
    <w:rsid w:val="009E49E1"/>
    <w:rsid w:val="009E4A9E"/>
    <w:rsid w:val="009E51C3"/>
    <w:rsid w:val="009E5375"/>
    <w:rsid w:val="009E6274"/>
    <w:rsid w:val="009E6978"/>
    <w:rsid w:val="009E7654"/>
    <w:rsid w:val="009E77BD"/>
    <w:rsid w:val="009F0283"/>
    <w:rsid w:val="009F08A6"/>
    <w:rsid w:val="009F0FF4"/>
    <w:rsid w:val="009F1326"/>
    <w:rsid w:val="009F1486"/>
    <w:rsid w:val="009F1A53"/>
    <w:rsid w:val="009F1C1F"/>
    <w:rsid w:val="009F23BE"/>
    <w:rsid w:val="009F2FEF"/>
    <w:rsid w:val="009F3133"/>
    <w:rsid w:val="009F347A"/>
    <w:rsid w:val="009F41D8"/>
    <w:rsid w:val="009F463A"/>
    <w:rsid w:val="009F47B9"/>
    <w:rsid w:val="009F490F"/>
    <w:rsid w:val="009F5068"/>
    <w:rsid w:val="009F53C7"/>
    <w:rsid w:val="009F59BE"/>
    <w:rsid w:val="009F5E51"/>
    <w:rsid w:val="009F61B0"/>
    <w:rsid w:val="009F62B5"/>
    <w:rsid w:val="009F6DF2"/>
    <w:rsid w:val="009F6E81"/>
    <w:rsid w:val="009F6E9C"/>
    <w:rsid w:val="009F7A46"/>
    <w:rsid w:val="00A002FD"/>
    <w:rsid w:val="00A00A3B"/>
    <w:rsid w:val="00A00BEB"/>
    <w:rsid w:val="00A00C99"/>
    <w:rsid w:val="00A011D9"/>
    <w:rsid w:val="00A01AD8"/>
    <w:rsid w:val="00A01D6B"/>
    <w:rsid w:val="00A01E5F"/>
    <w:rsid w:val="00A022E5"/>
    <w:rsid w:val="00A025FF"/>
    <w:rsid w:val="00A0293B"/>
    <w:rsid w:val="00A02DE1"/>
    <w:rsid w:val="00A03B78"/>
    <w:rsid w:val="00A03E37"/>
    <w:rsid w:val="00A043EE"/>
    <w:rsid w:val="00A0451D"/>
    <w:rsid w:val="00A04C16"/>
    <w:rsid w:val="00A05883"/>
    <w:rsid w:val="00A05ED8"/>
    <w:rsid w:val="00A06024"/>
    <w:rsid w:val="00A06194"/>
    <w:rsid w:val="00A070D3"/>
    <w:rsid w:val="00A071B5"/>
    <w:rsid w:val="00A07708"/>
    <w:rsid w:val="00A101D0"/>
    <w:rsid w:val="00A10AE4"/>
    <w:rsid w:val="00A116D2"/>
    <w:rsid w:val="00A11BB8"/>
    <w:rsid w:val="00A1278F"/>
    <w:rsid w:val="00A128E0"/>
    <w:rsid w:val="00A12BC9"/>
    <w:rsid w:val="00A13670"/>
    <w:rsid w:val="00A13E31"/>
    <w:rsid w:val="00A14871"/>
    <w:rsid w:val="00A14B39"/>
    <w:rsid w:val="00A14D3C"/>
    <w:rsid w:val="00A14E33"/>
    <w:rsid w:val="00A14EE1"/>
    <w:rsid w:val="00A152B7"/>
    <w:rsid w:val="00A1531A"/>
    <w:rsid w:val="00A156CA"/>
    <w:rsid w:val="00A15B9B"/>
    <w:rsid w:val="00A16215"/>
    <w:rsid w:val="00A16829"/>
    <w:rsid w:val="00A16C00"/>
    <w:rsid w:val="00A16DA8"/>
    <w:rsid w:val="00A1737A"/>
    <w:rsid w:val="00A1776E"/>
    <w:rsid w:val="00A17A89"/>
    <w:rsid w:val="00A17E29"/>
    <w:rsid w:val="00A17FB9"/>
    <w:rsid w:val="00A200AA"/>
    <w:rsid w:val="00A203D1"/>
    <w:rsid w:val="00A2062E"/>
    <w:rsid w:val="00A20669"/>
    <w:rsid w:val="00A20F1C"/>
    <w:rsid w:val="00A21332"/>
    <w:rsid w:val="00A21A97"/>
    <w:rsid w:val="00A231A9"/>
    <w:rsid w:val="00A23EDD"/>
    <w:rsid w:val="00A24194"/>
    <w:rsid w:val="00A2428D"/>
    <w:rsid w:val="00A24608"/>
    <w:rsid w:val="00A24A50"/>
    <w:rsid w:val="00A24B78"/>
    <w:rsid w:val="00A24D49"/>
    <w:rsid w:val="00A25896"/>
    <w:rsid w:val="00A25DD3"/>
    <w:rsid w:val="00A26CF9"/>
    <w:rsid w:val="00A26E17"/>
    <w:rsid w:val="00A26E7F"/>
    <w:rsid w:val="00A27746"/>
    <w:rsid w:val="00A3128D"/>
    <w:rsid w:val="00A313FA"/>
    <w:rsid w:val="00A31535"/>
    <w:rsid w:val="00A318EC"/>
    <w:rsid w:val="00A31A19"/>
    <w:rsid w:val="00A31EDE"/>
    <w:rsid w:val="00A31F5A"/>
    <w:rsid w:val="00A31F90"/>
    <w:rsid w:val="00A3233B"/>
    <w:rsid w:val="00A325F4"/>
    <w:rsid w:val="00A32BDA"/>
    <w:rsid w:val="00A32C39"/>
    <w:rsid w:val="00A32EC4"/>
    <w:rsid w:val="00A32FD1"/>
    <w:rsid w:val="00A336B5"/>
    <w:rsid w:val="00A33994"/>
    <w:rsid w:val="00A35390"/>
    <w:rsid w:val="00A3550E"/>
    <w:rsid w:val="00A3568D"/>
    <w:rsid w:val="00A36062"/>
    <w:rsid w:val="00A3645E"/>
    <w:rsid w:val="00A364BA"/>
    <w:rsid w:val="00A37101"/>
    <w:rsid w:val="00A3749F"/>
    <w:rsid w:val="00A37B91"/>
    <w:rsid w:val="00A400BA"/>
    <w:rsid w:val="00A4019B"/>
    <w:rsid w:val="00A40A51"/>
    <w:rsid w:val="00A410D7"/>
    <w:rsid w:val="00A41901"/>
    <w:rsid w:val="00A4190F"/>
    <w:rsid w:val="00A41BDE"/>
    <w:rsid w:val="00A41DE7"/>
    <w:rsid w:val="00A421AA"/>
    <w:rsid w:val="00A42718"/>
    <w:rsid w:val="00A42FA8"/>
    <w:rsid w:val="00A430AC"/>
    <w:rsid w:val="00A43159"/>
    <w:rsid w:val="00A43D52"/>
    <w:rsid w:val="00A444BC"/>
    <w:rsid w:val="00A4543C"/>
    <w:rsid w:val="00A458B7"/>
    <w:rsid w:val="00A45A17"/>
    <w:rsid w:val="00A45BA8"/>
    <w:rsid w:val="00A45CA8"/>
    <w:rsid w:val="00A45CF1"/>
    <w:rsid w:val="00A45E66"/>
    <w:rsid w:val="00A46132"/>
    <w:rsid w:val="00A4621A"/>
    <w:rsid w:val="00A4669C"/>
    <w:rsid w:val="00A46884"/>
    <w:rsid w:val="00A46A48"/>
    <w:rsid w:val="00A46AE1"/>
    <w:rsid w:val="00A46E55"/>
    <w:rsid w:val="00A4710D"/>
    <w:rsid w:val="00A47CCE"/>
    <w:rsid w:val="00A47F42"/>
    <w:rsid w:val="00A501E3"/>
    <w:rsid w:val="00A50662"/>
    <w:rsid w:val="00A50908"/>
    <w:rsid w:val="00A50EF2"/>
    <w:rsid w:val="00A51B19"/>
    <w:rsid w:val="00A52027"/>
    <w:rsid w:val="00A52536"/>
    <w:rsid w:val="00A528DA"/>
    <w:rsid w:val="00A52977"/>
    <w:rsid w:val="00A53165"/>
    <w:rsid w:val="00A54253"/>
    <w:rsid w:val="00A54F45"/>
    <w:rsid w:val="00A5507F"/>
    <w:rsid w:val="00A552DC"/>
    <w:rsid w:val="00A557D2"/>
    <w:rsid w:val="00A55C6C"/>
    <w:rsid w:val="00A55C74"/>
    <w:rsid w:val="00A55FA3"/>
    <w:rsid w:val="00A5618D"/>
    <w:rsid w:val="00A562BB"/>
    <w:rsid w:val="00A566E8"/>
    <w:rsid w:val="00A56756"/>
    <w:rsid w:val="00A56B96"/>
    <w:rsid w:val="00A56C5E"/>
    <w:rsid w:val="00A56D70"/>
    <w:rsid w:val="00A5747F"/>
    <w:rsid w:val="00A57726"/>
    <w:rsid w:val="00A579AF"/>
    <w:rsid w:val="00A6029F"/>
    <w:rsid w:val="00A6048E"/>
    <w:rsid w:val="00A607E8"/>
    <w:rsid w:val="00A60842"/>
    <w:rsid w:val="00A60B5F"/>
    <w:rsid w:val="00A60BA8"/>
    <w:rsid w:val="00A60BDF"/>
    <w:rsid w:val="00A60E18"/>
    <w:rsid w:val="00A612AD"/>
    <w:rsid w:val="00A61624"/>
    <w:rsid w:val="00A617B9"/>
    <w:rsid w:val="00A61886"/>
    <w:rsid w:val="00A619E0"/>
    <w:rsid w:val="00A6205E"/>
    <w:rsid w:val="00A624E1"/>
    <w:rsid w:val="00A6286C"/>
    <w:rsid w:val="00A62B70"/>
    <w:rsid w:val="00A62F01"/>
    <w:rsid w:val="00A636C3"/>
    <w:rsid w:val="00A63ADB"/>
    <w:rsid w:val="00A646F8"/>
    <w:rsid w:val="00A6481B"/>
    <w:rsid w:val="00A64A0C"/>
    <w:rsid w:val="00A657AE"/>
    <w:rsid w:val="00A65C10"/>
    <w:rsid w:val="00A65FCE"/>
    <w:rsid w:val="00A67286"/>
    <w:rsid w:val="00A679B0"/>
    <w:rsid w:val="00A67CB1"/>
    <w:rsid w:val="00A71D18"/>
    <w:rsid w:val="00A71FE3"/>
    <w:rsid w:val="00A724AA"/>
    <w:rsid w:val="00A725F5"/>
    <w:rsid w:val="00A72EB5"/>
    <w:rsid w:val="00A72F2F"/>
    <w:rsid w:val="00A7301B"/>
    <w:rsid w:val="00A73846"/>
    <w:rsid w:val="00A73B2D"/>
    <w:rsid w:val="00A74047"/>
    <w:rsid w:val="00A7431B"/>
    <w:rsid w:val="00A74529"/>
    <w:rsid w:val="00A7458C"/>
    <w:rsid w:val="00A7479A"/>
    <w:rsid w:val="00A7503E"/>
    <w:rsid w:val="00A7571E"/>
    <w:rsid w:val="00A771FD"/>
    <w:rsid w:val="00A77B15"/>
    <w:rsid w:val="00A809AD"/>
    <w:rsid w:val="00A810FC"/>
    <w:rsid w:val="00A8141A"/>
    <w:rsid w:val="00A81477"/>
    <w:rsid w:val="00A816E5"/>
    <w:rsid w:val="00A81A41"/>
    <w:rsid w:val="00A8243A"/>
    <w:rsid w:val="00A8273D"/>
    <w:rsid w:val="00A82AEA"/>
    <w:rsid w:val="00A82F37"/>
    <w:rsid w:val="00A8429C"/>
    <w:rsid w:val="00A84976"/>
    <w:rsid w:val="00A84C2A"/>
    <w:rsid w:val="00A85BCA"/>
    <w:rsid w:val="00A86221"/>
    <w:rsid w:val="00A866B2"/>
    <w:rsid w:val="00A87419"/>
    <w:rsid w:val="00A87780"/>
    <w:rsid w:val="00A87C0F"/>
    <w:rsid w:val="00A901D2"/>
    <w:rsid w:val="00A903F7"/>
    <w:rsid w:val="00A90518"/>
    <w:rsid w:val="00A90C60"/>
    <w:rsid w:val="00A90D15"/>
    <w:rsid w:val="00A90E65"/>
    <w:rsid w:val="00A90F98"/>
    <w:rsid w:val="00A910BC"/>
    <w:rsid w:val="00A91286"/>
    <w:rsid w:val="00A91452"/>
    <w:rsid w:val="00A92B6B"/>
    <w:rsid w:val="00A930F7"/>
    <w:rsid w:val="00A934BF"/>
    <w:rsid w:val="00A935F0"/>
    <w:rsid w:val="00A93AF2"/>
    <w:rsid w:val="00A940DB"/>
    <w:rsid w:val="00A943F5"/>
    <w:rsid w:val="00A9473E"/>
    <w:rsid w:val="00A95B5E"/>
    <w:rsid w:val="00A960C8"/>
    <w:rsid w:val="00A96125"/>
    <w:rsid w:val="00A9683C"/>
    <w:rsid w:val="00A96BA6"/>
    <w:rsid w:val="00A97106"/>
    <w:rsid w:val="00A9747C"/>
    <w:rsid w:val="00A97A9D"/>
    <w:rsid w:val="00A97E15"/>
    <w:rsid w:val="00AA0480"/>
    <w:rsid w:val="00AA0749"/>
    <w:rsid w:val="00AA07B9"/>
    <w:rsid w:val="00AA0A1F"/>
    <w:rsid w:val="00AA1115"/>
    <w:rsid w:val="00AA1141"/>
    <w:rsid w:val="00AA14D3"/>
    <w:rsid w:val="00AA1545"/>
    <w:rsid w:val="00AA191C"/>
    <w:rsid w:val="00AA2947"/>
    <w:rsid w:val="00AA2EF1"/>
    <w:rsid w:val="00AA32FF"/>
    <w:rsid w:val="00AA3662"/>
    <w:rsid w:val="00AA38E4"/>
    <w:rsid w:val="00AA3CE8"/>
    <w:rsid w:val="00AA3D3B"/>
    <w:rsid w:val="00AA3F7D"/>
    <w:rsid w:val="00AA43C2"/>
    <w:rsid w:val="00AA4890"/>
    <w:rsid w:val="00AA4B4D"/>
    <w:rsid w:val="00AA4C45"/>
    <w:rsid w:val="00AA534A"/>
    <w:rsid w:val="00AA559B"/>
    <w:rsid w:val="00AA5634"/>
    <w:rsid w:val="00AA5E29"/>
    <w:rsid w:val="00AA5F63"/>
    <w:rsid w:val="00AA64F3"/>
    <w:rsid w:val="00AA6DAF"/>
    <w:rsid w:val="00AA6F5F"/>
    <w:rsid w:val="00AA6FE1"/>
    <w:rsid w:val="00AA712D"/>
    <w:rsid w:val="00AA7716"/>
    <w:rsid w:val="00AA7803"/>
    <w:rsid w:val="00AA7995"/>
    <w:rsid w:val="00AA7E27"/>
    <w:rsid w:val="00AA7E6C"/>
    <w:rsid w:val="00AA7EA5"/>
    <w:rsid w:val="00AA7FE0"/>
    <w:rsid w:val="00AA7FF2"/>
    <w:rsid w:val="00AB15C2"/>
    <w:rsid w:val="00AB1621"/>
    <w:rsid w:val="00AB198F"/>
    <w:rsid w:val="00AB1AF7"/>
    <w:rsid w:val="00AB1BE1"/>
    <w:rsid w:val="00AB1CC2"/>
    <w:rsid w:val="00AB1F39"/>
    <w:rsid w:val="00AB2244"/>
    <w:rsid w:val="00AB2402"/>
    <w:rsid w:val="00AB26F2"/>
    <w:rsid w:val="00AB2EC8"/>
    <w:rsid w:val="00AB3F90"/>
    <w:rsid w:val="00AB4988"/>
    <w:rsid w:val="00AB4B7A"/>
    <w:rsid w:val="00AB52CB"/>
    <w:rsid w:val="00AB58E8"/>
    <w:rsid w:val="00AB5AFA"/>
    <w:rsid w:val="00AB5CFD"/>
    <w:rsid w:val="00AB5EAC"/>
    <w:rsid w:val="00AB5F40"/>
    <w:rsid w:val="00AB5F50"/>
    <w:rsid w:val="00AB6297"/>
    <w:rsid w:val="00AB69CE"/>
    <w:rsid w:val="00AB6DED"/>
    <w:rsid w:val="00AB762C"/>
    <w:rsid w:val="00AB7DD7"/>
    <w:rsid w:val="00AC0110"/>
    <w:rsid w:val="00AC0A3F"/>
    <w:rsid w:val="00AC1891"/>
    <w:rsid w:val="00AC1A77"/>
    <w:rsid w:val="00AC1FFA"/>
    <w:rsid w:val="00AC2339"/>
    <w:rsid w:val="00AC23F7"/>
    <w:rsid w:val="00AC2402"/>
    <w:rsid w:val="00AC4498"/>
    <w:rsid w:val="00AC481A"/>
    <w:rsid w:val="00AC48E0"/>
    <w:rsid w:val="00AC4C90"/>
    <w:rsid w:val="00AC4E5D"/>
    <w:rsid w:val="00AC50F5"/>
    <w:rsid w:val="00AC58F5"/>
    <w:rsid w:val="00AC7228"/>
    <w:rsid w:val="00AC74C3"/>
    <w:rsid w:val="00AC7525"/>
    <w:rsid w:val="00AC7AAE"/>
    <w:rsid w:val="00AC7BFE"/>
    <w:rsid w:val="00AC7E0A"/>
    <w:rsid w:val="00AD00CA"/>
    <w:rsid w:val="00AD0C67"/>
    <w:rsid w:val="00AD15DB"/>
    <w:rsid w:val="00AD162D"/>
    <w:rsid w:val="00AD180D"/>
    <w:rsid w:val="00AD203F"/>
    <w:rsid w:val="00AD2CAE"/>
    <w:rsid w:val="00AD3438"/>
    <w:rsid w:val="00AD34D6"/>
    <w:rsid w:val="00AD3821"/>
    <w:rsid w:val="00AD39CD"/>
    <w:rsid w:val="00AD3AED"/>
    <w:rsid w:val="00AD4021"/>
    <w:rsid w:val="00AD477E"/>
    <w:rsid w:val="00AD49E4"/>
    <w:rsid w:val="00AD4A7D"/>
    <w:rsid w:val="00AD4BFB"/>
    <w:rsid w:val="00AD54A3"/>
    <w:rsid w:val="00AD6774"/>
    <w:rsid w:val="00AD6785"/>
    <w:rsid w:val="00AD722E"/>
    <w:rsid w:val="00AD7716"/>
    <w:rsid w:val="00AD7E18"/>
    <w:rsid w:val="00AE0642"/>
    <w:rsid w:val="00AE0ADD"/>
    <w:rsid w:val="00AE1E95"/>
    <w:rsid w:val="00AE20E3"/>
    <w:rsid w:val="00AE2464"/>
    <w:rsid w:val="00AE248E"/>
    <w:rsid w:val="00AE256F"/>
    <w:rsid w:val="00AE26EC"/>
    <w:rsid w:val="00AE2F20"/>
    <w:rsid w:val="00AE2F65"/>
    <w:rsid w:val="00AE353D"/>
    <w:rsid w:val="00AE3587"/>
    <w:rsid w:val="00AE3614"/>
    <w:rsid w:val="00AE3782"/>
    <w:rsid w:val="00AE3C47"/>
    <w:rsid w:val="00AE3EEA"/>
    <w:rsid w:val="00AE43D1"/>
    <w:rsid w:val="00AE4A87"/>
    <w:rsid w:val="00AE5629"/>
    <w:rsid w:val="00AE5711"/>
    <w:rsid w:val="00AE5AD5"/>
    <w:rsid w:val="00AE5AF4"/>
    <w:rsid w:val="00AE5DD2"/>
    <w:rsid w:val="00AE77F7"/>
    <w:rsid w:val="00AE7851"/>
    <w:rsid w:val="00AE7903"/>
    <w:rsid w:val="00AE7A9E"/>
    <w:rsid w:val="00AE7C3E"/>
    <w:rsid w:val="00AF087D"/>
    <w:rsid w:val="00AF1C6E"/>
    <w:rsid w:val="00AF1D05"/>
    <w:rsid w:val="00AF2982"/>
    <w:rsid w:val="00AF2DF5"/>
    <w:rsid w:val="00AF3B6E"/>
    <w:rsid w:val="00AF460E"/>
    <w:rsid w:val="00AF4955"/>
    <w:rsid w:val="00AF51D8"/>
    <w:rsid w:val="00AF5282"/>
    <w:rsid w:val="00AF52BF"/>
    <w:rsid w:val="00AF532B"/>
    <w:rsid w:val="00AF56C2"/>
    <w:rsid w:val="00AF5B53"/>
    <w:rsid w:val="00AF6DD1"/>
    <w:rsid w:val="00AF7243"/>
    <w:rsid w:val="00AF7ADF"/>
    <w:rsid w:val="00B0010C"/>
    <w:rsid w:val="00B0085B"/>
    <w:rsid w:val="00B00937"/>
    <w:rsid w:val="00B00C20"/>
    <w:rsid w:val="00B00F17"/>
    <w:rsid w:val="00B01088"/>
    <w:rsid w:val="00B01BC0"/>
    <w:rsid w:val="00B01F55"/>
    <w:rsid w:val="00B02B53"/>
    <w:rsid w:val="00B02BFB"/>
    <w:rsid w:val="00B02FEB"/>
    <w:rsid w:val="00B032D0"/>
    <w:rsid w:val="00B035B4"/>
    <w:rsid w:val="00B03EE9"/>
    <w:rsid w:val="00B048CA"/>
    <w:rsid w:val="00B04A88"/>
    <w:rsid w:val="00B04CCA"/>
    <w:rsid w:val="00B05411"/>
    <w:rsid w:val="00B06633"/>
    <w:rsid w:val="00B07ABF"/>
    <w:rsid w:val="00B1018D"/>
    <w:rsid w:val="00B107A0"/>
    <w:rsid w:val="00B10D60"/>
    <w:rsid w:val="00B111E7"/>
    <w:rsid w:val="00B11DE0"/>
    <w:rsid w:val="00B12644"/>
    <w:rsid w:val="00B1299D"/>
    <w:rsid w:val="00B129BE"/>
    <w:rsid w:val="00B12A3F"/>
    <w:rsid w:val="00B12BE3"/>
    <w:rsid w:val="00B12C49"/>
    <w:rsid w:val="00B12FD7"/>
    <w:rsid w:val="00B1315C"/>
    <w:rsid w:val="00B1333A"/>
    <w:rsid w:val="00B14405"/>
    <w:rsid w:val="00B14802"/>
    <w:rsid w:val="00B14AA2"/>
    <w:rsid w:val="00B14CCE"/>
    <w:rsid w:val="00B14F85"/>
    <w:rsid w:val="00B14F87"/>
    <w:rsid w:val="00B14FE3"/>
    <w:rsid w:val="00B15438"/>
    <w:rsid w:val="00B15542"/>
    <w:rsid w:val="00B1577D"/>
    <w:rsid w:val="00B15A4B"/>
    <w:rsid w:val="00B16597"/>
    <w:rsid w:val="00B16969"/>
    <w:rsid w:val="00B16CA3"/>
    <w:rsid w:val="00B16CE0"/>
    <w:rsid w:val="00B17267"/>
    <w:rsid w:val="00B176BF"/>
    <w:rsid w:val="00B17865"/>
    <w:rsid w:val="00B17AA1"/>
    <w:rsid w:val="00B17AB7"/>
    <w:rsid w:val="00B17E05"/>
    <w:rsid w:val="00B17E39"/>
    <w:rsid w:val="00B20699"/>
    <w:rsid w:val="00B20ADC"/>
    <w:rsid w:val="00B21F7A"/>
    <w:rsid w:val="00B21F9A"/>
    <w:rsid w:val="00B221AD"/>
    <w:rsid w:val="00B22635"/>
    <w:rsid w:val="00B23B52"/>
    <w:rsid w:val="00B24ACB"/>
    <w:rsid w:val="00B25087"/>
    <w:rsid w:val="00B25844"/>
    <w:rsid w:val="00B25B71"/>
    <w:rsid w:val="00B25C5F"/>
    <w:rsid w:val="00B25CDA"/>
    <w:rsid w:val="00B264A4"/>
    <w:rsid w:val="00B265B7"/>
    <w:rsid w:val="00B27D86"/>
    <w:rsid w:val="00B307AB"/>
    <w:rsid w:val="00B31E07"/>
    <w:rsid w:val="00B32808"/>
    <w:rsid w:val="00B3309A"/>
    <w:rsid w:val="00B332BB"/>
    <w:rsid w:val="00B334B6"/>
    <w:rsid w:val="00B3367B"/>
    <w:rsid w:val="00B33A5F"/>
    <w:rsid w:val="00B33FD1"/>
    <w:rsid w:val="00B34BE1"/>
    <w:rsid w:val="00B34D12"/>
    <w:rsid w:val="00B36456"/>
    <w:rsid w:val="00B3647A"/>
    <w:rsid w:val="00B36F9C"/>
    <w:rsid w:val="00B3701F"/>
    <w:rsid w:val="00B40BF8"/>
    <w:rsid w:val="00B40E30"/>
    <w:rsid w:val="00B41673"/>
    <w:rsid w:val="00B41D19"/>
    <w:rsid w:val="00B422FB"/>
    <w:rsid w:val="00B425EC"/>
    <w:rsid w:val="00B43784"/>
    <w:rsid w:val="00B439E2"/>
    <w:rsid w:val="00B44401"/>
    <w:rsid w:val="00B44B58"/>
    <w:rsid w:val="00B451FA"/>
    <w:rsid w:val="00B45A1F"/>
    <w:rsid w:val="00B4689F"/>
    <w:rsid w:val="00B46943"/>
    <w:rsid w:val="00B46CCD"/>
    <w:rsid w:val="00B4754D"/>
    <w:rsid w:val="00B476E0"/>
    <w:rsid w:val="00B47BF9"/>
    <w:rsid w:val="00B47EE2"/>
    <w:rsid w:val="00B501B9"/>
    <w:rsid w:val="00B50767"/>
    <w:rsid w:val="00B50B60"/>
    <w:rsid w:val="00B53196"/>
    <w:rsid w:val="00B5337E"/>
    <w:rsid w:val="00B53871"/>
    <w:rsid w:val="00B53A7B"/>
    <w:rsid w:val="00B53C0C"/>
    <w:rsid w:val="00B548A2"/>
    <w:rsid w:val="00B54AED"/>
    <w:rsid w:val="00B54F31"/>
    <w:rsid w:val="00B54F6C"/>
    <w:rsid w:val="00B555F7"/>
    <w:rsid w:val="00B55AC9"/>
    <w:rsid w:val="00B566A4"/>
    <w:rsid w:val="00B56A7F"/>
    <w:rsid w:val="00B56E87"/>
    <w:rsid w:val="00B57466"/>
    <w:rsid w:val="00B5763E"/>
    <w:rsid w:val="00B57E35"/>
    <w:rsid w:val="00B600DC"/>
    <w:rsid w:val="00B604FE"/>
    <w:rsid w:val="00B60D29"/>
    <w:rsid w:val="00B60FFB"/>
    <w:rsid w:val="00B612A1"/>
    <w:rsid w:val="00B612FA"/>
    <w:rsid w:val="00B61446"/>
    <w:rsid w:val="00B6149A"/>
    <w:rsid w:val="00B618EB"/>
    <w:rsid w:val="00B62394"/>
    <w:rsid w:val="00B62C9B"/>
    <w:rsid w:val="00B62D96"/>
    <w:rsid w:val="00B62E41"/>
    <w:rsid w:val="00B63366"/>
    <w:rsid w:val="00B633B4"/>
    <w:rsid w:val="00B635C1"/>
    <w:rsid w:val="00B636ED"/>
    <w:rsid w:val="00B63706"/>
    <w:rsid w:val="00B63E5C"/>
    <w:rsid w:val="00B63EDA"/>
    <w:rsid w:val="00B64677"/>
    <w:rsid w:val="00B64E90"/>
    <w:rsid w:val="00B65412"/>
    <w:rsid w:val="00B65517"/>
    <w:rsid w:val="00B65677"/>
    <w:rsid w:val="00B65A2D"/>
    <w:rsid w:val="00B65B7D"/>
    <w:rsid w:val="00B668FF"/>
    <w:rsid w:val="00B672F9"/>
    <w:rsid w:val="00B67885"/>
    <w:rsid w:val="00B67B2F"/>
    <w:rsid w:val="00B701A0"/>
    <w:rsid w:val="00B70784"/>
    <w:rsid w:val="00B707BB"/>
    <w:rsid w:val="00B70832"/>
    <w:rsid w:val="00B708B0"/>
    <w:rsid w:val="00B70E0C"/>
    <w:rsid w:val="00B718D0"/>
    <w:rsid w:val="00B71C3E"/>
    <w:rsid w:val="00B72540"/>
    <w:rsid w:val="00B728E5"/>
    <w:rsid w:val="00B72B3A"/>
    <w:rsid w:val="00B72BAD"/>
    <w:rsid w:val="00B73886"/>
    <w:rsid w:val="00B738B6"/>
    <w:rsid w:val="00B7446F"/>
    <w:rsid w:val="00B744E4"/>
    <w:rsid w:val="00B74FDF"/>
    <w:rsid w:val="00B75143"/>
    <w:rsid w:val="00B75363"/>
    <w:rsid w:val="00B756B3"/>
    <w:rsid w:val="00B75F97"/>
    <w:rsid w:val="00B760F8"/>
    <w:rsid w:val="00B7651E"/>
    <w:rsid w:val="00B76738"/>
    <w:rsid w:val="00B76914"/>
    <w:rsid w:val="00B76B1E"/>
    <w:rsid w:val="00B76F74"/>
    <w:rsid w:val="00B8045C"/>
    <w:rsid w:val="00B805FF"/>
    <w:rsid w:val="00B80AF2"/>
    <w:rsid w:val="00B80B59"/>
    <w:rsid w:val="00B81274"/>
    <w:rsid w:val="00B81B75"/>
    <w:rsid w:val="00B81C2B"/>
    <w:rsid w:val="00B83CFE"/>
    <w:rsid w:val="00B84AC6"/>
    <w:rsid w:val="00B85696"/>
    <w:rsid w:val="00B85BF2"/>
    <w:rsid w:val="00B85F3F"/>
    <w:rsid w:val="00B865E1"/>
    <w:rsid w:val="00B8661A"/>
    <w:rsid w:val="00B871C9"/>
    <w:rsid w:val="00B87543"/>
    <w:rsid w:val="00B877C5"/>
    <w:rsid w:val="00B87B19"/>
    <w:rsid w:val="00B900E5"/>
    <w:rsid w:val="00B90104"/>
    <w:rsid w:val="00B905B0"/>
    <w:rsid w:val="00B90A6D"/>
    <w:rsid w:val="00B91356"/>
    <w:rsid w:val="00B91400"/>
    <w:rsid w:val="00B914AB"/>
    <w:rsid w:val="00B916F4"/>
    <w:rsid w:val="00B91860"/>
    <w:rsid w:val="00B919C6"/>
    <w:rsid w:val="00B92345"/>
    <w:rsid w:val="00B92499"/>
    <w:rsid w:val="00B92629"/>
    <w:rsid w:val="00B92806"/>
    <w:rsid w:val="00B9497F"/>
    <w:rsid w:val="00B94D69"/>
    <w:rsid w:val="00B95D44"/>
    <w:rsid w:val="00B95EB6"/>
    <w:rsid w:val="00B962DB"/>
    <w:rsid w:val="00B965E5"/>
    <w:rsid w:val="00B97657"/>
    <w:rsid w:val="00B97DD8"/>
    <w:rsid w:val="00BA0127"/>
    <w:rsid w:val="00BA0369"/>
    <w:rsid w:val="00BA0819"/>
    <w:rsid w:val="00BA09A1"/>
    <w:rsid w:val="00BA0B38"/>
    <w:rsid w:val="00BA11D1"/>
    <w:rsid w:val="00BA15E8"/>
    <w:rsid w:val="00BA1CE9"/>
    <w:rsid w:val="00BA2355"/>
    <w:rsid w:val="00BA37A8"/>
    <w:rsid w:val="00BA3B01"/>
    <w:rsid w:val="00BA40A2"/>
    <w:rsid w:val="00BA46A0"/>
    <w:rsid w:val="00BA48F6"/>
    <w:rsid w:val="00BA4C01"/>
    <w:rsid w:val="00BA5532"/>
    <w:rsid w:val="00BA55FA"/>
    <w:rsid w:val="00BA5B58"/>
    <w:rsid w:val="00BA5BF3"/>
    <w:rsid w:val="00BA5ED5"/>
    <w:rsid w:val="00BA6147"/>
    <w:rsid w:val="00BA63A8"/>
    <w:rsid w:val="00BA7391"/>
    <w:rsid w:val="00BA7483"/>
    <w:rsid w:val="00BA78F9"/>
    <w:rsid w:val="00BA7B99"/>
    <w:rsid w:val="00BB0A54"/>
    <w:rsid w:val="00BB0C0E"/>
    <w:rsid w:val="00BB1192"/>
    <w:rsid w:val="00BB194C"/>
    <w:rsid w:val="00BB26C0"/>
    <w:rsid w:val="00BB26E7"/>
    <w:rsid w:val="00BB2F3D"/>
    <w:rsid w:val="00BB32D5"/>
    <w:rsid w:val="00BB3308"/>
    <w:rsid w:val="00BB33C0"/>
    <w:rsid w:val="00BB3DF4"/>
    <w:rsid w:val="00BB4975"/>
    <w:rsid w:val="00BB4CB5"/>
    <w:rsid w:val="00BB539F"/>
    <w:rsid w:val="00BB5B3E"/>
    <w:rsid w:val="00BB5E66"/>
    <w:rsid w:val="00BB6128"/>
    <w:rsid w:val="00BB6385"/>
    <w:rsid w:val="00BB652F"/>
    <w:rsid w:val="00BB70BD"/>
    <w:rsid w:val="00BB7224"/>
    <w:rsid w:val="00BB7D41"/>
    <w:rsid w:val="00BC0230"/>
    <w:rsid w:val="00BC128C"/>
    <w:rsid w:val="00BC14FF"/>
    <w:rsid w:val="00BC1548"/>
    <w:rsid w:val="00BC2235"/>
    <w:rsid w:val="00BC2312"/>
    <w:rsid w:val="00BC23CB"/>
    <w:rsid w:val="00BC23F6"/>
    <w:rsid w:val="00BC2B6C"/>
    <w:rsid w:val="00BC2C77"/>
    <w:rsid w:val="00BC2E5A"/>
    <w:rsid w:val="00BC3352"/>
    <w:rsid w:val="00BC3934"/>
    <w:rsid w:val="00BC3BDC"/>
    <w:rsid w:val="00BC4016"/>
    <w:rsid w:val="00BC4040"/>
    <w:rsid w:val="00BC40A7"/>
    <w:rsid w:val="00BC419C"/>
    <w:rsid w:val="00BC4A5B"/>
    <w:rsid w:val="00BC5441"/>
    <w:rsid w:val="00BC55AB"/>
    <w:rsid w:val="00BC59C8"/>
    <w:rsid w:val="00BC5B6F"/>
    <w:rsid w:val="00BC63B3"/>
    <w:rsid w:val="00BC63D4"/>
    <w:rsid w:val="00BC7145"/>
    <w:rsid w:val="00BC716F"/>
    <w:rsid w:val="00BC7DC8"/>
    <w:rsid w:val="00BD05C5"/>
    <w:rsid w:val="00BD067E"/>
    <w:rsid w:val="00BD0833"/>
    <w:rsid w:val="00BD09FA"/>
    <w:rsid w:val="00BD0FEE"/>
    <w:rsid w:val="00BD100B"/>
    <w:rsid w:val="00BD145F"/>
    <w:rsid w:val="00BD14D9"/>
    <w:rsid w:val="00BD155B"/>
    <w:rsid w:val="00BD16D8"/>
    <w:rsid w:val="00BD2219"/>
    <w:rsid w:val="00BD228C"/>
    <w:rsid w:val="00BD2D7A"/>
    <w:rsid w:val="00BD3758"/>
    <w:rsid w:val="00BD3919"/>
    <w:rsid w:val="00BD3A94"/>
    <w:rsid w:val="00BD3D60"/>
    <w:rsid w:val="00BD45BA"/>
    <w:rsid w:val="00BD4C28"/>
    <w:rsid w:val="00BD50DC"/>
    <w:rsid w:val="00BD5110"/>
    <w:rsid w:val="00BD590A"/>
    <w:rsid w:val="00BD5EB1"/>
    <w:rsid w:val="00BD63A8"/>
    <w:rsid w:val="00BD63AF"/>
    <w:rsid w:val="00BD678B"/>
    <w:rsid w:val="00BD6A97"/>
    <w:rsid w:val="00BD7465"/>
    <w:rsid w:val="00BD7498"/>
    <w:rsid w:val="00BE012A"/>
    <w:rsid w:val="00BE0CB6"/>
    <w:rsid w:val="00BE1971"/>
    <w:rsid w:val="00BE1EFD"/>
    <w:rsid w:val="00BE273C"/>
    <w:rsid w:val="00BE2889"/>
    <w:rsid w:val="00BE29C8"/>
    <w:rsid w:val="00BE2D4D"/>
    <w:rsid w:val="00BE2DD5"/>
    <w:rsid w:val="00BE406F"/>
    <w:rsid w:val="00BE4158"/>
    <w:rsid w:val="00BE45D9"/>
    <w:rsid w:val="00BE469D"/>
    <w:rsid w:val="00BE4768"/>
    <w:rsid w:val="00BE4A55"/>
    <w:rsid w:val="00BE4DD0"/>
    <w:rsid w:val="00BE521B"/>
    <w:rsid w:val="00BE5F0A"/>
    <w:rsid w:val="00BE61BB"/>
    <w:rsid w:val="00BE6C1D"/>
    <w:rsid w:val="00BE7DC9"/>
    <w:rsid w:val="00BF0852"/>
    <w:rsid w:val="00BF1002"/>
    <w:rsid w:val="00BF1721"/>
    <w:rsid w:val="00BF1754"/>
    <w:rsid w:val="00BF1ECB"/>
    <w:rsid w:val="00BF1FD1"/>
    <w:rsid w:val="00BF31AD"/>
    <w:rsid w:val="00BF3319"/>
    <w:rsid w:val="00BF348B"/>
    <w:rsid w:val="00BF3630"/>
    <w:rsid w:val="00BF385B"/>
    <w:rsid w:val="00BF3A52"/>
    <w:rsid w:val="00BF4FD2"/>
    <w:rsid w:val="00BF562E"/>
    <w:rsid w:val="00BF580D"/>
    <w:rsid w:val="00BF5821"/>
    <w:rsid w:val="00BF6597"/>
    <w:rsid w:val="00BF6680"/>
    <w:rsid w:val="00BF6AA1"/>
    <w:rsid w:val="00BF6AD2"/>
    <w:rsid w:val="00BF6B09"/>
    <w:rsid w:val="00BF7EE0"/>
    <w:rsid w:val="00C0022E"/>
    <w:rsid w:val="00C005E0"/>
    <w:rsid w:val="00C01A84"/>
    <w:rsid w:val="00C01CF2"/>
    <w:rsid w:val="00C02665"/>
    <w:rsid w:val="00C031FD"/>
    <w:rsid w:val="00C03C89"/>
    <w:rsid w:val="00C03E80"/>
    <w:rsid w:val="00C03EA4"/>
    <w:rsid w:val="00C03ED4"/>
    <w:rsid w:val="00C03F6A"/>
    <w:rsid w:val="00C04BF3"/>
    <w:rsid w:val="00C05C7A"/>
    <w:rsid w:val="00C0659D"/>
    <w:rsid w:val="00C065B3"/>
    <w:rsid w:val="00C06715"/>
    <w:rsid w:val="00C06786"/>
    <w:rsid w:val="00C068BA"/>
    <w:rsid w:val="00C0696C"/>
    <w:rsid w:val="00C072A5"/>
    <w:rsid w:val="00C07759"/>
    <w:rsid w:val="00C077E8"/>
    <w:rsid w:val="00C07A7D"/>
    <w:rsid w:val="00C07B8B"/>
    <w:rsid w:val="00C106DC"/>
    <w:rsid w:val="00C10790"/>
    <w:rsid w:val="00C1082D"/>
    <w:rsid w:val="00C10DDC"/>
    <w:rsid w:val="00C11B32"/>
    <w:rsid w:val="00C11B3D"/>
    <w:rsid w:val="00C11C2D"/>
    <w:rsid w:val="00C12748"/>
    <w:rsid w:val="00C1310B"/>
    <w:rsid w:val="00C13340"/>
    <w:rsid w:val="00C13428"/>
    <w:rsid w:val="00C13CE3"/>
    <w:rsid w:val="00C14B54"/>
    <w:rsid w:val="00C15803"/>
    <w:rsid w:val="00C15C45"/>
    <w:rsid w:val="00C15EEE"/>
    <w:rsid w:val="00C16122"/>
    <w:rsid w:val="00C16460"/>
    <w:rsid w:val="00C164C4"/>
    <w:rsid w:val="00C1718F"/>
    <w:rsid w:val="00C171BF"/>
    <w:rsid w:val="00C17312"/>
    <w:rsid w:val="00C17DDA"/>
    <w:rsid w:val="00C2099F"/>
    <w:rsid w:val="00C20D11"/>
    <w:rsid w:val="00C211DA"/>
    <w:rsid w:val="00C21839"/>
    <w:rsid w:val="00C21DD4"/>
    <w:rsid w:val="00C22177"/>
    <w:rsid w:val="00C22284"/>
    <w:rsid w:val="00C22954"/>
    <w:rsid w:val="00C22BC9"/>
    <w:rsid w:val="00C22E24"/>
    <w:rsid w:val="00C2370C"/>
    <w:rsid w:val="00C23B5E"/>
    <w:rsid w:val="00C23F33"/>
    <w:rsid w:val="00C2425F"/>
    <w:rsid w:val="00C245DE"/>
    <w:rsid w:val="00C24D32"/>
    <w:rsid w:val="00C25377"/>
    <w:rsid w:val="00C25C0C"/>
    <w:rsid w:val="00C25F63"/>
    <w:rsid w:val="00C26105"/>
    <w:rsid w:val="00C261EC"/>
    <w:rsid w:val="00C263B2"/>
    <w:rsid w:val="00C2698F"/>
    <w:rsid w:val="00C2710B"/>
    <w:rsid w:val="00C277F7"/>
    <w:rsid w:val="00C27899"/>
    <w:rsid w:val="00C27CC5"/>
    <w:rsid w:val="00C27F2C"/>
    <w:rsid w:val="00C30455"/>
    <w:rsid w:val="00C31019"/>
    <w:rsid w:val="00C312E5"/>
    <w:rsid w:val="00C3140C"/>
    <w:rsid w:val="00C31A43"/>
    <w:rsid w:val="00C31D65"/>
    <w:rsid w:val="00C320AE"/>
    <w:rsid w:val="00C32318"/>
    <w:rsid w:val="00C32985"/>
    <w:rsid w:val="00C32A2B"/>
    <w:rsid w:val="00C332CE"/>
    <w:rsid w:val="00C3385E"/>
    <w:rsid w:val="00C33968"/>
    <w:rsid w:val="00C33DC5"/>
    <w:rsid w:val="00C34068"/>
    <w:rsid w:val="00C340E2"/>
    <w:rsid w:val="00C360E3"/>
    <w:rsid w:val="00C36707"/>
    <w:rsid w:val="00C36DE6"/>
    <w:rsid w:val="00C37664"/>
    <w:rsid w:val="00C379CC"/>
    <w:rsid w:val="00C37B05"/>
    <w:rsid w:val="00C40062"/>
    <w:rsid w:val="00C40547"/>
    <w:rsid w:val="00C4062E"/>
    <w:rsid w:val="00C406B0"/>
    <w:rsid w:val="00C408F3"/>
    <w:rsid w:val="00C40D51"/>
    <w:rsid w:val="00C40E15"/>
    <w:rsid w:val="00C41036"/>
    <w:rsid w:val="00C413C1"/>
    <w:rsid w:val="00C4266E"/>
    <w:rsid w:val="00C43124"/>
    <w:rsid w:val="00C4378B"/>
    <w:rsid w:val="00C438D3"/>
    <w:rsid w:val="00C43E3B"/>
    <w:rsid w:val="00C44B7D"/>
    <w:rsid w:val="00C45044"/>
    <w:rsid w:val="00C45298"/>
    <w:rsid w:val="00C455F6"/>
    <w:rsid w:val="00C4586C"/>
    <w:rsid w:val="00C45992"/>
    <w:rsid w:val="00C4611D"/>
    <w:rsid w:val="00C47583"/>
    <w:rsid w:val="00C47690"/>
    <w:rsid w:val="00C47B05"/>
    <w:rsid w:val="00C5011C"/>
    <w:rsid w:val="00C5013F"/>
    <w:rsid w:val="00C502B3"/>
    <w:rsid w:val="00C50E07"/>
    <w:rsid w:val="00C50FB1"/>
    <w:rsid w:val="00C51332"/>
    <w:rsid w:val="00C513F9"/>
    <w:rsid w:val="00C51BC1"/>
    <w:rsid w:val="00C51CBF"/>
    <w:rsid w:val="00C51EF7"/>
    <w:rsid w:val="00C521B5"/>
    <w:rsid w:val="00C52256"/>
    <w:rsid w:val="00C524F2"/>
    <w:rsid w:val="00C524F5"/>
    <w:rsid w:val="00C527E3"/>
    <w:rsid w:val="00C528D1"/>
    <w:rsid w:val="00C52B85"/>
    <w:rsid w:val="00C52D79"/>
    <w:rsid w:val="00C52E97"/>
    <w:rsid w:val="00C52FF8"/>
    <w:rsid w:val="00C5300D"/>
    <w:rsid w:val="00C5351D"/>
    <w:rsid w:val="00C53744"/>
    <w:rsid w:val="00C53779"/>
    <w:rsid w:val="00C53F87"/>
    <w:rsid w:val="00C54236"/>
    <w:rsid w:val="00C544D9"/>
    <w:rsid w:val="00C558AF"/>
    <w:rsid w:val="00C55CB9"/>
    <w:rsid w:val="00C55D62"/>
    <w:rsid w:val="00C56873"/>
    <w:rsid w:val="00C56990"/>
    <w:rsid w:val="00C56C24"/>
    <w:rsid w:val="00C57518"/>
    <w:rsid w:val="00C576B0"/>
    <w:rsid w:val="00C57E37"/>
    <w:rsid w:val="00C608D5"/>
    <w:rsid w:val="00C60E3C"/>
    <w:rsid w:val="00C60E58"/>
    <w:rsid w:val="00C613DB"/>
    <w:rsid w:val="00C614FE"/>
    <w:rsid w:val="00C61DCA"/>
    <w:rsid w:val="00C623B4"/>
    <w:rsid w:val="00C624C3"/>
    <w:rsid w:val="00C62806"/>
    <w:rsid w:val="00C62988"/>
    <w:rsid w:val="00C62DAC"/>
    <w:rsid w:val="00C63100"/>
    <w:rsid w:val="00C6343E"/>
    <w:rsid w:val="00C63668"/>
    <w:rsid w:val="00C6404F"/>
    <w:rsid w:val="00C6439B"/>
    <w:rsid w:val="00C6470A"/>
    <w:rsid w:val="00C64881"/>
    <w:rsid w:val="00C64F1E"/>
    <w:rsid w:val="00C65004"/>
    <w:rsid w:val="00C65464"/>
    <w:rsid w:val="00C6554D"/>
    <w:rsid w:val="00C65908"/>
    <w:rsid w:val="00C65B98"/>
    <w:rsid w:val="00C65C0B"/>
    <w:rsid w:val="00C66045"/>
    <w:rsid w:val="00C66597"/>
    <w:rsid w:val="00C66688"/>
    <w:rsid w:val="00C66B44"/>
    <w:rsid w:val="00C671FC"/>
    <w:rsid w:val="00C677C9"/>
    <w:rsid w:val="00C67AAD"/>
    <w:rsid w:val="00C67B6F"/>
    <w:rsid w:val="00C67D57"/>
    <w:rsid w:val="00C67EF9"/>
    <w:rsid w:val="00C70047"/>
    <w:rsid w:val="00C7033C"/>
    <w:rsid w:val="00C70A58"/>
    <w:rsid w:val="00C713C0"/>
    <w:rsid w:val="00C71888"/>
    <w:rsid w:val="00C71C71"/>
    <w:rsid w:val="00C71FAA"/>
    <w:rsid w:val="00C72247"/>
    <w:rsid w:val="00C72B51"/>
    <w:rsid w:val="00C72DBC"/>
    <w:rsid w:val="00C7456D"/>
    <w:rsid w:val="00C7461B"/>
    <w:rsid w:val="00C755DD"/>
    <w:rsid w:val="00C75EB4"/>
    <w:rsid w:val="00C760D9"/>
    <w:rsid w:val="00C762A3"/>
    <w:rsid w:val="00C766E4"/>
    <w:rsid w:val="00C76BE2"/>
    <w:rsid w:val="00C76D6A"/>
    <w:rsid w:val="00C76FE9"/>
    <w:rsid w:val="00C7749F"/>
    <w:rsid w:val="00C775C5"/>
    <w:rsid w:val="00C77B99"/>
    <w:rsid w:val="00C80062"/>
    <w:rsid w:val="00C806CA"/>
    <w:rsid w:val="00C80CBF"/>
    <w:rsid w:val="00C80DC0"/>
    <w:rsid w:val="00C810C6"/>
    <w:rsid w:val="00C81292"/>
    <w:rsid w:val="00C81812"/>
    <w:rsid w:val="00C81AFF"/>
    <w:rsid w:val="00C81BE7"/>
    <w:rsid w:val="00C81DFD"/>
    <w:rsid w:val="00C826D1"/>
    <w:rsid w:val="00C8289F"/>
    <w:rsid w:val="00C82E74"/>
    <w:rsid w:val="00C832AC"/>
    <w:rsid w:val="00C8341A"/>
    <w:rsid w:val="00C8488A"/>
    <w:rsid w:val="00C84D61"/>
    <w:rsid w:val="00C85577"/>
    <w:rsid w:val="00C8589D"/>
    <w:rsid w:val="00C86128"/>
    <w:rsid w:val="00C86490"/>
    <w:rsid w:val="00C8652D"/>
    <w:rsid w:val="00C8658B"/>
    <w:rsid w:val="00C866AD"/>
    <w:rsid w:val="00C868D7"/>
    <w:rsid w:val="00C87476"/>
    <w:rsid w:val="00C875BE"/>
    <w:rsid w:val="00C87BB9"/>
    <w:rsid w:val="00C87F8C"/>
    <w:rsid w:val="00C901F3"/>
    <w:rsid w:val="00C9111A"/>
    <w:rsid w:val="00C91780"/>
    <w:rsid w:val="00C91A55"/>
    <w:rsid w:val="00C921FC"/>
    <w:rsid w:val="00C9293E"/>
    <w:rsid w:val="00C92D10"/>
    <w:rsid w:val="00C937AA"/>
    <w:rsid w:val="00C93A60"/>
    <w:rsid w:val="00C946DA"/>
    <w:rsid w:val="00C95A5F"/>
    <w:rsid w:val="00C95CD7"/>
    <w:rsid w:val="00C960FC"/>
    <w:rsid w:val="00C961E4"/>
    <w:rsid w:val="00C965E6"/>
    <w:rsid w:val="00C968A4"/>
    <w:rsid w:val="00C96B7C"/>
    <w:rsid w:val="00C96BA5"/>
    <w:rsid w:val="00C96F90"/>
    <w:rsid w:val="00C97053"/>
    <w:rsid w:val="00C97364"/>
    <w:rsid w:val="00C975F9"/>
    <w:rsid w:val="00C97A18"/>
    <w:rsid w:val="00CA06E7"/>
    <w:rsid w:val="00CA083C"/>
    <w:rsid w:val="00CA0DE2"/>
    <w:rsid w:val="00CA0E03"/>
    <w:rsid w:val="00CA1036"/>
    <w:rsid w:val="00CA1D1A"/>
    <w:rsid w:val="00CA1D5C"/>
    <w:rsid w:val="00CA224C"/>
    <w:rsid w:val="00CA255D"/>
    <w:rsid w:val="00CA2A95"/>
    <w:rsid w:val="00CA2D0F"/>
    <w:rsid w:val="00CA2F8C"/>
    <w:rsid w:val="00CA2F91"/>
    <w:rsid w:val="00CA2FB0"/>
    <w:rsid w:val="00CA357F"/>
    <w:rsid w:val="00CA3587"/>
    <w:rsid w:val="00CA39BD"/>
    <w:rsid w:val="00CA4093"/>
    <w:rsid w:val="00CA512C"/>
    <w:rsid w:val="00CA54A3"/>
    <w:rsid w:val="00CA5CA1"/>
    <w:rsid w:val="00CA63F0"/>
    <w:rsid w:val="00CA67C3"/>
    <w:rsid w:val="00CA7226"/>
    <w:rsid w:val="00CA73A6"/>
    <w:rsid w:val="00CA7E08"/>
    <w:rsid w:val="00CB01AA"/>
    <w:rsid w:val="00CB091C"/>
    <w:rsid w:val="00CB0B82"/>
    <w:rsid w:val="00CB0E74"/>
    <w:rsid w:val="00CB1359"/>
    <w:rsid w:val="00CB1C0A"/>
    <w:rsid w:val="00CB1F58"/>
    <w:rsid w:val="00CB29BE"/>
    <w:rsid w:val="00CB2D9B"/>
    <w:rsid w:val="00CB2EC5"/>
    <w:rsid w:val="00CB4272"/>
    <w:rsid w:val="00CB44C4"/>
    <w:rsid w:val="00CB46F9"/>
    <w:rsid w:val="00CB49F4"/>
    <w:rsid w:val="00CB55BA"/>
    <w:rsid w:val="00CB5888"/>
    <w:rsid w:val="00CB5C03"/>
    <w:rsid w:val="00CB5D28"/>
    <w:rsid w:val="00CB5DF2"/>
    <w:rsid w:val="00CB6247"/>
    <w:rsid w:val="00CB6686"/>
    <w:rsid w:val="00CB693F"/>
    <w:rsid w:val="00CB71E2"/>
    <w:rsid w:val="00CB75F2"/>
    <w:rsid w:val="00CB76FF"/>
    <w:rsid w:val="00CC06C4"/>
    <w:rsid w:val="00CC0D75"/>
    <w:rsid w:val="00CC1069"/>
    <w:rsid w:val="00CC1943"/>
    <w:rsid w:val="00CC19E6"/>
    <w:rsid w:val="00CC1F4F"/>
    <w:rsid w:val="00CC297E"/>
    <w:rsid w:val="00CC3F9D"/>
    <w:rsid w:val="00CC4325"/>
    <w:rsid w:val="00CC4675"/>
    <w:rsid w:val="00CC51FF"/>
    <w:rsid w:val="00CC5356"/>
    <w:rsid w:val="00CC53B8"/>
    <w:rsid w:val="00CC56A1"/>
    <w:rsid w:val="00CC5719"/>
    <w:rsid w:val="00CC5B92"/>
    <w:rsid w:val="00CC6419"/>
    <w:rsid w:val="00CC67CF"/>
    <w:rsid w:val="00CC6BB4"/>
    <w:rsid w:val="00CC6DC7"/>
    <w:rsid w:val="00CC71F7"/>
    <w:rsid w:val="00CC721D"/>
    <w:rsid w:val="00CC75CA"/>
    <w:rsid w:val="00CC7DB1"/>
    <w:rsid w:val="00CD083B"/>
    <w:rsid w:val="00CD0E9D"/>
    <w:rsid w:val="00CD0F32"/>
    <w:rsid w:val="00CD1096"/>
    <w:rsid w:val="00CD15A6"/>
    <w:rsid w:val="00CD1D4D"/>
    <w:rsid w:val="00CD280C"/>
    <w:rsid w:val="00CD2C33"/>
    <w:rsid w:val="00CD2C7B"/>
    <w:rsid w:val="00CD395B"/>
    <w:rsid w:val="00CD3D82"/>
    <w:rsid w:val="00CD46A9"/>
    <w:rsid w:val="00CD4D29"/>
    <w:rsid w:val="00CD542D"/>
    <w:rsid w:val="00CD579C"/>
    <w:rsid w:val="00CD5CC1"/>
    <w:rsid w:val="00CD5FB7"/>
    <w:rsid w:val="00CD678E"/>
    <w:rsid w:val="00CD6B6C"/>
    <w:rsid w:val="00CE03F0"/>
    <w:rsid w:val="00CE0B55"/>
    <w:rsid w:val="00CE0D06"/>
    <w:rsid w:val="00CE0DB8"/>
    <w:rsid w:val="00CE1B84"/>
    <w:rsid w:val="00CE1DEE"/>
    <w:rsid w:val="00CE2224"/>
    <w:rsid w:val="00CE23FC"/>
    <w:rsid w:val="00CE253C"/>
    <w:rsid w:val="00CE2551"/>
    <w:rsid w:val="00CE285E"/>
    <w:rsid w:val="00CE2E69"/>
    <w:rsid w:val="00CE3189"/>
    <w:rsid w:val="00CE340F"/>
    <w:rsid w:val="00CE34D8"/>
    <w:rsid w:val="00CE44A7"/>
    <w:rsid w:val="00CE4864"/>
    <w:rsid w:val="00CE4B75"/>
    <w:rsid w:val="00CE4D43"/>
    <w:rsid w:val="00CE4E82"/>
    <w:rsid w:val="00CE54CE"/>
    <w:rsid w:val="00CE5B82"/>
    <w:rsid w:val="00CE5C22"/>
    <w:rsid w:val="00CE5FA7"/>
    <w:rsid w:val="00CE60CB"/>
    <w:rsid w:val="00CE6BE4"/>
    <w:rsid w:val="00CE7177"/>
    <w:rsid w:val="00CE770D"/>
    <w:rsid w:val="00CE77CA"/>
    <w:rsid w:val="00CF0384"/>
    <w:rsid w:val="00CF0437"/>
    <w:rsid w:val="00CF06D6"/>
    <w:rsid w:val="00CF0EE9"/>
    <w:rsid w:val="00CF1676"/>
    <w:rsid w:val="00CF1BF9"/>
    <w:rsid w:val="00CF1FDF"/>
    <w:rsid w:val="00CF23F3"/>
    <w:rsid w:val="00CF330E"/>
    <w:rsid w:val="00CF33DB"/>
    <w:rsid w:val="00CF3BFE"/>
    <w:rsid w:val="00CF45EF"/>
    <w:rsid w:val="00CF4B91"/>
    <w:rsid w:val="00CF4FED"/>
    <w:rsid w:val="00CF5753"/>
    <w:rsid w:val="00CF57A8"/>
    <w:rsid w:val="00CF5AF8"/>
    <w:rsid w:val="00CF5D34"/>
    <w:rsid w:val="00CF5D98"/>
    <w:rsid w:val="00CF611A"/>
    <w:rsid w:val="00CF6332"/>
    <w:rsid w:val="00CF6BB6"/>
    <w:rsid w:val="00CF6D3E"/>
    <w:rsid w:val="00D005DD"/>
    <w:rsid w:val="00D00EA3"/>
    <w:rsid w:val="00D01421"/>
    <w:rsid w:val="00D01A0A"/>
    <w:rsid w:val="00D01AFF"/>
    <w:rsid w:val="00D01D5D"/>
    <w:rsid w:val="00D01DCE"/>
    <w:rsid w:val="00D02584"/>
    <w:rsid w:val="00D0260C"/>
    <w:rsid w:val="00D02A7D"/>
    <w:rsid w:val="00D02B30"/>
    <w:rsid w:val="00D02F13"/>
    <w:rsid w:val="00D0316E"/>
    <w:rsid w:val="00D0318E"/>
    <w:rsid w:val="00D03210"/>
    <w:rsid w:val="00D0341B"/>
    <w:rsid w:val="00D0355B"/>
    <w:rsid w:val="00D035BE"/>
    <w:rsid w:val="00D038BF"/>
    <w:rsid w:val="00D03B80"/>
    <w:rsid w:val="00D03CD4"/>
    <w:rsid w:val="00D03E54"/>
    <w:rsid w:val="00D03F6B"/>
    <w:rsid w:val="00D04127"/>
    <w:rsid w:val="00D04788"/>
    <w:rsid w:val="00D05696"/>
    <w:rsid w:val="00D05767"/>
    <w:rsid w:val="00D059CD"/>
    <w:rsid w:val="00D05CEF"/>
    <w:rsid w:val="00D06C8B"/>
    <w:rsid w:val="00D06EC3"/>
    <w:rsid w:val="00D070CF"/>
    <w:rsid w:val="00D108D5"/>
    <w:rsid w:val="00D10BC9"/>
    <w:rsid w:val="00D11466"/>
    <w:rsid w:val="00D11528"/>
    <w:rsid w:val="00D119B9"/>
    <w:rsid w:val="00D11DF9"/>
    <w:rsid w:val="00D11FB8"/>
    <w:rsid w:val="00D131DF"/>
    <w:rsid w:val="00D135EE"/>
    <w:rsid w:val="00D136B8"/>
    <w:rsid w:val="00D13AC2"/>
    <w:rsid w:val="00D13EF4"/>
    <w:rsid w:val="00D1417A"/>
    <w:rsid w:val="00D14244"/>
    <w:rsid w:val="00D1498D"/>
    <w:rsid w:val="00D14E56"/>
    <w:rsid w:val="00D15039"/>
    <w:rsid w:val="00D15E68"/>
    <w:rsid w:val="00D16082"/>
    <w:rsid w:val="00D162ED"/>
    <w:rsid w:val="00D163ED"/>
    <w:rsid w:val="00D16555"/>
    <w:rsid w:val="00D1658A"/>
    <w:rsid w:val="00D16DD7"/>
    <w:rsid w:val="00D17431"/>
    <w:rsid w:val="00D175AF"/>
    <w:rsid w:val="00D178EA"/>
    <w:rsid w:val="00D17F7C"/>
    <w:rsid w:val="00D17FC7"/>
    <w:rsid w:val="00D20055"/>
    <w:rsid w:val="00D2085D"/>
    <w:rsid w:val="00D21578"/>
    <w:rsid w:val="00D218CE"/>
    <w:rsid w:val="00D21B7E"/>
    <w:rsid w:val="00D21BB3"/>
    <w:rsid w:val="00D2223A"/>
    <w:rsid w:val="00D226A8"/>
    <w:rsid w:val="00D22D5C"/>
    <w:rsid w:val="00D2333E"/>
    <w:rsid w:val="00D2350C"/>
    <w:rsid w:val="00D23AF5"/>
    <w:rsid w:val="00D23B4F"/>
    <w:rsid w:val="00D23B71"/>
    <w:rsid w:val="00D23EE0"/>
    <w:rsid w:val="00D24667"/>
    <w:rsid w:val="00D24763"/>
    <w:rsid w:val="00D24C78"/>
    <w:rsid w:val="00D24D0B"/>
    <w:rsid w:val="00D24ED1"/>
    <w:rsid w:val="00D25905"/>
    <w:rsid w:val="00D25AA1"/>
    <w:rsid w:val="00D26446"/>
    <w:rsid w:val="00D26F1B"/>
    <w:rsid w:val="00D27218"/>
    <w:rsid w:val="00D27E46"/>
    <w:rsid w:val="00D27F8E"/>
    <w:rsid w:val="00D30B8C"/>
    <w:rsid w:val="00D30E20"/>
    <w:rsid w:val="00D31651"/>
    <w:rsid w:val="00D32083"/>
    <w:rsid w:val="00D32B28"/>
    <w:rsid w:val="00D33619"/>
    <w:rsid w:val="00D33D02"/>
    <w:rsid w:val="00D33F0D"/>
    <w:rsid w:val="00D34A07"/>
    <w:rsid w:val="00D34C30"/>
    <w:rsid w:val="00D35C6E"/>
    <w:rsid w:val="00D35E6E"/>
    <w:rsid w:val="00D35FE5"/>
    <w:rsid w:val="00D368E7"/>
    <w:rsid w:val="00D368EA"/>
    <w:rsid w:val="00D373C1"/>
    <w:rsid w:val="00D37846"/>
    <w:rsid w:val="00D405D5"/>
    <w:rsid w:val="00D4090A"/>
    <w:rsid w:val="00D40BC9"/>
    <w:rsid w:val="00D4129A"/>
    <w:rsid w:val="00D41C6E"/>
    <w:rsid w:val="00D41E44"/>
    <w:rsid w:val="00D42626"/>
    <w:rsid w:val="00D426FC"/>
    <w:rsid w:val="00D43496"/>
    <w:rsid w:val="00D43D9E"/>
    <w:rsid w:val="00D446A6"/>
    <w:rsid w:val="00D44C8C"/>
    <w:rsid w:val="00D44DC8"/>
    <w:rsid w:val="00D452E7"/>
    <w:rsid w:val="00D45303"/>
    <w:rsid w:val="00D45FD8"/>
    <w:rsid w:val="00D45FDD"/>
    <w:rsid w:val="00D46B4B"/>
    <w:rsid w:val="00D46D48"/>
    <w:rsid w:val="00D46F9D"/>
    <w:rsid w:val="00D47226"/>
    <w:rsid w:val="00D474EB"/>
    <w:rsid w:val="00D476D5"/>
    <w:rsid w:val="00D47C15"/>
    <w:rsid w:val="00D504CA"/>
    <w:rsid w:val="00D50ABB"/>
    <w:rsid w:val="00D516E4"/>
    <w:rsid w:val="00D518E3"/>
    <w:rsid w:val="00D51A0A"/>
    <w:rsid w:val="00D51A25"/>
    <w:rsid w:val="00D51A34"/>
    <w:rsid w:val="00D52A3C"/>
    <w:rsid w:val="00D52CD7"/>
    <w:rsid w:val="00D52E27"/>
    <w:rsid w:val="00D536DE"/>
    <w:rsid w:val="00D538F4"/>
    <w:rsid w:val="00D53C3C"/>
    <w:rsid w:val="00D54589"/>
    <w:rsid w:val="00D54C12"/>
    <w:rsid w:val="00D54E69"/>
    <w:rsid w:val="00D54F0D"/>
    <w:rsid w:val="00D5515E"/>
    <w:rsid w:val="00D5562D"/>
    <w:rsid w:val="00D5578C"/>
    <w:rsid w:val="00D56066"/>
    <w:rsid w:val="00D56750"/>
    <w:rsid w:val="00D5721E"/>
    <w:rsid w:val="00D57583"/>
    <w:rsid w:val="00D5779A"/>
    <w:rsid w:val="00D601D5"/>
    <w:rsid w:val="00D605EC"/>
    <w:rsid w:val="00D60B3D"/>
    <w:rsid w:val="00D60B86"/>
    <w:rsid w:val="00D6148D"/>
    <w:rsid w:val="00D61632"/>
    <w:rsid w:val="00D61823"/>
    <w:rsid w:val="00D61931"/>
    <w:rsid w:val="00D61D72"/>
    <w:rsid w:val="00D61DAB"/>
    <w:rsid w:val="00D62574"/>
    <w:rsid w:val="00D62592"/>
    <w:rsid w:val="00D62656"/>
    <w:rsid w:val="00D62A42"/>
    <w:rsid w:val="00D62D02"/>
    <w:rsid w:val="00D6308D"/>
    <w:rsid w:val="00D63482"/>
    <w:rsid w:val="00D640F9"/>
    <w:rsid w:val="00D64C2F"/>
    <w:rsid w:val="00D6509D"/>
    <w:rsid w:val="00D651E0"/>
    <w:rsid w:val="00D65A5F"/>
    <w:rsid w:val="00D65AA7"/>
    <w:rsid w:val="00D65CDB"/>
    <w:rsid w:val="00D65D00"/>
    <w:rsid w:val="00D675A7"/>
    <w:rsid w:val="00D67630"/>
    <w:rsid w:val="00D67695"/>
    <w:rsid w:val="00D67EA7"/>
    <w:rsid w:val="00D70168"/>
    <w:rsid w:val="00D7029F"/>
    <w:rsid w:val="00D70A52"/>
    <w:rsid w:val="00D70D21"/>
    <w:rsid w:val="00D70EC7"/>
    <w:rsid w:val="00D70F0D"/>
    <w:rsid w:val="00D71557"/>
    <w:rsid w:val="00D7173E"/>
    <w:rsid w:val="00D71924"/>
    <w:rsid w:val="00D71AE5"/>
    <w:rsid w:val="00D71AE6"/>
    <w:rsid w:val="00D71B50"/>
    <w:rsid w:val="00D71C20"/>
    <w:rsid w:val="00D71E5E"/>
    <w:rsid w:val="00D71F3F"/>
    <w:rsid w:val="00D72243"/>
    <w:rsid w:val="00D723E6"/>
    <w:rsid w:val="00D72451"/>
    <w:rsid w:val="00D7254B"/>
    <w:rsid w:val="00D736E5"/>
    <w:rsid w:val="00D73ABC"/>
    <w:rsid w:val="00D73C63"/>
    <w:rsid w:val="00D74440"/>
    <w:rsid w:val="00D749D6"/>
    <w:rsid w:val="00D74B44"/>
    <w:rsid w:val="00D75BB6"/>
    <w:rsid w:val="00D75E1A"/>
    <w:rsid w:val="00D76562"/>
    <w:rsid w:val="00D76818"/>
    <w:rsid w:val="00D76A13"/>
    <w:rsid w:val="00D76F90"/>
    <w:rsid w:val="00D771C0"/>
    <w:rsid w:val="00D774FA"/>
    <w:rsid w:val="00D777C3"/>
    <w:rsid w:val="00D778A9"/>
    <w:rsid w:val="00D779D3"/>
    <w:rsid w:val="00D77ED6"/>
    <w:rsid w:val="00D77F7F"/>
    <w:rsid w:val="00D80855"/>
    <w:rsid w:val="00D808D0"/>
    <w:rsid w:val="00D81077"/>
    <w:rsid w:val="00D816DB"/>
    <w:rsid w:val="00D81E86"/>
    <w:rsid w:val="00D81FA5"/>
    <w:rsid w:val="00D821AB"/>
    <w:rsid w:val="00D82656"/>
    <w:rsid w:val="00D82A4B"/>
    <w:rsid w:val="00D82FD6"/>
    <w:rsid w:val="00D834A3"/>
    <w:rsid w:val="00D836F4"/>
    <w:rsid w:val="00D83951"/>
    <w:rsid w:val="00D84418"/>
    <w:rsid w:val="00D8447F"/>
    <w:rsid w:val="00D84623"/>
    <w:rsid w:val="00D847EB"/>
    <w:rsid w:val="00D84E26"/>
    <w:rsid w:val="00D85D5B"/>
    <w:rsid w:val="00D87471"/>
    <w:rsid w:val="00D875DC"/>
    <w:rsid w:val="00D87D97"/>
    <w:rsid w:val="00D87E0D"/>
    <w:rsid w:val="00D87F45"/>
    <w:rsid w:val="00D902F9"/>
    <w:rsid w:val="00D90765"/>
    <w:rsid w:val="00D909FC"/>
    <w:rsid w:val="00D90DDC"/>
    <w:rsid w:val="00D91224"/>
    <w:rsid w:val="00D913FC"/>
    <w:rsid w:val="00D91453"/>
    <w:rsid w:val="00D91B9E"/>
    <w:rsid w:val="00D91DC6"/>
    <w:rsid w:val="00D91ED9"/>
    <w:rsid w:val="00D91F2E"/>
    <w:rsid w:val="00D91FD3"/>
    <w:rsid w:val="00D920DB"/>
    <w:rsid w:val="00D92917"/>
    <w:rsid w:val="00D92B86"/>
    <w:rsid w:val="00D92B8A"/>
    <w:rsid w:val="00D92C9E"/>
    <w:rsid w:val="00D9343A"/>
    <w:rsid w:val="00D93493"/>
    <w:rsid w:val="00D9353A"/>
    <w:rsid w:val="00D9362D"/>
    <w:rsid w:val="00D93850"/>
    <w:rsid w:val="00D93C55"/>
    <w:rsid w:val="00D93D6A"/>
    <w:rsid w:val="00D9425D"/>
    <w:rsid w:val="00D94846"/>
    <w:rsid w:val="00D94A78"/>
    <w:rsid w:val="00D94DDB"/>
    <w:rsid w:val="00D95149"/>
    <w:rsid w:val="00D952C2"/>
    <w:rsid w:val="00D959FA"/>
    <w:rsid w:val="00D95CBC"/>
    <w:rsid w:val="00D96ED4"/>
    <w:rsid w:val="00D9760C"/>
    <w:rsid w:val="00D976F0"/>
    <w:rsid w:val="00D97718"/>
    <w:rsid w:val="00DA0696"/>
    <w:rsid w:val="00DA09EC"/>
    <w:rsid w:val="00DA0D65"/>
    <w:rsid w:val="00DA1059"/>
    <w:rsid w:val="00DA15B8"/>
    <w:rsid w:val="00DA2081"/>
    <w:rsid w:val="00DA2238"/>
    <w:rsid w:val="00DA23A0"/>
    <w:rsid w:val="00DA25D2"/>
    <w:rsid w:val="00DA2A4A"/>
    <w:rsid w:val="00DA2E5D"/>
    <w:rsid w:val="00DA30B8"/>
    <w:rsid w:val="00DA313D"/>
    <w:rsid w:val="00DA32A1"/>
    <w:rsid w:val="00DA3FB0"/>
    <w:rsid w:val="00DA4302"/>
    <w:rsid w:val="00DA4AAC"/>
    <w:rsid w:val="00DA519B"/>
    <w:rsid w:val="00DA5593"/>
    <w:rsid w:val="00DA597B"/>
    <w:rsid w:val="00DA5EC6"/>
    <w:rsid w:val="00DA5F62"/>
    <w:rsid w:val="00DA6529"/>
    <w:rsid w:val="00DA753A"/>
    <w:rsid w:val="00DA7F90"/>
    <w:rsid w:val="00DB0374"/>
    <w:rsid w:val="00DB1219"/>
    <w:rsid w:val="00DB19BF"/>
    <w:rsid w:val="00DB2246"/>
    <w:rsid w:val="00DB25BF"/>
    <w:rsid w:val="00DB299C"/>
    <w:rsid w:val="00DB2C69"/>
    <w:rsid w:val="00DB2DEA"/>
    <w:rsid w:val="00DB30F7"/>
    <w:rsid w:val="00DB396C"/>
    <w:rsid w:val="00DB4000"/>
    <w:rsid w:val="00DB4194"/>
    <w:rsid w:val="00DB42F8"/>
    <w:rsid w:val="00DB487E"/>
    <w:rsid w:val="00DB59D6"/>
    <w:rsid w:val="00DB5C32"/>
    <w:rsid w:val="00DB661D"/>
    <w:rsid w:val="00DB66F5"/>
    <w:rsid w:val="00DB6A80"/>
    <w:rsid w:val="00DB6C49"/>
    <w:rsid w:val="00DB7004"/>
    <w:rsid w:val="00DB76C1"/>
    <w:rsid w:val="00DB76F0"/>
    <w:rsid w:val="00DB79A5"/>
    <w:rsid w:val="00DB79F8"/>
    <w:rsid w:val="00DB7D6C"/>
    <w:rsid w:val="00DC0440"/>
    <w:rsid w:val="00DC06A5"/>
    <w:rsid w:val="00DC08CA"/>
    <w:rsid w:val="00DC0C66"/>
    <w:rsid w:val="00DC14F5"/>
    <w:rsid w:val="00DC1E8B"/>
    <w:rsid w:val="00DC2594"/>
    <w:rsid w:val="00DC27FC"/>
    <w:rsid w:val="00DC2BB6"/>
    <w:rsid w:val="00DC2E30"/>
    <w:rsid w:val="00DC33EA"/>
    <w:rsid w:val="00DC361B"/>
    <w:rsid w:val="00DC3687"/>
    <w:rsid w:val="00DC3932"/>
    <w:rsid w:val="00DC462E"/>
    <w:rsid w:val="00DC4701"/>
    <w:rsid w:val="00DC473E"/>
    <w:rsid w:val="00DC4A4A"/>
    <w:rsid w:val="00DC4BC1"/>
    <w:rsid w:val="00DC54A6"/>
    <w:rsid w:val="00DC6114"/>
    <w:rsid w:val="00DC6344"/>
    <w:rsid w:val="00DC6E38"/>
    <w:rsid w:val="00DC6F2C"/>
    <w:rsid w:val="00DC72F8"/>
    <w:rsid w:val="00DC7566"/>
    <w:rsid w:val="00DC7734"/>
    <w:rsid w:val="00DC7D62"/>
    <w:rsid w:val="00DD0153"/>
    <w:rsid w:val="00DD0BA8"/>
    <w:rsid w:val="00DD19C3"/>
    <w:rsid w:val="00DD1CAA"/>
    <w:rsid w:val="00DD1D2F"/>
    <w:rsid w:val="00DD1EEB"/>
    <w:rsid w:val="00DD2C10"/>
    <w:rsid w:val="00DD345E"/>
    <w:rsid w:val="00DD3998"/>
    <w:rsid w:val="00DD44A0"/>
    <w:rsid w:val="00DD4FBA"/>
    <w:rsid w:val="00DD65A8"/>
    <w:rsid w:val="00DD6B37"/>
    <w:rsid w:val="00DD6C2E"/>
    <w:rsid w:val="00DD6DC3"/>
    <w:rsid w:val="00DD7A42"/>
    <w:rsid w:val="00DE0033"/>
    <w:rsid w:val="00DE012D"/>
    <w:rsid w:val="00DE04ED"/>
    <w:rsid w:val="00DE0A78"/>
    <w:rsid w:val="00DE0D49"/>
    <w:rsid w:val="00DE1401"/>
    <w:rsid w:val="00DE1F67"/>
    <w:rsid w:val="00DE23F7"/>
    <w:rsid w:val="00DE249C"/>
    <w:rsid w:val="00DE2558"/>
    <w:rsid w:val="00DE2F18"/>
    <w:rsid w:val="00DE3527"/>
    <w:rsid w:val="00DE37A0"/>
    <w:rsid w:val="00DE3C75"/>
    <w:rsid w:val="00DE3DB5"/>
    <w:rsid w:val="00DE4DBE"/>
    <w:rsid w:val="00DE4FB5"/>
    <w:rsid w:val="00DE57CC"/>
    <w:rsid w:val="00DE5934"/>
    <w:rsid w:val="00DE5A09"/>
    <w:rsid w:val="00DE5C7A"/>
    <w:rsid w:val="00DE5DD8"/>
    <w:rsid w:val="00DE5E5D"/>
    <w:rsid w:val="00DE5F0E"/>
    <w:rsid w:val="00DE6651"/>
    <w:rsid w:val="00DE6B9C"/>
    <w:rsid w:val="00DE703C"/>
    <w:rsid w:val="00DE72DB"/>
    <w:rsid w:val="00DE793F"/>
    <w:rsid w:val="00DE7FE3"/>
    <w:rsid w:val="00DF04C7"/>
    <w:rsid w:val="00DF06BD"/>
    <w:rsid w:val="00DF0892"/>
    <w:rsid w:val="00DF0FCF"/>
    <w:rsid w:val="00DF1216"/>
    <w:rsid w:val="00DF13CF"/>
    <w:rsid w:val="00DF1653"/>
    <w:rsid w:val="00DF16D8"/>
    <w:rsid w:val="00DF197A"/>
    <w:rsid w:val="00DF1C50"/>
    <w:rsid w:val="00DF28CC"/>
    <w:rsid w:val="00DF3744"/>
    <w:rsid w:val="00DF37EA"/>
    <w:rsid w:val="00DF3B6F"/>
    <w:rsid w:val="00DF418C"/>
    <w:rsid w:val="00DF4692"/>
    <w:rsid w:val="00DF5066"/>
    <w:rsid w:val="00DF5E2B"/>
    <w:rsid w:val="00DF6389"/>
    <w:rsid w:val="00DF709E"/>
    <w:rsid w:val="00DF737F"/>
    <w:rsid w:val="00DF7426"/>
    <w:rsid w:val="00DF779E"/>
    <w:rsid w:val="00DF779F"/>
    <w:rsid w:val="00DF77C6"/>
    <w:rsid w:val="00DF784D"/>
    <w:rsid w:val="00DF7CF9"/>
    <w:rsid w:val="00E006F1"/>
    <w:rsid w:val="00E00DC7"/>
    <w:rsid w:val="00E015DB"/>
    <w:rsid w:val="00E018B6"/>
    <w:rsid w:val="00E01FD0"/>
    <w:rsid w:val="00E02070"/>
    <w:rsid w:val="00E023BD"/>
    <w:rsid w:val="00E0251C"/>
    <w:rsid w:val="00E02CAB"/>
    <w:rsid w:val="00E03DF9"/>
    <w:rsid w:val="00E03E24"/>
    <w:rsid w:val="00E04433"/>
    <w:rsid w:val="00E0454F"/>
    <w:rsid w:val="00E046E0"/>
    <w:rsid w:val="00E05535"/>
    <w:rsid w:val="00E05BB3"/>
    <w:rsid w:val="00E071D3"/>
    <w:rsid w:val="00E071D8"/>
    <w:rsid w:val="00E0746B"/>
    <w:rsid w:val="00E07472"/>
    <w:rsid w:val="00E0782A"/>
    <w:rsid w:val="00E07F94"/>
    <w:rsid w:val="00E10272"/>
    <w:rsid w:val="00E1075B"/>
    <w:rsid w:val="00E10957"/>
    <w:rsid w:val="00E10E50"/>
    <w:rsid w:val="00E11154"/>
    <w:rsid w:val="00E112C9"/>
    <w:rsid w:val="00E11999"/>
    <w:rsid w:val="00E120C6"/>
    <w:rsid w:val="00E1221A"/>
    <w:rsid w:val="00E127CD"/>
    <w:rsid w:val="00E128FC"/>
    <w:rsid w:val="00E129DD"/>
    <w:rsid w:val="00E12E62"/>
    <w:rsid w:val="00E1332E"/>
    <w:rsid w:val="00E13920"/>
    <w:rsid w:val="00E13973"/>
    <w:rsid w:val="00E14285"/>
    <w:rsid w:val="00E143C6"/>
    <w:rsid w:val="00E1450E"/>
    <w:rsid w:val="00E145E1"/>
    <w:rsid w:val="00E14996"/>
    <w:rsid w:val="00E16370"/>
    <w:rsid w:val="00E16539"/>
    <w:rsid w:val="00E16715"/>
    <w:rsid w:val="00E169B2"/>
    <w:rsid w:val="00E16DA7"/>
    <w:rsid w:val="00E17067"/>
    <w:rsid w:val="00E1716B"/>
    <w:rsid w:val="00E17C1F"/>
    <w:rsid w:val="00E17FEB"/>
    <w:rsid w:val="00E206D9"/>
    <w:rsid w:val="00E20A1E"/>
    <w:rsid w:val="00E20A6A"/>
    <w:rsid w:val="00E20E5E"/>
    <w:rsid w:val="00E212E1"/>
    <w:rsid w:val="00E2131A"/>
    <w:rsid w:val="00E217E9"/>
    <w:rsid w:val="00E220A9"/>
    <w:rsid w:val="00E2290F"/>
    <w:rsid w:val="00E229D6"/>
    <w:rsid w:val="00E229DA"/>
    <w:rsid w:val="00E22DDF"/>
    <w:rsid w:val="00E230C8"/>
    <w:rsid w:val="00E238CE"/>
    <w:rsid w:val="00E2394D"/>
    <w:rsid w:val="00E24D06"/>
    <w:rsid w:val="00E25030"/>
    <w:rsid w:val="00E2551A"/>
    <w:rsid w:val="00E25AC2"/>
    <w:rsid w:val="00E25B18"/>
    <w:rsid w:val="00E26147"/>
    <w:rsid w:val="00E26820"/>
    <w:rsid w:val="00E27AC7"/>
    <w:rsid w:val="00E27F09"/>
    <w:rsid w:val="00E30516"/>
    <w:rsid w:val="00E306D6"/>
    <w:rsid w:val="00E30CF2"/>
    <w:rsid w:val="00E30F72"/>
    <w:rsid w:val="00E31112"/>
    <w:rsid w:val="00E3124C"/>
    <w:rsid w:val="00E31924"/>
    <w:rsid w:val="00E31CB9"/>
    <w:rsid w:val="00E31DD3"/>
    <w:rsid w:val="00E31F2C"/>
    <w:rsid w:val="00E31F8C"/>
    <w:rsid w:val="00E3309A"/>
    <w:rsid w:val="00E3367D"/>
    <w:rsid w:val="00E3378A"/>
    <w:rsid w:val="00E33D2E"/>
    <w:rsid w:val="00E3490B"/>
    <w:rsid w:val="00E34FBE"/>
    <w:rsid w:val="00E35C5D"/>
    <w:rsid w:val="00E368D3"/>
    <w:rsid w:val="00E36A0A"/>
    <w:rsid w:val="00E36EE7"/>
    <w:rsid w:val="00E372CA"/>
    <w:rsid w:val="00E3761E"/>
    <w:rsid w:val="00E37C96"/>
    <w:rsid w:val="00E37D1D"/>
    <w:rsid w:val="00E40079"/>
    <w:rsid w:val="00E41174"/>
    <w:rsid w:val="00E4129E"/>
    <w:rsid w:val="00E41E0B"/>
    <w:rsid w:val="00E423CD"/>
    <w:rsid w:val="00E424A2"/>
    <w:rsid w:val="00E42DE7"/>
    <w:rsid w:val="00E4307B"/>
    <w:rsid w:val="00E432D4"/>
    <w:rsid w:val="00E438BA"/>
    <w:rsid w:val="00E43B6D"/>
    <w:rsid w:val="00E43FF0"/>
    <w:rsid w:val="00E452A0"/>
    <w:rsid w:val="00E455A2"/>
    <w:rsid w:val="00E458A2"/>
    <w:rsid w:val="00E45BE2"/>
    <w:rsid w:val="00E45F0F"/>
    <w:rsid w:val="00E460F0"/>
    <w:rsid w:val="00E46201"/>
    <w:rsid w:val="00E463A3"/>
    <w:rsid w:val="00E469BF"/>
    <w:rsid w:val="00E479FF"/>
    <w:rsid w:val="00E47FA9"/>
    <w:rsid w:val="00E50F8C"/>
    <w:rsid w:val="00E5127D"/>
    <w:rsid w:val="00E51397"/>
    <w:rsid w:val="00E5191F"/>
    <w:rsid w:val="00E51CFA"/>
    <w:rsid w:val="00E51E4D"/>
    <w:rsid w:val="00E51F8C"/>
    <w:rsid w:val="00E52222"/>
    <w:rsid w:val="00E525AA"/>
    <w:rsid w:val="00E532DF"/>
    <w:rsid w:val="00E534AA"/>
    <w:rsid w:val="00E53CC6"/>
    <w:rsid w:val="00E5410E"/>
    <w:rsid w:val="00E54F75"/>
    <w:rsid w:val="00E55292"/>
    <w:rsid w:val="00E558F1"/>
    <w:rsid w:val="00E55937"/>
    <w:rsid w:val="00E55B88"/>
    <w:rsid w:val="00E55C60"/>
    <w:rsid w:val="00E55DDE"/>
    <w:rsid w:val="00E56446"/>
    <w:rsid w:val="00E5674B"/>
    <w:rsid w:val="00E571DF"/>
    <w:rsid w:val="00E57394"/>
    <w:rsid w:val="00E57AA0"/>
    <w:rsid w:val="00E57C70"/>
    <w:rsid w:val="00E57D0B"/>
    <w:rsid w:val="00E60295"/>
    <w:rsid w:val="00E610DA"/>
    <w:rsid w:val="00E61D11"/>
    <w:rsid w:val="00E624F6"/>
    <w:rsid w:val="00E632A6"/>
    <w:rsid w:val="00E63587"/>
    <w:rsid w:val="00E6372F"/>
    <w:rsid w:val="00E63B1D"/>
    <w:rsid w:val="00E64172"/>
    <w:rsid w:val="00E64328"/>
    <w:rsid w:val="00E643CB"/>
    <w:rsid w:val="00E64C91"/>
    <w:rsid w:val="00E64EEB"/>
    <w:rsid w:val="00E6594C"/>
    <w:rsid w:val="00E660F2"/>
    <w:rsid w:val="00E66106"/>
    <w:rsid w:val="00E6649A"/>
    <w:rsid w:val="00E6649F"/>
    <w:rsid w:val="00E66FA3"/>
    <w:rsid w:val="00E675F3"/>
    <w:rsid w:val="00E701EE"/>
    <w:rsid w:val="00E70469"/>
    <w:rsid w:val="00E70B76"/>
    <w:rsid w:val="00E710FC"/>
    <w:rsid w:val="00E71E26"/>
    <w:rsid w:val="00E72743"/>
    <w:rsid w:val="00E72857"/>
    <w:rsid w:val="00E72E2C"/>
    <w:rsid w:val="00E73900"/>
    <w:rsid w:val="00E73D38"/>
    <w:rsid w:val="00E73E97"/>
    <w:rsid w:val="00E74531"/>
    <w:rsid w:val="00E74BFA"/>
    <w:rsid w:val="00E7530E"/>
    <w:rsid w:val="00E7531F"/>
    <w:rsid w:val="00E75600"/>
    <w:rsid w:val="00E760F3"/>
    <w:rsid w:val="00E76731"/>
    <w:rsid w:val="00E767DF"/>
    <w:rsid w:val="00E7683E"/>
    <w:rsid w:val="00E76992"/>
    <w:rsid w:val="00E769EE"/>
    <w:rsid w:val="00E770FE"/>
    <w:rsid w:val="00E77A67"/>
    <w:rsid w:val="00E80081"/>
    <w:rsid w:val="00E8055C"/>
    <w:rsid w:val="00E80692"/>
    <w:rsid w:val="00E80960"/>
    <w:rsid w:val="00E80B4A"/>
    <w:rsid w:val="00E8123A"/>
    <w:rsid w:val="00E81A4F"/>
    <w:rsid w:val="00E81AF3"/>
    <w:rsid w:val="00E8216B"/>
    <w:rsid w:val="00E83007"/>
    <w:rsid w:val="00E83014"/>
    <w:rsid w:val="00E833B9"/>
    <w:rsid w:val="00E840BA"/>
    <w:rsid w:val="00E84D1B"/>
    <w:rsid w:val="00E84D3B"/>
    <w:rsid w:val="00E8528D"/>
    <w:rsid w:val="00E853BE"/>
    <w:rsid w:val="00E858E1"/>
    <w:rsid w:val="00E85CED"/>
    <w:rsid w:val="00E86059"/>
    <w:rsid w:val="00E861B4"/>
    <w:rsid w:val="00E8671E"/>
    <w:rsid w:val="00E8681B"/>
    <w:rsid w:val="00E873BD"/>
    <w:rsid w:val="00E87717"/>
    <w:rsid w:val="00E9049B"/>
    <w:rsid w:val="00E90575"/>
    <w:rsid w:val="00E90902"/>
    <w:rsid w:val="00E909E4"/>
    <w:rsid w:val="00E90C8B"/>
    <w:rsid w:val="00E90CB1"/>
    <w:rsid w:val="00E918DB"/>
    <w:rsid w:val="00E91A88"/>
    <w:rsid w:val="00E91FDB"/>
    <w:rsid w:val="00E92073"/>
    <w:rsid w:val="00E9229A"/>
    <w:rsid w:val="00E922BB"/>
    <w:rsid w:val="00E92687"/>
    <w:rsid w:val="00E927EB"/>
    <w:rsid w:val="00E92D81"/>
    <w:rsid w:val="00E938AE"/>
    <w:rsid w:val="00E93A7B"/>
    <w:rsid w:val="00E93BD6"/>
    <w:rsid w:val="00E94164"/>
    <w:rsid w:val="00E9430D"/>
    <w:rsid w:val="00E94663"/>
    <w:rsid w:val="00E9531A"/>
    <w:rsid w:val="00E9606B"/>
    <w:rsid w:val="00E9684F"/>
    <w:rsid w:val="00E96915"/>
    <w:rsid w:val="00E97169"/>
    <w:rsid w:val="00E972F2"/>
    <w:rsid w:val="00E9750A"/>
    <w:rsid w:val="00E97AE5"/>
    <w:rsid w:val="00EA09C4"/>
    <w:rsid w:val="00EA139A"/>
    <w:rsid w:val="00EA1A16"/>
    <w:rsid w:val="00EA1FC5"/>
    <w:rsid w:val="00EA20EB"/>
    <w:rsid w:val="00EA27BE"/>
    <w:rsid w:val="00EA2B80"/>
    <w:rsid w:val="00EA2C40"/>
    <w:rsid w:val="00EA2EA0"/>
    <w:rsid w:val="00EA39C1"/>
    <w:rsid w:val="00EA3CAC"/>
    <w:rsid w:val="00EA4080"/>
    <w:rsid w:val="00EA4A30"/>
    <w:rsid w:val="00EA4D92"/>
    <w:rsid w:val="00EA4EFA"/>
    <w:rsid w:val="00EA515B"/>
    <w:rsid w:val="00EA5323"/>
    <w:rsid w:val="00EA536C"/>
    <w:rsid w:val="00EA537D"/>
    <w:rsid w:val="00EA5832"/>
    <w:rsid w:val="00EA5ACC"/>
    <w:rsid w:val="00EA5E73"/>
    <w:rsid w:val="00EA6CB8"/>
    <w:rsid w:val="00EA76B1"/>
    <w:rsid w:val="00EA7795"/>
    <w:rsid w:val="00EA78A5"/>
    <w:rsid w:val="00EA7B8F"/>
    <w:rsid w:val="00EB055F"/>
    <w:rsid w:val="00EB0C9B"/>
    <w:rsid w:val="00EB0DD9"/>
    <w:rsid w:val="00EB159A"/>
    <w:rsid w:val="00EB1C47"/>
    <w:rsid w:val="00EB2160"/>
    <w:rsid w:val="00EB262B"/>
    <w:rsid w:val="00EB2761"/>
    <w:rsid w:val="00EB27E7"/>
    <w:rsid w:val="00EB3A6F"/>
    <w:rsid w:val="00EB4046"/>
    <w:rsid w:val="00EB43E0"/>
    <w:rsid w:val="00EB4A73"/>
    <w:rsid w:val="00EB4AA6"/>
    <w:rsid w:val="00EB4C26"/>
    <w:rsid w:val="00EB58B1"/>
    <w:rsid w:val="00EB6153"/>
    <w:rsid w:val="00EB634B"/>
    <w:rsid w:val="00EB67F6"/>
    <w:rsid w:val="00EB6DB3"/>
    <w:rsid w:val="00EB6DCF"/>
    <w:rsid w:val="00EB725A"/>
    <w:rsid w:val="00EB7597"/>
    <w:rsid w:val="00EB7607"/>
    <w:rsid w:val="00EB7B08"/>
    <w:rsid w:val="00EC021A"/>
    <w:rsid w:val="00EC0265"/>
    <w:rsid w:val="00EC0FA4"/>
    <w:rsid w:val="00EC1105"/>
    <w:rsid w:val="00EC231E"/>
    <w:rsid w:val="00EC2514"/>
    <w:rsid w:val="00EC276B"/>
    <w:rsid w:val="00EC2918"/>
    <w:rsid w:val="00EC3BCF"/>
    <w:rsid w:val="00EC42EF"/>
    <w:rsid w:val="00EC4AED"/>
    <w:rsid w:val="00EC507F"/>
    <w:rsid w:val="00EC5350"/>
    <w:rsid w:val="00EC5FFB"/>
    <w:rsid w:val="00EC68D2"/>
    <w:rsid w:val="00EC6DF5"/>
    <w:rsid w:val="00EC6E6A"/>
    <w:rsid w:val="00EC6F89"/>
    <w:rsid w:val="00EC77BC"/>
    <w:rsid w:val="00EC7A65"/>
    <w:rsid w:val="00EC7B52"/>
    <w:rsid w:val="00ED0228"/>
    <w:rsid w:val="00ED051D"/>
    <w:rsid w:val="00ED0604"/>
    <w:rsid w:val="00ED0BD7"/>
    <w:rsid w:val="00ED0BE7"/>
    <w:rsid w:val="00ED0E8C"/>
    <w:rsid w:val="00ED11F0"/>
    <w:rsid w:val="00ED158A"/>
    <w:rsid w:val="00ED27EC"/>
    <w:rsid w:val="00ED291A"/>
    <w:rsid w:val="00ED2A97"/>
    <w:rsid w:val="00ED3076"/>
    <w:rsid w:val="00ED3A2D"/>
    <w:rsid w:val="00ED3B47"/>
    <w:rsid w:val="00ED4174"/>
    <w:rsid w:val="00ED4B9F"/>
    <w:rsid w:val="00ED4CD3"/>
    <w:rsid w:val="00ED5226"/>
    <w:rsid w:val="00ED56A5"/>
    <w:rsid w:val="00ED575E"/>
    <w:rsid w:val="00ED5A46"/>
    <w:rsid w:val="00ED5A5C"/>
    <w:rsid w:val="00ED5E2B"/>
    <w:rsid w:val="00ED606D"/>
    <w:rsid w:val="00ED6785"/>
    <w:rsid w:val="00ED6F7C"/>
    <w:rsid w:val="00ED78BC"/>
    <w:rsid w:val="00ED78E1"/>
    <w:rsid w:val="00ED7C44"/>
    <w:rsid w:val="00ED7F77"/>
    <w:rsid w:val="00EE02DF"/>
    <w:rsid w:val="00EE0FB8"/>
    <w:rsid w:val="00EE1392"/>
    <w:rsid w:val="00EE17E1"/>
    <w:rsid w:val="00EE1B6D"/>
    <w:rsid w:val="00EE28F9"/>
    <w:rsid w:val="00EE3749"/>
    <w:rsid w:val="00EE3D8D"/>
    <w:rsid w:val="00EE4301"/>
    <w:rsid w:val="00EE4A2A"/>
    <w:rsid w:val="00EE532B"/>
    <w:rsid w:val="00EE56F6"/>
    <w:rsid w:val="00EE6825"/>
    <w:rsid w:val="00EE6ABD"/>
    <w:rsid w:val="00EE6B4F"/>
    <w:rsid w:val="00EE6CD1"/>
    <w:rsid w:val="00EE72C2"/>
    <w:rsid w:val="00EE73B1"/>
    <w:rsid w:val="00EE7C5D"/>
    <w:rsid w:val="00EE7F92"/>
    <w:rsid w:val="00EF02AF"/>
    <w:rsid w:val="00EF065A"/>
    <w:rsid w:val="00EF0E8F"/>
    <w:rsid w:val="00EF149E"/>
    <w:rsid w:val="00EF15DC"/>
    <w:rsid w:val="00EF1E6C"/>
    <w:rsid w:val="00EF2034"/>
    <w:rsid w:val="00EF2195"/>
    <w:rsid w:val="00EF2EC2"/>
    <w:rsid w:val="00EF32A7"/>
    <w:rsid w:val="00EF391D"/>
    <w:rsid w:val="00EF496E"/>
    <w:rsid w:val="00EF4B89"/>
    <w:rsid w:val="00EF50BB"/>
    <w:rsid w:val="00EF5555"/>
    <w:rsid w:val="00EF555E"/>
    <w:rsid w:val="00EF585A"/>
    <w:rsid w:val="00EF64C0"/>
    <w:rsid w:val="00EF6D9E"/>
    <w:rsid w:val="00EF6F4B"/>
    <w:rsid w:val="00EF708D"/>
    <w:rsid w:val="00EF70EE"/>
    <w:rsid w:val="00EF72D0"/>
    <w:rsid w:val="00EF7843"/>
    <w:rsid w:val="00EF78F9"/>
    <w:rsid w:val="00EF79C1"/>
    <w:rsid w:val="00EF7CEF"/>
    <w:rsid w:val="00F00B5A"/>
    <w:rsid w:val="00F01227"/>
    <w:rsid w:val="00F0124F"/>
    <w:rsid w:val="00F015BE"/>
    <w:rsid w:val="00F01CC7"/>
    <w:rsid w:val="00F02351"/>
    <w:rsid w:val="00F027F1"/>
    <w:rsid w:val="00F029F6"/>
    <w:rsid w:val="00F02EA8"/>
    <w:rsid w:val="00F03072"/>
    <w:rsid w:val="00F034B7"/>
    <w:rsid w:val="00F03745"/>
    <w:rsid w:val="00F03ACA"/>
    <w:rsid w:val="00F04193"/>
    <w:rsid w:val="00F041C9"/>
    <w:rsid w:val="00F041FB"/>
    <w:rsid w:val="00F0464F"/>
    <w:rsid w:val="00F04781"/>
    <w:rsid w:val="00F04BFC"/>
    <w:rsid w:val="00F0558B"/>
    <w:rsid w:val="00F058CC"/>
    <w:rsid w:val="00F05DA4"/>
    <w:rsid w:val="00F07042"/>
    <w:rsid w:val="00F07059"/>
    <w:rsid w:val="00F07114"/>
    <w:rsid w:val="00F07918"/>
    <w:rsid w:val="00F07B74"/>
    <w:rsid w:val="00F10253"/>
    <w:rsid w:val="00F10517"/>
    <w:rsid w:val="00F1105A"/>
    <w:rsid w:val="00F115B6"/>
    <w:rsid w:val="00F1166A"/>
    <w:rsid w:val="00F11678"/>
    <w:rsid w:val="00F12226"/>
    <w:rsid w:val="00F12C4B"/>
    <w:rsid w:val="00F12DD4"/>
    <w:rsid w:val="00F13B53"/>
    <w:rsid w:val="00F13C7F"/>
    <w:rsid w:val="00F13DC0"/>
    <w:rsid w:val="00F141D8"/>
    <w:rsid w:val="00F14CB5"/>
    <w:rsid w:val="00F1583E"/>
    <w:rsid w:val="00F16B5E"/>
    <w:rsid w:val="00F172B4"/>
    <w:rsid w:val="00F175F4"/>
    <w:rsid w:val="00F2000D"/>
    <w:rsid w:val="00F2013D"/>
    <w:rsid w:val="00F2016C"/>
    <w:rsid w:val="00F20421"/>
    <w:rsid w:val="00F209FA"/>
    <w:rsid w:val="00F20CD5"/>
    <w:rsid w:val="00F21394"/>
    <w:rsid w:val="00F217B7"/>
    <w:rsid w:val="00F21BA1"/>
    <w:rsid w:val="00F220FD"/>
    <w:rsid w:val="00F222DF"/>
    <w:rsid w:val="00F2285C"/>
    <w:rsid w:val="00F2358B"/>
    <w:rsid w:val="00F23AB4"/>
    <w:rsid w:val="00F23D6C"/>
    <w:rsid w:val="00F24662"/>
    <w:rsid w:val="00F24D69"/>
    <w:rsid w:val="00F24D7C"/>
    <w:rsid w:val="00F24DE3"/>
    <w:rsid w:val="00F2557B"/>
    <w:rsid w:val="00F255F9"/>
    <w:rsid w:val="00F25762"/>
    <w:rsid w:val="00F258CF"/>
    <w:rsid w:val="00F25EED"/>
    <w:rsid w:val="00F26FB0"/>
    <w:rsid w:val="00F2716E"/>
    <w:rsid w:val="00F2799B"/>
    <w:rsid w:val="00F27F04"/>
    <w:rsid w:val="00F3003D"/>
    <w:rsid w:val="00F30655"/>
    <w:rsid w:val="00F306CD"/>
    <w:rsid w:val="00F31919"/>
    <w:rsid w:val="00F31BEA"/>
    <w:rsid w:val="00F31C29"/>
    <w:rsid w:val="00F321C2"/>
    <w:rsid w:val="00F32E30"/>
    <w:rsid w:val="00F3317F"/>
    <w:rsid w:val="00F33AF6"/>
    <w:rsid w:val="00F348B8"/>
    <w:rsid w:val="00F348CD"/>
    <w:rsid w:val="00F34E10"/>
    <w:rsid w:val="00F34F44"/>
    <w:rsid w:val="00F35574"/>
    <w:rsid w:val="00F36553"/>
    <w:rsid w:val="00F3659F"/>
    <w:rsid w:val="00F36A2E"/>
    <w:rsid w:val="00F36DA0"/>
    <w:rsid w:val="00F37685"/>
    <w:rsid w:val="00F37784"/>
    <w:rsid w:val="00F37A0F"/>
    <w:rsid w:val="00F37D3E"/>
    <w:rsid w:val="00F40006"/>
    <w:rsid w:val="00F4045B"/>
    <w:rsid w:val="00F4072D"/>
    <w:rsid w:val="00F40F62"/>
    <w:rsid w:val="00F414E5"/>
    <w:rsid w:val="00F41A3D"/>
    <w:rsid w:val="00F41C0A"/>
    <w:rsid w:val="00F424D0"/>
    <w:rsid w:val="00F426FB"/>
    <w:rsid w:val="00F43029"/>
    <w:rsid w:val="00F432C7"/>
    <w:rsid w:val="00F4336C"/>
    <w:rsid w:val="00F43752"/>
    <w:rsid w:val="00F44071"/>
    <w:rsid w:val="00F440C8"/>
    <w:rsid w:val="00F440ED"/>
    <w:rsid w:val="00F44334"/>
    <w:rsid w:val="00F4459C"/>
    <w:rsid w:val="00F447A4"/>
    <w:rsid w:val="00F458FF"/>
    <w:rsid w:val="00F46688"/>
    <w:rsid w:val="00F467D8"/>
    <w:rsid w:val="00F46BCE"/>
    <w:rsid w:val="00F47177"/>
    <w:rsid w:val="00F475FA"/>
    <w:rsid w:val="00F478EE"/>
    <w:rsid w:val="00F47C1F"/>
    <w:rsid w:val="00F47D73"/>
    <w:rsid w:val="00F50326"/>
    <w:rsid w:val="00F50660"/>
    <w:rsid w:val="00F511CE"/>
    <w:rsid w:val="00F51F62"/>
    <w:rsid w:val="00F52717"/>
    <w:rsid w:val="00F52EB1"/>
    <w:rsid w:val="00F535E7"/>
    <w:rsid w:val="00F536A1"/>
    <w:rsid w:val="00F53902"/>
    <w:rsid w:val="00F53BB2"/>
    <w:rsid w:val="00F53C8A"/>
    <w:rsid w:val="00F53F0F"/>
    <w:rsid w:val="00F5417A"/>
    <w:rsid w:val="00F54270"/>
    <w:rsid w:val="00F550E8"/>
    <w:rsid w:val="00F5577E"/>
    <w:rsid w:val="00F56762"/>
    <w:rsid w:val="00F56A04"/>
    <w:rsid w:val="00F56EF7"/>
    <w:rsid w:val="00F5768C"/>
    <w:rsid w:val="00F57AA6"/>
    <w:rsid w:val="00F6082D"/>
    <w:rsid w:val="00F6083F"/>
    <w:rsid w:val="00F608C9"/>
    <w:rsid w:val="00F6133B"/>
    <w:rsid w:val="00F61617"/>
    <w:rsid w:val="00F62121"/>
    <w:rsid w:val="00F623FC"/>
    <w:rsid w:val="00F62AC3"/>
    <w:rsid w:val="00F63260"/>
    <w:rsid w:val="00F634BE"/>
    <w:rsid w:val="00F634F6"/>
    <w:rsid w:val="00F635E3"/>
    <w:rsid w:val="00F63DB2"/>
    <w:rsid w:val="00F6435C"/>
    <w:rsid w:val="00F6448F"/>
    <w:rsid w:val="00F647BE"/>
    <w:rsid w:val="00F64F62"/>
    <w:rsid w:val="00F65258"/>
    <w:rsid w:val="00F658A4"/>
    <w:rsid w:val="00F659C0"/>
    <w:rsid w:val="00F65CF0"/>
    <w:rsid w:val="00F662E3"/>
    <w:rsid w:val="00F67DA8"/>
    <w:rsid w:val="00F67FF4"/>
    <w:rsid w:val="00F705DB"/>
    <w:rsid w:val="00F705DD"/>
    <w:rsid w:val="00F708C2"/>
    <w:rsid w:val="00F70E9E"/>
    <w:rsid w:val="00F715F8"/>
    <w:rsid w:val="00F7169A"/>
    <w:rsid w:val="00F716CA"/>
    <w:rsid w:val="00F71853"/>
    <w:rsid w:val="00F7193B"/>
    <w:rsid w:val="00F71A1E"/>
    <w:rsid w:val="00F71F2B"/>
    <w:rsid w:val="00F72149"/>
    <w:rsid w:val="00F7236B"/>
    <w:rsid w:val="00F723D6"/>
    <w:rsid w:val="00F72A2E"/>
    <w:rsid w:val="00F72AD7"/>
    <w:rsid w:val="00F72F15"/>
    <w:rsid w:val="00F7388D"/>
    <w:rsid w:val="00F738EE"/>
    <w:rsid w:val="00F73D93"/>
    <w:rsid w:val="00F750D4"/>
    <w:rsid w:val="00F753F4"/>
    <w:rsid w:val="00F75DCF"/>
    <w:rsid w:val="00F76555"/>
    <w:rsid w:val="00F7684E"/>
    <w:rsid w:val="00F76FB9"/>
    <w:rsid w:val="00F7793E"/>
    <w:rsid w:val="00F80373"/>
    <w:rsid w:val="00F80D6E"/>
    <w:rsid w:val="00F813C7"/>
    <w:rsid w:val="00F819FA"/>
    <w:rsid w:val="00F81CCF"/>
    <w:rsid w:val="00F81D09"/>
    <w:rsid w:val="00F81F7A"/>
    <w:rsid w:val="00F81FE2"/>
    <w:rsid w:val="00F8214B"/>
    <w:rsid w:val="00F8331B"/>
    <w:rsid w:val="00F83325"/>
    <w:rsid w:val="00F833D0"/>
    <w:rsid w:val="00F838A0"/>
    <w:rsid w:val="00F83EA1"/>
    <w:rsid w:val="00F842C8"/>
    <w:rsid w:val="00F84C21"/>
    <w:rsid w:val="00F84DEA"/>
    <w:rsid w:val="00F84E2C"/>
    <w:rsid w:val="00F85082"/>
    <w:rsid w:val="00F85275"/>
    <w:rsid w:val="00F85581"/>
    <w:rsid w:val="00F85A45"/>
    <w:rsid w:val="00F85F79"/>
    <w:rsid w:val="00F86353"/>
    <w:rsid w:val="00F866C3"/>
    <w:rsid w:val="00F87B8F"/>
    <w:rsid w:val="00F87D1C"/>
    <w:rsid w:val="00F902F5"/>
    <w:rsid w:val="00F90417"/>
    <w:rsid w:val="00F908C0"/>
    <w:rsid w:val="00F90963"/>
    <w:rsid w:val="00F90A6A"/>
    <w:rsid w:val="00F90B90"/>
    <w:rsid w:val="00F91295"/>
    <w:rsid w:val="00F913CC"/>
    <w:rsid w:val="00F91924"/>
    <w:rsid w:val="00F91B4C"/>
    <w:rsid w:val="00F91BD5"/>
    <w:rsid w:val="00F926D9"/>
    <w:rsid w:val="00F92873"/>
    <w:rsid w:val="00F928FA"/>
    <w:rsid w:val="00F92D8F"/>
    <w:rsid w:val="00F930C9"/>
    <w:rsid w:val="00F930E8"/>
    <w:rsid w:val="00F93138"/>
    <w:rsid w:val="00F9380B"/>
    <w:rsid w:val="00F939BC"/>
    <w:rsid w:val="00F9411A"/>
    <w:rsid w:val="00F9487B"/>
    <w:rsid w:val="00F94AFE"/>
    <w:rsid w:val="00F958A4"/>
    <w:rsid w:val="00F95E49"/>
    <w:rsid w:val="00F95F45"/>
    <w:rsid w:val="00F961DD"/>
    <w:rsid w:val="00F968A0"/>
    <w:rsid w:val="00F96B8C"/>
    <w:rsid w:val="00F9722D"/>
    <w:rsid w:val="00F977B6"/>
    <w:rsid w:val="00F97AA3"/>
    <w:rsid w:val="00FA00BE"/>
    <w:rsid w:val="00FA045D"/>
    <w:rsid w:val="00FA06F6"/>
    <w:rsid w:val="00FA07CB"/>
    <w:rsid w:val="00FA08CD"/>
    <w:rsid w:val="00FA0D0D"/>
    <w:rsid w:val="00FA0ECD"/>
    <w:rsid w:val="00FA1372"/>
    <w:rsid w:val="00FA1596"/>
    <w:rsid w:val="00FA17D1"/>
    <w:rsid w:val="00FA1A2B"/>
    <w:rsid w:val="00FA210E"/>
    <w:rsid w:val="00FA2ABA"/>
    <w:rsid w:val="00FA2B60"/>
    <w:rsid w:val="00FA2DAE"/>
    <w:rsid w:val="00FA2EA7"/>
    <w:rsid w:val="00FA3406"/>
    <w:rsid w:val="00FA3408"/>
    <w:rsid w:val="00FA352B"/>
    <w:rsid w:val="00FA3B02"/>
    <w:rsid w:val="00FA408A"/>
    <w:rsid w:val="00FA495E"/>
    <w:rsid w:val="00FA5067"/>
    <w:rsid w:val="00FA5DA6"/>
    <w:rsid w:val="00FA6157"/>
    <w:rsid w:val="00FA70D2"/>
    <w:rsid w:val="00FA7210"/>
    <w:rsid w:val="00FA7C0F"/>
    <w:rsid w:val="00FB033E"/>
    <w:rsid w:val="00FB092A"/>
    <w:rsid w:val="00FB0D48"/>
    <w:rsid w:val="00FB1252"/>
    <w:rsid w:val="00FB1667"/>
    <w:rsid w:val="00FB311A"/>
    <w:rsid w:val="00FB3D4F"/>
    <w:rsid w:val="00FB4188"/>
    <w:rsid w:val="00FB441F"/>
    <w:rsid w:val="00FB463A"/>
    <w:rsid w:val="00FB4D21"/>
    <w:rsid w:val="00FB4F30"/>
    <w:rsid w:val="00FB625E"/>
    <w:rsid w:val="00FB62AD"/>
    <w:rsid w:val="00FB635F"/>
    <w:rsid w:val="00FB69E7"/>
    <w:rsid w:val="00FB6DCA"/>
    <w:rsid w:val="00FB6F77"/>
    <w:rsid w:val="00FB7931"/>
    <w:rsid w:val="00FB7D0C"/>
    <w:rsid w:val="00FB7E09"/>
    <w:rsid w:val="00FB7F72"/>
    <w:rsid w:val="00FC0282"/>
    <w:rsid w:val="00FC089E"/>
    <w:rsid w:val="00FC1239"/>
    <w:rsid w:val="00FC19DC"/>
    <w:rsid w:val="00FC1BFF"/>
    <w:rsid w:val="00FC2703"/>
    <w:rsid w:val="00FC304F"/>
    <w:rsid w:val="00FC322B"/>
    <w:rsid w:val="00FC32C2"/>
    <w:rsid w:val="00FC3609"/>
    <w:rsid w:val="00FC3631"/>
    <w:rsid w:val="00FC3725"/>
    <w:rsid w:val="00FC3E16"/>
    <w:rsid w:val="00FC4434"/>
    <w:rsid w:val="00FC4728"/>
    <w:rsid w:val="00FC4E27"/>
    <w:rsid w:val="00FC512C"/>
    <w:rsid w:val="00FC551D"/>
    <w:rsid w:val="00FC57B7"/>
    <w:rsid w:val="00FC5BC1"/>
    <w:rsid w:val="00FC67A4"/>
    <w:rsid w:val="00FC6C48"/>
    <w:rsid w:val="00FD0109"/>
    <w:rsid w:val="00FD03DB"/>
    <w:rsid w:val="00FD0CBD"/>
    <w:rsid w:val="00FD0E44"/>
    <w:rsid w:val="00FD16FA"/>
    <w:rsid w:val="00FD2CAB"/>
    <w:rsid w:val="00FD3497"/>
    <w:rsid w:val="00FD35F1"/>
    <w:rsid w:val="00FD38C0"/>
    <w:rsid w:val="00FD3BF4"/>
    <w:rsid w:val="00FD3D21"/>
    <w:rsid w:val="00FD3E82"/>
    <w:rsid w:val="00FD403D"/>
    <w:rsid w:val="00FD43C4"/>
    <w:rsid w:val="00FD45BB"/>
    <w:rsid w:val="00FD465F"/>
    <w:rsid w:val="00FD59F5"/>
    <w:rsid w:val="00FD5E70"/>
    <w:rsid w:val="00FD6156"/>
    <w:rsid w:val="00FD633B"/>
    <w:rsid w:val="00FD64D9"/>
    <w:rsid w:val="00FD6AAA"/>
    <w:rsid w:val="00FD6B53"/>
    <w:rsid w:val="00FD6DF4"/>
    <w:rsid w:val="00FD6F41"/>
    <w:rsid w:val="00FD73E6"/>
    <w:rsid w:val="00FD78BE"/>
    <w:rsid w:val="00FD7D3F"/>
    <w:rsid w:val="00FE0039"/>
    <w:rsid w:val="00FE088F"/>
    <w:rsid w:val="00FE1431"/>
    <w:rsid w:val="00FE17A1"/>
    <w:rsid w:val="00FE1DF9"/>
    <w:rsid w:val="00FE2120"/>
    <w:rsid w:val="00FE2251"/>
    <w:rsid w:val="00FE263F"/>
    <w:rsid w:val="00FE29A5"/>
    <w:rsid w:val="00FE29D1"/>
    <w:rsid w:val="00FE29E8"/>
    <w:rsid w:val="00FE2A6A"/>
    <w:rsid w:val="00FE2B62"/>
    <w:rsid w:val="00FE2E0F"/>
    <w:rsid w:val="00FE34F9"/>
    <w:rsid w:val="00FE358E"/>
    <w:rsid w:val="00FE385C"/>
    <w:rsid w:val="00FE3AC4"/>
    <w:rsid w:val="00FE3F58"/>
    <w:rsid w:val="00FE47C8"/>
    <w:rsid w:val="00FE5AEA"/>
    <w:rsid w:val="00FE5B66"/>
    <w:rsid w:val="00FE5D16"/>
    <w:rsid w:val="00FE705A"/>
    <w:rsid w:val="00FE7196"/>
    <w:rsid w:val="00FF0622"/>
    <w:rsid w:val="00FF108D"/>
    <w:rsid w:val="00FF15C3"/>
    <w:rsid w:val="00FF189E"/>
    <w:rsid w:val="00FF1A44"/>
    <w:rsid w:val="00FF1A58"/>
    <w:rsid w:val="00FF1AE8"/>
    <w:rsid w:val="00FF25BD"/>
    <w:rsid w:val="00FF2BC2"/>
    <w:rsid w:val="00FF3468"/>
    <w:rsid w:val="00FF5039"/>
    <w:rsid w:val="00FF5066"/>
    <w:rsid w:val="00FF525B"/>
    <w:rsid w:val="00FF541C"/>
    <w:rsid w:val="00FF5742"/>
    <w:rsid w:val="00FF5EEC"/>
    <w:rsid w:val="00FF6628"/>
    <w:rsid w:val="00FF7D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style="mso-height-percent:200;mso-width-relative:margin;mso-height-relative:margin" fillcolor="none [3212]" strokecolor="none [3212]">
      <v:fill color="none [3212]"/>
      <v:stroke color="none [3212]"/>
      <v:textbox style="mso-fit-shape-to-text:t"/>
      <o:colormru v:ext="edit" colors="#002663,#e36f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oa heading" w:unhideWhenUsed="0"/>
    <w:lsdException w:name="Title" w:semiHidden="0" w:uiPriority="0" w:unhideWhenUsed="0"/>
    <w:lsdException w:name="Default Paragraph Font" w:uiPriority="1"/>
    <w:lsdException w:name="Body Text" w:semiHidden="0" w:uiPriority="0" w:unhideWhenUsed="0" w:qFormat="1"/>
    <w:lsdException w:name="Subtitle" w:semiHidden="0" w:uiPriority="0" w:unhideWhenUsed="0"/>
    <w:lsdException w:name="Block Text"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qFormat/>
    <w:rsid w:val="0070797A"/>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1477FE"/>
    <w:pPr>
      <w:keepNext/>
      <w:keepLines/>
      <w:tabs>
        <w:tab w:val="left" w:pos="851"/>
      </w:tabs>
      <w:spacing w:before="0" w:after="36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291E49"/>
    <w:pPr>
      <w:keepNext/>
      <w:keepLines/>
      <w:tabs>
        <w:tab w:val="left" w:pos="737"/>
      </w:tabs>
      <w:spacing w:before="360" w:after="0" w:line="240" w:lineRule="auto"/>
      <w:jc w:val="left"/>
      <w:outlineLvl w:val="1"/>
    </w:pPr>
    <w:rPr>
      <w:rFonts w:eastAsiaTheme="majorEastAsia" w:cstheme="majorBidi"/>
      <w:b/>
      <w:bCs/>
      <w:color w:val="267999"/>
      <w:sz w:val="36"/>
      <w:szCs w:val="26"/>
    </w:rPr>
  </w:style>
  <w:style w:type="paragraph" w:styleId="Heading3">
    <w:name w:val="heading 3"/>
    <w:basedOn w:val="Normal"/>
    <w:next w:val="Normal"/>
    <w:link w:val="Heading3Char"/>
    <w:qFormat/>
    <w:rsid w:val="005506E4"/>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931618"/>
    <w:pPr>
      <w:outlineLvl w:val="3"/>
    </w:pPr>
    <w:rPr>
      <w:color w:val="006C67"/>
      <w:sz w:val="24"/>
    </w:rPr>
  </w:style>
  <w:style w:type="paragraph" w:styleId="Heading5">
    <w:name w:val="heading 5"/>
    <w:basedOn w:val="Normal"/>
    <w:next w:val="Normal"/>
    <w:link w:val="Heading5Char"/>
    <w:qFormat/>
    <w:rsid w:val="000F77BA"/>
    <w:pPr>
      <w:keepNext/>
      <w:keepLines/>
      <w:spacing w:before="24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keepLines w:val="0"/>
      <w:spacing w:after="0"/>
    </w:pPr>
    <w:rPr>
      <w:sz w:val="72"/>
    </w:rPr>
  </w:style>
  <w:style w:type="paragraph" w:styleId="BodyText">
    <w:name w:val="Body Text"/>
    <w:basedOn w:val="Normal"/>
    <w:link w:val="BodyTextChar"/>
    <w:qFormat/>
    <w:rsid w:val="004E27B6"/>
    <w:pPr>
      <w:jc w:val="left"/>
    </w:pPr>
  </w:style>
  <w:style w:type="character" w:customStyle="1" w:styleId="BodyTextChar">
    <w:name w:val="Body Text Char"/>
    <w:basedOn w:val="DefaultParagraphFont"/>
    <w:link w:val="BodyText"/>
    <w:rsid w:val="004E27B6"/>
    <w:rPr>
      <w:rFonts w:ascii="Calibri" w:eastAsiaTheme="minorEastAsia" w:hAnsi="Calibri"/>
      <w:lang w:eastAsia="en-NZ"/>
    </w:rPr>
  </w:style>
  <w:style w:type="character" w:customStyle="1" w:styleId="Heading1Char">
    <w:name w:val="Heading 1 Char"/>
    <w:basedOn w:val="DefaultParagraphFont"/>
    <w:link w:val="Heading1"/>
    <w:rsid w:val="001477FE"/>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291E49"/>
    <w:rPr>
      <w:rFonts w:ascii="Calibri" w:eastAsiaTheme="majorEastAsia" w:hAnsi="Calibri" w:cstheme="majorBidi"/>
      <w:b/>
      <w:bCs/>
      <w:color w:val="267999"/>
      <w:sz w:val="36"/>
      <w:szCs w:val="26"/>
      <w:lang w:eastAsia="en-NZ"/>
    </w:rPr>
  </w:style>
  <w:style w:type="character" w:customStyle="1" w:styleId="Heading3Char">
    <w:name w:val="Heading 3 Char"/>
    <w:basedOn w:val="DefaultParagraphFont"/>
    <w:link w:val="Heading3"/>
    <w:rsid w:val="005506E4"/>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931618"/>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0F77BA"/>
    <w:rPr>
      <w:rFonts w:ascii="Calibri" w:eastAsiaTheme="majorEastAsia" w:hAnsi="Calibri" w:cstheme="majorBidi"/>
      <w:i/>
      <w:sz w:val="24"/>
      <w:lang w:eastAsia="en-NZ"/>
    </w:rPr>
  </w:style>
  <w:style w:type="paragraph" w:styleId="ListParagraph">
    <w:name w:val="List Paragraph"/>
    <w:basedOn w:val="Normal"/>
    <w:link w:val="ListParagraphChar"/>
    <w:uiPriority w:val="34"/>
    <w:semiHidden/>
    <w:qFormat/>
    <w:rsid w:val="00361511"/>
    <w:pPr>
      <w:ind w:left="397" w:hanging="397"/>
      <w:jc w:val="left"/>
    </w:pPr>
  </w:style>
  <w:style w:type="character" w:customStyle="1" w:styleId="ListParagraphChar">
    <w:name w:val="List Paragraph Char"/>
    <w:link w:val="ListParagraph"/>
    <w:uiPriority w:val="34"/>
    <w:semiHidden/>
    <w:locked/>
    <w:rsid w:val="00361511"/>
    <w:rPr>
      <w:rFonts w:ascii="Calibri" w:eastAsiaTheme="minorEastAsia" w:hAnsi="Calibri"/>
      <w:color w:val="00264C"/>
      <w:lang w:eastAsia="en-NZ"/>
    </w:rPr>
  </w:style>
  <w:style w:type="character" w:styleId="Hyperlink">
    <w:name w:val="Hyperlink"/>
    <w:basedOn w:val="DefaultParagraphFont"/>
    <w:rsid w:val="00E145E1"/>
    <w:rPr>
      <w:color w:val="14456E"/>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842C8"/>
    <w:pPr>
      <w:spacing w:before="0" w:after="60" w:line="22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rsid w:val="00F842C8"/>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rsid w:val="001054BC"/>
    <w:pPr>
      <w:spacing w:before="0" w:after="600" w:line="240" w:lineRule="auto"/>
      <w:jc w:val="left"/>
    </w:pPr>
    <w:rPr>
      <w:rFonts w:eastAsiaTheme="majorEastAsia" w:cstheme="majorBidi"/>
      <w:b/>
      <w:color w:val="17556C"/>
      <w:sz w:val="52"/>
      <w:szCs w:val="52"/>
    </w:rPr>
  </w:style>
  <w:style w:type="character" w:customStyle="1" w:styleId="TitleChar">
    <w:name w:val="Title Char"/>
    <w:basedOn w:val="DefaultParagraphFont"/>
    <w:link w:val="Title"/>
    <w:rsid w:val="001054BC"/>
    <w:rPr>
      <w:rFonts w:ascii="Calibri" w:eastAsiaTheme="majorEastAsia" w:hAnsi="Calibri" w:cstheme="majorBidi"/>
      <w:b/>
      <w:color w:val="17556C"/>
      <w:sz w:val="52"/>
      <w:szCs w:val="52"/>
      <w:lang w:eastAsia="en-NZ"/>
    </w:rPr>
  </w:style>
  <w:style w:type="paragraph" w:customStyle="1" w:styleId="Bullet">
    <w:name w:val="Bullet"/>
    <w:basedOn w:val="Normal"/>
    <w:qFormat/>
    <w:rsid w:val="004E27B6"/>
    <w:pPr>
      <w:numPr>
        <w:numId w:val="1"/>
      </w:numPr>
      <w:tabs>
        <w:tab w:val="clear" w:pos="567"/>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4E27B6"/>
    <w:pPr>
      <w:numPr>
        <w:numId w:val="2"/>
      </w:numPr>
      <w:tabs>
        <w:tab w:val="clear" w:pos="338"/>
        <w:tab w:val="clear" w:pos="397"/>
      </w:tabs>
      <w:spacing w:before="40" w:after="40"/>
      <w:ind w:left="227" w:hanging="227"/>
    </w:pPr>
  </w:style>
  <w:style w:type="paragraph" w:customStyle="1" w:styleId="Tabletext">
    <w:name w:val="Tabletext"/>
    <w:basedOn w:val="Normal"/>
    <w:rsid w:val="00A65C10"/>
    <w:pPr>
      <w:tabs>
        <w:tab w:val="left" w:pos="397"/>
      </w:tabs>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D41DB"/>
    <w:pPr>
      <w:numPr>
        <w:ilvl w:val="1"/>
        <w:numId w:val="2"/>
      </w:numPr>
      <w:spacing w:after="40" w:line="240" w:lineRule="auto"/>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semiHidden/>
    <w:rsid w:val="001054BC"/>
    <w:pPr>
      <w:numPr>
        <w:ilvl w:val="1"/>
      </w:numPr>
      <w:jc w:val="left"/>
    </w:pPr>
    <w:rPr>
      <w:rFonts w:eastAsiaTheme="majorEastAsia" w:cstheme="majorBidi"/>
      <w:b/>
      <w:iCs/>
      <w:color w:val="17556C"/>
      <w:sz w:val="36"/>
      <w:szCs w:val="24"/>
    </w:rPr>
  </w:style>
  <w:style w:type="character" w:customStyle="1" w:styleId="SubtitleChar">
    <w:name w:val="Subtitle Char"/>
    <w:basedOn w:val="DefaultParagraphFont"/>
    <w:link w:val="Subtitle"/>
    <w:semiHidden/>
    <w:rsid w:val="000F77BA"/>
    <w:rPr>
      <w:rFonts w:ascii="Calibri" w:eastAsiaTheme="majorEastAsia" w:hAnsi="Calibri" w:cstheme="majorBidi"/>
      <w:b/>
      <w:iCs/>
      <w:color w:val="17556C"/>
      <w:sz w:val="36"/>
      <w:szCs w:val="24"/>
      <w:lang w:eastAsia="en-NZ"/>
    </w:rPr>
  </w:style>
  <w:style w:type="paragraph" w:customStyle="1" w:styleId="Sub-bullet">
    <w:name w:val="Sub-bullet"/>
    <w:basedOn w:val="ListParagraph"/>
    <w:next w:val="BodyText"/>
    <w:qFormat/>
    <w:rsid w:val="004E27B6"/>
    <w:pPr>
      <w:numPr>
        <w:ilvl w:val="1"/>
        <w:numId w:val="3"/>
      </w:numPr>
      <w:tabs>
        <w:tab w:val="clear" w:pos="1440"/>
      </w:tabs>
      <w:spacing w:before="0"/>
      <w:ind w:left="794" w:hanging="397"/>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2A234F"/>
    <w:rPr>
      <w:rFonts w:ascii="Calibri" w:eastAsiaTheme="minorEastAsia" w:hAnsi="Calibri"/>
      <w:color w:val="00264C"/>
      <w:lang w:eastAsia="en-NZ"/>
    </w:rPr>
  </w:style>
  <w:style w:type="paragraph" w:styleId="Footer">
    <w:name w:val="footer"/>
    <w:basedOn w:val="Normal"/>
    <w:link w:val="FooterChar"/>
    <w:semiHidden/>
    <w:rsid w:val="00945D28"/>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2A234F"/>
    <w:rPr>
      <w:rFonts w:ascii="Calibri" w:eastAsiaTheme="minorEastAsia" w:hAnsi="Calibri"/>
      <w:color w:val="00264C"/>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0F2875"/>
    <w:pPr>
      <w:numPr>
        <w:numId w:val="4"/>
      </w:numPr>
      <w:spacing w:before="12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5"/>
      </w:numPr>
    </w:pPr>
  </w:style>
  <w:style w:type="paragraph" w:styleId="Quote">
    <w:name w:val="Quote"/>
    <w:basedOn w:val="Normal"/>
    <w:next w:val="Normal"/>
    <w:link w:val="QuoteChar"/>
    <w:semiHidden/>
    <w:qFormat/>
    <w:rsid w:val="004E27B6"/>
    <w:pPr>
      <w:ind w:left="397" w:right="397"/>
      <w:jc w:val="left"/>
    </w:pPr>
    <w:rPr>
      <w:iCs/>
      <w:sz w:val="20"/>
    </w:rPr>
  </w:style>
  <w:style w:type="character" w:customStyle="1" w:styleId="QuoteChar">
    <w:name w:val="Quote Char"/>
    <w:basedOn w:val="DefaultParagraphFont"/>
    <w:link w:val="Quote"/>
    <w:semiHidden/>
    <w:rsid w:val="000F77BA"/>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semiHidden/>
    <w:rsid w:val="00CE2551"/>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semiHidden/>
    <w:rsid w:val="00661920"/>
    <w:pPr>
      <w:keepNext/>
      <w:spacing w:before="160" w:line="240" w:lineRule="auto"/>
      <w:ind w:left="284"/>
    </w:pPr>
    <w:rPr>
      <w:b/>
      <w:caps/>
    </w:rPr>
  </w:style>
  <w:style w:type="paragraph" w:customStyle="1" w:styleId="Greentext-tables">
    <w:name w:val="Green text - tables"/>
    <w:basedOn w:val="BodyText"/>
    <w:semiHidden/>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8D424D"/>
    <w:rPr>
      <w:color w:val="F1B78E"/>
    </w:rPr>
  </w:style>
  <w:style w:type="paragraph" w:customStyle="1" w:styleId="Browntextnumbered">
    <w:name w:val="Brown text numbered"/>
    <w:basedOn w:val="BodyText"/>
    <w:semiHidden/>
    <w:qFormat/>
    <w:rsid w:val="000B6BF8"/>
    <w:pPr>
      <w:numPr>
        <w:numId w:val="7"/>
      </w:numPr>
      <w:spacing w:before="0"/>
      <w:ind w:left="681" w:right="284" w:hanging="397"/>
    </w:pPr>
    <w:rPr>
      <w:rFonts w:eastAsia="Times New Roman"/>
      <w:color w:val="B47015"/>
    </w:rPr>
  </w:style>
  <w:style w:type="paragraph" w:customStyle="1" w:styleId="Quotebullet">
    <w:name w:val="Quote bullet"/>
    <w:basedOn w:val="Bullet"/>
    <w:semiHidden/>
    <w:qFormat/>
    <w:rsid w:val="003D4825"/>
    <w:pPr>
      <w:tabs>
        <w:tab w:val="clear" w:pos="397"/>
      </w:tabs>
      <w:ind w:left="794" w:right="397"/>
    </w:pPr>
    <w:rPr>
      <w:sz w:val="20"/>
    </w:rPr>
  </w:style>
  <w:style w:type="paragraph" w:styleId="TOC1">
    <w:name w:val="toc 1"/>
    <w:basedOn w:val="Normal"/>
    <w:next w:val="Normal"/>
    <w:uiPriority w:val="39"/>
    <w:unhideWhenUsed/>
    <w:rsid w:val="008A4E4C"/>
    <w:pPr>
      <w:tabs>
        <w:tab w:val="left" w:pos="567"/>
        <w:tab w:val="right" w:pos="8494"/>
      </w:tabs>
      <w:spacing w:before="280" w:after="0" w:line="240" w:lineRule="auto"/>
      <w:ind w:right="567"/>
      <w:jc w:val="left"/>
    </w:pPr>
  </w:style>
  <w:style w:type="paragraph" w:styleId="TOC2">
    <w:name w:val="toc 2"/>
    <w:basedOn w:val="Normal"/>
    <w:next w:val="Normal"/>
    <w:uiPriority w:val="39"/>
    <w:unhideWhenUsed/>
    <w:rsid w:val="00C23F33"/>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semiHidden/>
    <w:rsid w:val="007932EA"/>
    <w:pPr>
      <w:keepNext/>
      <w:spacing w:before="240" w:after="0"/>
    </w:pPr>
    <w:rPr>
      <w:rFonts w:eastAsia="Times New Roman"/>
      <w:b/>
    </w:rPr>
  </w:style>
  <w:style w:type="paragraph" w:customStyle="1" w:styleId="Bodytextnumbered">
    <w:name w:val="Body text numbered"/>
    <w:basedOn w:val="BodyText"/>
    <w:semiHidden/>
    <w:rsid w:val="00C22954"/>
    <w:pPr>
      <w:numPr>
        <w:numId w:val="8"/>
      </w:numPr>
      <w:spacing w:before="0"/>
      <w:ind w:left="397" w:hanging="397"/>
    </w:pPr>
  </w:style>
  <w:style w:type="paragraph" w:customStyle="1" w:styleId="References">
    <w:name w:val="References"/>
    <w:basedOn w:val="Normal"/>
    <w:rsid w:val="00423F5B"/>
    <w:pPr>
      <w:jc w:val="left"/>
    </w:pPr>
    <w:rPr>
      <w:rFonts w:eastAsia="Times New Roman" w:cs="Times New Roman"/>
      <w:sz w:val="20"/>
      <w:szCs w:val="20"/>
      <w:lang w:eastAsia="en-US"/>
    </w:rPr>
  </w:style>
  <w:style w:type="paragraph" w:customStyle="1" w:styleId="Bodytexta">
    <w:name w:val="Body text a"/>
    <w:aliases w:val="b,Sub-list a"/>
    <w:basedOn w:val="BodyText"/>
    <w:semiHidden/>
    <w:rsid w:val="00DB6C49"/>
    <w:pPr>
      <w:numPr>
        <w:numId w:val="9"/>
      </w:numPr>
      <w:spacing w:before="0"/>
    </w:pPr>
  </w:style>
  <w:style w:type="paragraph" w:customStyle="1" w:styleId="HeadingnotforTOC">
    <w:name w:val="Heading not for TOC"/>
    <w:basedOn w:val="BodyText"/>
    <w:semiHidden/>
    <w:qFormat/>
    <w:rsid w:val="00AD49E4"/>
    <w:pPr>
      <w:keepNext/>
      <w:spacing w:before="0" w:after="360" w:line="240" w:lineRule="auto"/>
    </w:pPr>
    <w:rPr>
      <w:b/>
      <w:color w:val="F4D19C"/>
      <w:sz w:val="64"/>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0"/>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rsid w:val="004E27B6"/>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EF065A"/>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0640A"/>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BodyText"/>
    <w:next w:val="Normal"/>
    <w:rsid w:val="007F22E9"/>
    <w:pPr>
      <w:spacing w:after="0" w:line="240" w:lineRule="auto"/>
    </w:pPr>
    <w:rPr>
      <w:sz w:val="18"/>
      <w:szCs w:val="18"/>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0640A"/>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next w:val="BodyText"/>
    <w:rsid w:val="00BB2F3D"/>
    <w:rPr>
      <w:rFonts w:ascii="Calibri" w:hAnsi="Calibri"/>
      <w:b/>
      <w:sz w:val="18"/>
    </w:rPr>
  </w:style>
  <w:style w:type="paragraph" w:customStyle="1" w:styleId="Glossary">
    <w:name w:val="Glossary"/>
    <w:basedOn w:val="Normal"/>
    <w:semiHidden/>
    <w:rsid w:val="0040640A"/>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uiPriority w:val="99"/>
    <w:rsid w:val="0060455E"/>
    <w:pPr>
      <w:spacing w:after="0" w:line="240" w:lineRule="auto"/>
      <w:ind w:left="1134" w:hanging="1134"/>
    </w:pPr>
    <w:rPr>
      <w:rFonts w:eastAsia="Times New Roman" w:cs="Times New Roman"/>
      <w:sz w:val="20"/>
      <w:szCs w:val="20"/>
      <w:lang w:eastAsia="en-US"/>
    </w:rPr>
  </w:style>
  <w:style w:type="paragraph" w:customStyle="1" w:styleId="Sub-listi">
    <w:name w:val="Sub-list i"/>
    <w:aliases w:val="ii"/>
    <w:basedOn w:val="BodyText"/>
    <w:semiHidden/>
    <w:rsid w:val="0040640A"/>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0640A"/>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EA5323"/>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0640A"/>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unhideWhenUsed/>
    <w:rsid w:val="0040640A"/>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rsid w:val="00D33F0D"/>
    <w:rPr>
      <w:color w:val="800080" w:themeColor="followedHyperlink"/>
      <w:u w:val="none"/>
    </w:rPr>
  </w:style>
  <w:style w:type="paragraph" w:styleId="Revision">
    <w:name w:val="Revision"/>
    <w:hidden/>
    <w:uiPriority w:val="99"/>
    <w:semiHidden/>
    <w:rsid w:val="00BE5F0A"/>
    <w:pPr>
      <w:spacing w:after="0" w:line="240" w:lineRule="auto"/>
    </w:pPr>
    <w:rPr>
      <w:rFonts w:ascii="Calibri" w:eastAsiaTheme="minorEastAsia" w:hAnsi="Calibri"/>
      <w:lang w:eastAsia="en-NZ"/>
    </w:rPr>
  </w:style>
  <w:style w:type="paragraph" w:styleId="TOCHeading">
    <w:name w:val="TOC Heading"/>
    <w:basedOn w:val="Heading1"/>
    <w:next w:val="Normal"/>
    <w:uiPriority w:val="39"/>
    <w:semiHidden/>
    <w:unhideWhenUsed/>
    <w:qFormat/>
    <w:rsid w:val="00103560"/>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oa heading" w:unhideWhenUsed="0"/>
    <w:lsdException w:name="Title" w:semiHidden="0" w:uiPriority="0" w:unhideWhenUsed="0"/>
    <w:lsdException w:name="Default Paragraph Font" w:uiPriority="1"/>
    <w:lsdException w:name="Body Text" w:semiHidden="0" w:uiPriority="0" w:unhideWhenUsed="0" w:qFormat="1"/>
    <w:lsdException w:name="Subtitle" w:semiHidden="0" w:uiPriority="0" w:unhideWhenUsed="0"/>
    <w:lsdException w:name="Block Text"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qFormat/>
    <w:rsid w:val="0070797A"/>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1477FE"/>
    <w:pPr>
      <w:keepNext/>
      <w:keepLines/>
      <w:tabs>
        <w:tab w:val="left" w:pos="851"/>
      </w:tabs>
      <w:spacing w:before="0" w:after="36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291E49"/>
    <w:pPr>
      <w:keepNext/>
      <w:keepLines/>
      <w:tabs>
        <w:tab w:val="left" w:pos="737"/>
      </w:tabs>
      <w:spacing w:before="360" w:after="0" w:line="240" w:lineRule="auto"/>
      <w:jc w:val="left"/>
      <w:outlineLvl w:val="1"/>
    </w:pPr>
    <w:rPr>
      <w:rFonts w:eastAsiaTheme="majorEastAsia" w:cstheme="majorBidi"/>
      <w:b/>
      <w:bCs/>
      <w:color w:val="267999"/>
      <w:sz w:val="36"/>
      <w:szCs w:val="26"/>
    </w:rPr>
  </w:style>
  <w:style w:type="paragraph" w:styleId="Heading3">
    <w:name w:val="heading 3"/>
    <w:basedOn w:val="Normal"/>
    <w:next w:val="Normal"/>
    <w:link w:val="Heading3Char"/>
    <w:qFormat/>
    <w:rsid w:val="005506E4"/>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931618"/>
    <w:pPr>
      <w:outlineLvl w:val="3"/>
    </w:pPr>
    <w:rPr>
      <w:color w:val="006C67"/>
      <w:sz w:val="24"/>
    </w:rPr>
  </w:style>
  <w:style w:type="paragraph" w:styleId="Heading5">
    <w:name w:val="heading 5"/>
    <w:basedOn w:val="Normal"/>
    <w:next w:val="Normal"/>
    <w:link w:val="Heading5Char"/>
    <w:qFormat/>
    <w:rsid w:val="000F77BA"/>
    <w:pPr>
      <w:keepNext/>
      <w:keepLines/>
      <w:spacing w:before="24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keepLines w:val="0"/>
      <w:spacing w:after="0"/>
    </w:pPr>
    <w:rPr>
      <w:sz w:val="72"/>
    </w:rPr>
  </w:style>
  <w:style w:type="paragraph" w:styleId="BodyText">
    <w:name w:val="Body Text"/>
    <w:basedOn w:val="Normal"/>
    <w:link w:val="BodyTextChar"/>
    <w:qFormat/>
    <w:rsid w:val="004E27B6"/>
    <w:pPr>
      <w:jc w:val="left"/>
    </w:pPr>
  </w:style>
  <w:style w:type="character" w:customStyle="1" w:styleId="BodyTextChar">
    <w:name w:val="Body Text Char"/>
    <w:basedOn w:val="DefaultParagraphFont"/>
    <w:link w:val="BodyText"/>
    <w:rsid w:val="004E27B6"/>
    <w:rPr>
      <w:rFonts w:ascii="Calibri" w:eastAsiaTheme="minorEastAsia" w:hAnsi="Calibri"/>
      <w:lang w:eastAsia="en-NZ"/>
    </w:rPr>
  </w:style>
  <w:style w:type="character" w:customStyle="1" w:styleId="Heading1Char">
    <w:name w:val="Heading 1 Char"/>
    <w:basedOn w:val="DefaultParagraphFont"/>
    <w:link w:val="Heading1"/>
    <w:rsid w:val="001477FE"/>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291E49"/>
    <w:rPr>
      <w:rFonts w:ascii="Calibri" w:eastAsiaTheme="majorEastAsia" w:hAnsi="Calibri" w:cstheme="majorBidi"/>
      <w:b/>
      <w:bCs/>
      <w:color w:val="267999"/>
      <w:sz w:val="36"/>
      <w:szCs w:val="26"/>
      <w:lang w:eastAsia="en-NZ"/>
    </w:rPr>
  </w:style>
  <w:style w:type="character" w:customStyle="1" w:styleId="Heading3Char">
    <w:name w:val="Heading 3 Char"/>
    <w:basedOn w:val="DefaultParagraphFont"/>
    <w:link w:val="Heading3"/>
    <w:rsid w:val="005506E4"/>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931618"/>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0F77BA"/>
    <w:rPr>
      <w:rFonts w:ascii="Calibri" w:eastAsiaTheme="majorEastAsia" w:hAnsi="Calibri" w:cstheme="majorBidi"/>
      <w:i/>
      <w:sz w:val="24"/>
      <w:lang w:eastAsia="en-NZ"/>
    </w:rPr>
  </w:style>
  <w:style w:type="paragraph" w:styleId="ListParagraph">
    <w:name w:val="List Paragraph"/>
    <w:basedOn w:val="Normal"/>
    <w:link w:val="ListParagraphChar"/>
    <w:uiPriority w:val="34"/>
    <w:semiHidden/>
    <w:qFormat/>
    <w:rsid w:val="00361511"/>
    <w:pPr>
      <w:ind w:left="397" w:hanging="397"/>
      <w:jc w:val="left"/>
    </w:pPr>
  </w:style>
  <w:style w:type="character" w:customStyle="1" w:styleId="ListParagraphChar">
    <w:name w:val="List Paragraph Char"/>
    <w:link w:val="ListParagraph"/>
    <w:uiPriority w:val="34"/>
    <w:semiHidden/>
    <w:locked/>
    <w:rsid w:val="00361511"/>
    <w:rPr>
      <w:rFonts w:ascii="Calibri" w:eastAsiaTheme="minorEastAsia" w:hAnsi="Calibri"/>
      <w:color w:val="00264C"/>
      <w:lang w:eastAsia="en-NZ"/>
    </w:rPr>
  </w:style>
  <w:style w:type="character" w:styleId="Hyperlink">
    <w:name w:val="Hyperlink"/>
    <w:basedOn w:val="DefaultParagraphFont"/>
    <w:rsid w:val="00E145E1"/>
    <w:rPr>
      <w:color w:val="14456E"/>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842C8"/>
    <w:pPr>
      <w:spacing w:before="0" w:after="60" w:line="22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rsid w:val="00F842C8"/>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rsid w:val="001054BC"/>
    <w:pPr>
      <w:spacing w:before="0" w:after="600" w:line="240" w:lineRule="auto"/>
      <w:jc w:val="left"/>
    </w:pPr>
    <w:rPr>
      <w:rFonts w:eastAsiaTheme="majorEastAsia" w:cstheme="majorBidi"/>
      <w:b/>
      <w:color w:val="17556C"/>
      <w:sz w:val="52"/>
      <w:szCs w:val="52"/>
    </w:rPr>
  </w:style>
  <w:style w:type="character" w:customStyle="1" w:styleId="TitleChar">
    <w:name w:val="Title Char"/>
    <w:basedOn w:val="DefaultParagraphFont"/>
    <w:link w:val="Title"/>
    <w:rsid w:val="001054BC"/>
    <w:rPr>
      <w:rFonts w:ascii="Calibri" w:eastAsiaTheme="majorEastAsia" w:hAnsi="Calibri" w:cstheme="majorBidi"/>
      <w:b/>
      <w:color w:val="17556C"/>
      <w:sz w:val="52"/>
      <w:szCs w:val="52"/>
      <w:lang w:eastAsia="en-NZ"/>
    </w:rPr>
  </w:style>
  <w:style w:type="paragraph" w:customStyle="1" w:styleId="Bullet">
    <w:name w:val="Bullet"/>
    <w:basedOn w:val="Normal"/>
    <w:qFormat/>
    <w:rsid w:val="004E27B6"/>
    <w:pPr>
      <w:numPr>
        <w:numId w:val="1"/>
      </w:numPr>
      <w:tabs>
        <w:tab w:val="clear" w:pos="567"/>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4E27B6"/>
    <w:pPr>
      <w:numPr>
        <w:numId w:val="2"/>
      </w:numPr>
      <w:tabs>
        <w:tab w:val="clear" w:pos="338"/>
        <w:tab w:val="clear" w:pos="397"/>
      </w:tabs>
      <w:spacing w:before="40" w:after="40"/>
      <w:ind w:left="227" w:hanging="227"/>
    </w:pPr>
  </w:style>
  <w:style w:type="paragraph" w:customStyle="1" w:styleId="Tabletext">
    <w:name w:val="Tabletext"/>
    <w:basedOn w:val="Normal"/>
    <w:rsid w:val="00A65C10"/>
    <w:pPr>
      <w:tabs>
        <w:tab w:val="left" w:pos="397"/>
      </w:tabs>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D41DB"/>
    <w:pPr>
      <w:numPr>
        <w:ilvl w:val="1"/>
        <w:numId w:val="2"/>
      </w:numPr>
      <w:spacing w:after="40" w:line="240" w:lineRule="auto"/>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semiHidden/>
    <w:rsid w:val="001054BC"/>
    <w:pPr>
      <w:numPr>
        <w:ilvl w:val="1"/>
      </w:numPr>
      <w:jc w:val="left"/>
    </w:pPr>
    <w:rPr>
      <w:rFonts w:eastAsiaTheme="majorEastAsia" w:cstheme="majorBidi"/>
      <w:b/>
      <w:iCs/>
      <w:color w:val="17556C"/>
      <w:sz w:val="36"/>
      <w:szCs w:val="24"/>
    </w:rPr>
  </w:style>
  <w:style w:type="character" w:customStyle="1" w:styleId="SubtitleChar">
    <w:name w:val="Subtitle Char"/>
    <w:basedOn w:val="DefaultParagraphFont"/>
    <w:link w:val="Subtitle"/>
    <w:semiHidden/>
    <w:rsid w:val="000F77BA"/>
    <w:rPr>
      <w:rFonts w:ascii="Calibri" w:eastAsiaTheme="majorEastAsia" w:hAnsi="Calibri" w:cstheme="majorBidi"/>
      <w:b/>
      <w:iCs/>
      <w:color w:val="17556C"/>
      <w:sz w:val="36"/>
      <w:szCs w:val="24"/>
      <w:lang w:eastAsia="en-NZ"/>
    </w:rPr>
  </w:style>
  <w:style w:type="paragraph" w:customStyle="1" w:styleId="Sub-bullet">
    <w:name w:val="Sub-bullet"/>
    <w:basedOn w:val="ListParagraph"/>
    <w:next w:val="BodyText"/>
    <w:qFormat/>
    <w:rsid w:val="004E27B6"/>
    <w:pPr>
      <w:numPr>
        <w:ilvl w:val="1"/>
        <w:numId w:val="3"/>
      </w:numPr>
      <w:tabs>
        <w:tab w:val="clear" w:pos="1440"/>
      </w:tabs>
      <w:spacing w:before="0"/>
      <w:ind w:left="794" w:hanging="397"/>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2A234F"/>
    <w:rPr>
      <w:rFonts w:ascii="Calibri" w:eastAsiaTheme="minorEastAsia" w:hAnsi="Calibri"/>
      <w:color w:val="00264C"/>
      <w:lang w:eastAsia="en-NZ"/>
    </w:rPr>
  </w:style>
  <w:style w:type="paragraph" w:styleId="Footer">
    <w:name w:val="footer"/>
    <w:basedOn w:val="Normal"/>
    <w:link w:val="FooterChar"/>
    <w:semiHidden/>
    <w:rsid w:val="00945D28"/>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2A234F"/>
    <w:rPr>
      <w:rFonts w:ascii="Calibri" w:eastAsiaTheme="minorEastAsia" w:hAnsi="Calibri"/>
      <w:color w:val="00264C"/>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0F2875"/>
    <w:pPr>
      <w:numPr>
        <w:numId w:val="4"/>
      </w:numPr>
      <w:spacing w:before="12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5"/>
      </w:numPr>
    </w:pPr>
  </w:style>
  <w:style w:type="paragraph" w:styleId="Quote">
    <w:name w:val="Quote"/>
    <w:basedOn w:val="Normal"/>
    <w:next w:val="Normal"/>
    <w:link w:val="QuoteChar"/>
    <w:semiHidden/>
    <w:qFormat/>
    <w:rsid w:val="004E27B6"/>
    <w:pPr>
      <w:ind w:left="397" w:right="397"/>
      <w:jc w:val="left"/>
    </w:pPr>
    <w:rPr>
      <w:iCs/>
      <w:sz w:val="20"/>
    </w:rPr>
  </w:style>
  <w:style w:type="character" w:customStyle="1" w:styleId="QuoteChar">
    <w:name w:val="Quote Char"/>
    <w:basedOn w:val="DefaultParagraphFont"/>
    <w:link w:val="Quote"/>
    <w:semiHidden/>
    <w:rsid w:val="000F77BA"/>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semiHidden/>
    <w:rsid w:val="00CE2551"/>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semiHidden/>
    <w:rsid w:val="00661920"/>
    <w:pPr>
      <w:keepNext/>
      <w:spacing w:before="160" w:line="240" w:lineRule="auto"/>
      <w:ind w:left="284"/>
    </w:pPr>
    <w:rPr>
      <w:b/>
      <w:caps/>
    </w:rPr>
  </w:style>
  <w:style w:type="paragraph" w:customStyle="1" w:styleId="Greentext-tables">
    <w:name w:val="Green text - tables"/>
    <w:basedOn w:val="BodyText"/>
    <w:semiHidden/>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8D424D"/>
    <w:rPr>
      <w:color w:val="F1B78E"/>
    </w:rPr>
  </w:style>
  <w:style w:type="paragraph" w:customStyle="1" w:styleId="Browntextnumbered">
    <w:name w:val="Brown text numbered"/>
    <w:basedOn w:val="BodyText"/>
    <w:semiHidden/>
    <w:qFormat/>
    <w:rsid w:val="000B6BF8"/>
    <w:pPr>
      <w:numPr>
        <w:numId w:val="7"/>
      </w:numPr>
      <w:spacing w:before="0"/>
      <w:ind w:left="681" w:right="284" w:hanging="397"/>
    </w:pPr>
    <w:rPr>
      <w:rFonts w:eastAsia="Times New Roman"/>
      <w:color w:val="B47015"/>
    </w:rPr>
  </w:style>
  <w:style w:type="paragraph" w:customStyle="1" w:styleId="Quotebullet">
    <w:name w:val="Quote bullet"/>
    <w:basedOn w:val="Bullet"/>
    <w:semiHidden/>
    <w:qFormat/>
    <w:rsid w:val="003D4825"/>
    <w:pPr>
      <w:tabs>
        <w:tab w:val="clear" w:pos="397"/>
      </w:tabs>
      <w:ind w:left="794" w:right="397"/>
    </w:pPr>
    <w:rPr>
      <w:sz w:val="20"/>
    </w:rPr>
  </w:style>
  <w:style w:type="paragraph" w:styleId="TOC1">
    <w:name w:val="toc 1"/>
    <w:basedOn w:val="Normal"/>
    <w:next w:val="Normal"/>
    <w:uiPriority w:val="39"/>
    <w:unhideWhenUsed/>
    <w:rsid w:val="008A4E4C"/>
    <w:pPr>
      <w:tabs>
        <w:tab w:val="left" w:pos="567"/>
        <w:tab w:val="right" w:pos="8494"/>
      </w:tabs>
      <w:spacing w:before="280" w:after="0" w:line="240" w:lineRule="auto"/>
      <w:ind w:right="567"/>
      <w:jc w:val="left"/>
    </w:pPr>
  </w:style>
  <w:style w:type="paragraph" w:styleId="TOC2">
    <w:name w:val="toc 2"/>
    <w:basedOn w:val="Normal"/>
    <w:next w:val="Normal"/>
    <w:uiPriority w:val="39"/>
    <w:unhideWhenUsed/>
    <w:rsid w:val="00C23F33"/>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semiHidden/>
    <w:rsid w:val="007932EA"/>
    <w:pPr>
      <w:keepNext/>
      <w:spacing w:before="240" w:after="0"/>
    </w:pPr>
    <w:rPr>
      <w:rFonts w:eastAsia="Times New Roman"/>
      <w:b/>
    </w:rPr>
  </w:style>
  <w:style w:type="paragraph" w:customStyle="1" w:styleId="Bodytextnumbered">
    <w:name w:val="Body text numbered"/>
    <w:basedOn w:val="BodyText"/>
    <w:semiHidden/>
    <w:rsid w:val="00C22954"/>
    <w:pPr>
      <w:numPr>
        <w:numId w:val="8"/>
      </w:numPr>
      <w:spacing w:before="0"/>
      <w:ind w:left="397" w:hanging="397"/>
    </w:pPr>
  </w:style>
  <w:style w:type="paragraph" w:customStyle="1" w:styleId="References">
    <w:name w:val="References"/>
    <w:basedOn w:val="Normal"/>
    <w:rsid w:val="00423F5B"/>
    <w:pPr>
      <w:jc w:val="left"/>
    </w:pPr>
    <w:rPr>
      <w:rFonts w:eastAsia="Times New Roman" w:cs="Times New Roman"/>
      <w:sz w:val="20"/>
      <w:szCs w:val="20"/>
      <w:lang w:eastAsia="en-US"/>
    </w:rPr>
  </w:style>
  <w:style w:type="paragraph" w:customStyle="1" w:styleId="Bodytexta">
    <w:name w:val="Body text a"/>
    <w:aliases w:val="b,Sub-list a"/>
    <w:basedOn w:val="BodyText"/>
    <w:semiHidden/>
    <w:rsid w:val="00DB6C49"/>
    <w:pPr>
      <w:numPr>
        <w:numId w:val="9"/>
      </w:numPr>
      <w:spacing w:before="0"/>
    </w:pPr>
  </w:style>
  <w:style w:type="paragraph" w:customStyle="1" w:styleId="HeadingnotforTOC">
    <w:name w:val="Heading not for TOC"/>
    <w:basedOn w:val="BodyText"/>
    <w:semiHidden/>
    <w:qFormat/>
    <w:rsid w:val="00AD49E4"/>
    <w:pPr>
      <w:keepNext/>
      <w:spacing w:before="0" w:after="360" w:line="240" w:lineRule="auto"/>
    </w:pPr>
    <w:rPr>
      <w:b/>
      <w:color w:val="F4D19C"/>
      <w:sz w:val="64"/>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0"/>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rsid w:val="004E27B6"/>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EF065A"/>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0640A"/>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BodyText"/>
    <w:next w:val="Normal"/>
    <w:rsid w:val="007F22E9"/>
    <w:pPr>
      <w:spacing w:after="0" w:line="240" w:lineRule="auto"/>
    </w:pPr>
    <w:rPr>
      <w:sz w:val="18"/>
      <w:szCs w:val="18"/>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0640A"/>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next w:val="BodyText"/>
    <w:rsid w:val="00BB2F3D"/>
    <w:rPr>
      <w:rFonts w:ascii="Calibri" w:hAnsi="Calibri"/>
      <w:b/>
      <w:sz w:val="18"/>
    </w:rPr>
  </w:style>
  <w:style w:type="paragraph" w:customStyle="1" w:styleId="Glossary">
    <w:name w:val="Glossary"/>
    <w:basedOn w:val="Normal"/>
    <w:semiHidden/>
    <w:rsid w:val="0040640A"/>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uiPriority w:val="99"/>
    <w:rsid w:val="0060455E"/>
    <w:pPr>
      <w:spacing w:after="0" w:line="240" w:lineRule="auto"/>
      <w:ind w:left="1134" w:hanging="1134"/>
    </w:pPr>
    <w:rPr>
      <w:rFonts w:eastAsia="Times New Roman" w:cs="Times New Roman"/>
      <w:sz w:val="20"/>
      <w:szCs w:val="20"/>
      <w:lang w:eastAsia="en-US"/>
    </w:rPr>
  </w:style>
  <w:style w:type="paragraph" w:customStyle="1" w:styleId="Sub-listi">
    <w:name w:val="Sub-list i"/>
    <w:aliases w:val="ii"/>
    <w:basedOn w:val="BodyText"/>
    <w:semiHidden/>
    <w:rsid w:val="0040640A"/>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0640A"/>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EA5323"/>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0640A"/>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unhideWhenUsed/>
    <w:rsid w:val="0040640A"/>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rsid w:val="00D33F0D"/>
    <w:rPr>
      <w:color w:val="800080" w:themeColor="followedHyperlink"/>
      <w:u w:val="none"/>
    </w:rPr>
  </w:style>
  <w:style w:type="paragraph" w:styleId="Revision">
    <w:name w:val="Revision"/>
    <w:hidden/>
    <w:uiPriority w:val="99"/>
    <w:semiHidden/>
    <w:rsid w:val="00BE5F0A"/>
    <w:pPr>
      <w:spacing w:after="0" w:line="240" w:lineRule="auto"/>
    </w:pPr>
    <w:rPr>
      <w:rFonts w:ascii="Calibri" w:eastAsiaTheme="minorEastAsia" w:hAnsi="Calibri"/>
      <w:lang w:eastAsia="en-NZ"/>
    </w:rPr>
  </w:style>
  <w:style w:type="paragraph" w:styleId="TOCHeading">
    <w:name w:val="TOC Heading"/>
    <w:basedOn w:val="Heading1"/>
    <w:next w:val="Normal"/>
    <w:uiPriority w:val="39"/>
    <w:semiHidden/>
    <w:unhideWhenUsed/>
    <w:qFormat/>
    <w:rsid w:val="00103560"/>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3281">
      <w:bodyDiv w:val="1"/>
      <w:marLeft w:val="0"/>
      <w:marRight w:val="0"/>
      <w:marTop w:val="0"/>
      <w:marBottom w:val="0"/>
      <w:divBdr>
        <w:top w:val="none" w:sz="0" w:space="0" w:color="auto"/>
        <w:left w:val="none" w:sz="0" w:space="0" w:color="auto"/>
        <w:bottom w:val="none" w:sz="0" w:space="0" w:color="auto"/>
        <w:right w:val="none" w:sz="0" w:space="0" w:color="auto"/>
      </w:divBdr>
    </w:div>
    <w:div w:id="298724922">
      <w:bodyDiv w:val="1"/>
      <w:marLeft w:val="0"/>
      <w:marRight w:val="0"/>
      <w:marTop w:val="0"/>
      <w:marBottom w:val="0"/>
      <w:divBdr>
        <w:top w:val="none" w:sz="0" w:space="0" w:color="auto"/>
        <w:left w:val="none" w:sz="0" w:space="0" w:color="auto"/>
        <w:bottom w:val="none" w:sz="0" w:space="0" w:color="auto"/>
        <w:right w:val="none" w:sz="0" w:space="0" w:color="auto"/>
      </w:divBdr>
    </w:div>
    <w:div w:id="1047679014">
      <w:bodyDiv w:val="1"/>
      <w:marLeft w:val="0"/>
      <w:marRight w:val="0"/>
      <w:marTop w:val="0"/>
      <w:marBottom w:val="0"/>
      <w:divBdr>
        <w:top w:val="none" w:sz="0" w:space="0" w:color="auto"/>
        <w:left w:val="none" w:sz="0" w:space="0" w:color="auto"/>
        <w:bottom w:val="none" w:sz="0" w:space="0" w:color="auto"/>
        <w:right w:val="none" w:sz="0" w:space="0" w:color="auto"/>
      </w:divBdr>
    </w:div>
    <w:div w:id="1070497310">
      <w:bodyDiv w:val="1"/>
      <w:marLeft w:val="0"/>
      <w:marRight w:val="0"/>
      <w:marTop w:val="0"/>
      <w:marBottom w:val="0"/>
      <w:divBdr>
        <w:top w:val="none" w:sz="0" w:space="0" w:color="auto"/>
        <w:left w:val="none" w:sz="0" w:space="0" w:color="auto"/>
        <w:bottom w:val="none" w:sz="0" w:space="0" w:color="auto"/>
        <w:right w:val="none" w:sz="0" w:space="0" w:color="auto"/>
      </w:divBdr>
    </w:div>
    <w:div w:id="1265845086">
      <w:bodyDiv w:val="1"/>
      <w:marLeft w:val="0"/>
      <w:marRight w:val="0"/>
      <w:marTop w:val="0"/>
      <w:marBottom w:val="0"/>
      <w:divBdr>
        <w:top w:val="none" w:sz="0" w:space="0" w:color="auto"/>
        <w:left w:val="none" w:sz="0" w:space="0" w:color="auto"/>
        <w:bottom w:val="none" w:sz="0" w:space="0" w:color="auto"/>
        <w:right w:val="none" w:sz="0" w:space="0" w:color="auto"/>
      </w:divBdr>
    </w:div>
    <w:div w:id="1457218473">
      <w:bodyDiv w:val="1"/>
      <w:marLeft w:val="0"/>
      <w:marRight w:val="0"/>
      <w:marTop w:val="0"/>
      <w:marBottom w:val="0"/>
      <w:divBdr>
        <w:top w:val="none" w:sz="0" w:space="0" w:color="auto"/>
        <w:left w:val="none" w:sz="0" w:space="0" w:color="auto"/>
        <w:bottom w:val="none" w:sz="0" w:space="0" w:color="auto"/>
        <w:right w:val="none" w:sz="0" w:space="0" w:color="auto"/>
      </w:divBdr>
    </w:div>
    <w:div w:id="16688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e.govt.nz" TargetMode="External"/><Relationship Id="rId18" Type="http://schemas.openxmlformats.org/officeDocument/2006/relationships/image" Target="media/image1.png"/><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diagramLayout" Target="diagrams/layout1.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diagramData" Target="diagrams/data1.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microsoft.com/office/2007/relationships/diagramDrawing" Target="diagrams/drawing1.xml"/><Relationship Id="rId36"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diagramColors" Target="diagrams/colors1.xml"/><Relationship Id="rId30" Type="http://schemas.openxmlformats.org/officeDocument/2006/relationships/header" Target="header9.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epa.govt.nz/Publications/Cost_Recovery_Policy_Proposals_National_Significance.pdf" TargetMode="External"/><Relationship Id="rId2" Type="http://schemas.openxmlformats.org/officeDocument/2006/relationships/hyperlink" Target="http://oag.govt.nz/2008/charging-fees/docs/charging-fees.pdf" TargetMode="External"/><Relationship Id="rId1" Type="http://schemas.openxmlformats.org/officeDocument/2006/relationships/hyperlink" Target="http://www.treasury.govt.nz/publications/guidance/planning/charges/charges-dec02.pdf" TargetMode="External"/><Relationship Id="rId4" Type="http://schemas.openxmlformats.org/officeDocument/2006/relationships/hyperlink" Target="http://www.epa.govt.nz/EEZ/about_eez/Pages/cost_recover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Environment%20-%20Ministry%20for\FORMATTING\Warm%20discussion%20documen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0B9E8A-7476-43E6-9CB1-9F52D4F5C390}"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NZ"/>
        </a:p>
      </dgm:t>
    </dgm:pt>
    <dgm:pt modelId="{A66E243B-F052-47E2-A5E8-ACF801788B36}">
      <dgm:prSet phldrT="[Text]"/>
      <dgm:spPr>
        <a:xfrm>
          <a:off x="2229" y="1364144"/>
          <a:ext cx="2956212" cy="1257114"/>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Review of effectiveness and efficiency</a:t>
          </a:r>
        </a:p>
      </dgm:t>
    </dgm:pt>
    <dgm:pt modelId="{B29AB3A7-132B-44B5-8BA2-7382575B5492}" type="parTrans" cxnId="{1DD86957-56D2-4CDF-923A-65FEE2463454}">
      <dgm:prSet/>
      <dgm:spPr/>
      <dgm:t>
        <a:bodyPr/>
        <a:lstStyle/>
        <a:p>
          <a:pPr algn="ctr"/>
          <a:endParaRPr lang="en-NZ"/>
        </a:p>
      </dgm:t>
    </dgm:pt>
    <dgm:pt modelId="{CAF515C5-5339-4B19-9AE6-6BDD254BE595}" type="sibTrans" cxnId="{1DD86957-56D2-4CDF-923A-65FEE2463454}">
      <dgm:prSet/>
      <dgm:spPr/>
      <dgm:t>
        <a:bodyPr/>
        <a:lstStyle/>
        <a:p>
          <a:pPr algn="ctr"/>
          <a:endParaRPr lang="en-NZ"/>
        </a:p>
      </dgm:t>
    </dgm:pt>
    <dgm:pt modelId="{75317BDC-C29F-4CA4-A195-D9B37CF865D0}">
      <dgm:prSet phldrT="[Text]"/>
      <dgm:spPr>
        <a:xfrm>
          <a:off x="2229" y="2727923"/>
          <a:ext cx="1447704" cy="1257114"/>
        </a:xfrm>
        <a:solidFill>
          <a:srgbClr val="B3A2C7"/>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EPA self-review</a:t>
          </a:r>
        </a:p>
      </dgm:t>
    </dgm:pt>
    <dgm:pt modelId="{53E379C7-C621-48ED-AE4F-B47188BAA5CE}" type="parTrans" cxnId="{24002E86-14BD-4BB9-BECB-0CE331D39072}">
      <dgm:prSet/>
      <dgm:spPr/>
      <dgm:t>
        <a:bodyPr/>
        <a:lstStyle/>
        <a:p>
          <a:pPr algn="ctr"/>
          <a:endParaRPr lang="en-NZ"/>
        </a:p>
      </dgm:t>
    </dgm:pt>
    <dgm:pt modelId="{A84E4D7B-F3D3-4C4D-B08D-5F5F21CEF5D9}" type="sibTrans" cxnId="{24002E86-14BD-4BB9-BECB-0CE331D39072}">
      <dgm:prSet/>
      <dgm:spPr/>
      <dgm:t>
        <a:bodyPr/>
        <a:lstStyle/>
        <a:p>
          <a:pPr algn="ctr"/>
          <a:endParaRPr lang="en-NZ"/>
        </a:p>
      </dgm:t>
    </dgm:pt>
    <dgm:pt modelId="{B7F564DA-33B4-450E-AE04-447FE7C93CBF}">
      <dgm:prSet phldrT="[Text]"/>
      <dgm:spPr>
        <a:xfrm>
          <a:off x="1510737" y="2727923"/>
          <a:ext cx="1447704" cy="1257114"/>
        </a:xfrm>
        <a:solidFill>
          <a:srgbClr val="DAD2E4"/>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External reviewer's assessment</a:t>
          </a:r>
        </a:p>
      </dgm:t>
    </dgm:pt>
    <dgm:pt modelId="{F7D73FF4-DBA3-461C-98AC-513F13AD4EC2}" type="parTrans" cxnId="{C09DB28A-666C-44D3-ABA3-96030CC8C868}">
      <dgm:prSet/>
      <dgm:spPr/>
      <dgm:t>
        <a:bodyPr/>
        <a:lstStyle/>
        <a:p>
          <a:pPr algn="ctr"/>
          <a:endParaRPr lang="en-NZ"/>
        </a:p>
      </dgm:t>
    </dgm:pt>
    <dgm:pt modelId="{F55C7902-11EB-4051-A374-BE2EA23D5EC8}" type="sibTrans" cxnId="{C09DB28A-666C-44D3-ABA3-96030CC8C868}">
      <dgm:prSet/>
      <dgm:spPr/>
      <dgm:t>
        <a:bodyPr/>
        <a:lstStyle/>
        <a:p>
          <a:pPr algn="ctr"/>
          <a:endParaRPr lang="en-NZ"/>
        </a:p>
      </dgm:t>
    </dgm:pt>
    <dgm:pt modelId="{8B8B5F66-D2EF-42F0-8E6F-26B398A91350}">
      <dgm:prSet phldrT="[Text]"/>
      <dgm:spPr>
        <a:xfrm>
          <a:off x="3080048" y="1364144"/>
          <a:ext cx="2956212" cy="1257114"/>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Fiscal sustainability</a:t>
          </a:r>
        </a:p>
      </dgm:t>
    </dgm:pt>
    <dgm:pt modelId="{F1F821CE-5B1B-472E-A488-DCF13ACF407A}" type="parTrans" cxnId="{B6AA0A83-0DEE-41E8-A312-2C75C2059E18}">
      <dgm:prSet/>
      <dgm:spPr/>
      <dgm:t>
        <a:bodyPr/>
        <a:lstStyle/>
        <a:p>
          <a:pPr algn="ctr"/>
          <a:endParaRPr lang="en-NZ"/>
        </a:p>
      </dgm:t>
    </dgm:pt>
    <dgm:pt modelId="{3A74AA6B-E7F8-4891-B243-3B2DF4604B0D}" type="sibTrans" cxnId="{B6AA0A83-0DEE-41E8-A312-2C75C2059E18}">
      <dgm:prSet/>
      <dgm:spPr/>
      <dgm:t>
        <a:bodyPr/>
        <a:lstStyle/>
        <a:p>
          <a:pPr algn="ctr"/>
          <a:endParaRPr lang="en-NZ"/>
        </a:p>
      </dgm:t>
    </dgm:pt>
    <dgm:pt modelId="{9C2756E5-C4F5-4FEE-BB32-0BF17ACB9765}">
      <dgm:prSet phldrT="[Text]"/>
      <dgm:spPr>
        <a:xfrm>
          <a:off x="3080048" y="2727923"/>
          <a:ext cx="1447704" cy="1257114"/>
        </a:xfrm>
        <a:solidFill>
          <a:srgbClr val="1F497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Baseline review</a:t>
          </a:r>
        </a:p>
      </dgm:t>
    </dgm:pt>
    <dgm:pt modelId="{DB2A538F-09A7-49DF-8BD0-D365E213B1EC}" type="parTrans" cxnId="{24E750B5-282A-459C-8BB3-FE869F8CAED1}">
      <dgm:prSet/>
      <dgm:spPr/>
      <dgm:t>
        <a:bodyPr/>
        <a:lstStyle/>
        <a:p>
          <a:pPr algn="ctr"/>
          <a:endParaRPr lang="en-NZ"/>
        </a:p>
      </dgm:t>
    </dgm:pt>
    <dgm:pt modelId="{12E9D8C6-5A94-4D89-A907-71A1A32DB328}" type="sibTrans" cxnId="{24E750B5-282A-459C-8BB3-FE869F8CAED1}">
      <dgm:prSet/>
      <dgm:spPr/>
      <dgm:t>
        <a:bodyPr/>
        <a:lstStyle/>
        <a:p>
          <a:pPr algn="ctr"/>
          <a:endParaRPr lang="en-NZ"/>
        </a:p>
      </dgm:t>
    </dgm:pt>
    <dgm:pt modelId="{1036B257-EA9E-4616-B793-BC5F61D687C9}">
      <dgm:prSet phldrT="[Text]"/>
      <dgm:spPr>
        <a:xfrm>
          <a:off x="4588556" y="2727923"/>
          <a:ext cx="1447704" cy="1257114"/>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Cost recovery practices</a:t>
          </a:r>
        </a:p>
      </dgm:t>
    </dgm:pt>
    <dgm:pt modelId="{50A5D1DB-FD39-49E9-82FD-647F06B9B8A5}" type="parTrans" cxnId="{A42C53FA-49E5-494B-A8F9-7203B3B05A50}">
      <dgm:prSet/>
      <dgm:spPr/>
      <dgm:t>
        <a:bodyPr/>
        <a:lstStyle/>
        <a:p>
          <a:pPr algn="ctr"/>
          <a:endParaRPr lang="en-NZ"/>
        </a:p>
      </dgm:t>
    </dgm:pt>
    <dgm:pt modelId="{956508F0-8A07-4A13-8BE3-7F7E6903309C}" type="sibTrans" cxnId="{A42C53FA-49E5-494B-A8F9-7203B3B05A50}">
      <dgm:prSet/>
      <dgm:spPr/>
      <dgm:t>
        <a:bodyPr/>
        <a:lstStyle/>
        <a:p>
          <a:pPr algn="ctr"/>
          <a:endParaRPr lang="en-NZ"/>
        </a:p>
      </dgm:t>
    </dgm:pt>
    <dgm:pt modelId="{71B35F23-AAED-455E-844B-16A5A172032B}">
      <dgm:prSet phldrT="[Text]"/>
      <dgm:spPr>
        <a:xfrm>
          <a:off x="2229" y="365"/>
          <a:ext cx="6034031" cy="1257114"/>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Overview report</a:t>
          </a:r>
        </a:p>
      </dgm:t>
    </dgm:pt>
    <dgm:pt modelId="{CCA9C9B9-3435-4688-824D-B5ABE1219BDF}" type="sibTrans" cxnId="{227F0097-1A0A-41E0-BF26-E7D8C0541D8F}">
      <dgm:prSet/>
      <dgm:spPr/>
      <dgm:t>
        <a:bodyPr/>
        <a:lstStyle/>
        <a:p>
          <a:pPr algn="ctr"/>
          <a:endParaRPr lang="en-NZ"/>
        </a:p>
      </dgm:t>
    </dgm:pt>
    <dgm:pt modelId="{D39BEC0F-0D4E-43BC-BC56-A5169B31C1DA}" type="parTrans" cxnId="{227F0097-1A0A-41E0-BF26-E7D8C0541D8F}">
      <dgm:prSet/>
      <dgm:spPr/>
      <dgm:t>
        <a:bodyPr/>
        <a:lstStyle/>
        <a:p>
          <a:pPr algn="ctr"/>
          <a:endParaRPr lang="en-NZ"/>
        </a:p>
      </dgm:t>
    </dgm:pt>
    <dgm:pt modelId="{0F7077C6-602F-45C2-A213-8254A89584F5}" type="pres">
      <dgm:prSet presAssocID="{770B9E8A-7476-43E6-9CB1-9F52D4F5C390}" presName="Name0" presStyleCnt="0">
        <dgm:presLayoutVars>
          <dgm:chPref val="1"/>
          <dgm:dir/>
          <dgm:animOne val="branch"/>
          <dgm:animLvl val="lvl"/>
          <dgm:resizeHandles/>
        </dgm:presLayoutVars>
      </dgm:prSet>
      <dgm:spPr/>
      <dgm:t>
        <a:bodyPr/>
        <a:lstStyle/>
        <a:p>
          <a:endParaRPr lang="en-NZ"/>
        </a:p>
      </dgm:t>
    </dgm:pt>
    <dgm:pt modelId="{1B425CD6-EF88-4E65-9D1E-575B9CBC0157}" type="pres">
      <dgm:prSet presAssocID="{71B35F23-AAED-455E-844B-16A5A172032B}" presName="vertOne" presStyleCnt="0"/>
      <dgm:spPr/>
    </dgm:pt>
    <dgm:pt modelId="{9D8485CD-2EEB-4E90-8E0C-09C8598DE955}" type="pres">
      <dgm:prSet presAssocID="{71B35F23-AAED-455E-844B-16A5A172032B}" presName="txOne" presStyleLbl="node0" presStyleIdx="0" presStyleCnt="1">
        <dgm:presLayoutVars>
          <dgm:chPref val="3"/>
        </dgm:presLayoutVars>
      </dgm:prSet>
      <dgm:spPr>
        <a:prstGeom prst="roundRect">
          <a:avLst>
            <a:gd name="adj" fmla="val 10000"/>
          </a:avLst>
        </a:prstGeom>
      </dgm:spPr>
      <dgm:t>
        <a:bodyPr/>
        <a:lstStyle/>
        <a:p>
          <a:endParaRPr lang="en-NZ"/>
        </a:p>
      </dgm:t>
    </dgm:pt>
    <dgm:pt modelId="{AA2EC7FB-D8FF-44EE-BAED-1ACC2706C68B}" type="pres">
      <dgm:prSet presAssocID="{71B35F23-AAED-455E-844B-16A5A172032B}" presName="parTransOne" presStyleCnt="0"/>
      <dgm:spPr/>
    </dgm:pt>
    <dgm:pt modelId="{1FF21C17-DD51-4281-BDB2-F45235889934}" type="pres">
      <dgm:prSet presAssocID="{71B35F23-AAED-455E-844B-16A5A172032B}" presName="horzOne" presStyleCnt="0"/>
      <dgm:spPr/>
    </dgm:pt>
    <dgm:pt modelId="{9F6881FA-D213-43DD-AD0A-D53A8F6B9D16}" type="pres">
      <dgm:prSet presAssocID="{A66E243B-F052-47E2-A5E8-ACF801788B36}" presName="vertTwo" presStyleCnt="0"/>
      <dgm:spPr/>
    </dgm:pt>
    <dgm:pt modelId="{8F7F5BA3-BB02-4318-B6F1-6EA72EF5E664}" type="pres">
      <dgm:prSet presAssocID="{A66E243B-F052-47E2-A5E8-ACF801788B36}" presName="txTwo" presStyleLbl="node2" presStyleIdx="0" presStyleCnt="2">
        <dgm:presLayoutVars>
          <dgm:chPref val="3"/>
        </dgm:presLayoutVars>
      </dgm:prSet>
      <dgm:spPr>
        <a:prstGeom prst="roundRect">
          <a:avLst>
            <a:gd name="adj" fmla="val 10000"/>
          </a:avLst>
        </a:prstGeom>
      </dgm:spPr>
      <dgm:t>
        <a:bodyPr/>
        <a:lstStyle/>
        <a:p>
          <a:endParaRPr lang="en-NZ"/>
        </a:p>
      </dgm:t>
    </dgm:pt>
    <dgm:pt modelId="{9F41E253-EDD0-44FD-A1D4-AA63C592F6FE}" type="pres">
      <dgm:prSet presAssocID="{A66E243B-F052-47E2-A5E8-ACF801788B36}" presName="parTransTwo" presStyleCnt="0"/>
      <dgm:spPr/>
    </dgm:pt>
    <dgm:pt modelId="{BC9F791A-2B19-4DB7-9AA4-92E961D17F6B}" type="pres">
      <dgm:prSet presAssocID="{A66E243B-F052-47E2-A5E8-ACF801788B36}" presName="horzTwo" presStyleCnt="0"/>
      <dgm:spPr/>
    </dgm:pt>
    <dgm:pt modelId="{72CB8594-DC59-4A19-9938-5751EF66EE6A}" type="pres">
      <dgm:prSet presAssocID="{75317BDC-C29F-4CA4-A195-D9B37CF865D0}" presName="vertThree" presStyleCnt="0"/>
      <dgm:spPr/>
    </dgm:pt>
    <dgm:pt modelId="{3F04B9F0-E715-4B01-A359-69037FE85C38}" type="pres">
      <dgm:prSet presAssocID="{75317BDC-C29F-4CA4-A195-D9B37CF865D0}" presName="txThree" presStyleLbl="node3" presStyleIdx="0" presStyleCnt="4">
        <dgm:presLayoutVars>
          <dgm:chPref val="3"/>
        </dgm:presLayoutVars>
      </dgm:prSet>
      <dgm:spPr>
        <a:prstGeom prst="roundRect">
          <a:avLst>
            <a:gd name="adj" fmla="val 10000"/>
          </a:avLst>
        </a:prstGeom>
      </dgm:spPr>
      <dgm:t>
        <a:bodyPr/>
        <a:lstStyle/>
        <a:p>
          <a:endParaRPr lang="en-NZ"/>
        </a:p>
      </dgm:t>
    </dgm:pt>
    <dgm:pt modelId="{33E97B9D-44B3-4D33-B906-DD1268299224}" type="pres">
      <dgm:prSet presAssocID="{75317BDC-C29F-4CA4-A195-D9B37CF865D0}" presName="horzThree" presStyleCnt="0"/>
      <dgm:spPr/>
    </dgm:pt>
    <dgm:pt modelId="{83FA5056-EB6C-4EC9-898A-E4FB51B89E97}" type="pres">
      <dgm:prSet presAssocID="{A84E4D7B-F3D3-4C4D-B08D-5F5F21CEF5D9}" presName="sibSpaceThree" presStyleCnt="0"/>
      <dgm:spPr/>
    </dgm:pt>
    <dgm:pt modelId="{18F7F9A1-9430-493D-A190-96D74EC366F9}" type="pres">
      <dgm:prSet presAssocID="{B7F564DA-33B4-450E-AE04-447FE7C93CBF}" presName="vertThree" presStyleCnt="0"/>
      <dgm:spPr/>
    </dgm:pt>
    <dgm:pt modelId="{F7FFCF2C-6F74-4C1A-9054-8771B6979606}" type="pres">
      <dgm:prSet presAssocID="{B7F564DA-33B4-450E-AE04-447FE7C93CBF}" presName="txThree" presStyleLbl="node3" presStyleIdx="1" presStyleCnt="4">
        <dgm:presLayoutVars>
          <dgm:chPref val="3"/>
        </dgm:presLayoutVars>
      </dgm:prSet>
      <dgm:spPr>
        <a:prstGeom prst="roundRect">
          <a:avLst>
            <a:gd name="adj" fmla="val 10000"/>
          </a:avLst>
        </a:prstGeom>
      </dgm:spPr>
      <dgm:t>
        <a:bodyPr/>
        <a:lstStyle/>
        <a:p>
          <a:endParaRPr lang="en-NZ"/>
        </a:p>
      </dgm:t>
    </dgm:pt>
    <dgm:pt modelId="{1BFD72DB-DFA0-494A-B702-DF8855E48515}" type="pres">
      <dgm:prSet presAssocID="{B7F564DA-33B4-450E-AE04-447FE7C93CBF}" presName="horzThree" presStyleCnt="0"/>
      <dgm:spPr/>
    </dgm:pt>
    <dgm:pt modelId="{9DF58EB5-DF73-4DEE-B757-5C3D3CE4B00E}" type="pres">
      <dgm:prSet presAssocID="{CAF515C5-5339-4B19-9AE6-6BDD254BE595}" presName="sibSpaceTwo" presStyleCnt="0"/>
      <dgm:spPr/>
    </dgm:pt>
    <dgm:pt modelId="{8B7408FA-D231-4E0F-B1CA-718EB06920F9}" type="pres">
      <dgm:prSet presAssocID="{8B8B5F66-D2EF-42F0-8E6F-26B398A91350}" presName="vertTwo" presStyleCnt="0"/>
      <dgm:spPr/>
    </dgm:pt>
    <dgm:pt modelId="{61C1E31A-C1EF-4BBA-949A-303A79BAB179}" type="pres">
      <dgm:prSet presAssocID="{8B8B5F66-D2EF-42F0-8E6F-26B398A91350}" presName="txTwo" presStyleLbl="node2" presStyleIdx="1" presStyleCnt="2">
        <dgm:presLayoutVars>
          <dgm:chPref val="3"/>
        </dgm:presLayoutVars>
      </dgm:prSet>
      <dgm:spPr>
        <a:prstGeom prst="roundRect">
          <a:avLst>
            <a:gd name="adj" fmla="val 10000"/>
          </a:avLst>
        </a:prstGeom>
      </dgm:spPr>
      <dgm:t>
        <a:bodyPr/>
        <a:lstStyle/>
        <a:p>
          <a:endParaRPr lang="en-NZ"/>
        </a:p>
      </dgm:t>
    </dgm:pt>
    <dgm:pt modelId="{23A906BA-14C1-4CC5-B9BC-05A15C3343F2}" type="pres">
      <dgm:prSet presAssocID="{8B8B5F66-D2EF-42F0-8E6F-26B398A91350}" presName="parTransTwo" presStyleCnt="0"/>
      <dgm:spPr/>
    </dgm:pt>
    <dgm:pt modelId="{D3C7218A-8CE1-4786-9EA0-EE783DFA0F1E}" type="pres">
      <dgm:prSet presAssocID="{8B8B5F66-D2EF-42F0-8E6F-26B398A91350}" presName="horzTwo" presStyleCnt="0"/>
      <dgm:spPr/>
    </dgm:pt>
    <dgm:pt modelId="{537A2F82-C0D4-43ED-B2D5-B3AE78432655}" type="pres">
      <dgm:prSet presAssocID="{9C2756E5-C4F5-4FEE-BB32-0BF17ACB9765}" presName="vertThree" presStyleCnt="0"/>
      <dgm:spPr/>
    </dgm:pt>
    <dgm:pt modelId="{CB3237A1-3FA2-4557-B0AD-BDF2613EE424}" type="pres">
      <dgm:prSet presAssocID="{9C2756E5-C4F5-4FEE-BB32-0BF17ACB9765}" presName="txThree" presStyleLbl="node3" presStyleIdx="2" presStyleCnt="4">
        <dgm:presLayoutVars>
          <dgm:chPref val="3"/>
        </dgm:presLayoutVars>
      </dgm:prSet>
      <dgm:spPr>
        <a:prstGeom prst="roundRect">
          <a:avLst>
            <a:gd name="adj" fmla="val 10000"/>
          </a:avLst>
        </a:prstGeom>
      </dgm:spPr>
      <dgm:t>
        <a:bodyPr/>
        <a:lstStyle/>
        <a:p>
          <a:endParaRPr lang="en-NZ"/>
        </a:p>
      </dgm:t>
    </dgm:pt>
    <dgm:pt modelId="{BA85E7CE-AE29-4F9A-AD78-009B746F7007}" type="pres">
      <dgm:prSet presAssocID="{9C2756E5-C4F5-4FEE-BB32-0BF17ACB9765}" presName="horzThree" presStyleCnt="0"/>
      <dgm:spPr/>
    </dgm:pt>
    <dgm:pt modelId="{40CF813B-0FB6-4386-9D53-2D47F1EBA6BF}" type="pres">
      <dgm:prSet presAssocID="{12E9D8C6-5A94-4D89-A907-71A1A32DB328}" presName="sibSpaceThree" presStyleCnt="0"/>
      <dgm:spPr/>
    </dgm:pt>
    <dgm:pt modelId="{8E928439-B205-4073-84F1-66706EB4805E}" type="pres">
      <dgm:prSet presAssocID="{1036B257-EA9E-4616-B793-BC5F61D687C9}" presName="vertThree" presStyleCnt="0"/>
      <dgm:spPr/>
    </dgm:pt>
    <dgm:pt modelId="{962BACC4-7EEE-4E8F-8637-0C6227528F3A}" type="pres">
      <dgm:prSet presAssocID="{1036B257-EA9E-4616-B793-BC5F61D687C9}" presName="txThree" presStyleLbl="node3" presStyleIdx="3" presStyleCnt="4">
        <dgm:presLayoutVars>
          <dgm:chPref val="3"/>
        </dgm:presLayoutVars>
      </dgm:prSet>
      <dgm:spPr>
        <a:prstGeom prst="roundRect">
          <a:avLst>
            <a:gd name="adj" fmla="val 10000"/>
          </a:avLst>
        </a:prstGeom>
      </dgm:spPr>
      <dgm:t>
        <a:bodyPr/>
        <a:lstStyle/>
        <a:p>
          <a:endParaRPr lang="en-NZ"/>
        </a:p>
      </dgm:t>
    </dgm:pt>
    <dgm:pt modelId="{66E00BE2-5FC3-45EB-B6FB-D31C917216EB}" type="pres">
      <dgm:prSet presAssocID="{1036B257-EA9E-4616-B793-BC5F61D687C9}" presName="horzThree" presStyleCnt="0"/>
      <dgm:spPr/>
    </dgm:pt>
  </dgm:ptLst>
  <dgm:cxnLst>
    <dgm:cxn modelId="{227F0097-1A0A-41E0-BF26-E7D8C0541D8F}" srcId="{770B9E8A-7476-43E6-9CB1-9F52D4F5C390}" destId="{71B35F23-AAED-455E-844B-16A5A172032B}" srcOrd="0" destOrd="0" parTransId="{D39BEC0F-0D4E-43BC-BC56-A5169B31C1DA}" sibTransId="{CCA9C9B9-3435-4688-824D-B5ABE1219BDF}"/>
    <dgm:cxn modelId="{8E781AF3-20AF-4E8F-A06A-600CF498F727}" type="presOf" srcId="{1036B257-EA9E-4616-B793-BC5F61D687C9}" destId="{962BACC4-7EEE-4E8F-8637-0C6227528F3A}" srcOrd="0" destOrd="0" presId="urn:microsoft.com/office/officeart/2005/8/layout/hierarchy4"/>
    <dgm:cxn modelId="{6728A4E3-60C0-4697-A661-B1F8C7A74456}" type="presOf" srcId="{B7F564DA-33B4-450E-AE04-447FE7C93CBF}" destId="{F7FFCF2C-6F74-4C1A-9054-8771B6979606}" srcOrd="0" destOrd="0" presId="urn:microsoft.com/office/officeart/2005/8/layout/hierarchy4"/>
    <dgm:cxn modelId="{040B51F6-B98C-4F67-BF8C-C05B05DA1E4F}" type="presOf" srcId="{770B9E8A-7476-43E6-9CB1-9F52D4F5C390}" destId="{0F7077C6-602F-45C2-A213-8254A89584F5}" srcOrd="0" destOrd="0" presId="urn:microsoft.com/office/officeart/2005/8/layout/hierarchy4"/>
    <dgm:cxn modelId="{D5C733A1-11D2-42F4-B6DE-F8C9E132B726}" type="presOf" srcId="{75317BDC-C29F-4CA4-A195-D9B37CF865D0}" destId="{3F04B9F0-E715-4B01-A359-69037FE85C38}" srcOrd="0" destOrd="0" presId="urn:microsoft.com/office/officeart/2005/8/layout/hierarchy4"/>
    <dgm:cxn modelId="{24E750B5-282A-459C-8BB3-FE869F8CAED1}" srcId="{8B8B5F66-D2EF-42F0-8E6F-26B398A91350}" destId="{9C2756E5-C4F5-4FEE-BB32-0BF17ACB9765}" srcOrd="0" destOrd="0" parTransId="{DB2A538F-09A7-49DF-8BD0-D365E213B1EC}" sibTransId="{12E9D8C6-5A94-4D89-A907-71A1A32DB328}"/>
    <dgm:cxn modelId="{24002E86-14BD-4BB9-BECB-0CE331D39072}" srcId="{A66E243B-F052-47E2-A5E8-ACF801788B36}" destId="{75317BDC-C29F-4CA4-A195-D9B37CF865D0}" srcOrd="0" destOrd="0" parTransId="{53E379C7-C621-48ED-AE4F-B47188BAA5CE}" sibTransId="{A84E4D7B-F3D3-4C4D-B08D-5F5F21CEF5D9}"/>
    <dgm:cxn modelId="{A57FADE2-9BA1-472B-849D-88048BFDFA14}" type="presOf" srcId="{8B8B5F66-D2EF-42F0-8E6F-26B398A91350}" destId="{61C1E31A-C1EF-4BBA-949A-303A79BAB179}" srcOrd="0" destOrd="0" presId="urn:microsoft.com/office/officeart/2005/8/layout/hierarchy4"/>
    <dgm:cxn modelId="{3D437803-64E1-4924-94F9-150B42CD191D}" type="presOf" srcId="{A66E243B-F052-47E2-A5E8-ACF801788B36}" destId="{8F7F5BA3-BB02-4318-B6F1-6EA72EF5E664}" srcOrd="0" destOrd="0" presId="urn:microsoft.com/office/officeart/2005/8/layout/hierarchy4"/>
    <dgm:cxn modelId="{A42C53FA-49E5-494B-A8F9-7203B3B05A50}" srcId="{8B8B5F66-D2EF-42F0-8E6F-26B398A91350}" destId="{1036B257-EA9E-4616-B793-BC5F61D687C9}" srcOrd="1" destOrd="0" parTransId="{50A5D1DB-FD39-49E9-82FD-647F06B9B8A5}" sibTransId="{956508F0-8A07-4A13-8BE3-7F7E6903309C}"/>
    <dgm:cxn modelId="{B6AA0A83-0DEE-41E8-A312-2C75C2059E18}" srcId="{71B35F23-AAED-455E-844B-16A5A172032B}" destId="{8B8B5F66-D2EF-42F0-8E6F-26B398A91350}" srcOrd="1" destOrd="0" parTransId="{F1F821CE-5B1B-472E-A488-DCF13ACF407A}" sibTransId="{3A74AA6B-E7F8-4891-B243-3B2DF4604B0D}"/>
    <dgm:cxn modelId="{419F2CDD-D0EB-4672-88A7-60DE779A7D0F}" type="presOf" srcId="{9C2756E5-C4F5-4FEE-BB32-0BF17ACB9765}" destId="{CB3237A1-3FA2-4557-B0AD-BDF2613EE424}" srcOrd="0" destOrd="0" presId="urn:microsoft.com/office/officeart/2005/8/layout/hierarchy4"/>
    <dgm:cxn modelId="{C09DB28A-666C-44D3-ABA3-96030CC8C868}" srcId="{A66E243B-F052-47E2-A5E8-ACF801788B36}" destId="{B7F564DA-33B4-450E-AE04-447FE7C93CBF}" srcOrd="1" destOrd="0" parTransId="{F7D73FF4-DBA3-461C-98AC-513F13AD4EC2}" sibTransId="{F55C7902-11EB-4051-A374-BE2EA23D5EC8}"/>
    <dgm:cxn modelId="{1DD86957-56D2-4CDF-923A-65FEE2463454}" srcId="{71B35F23-AAED-455E-844B-16A5A172032B}" destId="{A66E243B-F052-47E2-A5E8-ACF801788B36}" srcOrd="0" destOrd="0" parTransId="{B29AB3A7-132B-44B5-8BA2-7382575B5492}" sibTransId="{CAF515C5-5339-4B19-9AE6-6BDD254BE595}"/>
    <dgm:cxn modelId="{DAC896A6-AB3B-48B5-8FD8-46DEDE97366B}" type="presOf" srcId="{71B35F23-AAED-455E-844B-16A5A172032B}" destId="{9D8485CD-2EEB-4E90-8E0C-09C8598DE955}" srcOrd="0" destOrd="0" presId="urn:microsoft.com/office/officeart/2005/8/layout/hierarchy4"/>
    <dgm:cxn modelId="{214D4320-B2BE-4B67-AEAC-E464A97B194B}" type="presParOf" srcId="{0F7077C6-602F-45C2-A213-8254A89584F5}" destId="{1B425CD6-EF88-4E65-9D1E-575B9CBC0157}" srcOrd="0" destOrd="0" presId="urn:microsoft.com/office/officeart/2005/8/layout/hierarchy4"/>
    <dgm:cxn modelId="{D63C129F-1B71-4F46-915C-56CD608B9646}" type="presParOf" srcId="{1B425CD6-EF88-4E65-9D1E-575B9CBC0157}" destId="{9D8485CD-2EEB-4E90-8E0C-09C8598DE955}" srcOrd="0" destOrd="0" presId="urn:microsoft.com/office/officeart/2005/8/layout/hierarchy4"/>
    <dgm:cxn modelId="{633D1E8E-F96B-4263-8184-DC0AFDAADB2B}" type="presParOf" srcId="{1B425CD6-EF88-4E65-9D1E-575B9CBC0157}" destId="{AA2EC7FB-D8FF-44EE-BAED-1ACC2706C68B}" srcOrd="1" destOrd="0" presId="urn:microsoft.com/office/officeart/2005/8/layout/hierarchy4"/>
    <dgm:cxn modelId="{8C4B27D4-6149-4D52-8A6B-731148CCEBE0}" type="presParOf" srcId="{1B425CD6-EF88-4E65-9D1E-575B9CBC0157}" destId="{1FF21C17-DD51-4281-BDB2-F45235889934}" srcOrd="2" destOrd="0" presId="urn:microsoft.com/office/officeart/2005/8/layout/hierarchy4"/>
    <dgm:cxn modelId="{E6C92D1A-AE04-456D-8DF1-D51B76B84F1D}" type="presParOf" srcId="{1FF21C17-DD51-4281-BDB2-F45235889934}" destId="{9F6881FA-D213-43DD-AD0A-D53A8F6B9D16}" srcOrd="0" destOrd="0" presId="urn:microsoft.com/office/officeart/2005/8/layout/hierarchy4"/>
    <dgm:cxn modelId="{71C234B7-7FE6-4555-BCFE-C9885B3638A4}" type="presParOf" srcId="{9F6881FA-D213-43DD-AD0A-D53A8F6B9D16}" destId="{8F7F5BA3-BB02-4318-B6F1-6EA72EF5E664}" srcOrd="0" destOrd="0" presId="urn:microsoft.com/office/officeart/2005/8/layout/hierarchy4"/>
    <dgm:cxn modelId="{23F95CEB-6EA7-45E3-AF29-3D2D9E1CBD31}" type="presParOf" srcId="{9F6881FA-D213-43DD-AD0A-D53A8F6B9D16}" destId="{9F41E253-EDD0-44FD-A1D4-AA63C592F6FE}" srcOrd="1" destOrd="0" presId="urn:microsoft.com/office/officeart/2005/8/layout/hierarchy4"/>
    <dgm:cxn modelId="{C0C4868E-7928-45DA-8341-0ACCF0364CE0}" type="presParOf" srcId="{9F6881FA-D213-43DD-AD0A-D53A8F6B9D16}" destId="{BC9F791A-2B19-4DB7-9AA4-92E961D17F6B}" srcOrd="2" destOrd="0" presId="urn:microsoft.com/office/officeart/2005/8/layout/hierarchy4"/>
    <dgm:cxn modelId="{8EDAAC71-CD2A-40BF-AECB-175105AA6C11}" type="presParOf" srcId="{BC9F791A-2B19-4DB7-9AA4-92E961D17F6B}" destId="{72CB8594-DC59-4A19-9938-5751EF66EE6A}" srcOrd="0" destOrd="0" presId="urn:microsoft.com/office/officeart/2005/8/layout/hierarchy4"/>
    <dgm:cxn modelId="{807C8FEE-56C3-4959-9013-CD1B388F5AF3}" type="presParOf" srcId="{72CB8594-DC59-4A19-9938-5751EF66EE6A}" destId="{3F04B9F0-E715-4B01-A359-69037FE85C38}" srcOrd="0" destOrd="0" presId="urn:microsoft.com/office/officeart/2005/8/layout/hierarchy4"/>
    <dgm:cxn modelId="{972F1CA6-878F-470C-A803-DAFB175F3336}" type="presParOf" srcId="{72CB8594-DC59-4A19-9938-5751EF66EE6A}" destId="{33E97B9D-44B3-4D33-B906-DD1268299224}" srcOrd="1" destOrd="0" presId="urn:microsoft.com/office/officeart/2005/8/layout/hierarchy4"/>
    <dgm:cxn modelId="{42CAFB94-3B0C-4D29-B33A-5C4358CCEF92}" type="presParOf" srcId="{BC9F791A-2B19-4DB7-9AA4-92E961D17F6B}" destId="{83FA5056-EB6C-4EC9-898A-E4FB51B89E97}" srcOrd="1" destOrd="0" presId="urn:microsoft.com/office/officeart/2005/8/layout/hierarchy4"/>
    <dgm:cxn modelId="{0C148BEA-B6A1-425B-BC25-1EE40CCD395C}" type="presParOf" srcId="{BC9F791A-2B19-4DB7-9AA4-92E961D17F6B}" destId="{18F7F9A1-9430-493D-A190-96D74EC366F9}" srcOrd="2" destOrd="0" presId="urn:microsoft.com/office/officeart/2005/8/layout/hierarchy4"/>
    <dgm:cxn modelId="{2733623D-F60C-4139-8E31-29A21939CAFF}" type="presParOf" srcId="{18F7F9A1-9430-493D-A190-96D74EC366F9}" destId="{F7FFCF2C-6F74-4C1A-9054-8771B6979606}" srcOrd="0" destOrd="0" presId="urn:microsoft.com/office/officeart/2005/8/layout/hierarchy4"/>
    <dgm:cxn modelId="{4FDE1EAB-5102-479A-9AE6-20D1380BE13D}" type="presParOf" srcId="{18F7F9A1-9430-493D-A190-96D74EC366F9}" destId="{1BFD72DB-DFA0-494A-B702-DF8855E48515}" srcOrd="1" destOrd="0" presId="urn:microsoft.com/office/officeart/2005/8/layout/hierarchy4"/>
    <dgm:cxn modelId="{594F36B9-95B4-4B4E-A15F-E6829A5D9A16}" type="presParOf" srcId="{1FF21C17-DD51-4281-BDB2-F45235889934}" destId="{9DF58EB5-DF73-4DEE-B757-5C3D3CE4B00E}" srcOrd="1" destOrd="0" presId="urn:microsoft.com/office/officeart/2005/8/layout/hierarchy4"/>
    <dgm:cxn modelId="{CD1A9316-403C-4B4B-95F5-CC324AA23EB2}" type="presParOf" srcId="{1FF21C17-DD51-4281-BDB2-F45235889934}" destId="{8B7408FA-D231-4E0F-B1CA-718EB06920F9}" srcOrd="2" destOrd="0" presId="urn:microsoft.com/office/officeart/2005/8/layout/hierarchy4"/>
    <dgm:cxn modelId="{C5DC387D-7D55-45ED-8CAE-D66971B56116}" type="presParOf" srcId="{8B7408FA-D231-4E0F-B1CA-718EB06920F9}" destId="{61C1E31A-C1EF-4BBA-949A-303A79BAB179}" srcOrd="0" destOrd="0" presId="urn:microsoft.com/office/officeart/2005/8/layout/hierarchy4"/>
    <dgm:cxn modelId="{558228A5-0C52-49F9-8D97-C4E4DF1A4C3D}" type="presParOf" srcId="{8B7408FA-D231-4E0F-B1CA-718EB06920F9}" destId="{23A906BA-14C1-4CC5-B9BC-05A15C3343F2}" srcOrd="1" destOrd="0" presId="urn:microsoft.com/office/officeart/2005/8/layout/hierarchy4"/>
    <dgm:cxn modelId="{CBE7C60C-FE55-4E5D-A1B2-D1FC8B584956}" type="presParOf" srcId="{8B7408FA-D231-4E0F-B1CA-718EB06920F9}" destId="{D3C7218A-8CE1-4786-9EA0-EE783DFA0F1E}" srcOrd="2" destOrd="0" presId="urn:microsoft.com/office/officeart/2005/8/layout/hierarchy4"/>
    <dgm:cxn modelId="{9002963F-8AD1-497E-AF18-95FF3581F28B}" type="presParOf" srcId="{D3C7218A-8CE1-4786-9EA0-EE783DFA0F1E}" destId="{537A2F82-C0D4-43ED-B2D5-B3AE78432655}" srcOrd="0" destOrd="0" presId="urn:microsoft.com/office/officeart/2005/8/layout/hierarchy4"/>
    <dgm:cxn modelId="{72A6E7AF-013C-4900-AD68-C51C8719C946}" type="presParOf" srcId="{537A2F82-C0D4-43ED-B2D5-B3AE78432655}" destId="{CB3237A1-3FA2-4557-B0AD-BDF2613EE424}" srcOrd="0" destOrd="0" presId="urn:microsoft.com/office/officeart/2005/8/layout/hierarchy4"/>
    <dgm:cxn modelId="{C7958512-9C01-4E39-AF60-FE4CE8C6A0FE}" type="presParOf" srcId="{537A2F82-C0D4-43ED-B2D5-B3AE78432655}" destId="{BA85E7CE-AE29-4F9A-AD78-009B746F7007}" srcOrd="1" destOrd="0" presId="urn:microsoft.com/office/officeart/2005/8/layout/hierarchy4"/>
    <dgm:cxn modelId="{9B325B74-2895-45B5-8138-8B96C7E203B6}" type="presParOf" srcId="{D3C7218A-8CE1-4786-9EA0-EE783DFA0F1E}" destId="{40CF813B-0FB6-4386-9D53-2D47F1EBA6BF}" srcOrd="1" destOrd="0" presId="urn:microsoft.com/office/officeart/2005/8/layout/hierarchy4"/>
    <dgm:cxn modelId="{2520AF47-50CD-454E-A5FD-4EA0FA7710BF}" type="presParOf" srcId="{D3C7218A-8CE1-4786-9EA0-EE783DFA0F1E}" destId="{8E928439-B205-4073-84F1-66706EB4805E}" srcOrd="2" destOrd="0" presId="urn:microsoft.com/office/officeart/2005/8/layout/hierarchy4"/>
    <dgm:cxn modelId="{3C81D114-5DE9-491A-9EB6-18BF69D48EB4}" type="presParOf" srcId="{8E928439-B205-4073-84F1-66706EB4805E}" destId="{962BACC4-7EEE-4E8F-8637-0C6227528F3A}" srcOrd="0" destOrd="0" presId="urn:microsoft.com/office/officeart/2005/8/layout/hierarchy4"/>
    <dgm:cxn modelId="{33079F42-2A41-4E50-BC79-60D5BEDB9BD3}" type="presParOf" srcId="{8E928439-B205-4073-84F1-66706EB4805E}" destId="{66E00BE2-5FC3-45EB-B6FB-D31C917216EB}" srcOrd="1" destOrd="0" presId="urn:microsoft.com/office/officeart/2005/8/layout/hierarchy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485CD-2EEB-4E90-8E0C-09C8598DE955}">
      <dsp:nvSpPr>
        <dsp:cNvPr id="0" name=""/>
        <dsp:cNvSpPr/>
      </dsp:nvSpPr>
      <dsp:spPr>
        <a:xfrm>
          <a:off x="1993" y="1816"/>
          <a:ext cx="5396053" cy="773392"/>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NZ" sz="3300" kern="1200">
              <a:solidFill>
                <a:sysClr val="window" lastClr="FFFFFF"/>
              </a:solidFill>
              <a:latin typeface="Calibri"/>
              <a:ea typeface="+mn-ea"/>
              <a:cs typeface="+mn-cs"/>
            </a:rPr>
            <a:t>Overview report</a:t>
          </a:r>
        </a:p>
      </dsp:txBody>
      <dsp:txXfrm>
        <a:off x="24645" y="24468"/>
        <a:ext cx="5350749" cy="728088"/>
      </dsp:txXfrm>
    </dsp:sp>
    <dsp:sp modelId="{8F7F5BA3-BB02-4318-B6F1-6EA72EF5E664}">
      <dsp:nvSpPr>
        <dsp:cNvPr id="0" name=""/>
        <dsp:cNvSpPr/>
      </dsp:nvSpPr>
      <dsp:spPr>
        <a:xfrm>
          <a:off x="1993" y="868381"/>
          <a:ext cx="2643651" cy="773392"/>
        </a:xfrm>
        <a:prstGeom prst="roundRect">
          <a:avLst>
            <a:gd name="adj" fmla="val 10000"/>
          </a:avLst>
        </a:prstGeom>
        <a:solidFill>
          <a:srgbClr val="8064A2">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NZ" sz="2000" kern="1200">
              <a:solidFill>
                <a:sysClr val="window" lastClr="FFFFFF"/>
              </a:solidFill>
              <a:latin typeface="Calibri"/>
              <a:ea typeface="+mn-ea"/>
              <a:cs typeface="+mn-cs"/>
            </a:rPr>
            <a:t>Review of effectiveness and efficiency</a:t>
          </a:r>
        </a:p>
      </dsp:txBody>
      <dsp:txXfrm>
        <a:off x="24645" y="891033"/>
        <a:ext cx="2598347" cy="728088"/>
      </dsp:txXfrm>
    </dsp:sp>
    <dsp:sp modelId="{3F04B9F0-E715-4B01-A359-69037FE85C38}">
      <dsp:nvSpPr>
        <dsp:cNvPr id="0" name=""/>
        <dsp:cNvSpPr/>
      </dsp:nvSpPr>
      <dsp:spPr>
        <a:xfrm>
          <a:off x="1993" y="1734945"/>
          <a:ext cx="1294638" cy="773392"/>
        </a:xfrm>
        <a:prstGeom prst="roundRect">
          <a:avLst>
            <a:gd name="adj" fmla="val 10000"/>
          </a:avLst>
        </a:prstGeom>
        <a:solidFill>
          <a:srgbClr val="B3A2C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EPA self-review</a:t>
          </a:r>
        </a:p>
      </dsp:txBody>
      <dsp:txXfrm>
        <a:off x="24645" y="1757597"/>
        <a:ext cx="1249334" cy="728088"/>
      </dsp:txXfrm>
    </dsp:sp>
    <dsp:sp modelId="{F7FFCF2C-6F74-4C1A-9054-8771B6979606}">
      <dsp:nvSpPr>
        <dsp:cNvPr id="0" name=""/>
        <dsp:cNvSpPr/>
      </dsp:nvSpPr>
      <dsp:spPr>
        <a:xfrm>
          <a:off x="1351006" y="1734945"/>
          <a:ext cx="1294638" cy="773392"/>
        </a:xfrm>
        <a:prstGeom prst="roundRect">
          <a:avLst>
            <a:gd name="adj" fmla="val 10000"/>
          </a:avLst>
        </a:prstGeom>
        <a:solidFill>
          <a:srgbClr val="DAD2E4"/>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External reviewer's assessment</a:t>
          </a:r>
        </a:p>
      </dsp:txBody>
      <dsp:txXfrm>
        <a:off x="1373658" y="1757597"/>
        <a:ext cx="1249334" cy="728088"/>
      </dsp:txXfrm>
    </dsp:sp>
    <dsp:sp modelId="{61C1E31A-C1EF-4BBA-949A-303A79BAB179}">
      <dsp:nvSpPr>
        <dsp:cNvPr id="0" name=""/>
        <dsp:cNvSpPr/>
      </dsp:nvSpPr>
      <dsp:spPr>
        <a:xfrm>
          <a:off x="2754394" y="868381"/>
          <a:ext cx="2643651" cy="773392"/>
        </a:xfrm>
        <a:prstGeom prst="roundRect">
          <a:avLst>
            <a:gd name="adj" fmla="val 10000"/>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NZ" sz="2000" kern="1200">
              <a:solidFill>
                <a:sysClr val="window" lastClr="FFFFFF"/>
              </a:solidFill>
              <a:latin typeface="Calibri"/>
              <a:ea typeface="+mn-ea"/>
              <a:cs typeface="+mn-cs"/>
            </a:rPr>
            <a:t>Fiscal sustainability</a:t>
          </a:r>
        </a:p>
      </dsp:txBody>
      <dsp:txXfrm>
        <a:off x="2777046" y="891033"/>
        <a:ext cx="2598347" cy="728088"/>
      </dsp:txXfrm>
    </dsp:sp>
    <dsp:sp modelId="{CB3237A1-3FA2-4557-B0AD-BDF2613EE424}">
      <dsp:nvSpPr>
        <dsp:cNvPr id="0" name=""/>
        <dsp:cNvSpPr/>
      </dsp:nvSpPr>
      <dsp:spPr>
        <a:xfrm>
          <a:off x="2754394" y="1734945"/>
          <a:ext cx="1294638" cy="773392"/>
        </a:xfrm>
        <a:prstGeom prst="roundRect">
          <a:avLst>
            <a:gd name="adj" fmla="val 10000"/>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Baseline review</a:t>
          </a:r>
        </a:p>
      </dsp:txBody>
      <dsp:txXfrm>
        <a:off x="2777046" y="1757597"/>
        <a:ext cx="1249334" cy="728088"/>
      </dsp:txXfrm>
    </dsp:sp>
    <dsp:sp modelId="{962BACC4-7EEE-4E8F-8637-0C6227528F3A}">
      <dsp:nvSpPr>
        <dsp:cNvPr id="0" name=""/>
        <dsp:cNvSpPr/>
      </dsp:nvSpPr>
      <dsp:spPr>
        <a:xfrm>
          <a:off x="4103408" y="1734945"/>
          <a:ext cx="1294638" cy="773392"/>
        </a:xfrm>
        <a:prstGeom prst="roundRect">
          <a:avLst>
            <a:gd name="adj" fmla="val 10000"/>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Cost recovery practices</a:t>
          </a:r>
        </a:p>
      </dsp:txBody>
      <dsp:txXfrm>
        <a:off x="4126060" y="1757597"/>
        <a:ext cx="1249334" cy="7280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B18A8-6828-4A6C-98CD-3C2C2322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Warm discussion document template</Template>
  <TotalTime>0</TotalTime>
  <Pages>26</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FINAL-  EPA review - Cost recovery report</vt:lpstr>
    </vt:vector>
  </TitlesOfParts>
  <LinksUpToDate>false</LinksUpToDate>
  <CharactersWithSpaces>49109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EPA review - Cost recovery report</dc:title>
  <dc:creator/>
  <cp:lastModifiedBy/>
  <cp:revision>1</cp:revision>
  <dcterms:created xsi:type="dcterms:W3CDTF">2015-04-17T01:14:00Z</dcterms:created>
  <dcterms:modified xsi:type="dcterms:W3CDTF">2015-04-29T23:57:00Z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000001680949</vt:lpwstr>
  </property>
  <property fmtid="{D5CDD505-2E9C-101B-9397-08002B2CF9AE}" pid="3" name="DisplayName">
    <vt:lpwstr>02 - Reports</vt:lpwstr>
  </property>
  <property fmtid="{D5CDD505-2E9C-101B-9397-08002B2CF9AE}" pid="4" name="Class">
    <vt:lpwstr>MD/MD_EP/MD_EP_Seven/MD_EP_Seven_Two</vt:lpwstr>
  </property>
  <property fmtid="{D5CDD505-2E9C-101B-9397-08002B2CF9AE}" pid="5" name="ClassComments">
    <vt:lpwstr/>
  </property>
  <property fmtid="{D5CDD505-2E9C-101B-9397-08002B2CF9AE}" pid="6" name="AddedBy">
    <vt:lpwstr>McAtamneyR</vt:lpwstr>
  </property>
  <property fmtid="{D5CDD505-2E9C-101B-9397-08002B2CF9AE}" pid="7" name="DateAdded">
    <vt:filetime>2015-04-15T02:14:02Z</vt:filetime>
  </property>
  <property fmtid="{D5CDD505-2E9C-101B-9397-08002B2CF9AE}" pid="8" name="FirstAddedBy">
    <vt:lpwstr>JohnstonH</vt:lpwstr>
  </property>
  <property fmtid="{D5CDD505-2E9C-101B-9397-08002B2CF9AE}" pid="9" name="DateFirstAdded">
    <vt:filetime>2015-03-20T00:45:15Z</vt:filetime>
  </property>
  <property fmtid="{D5CDD505-2E9C-101B-9397-08002B2CF9AE}" pid="10" name="LastModifiedBy">
    <vt:lpwstr>McAtamneyR</vt:lpwstr>
  </property>
  <property fmtid="{D5CDD505-2E9C-101B-9397-08002B2CF9AE}" pid="11" name="DateLastModified">
    <vt:filetime>2015-04-15T02:14:02Z</vt:filetime>
  </property>
  <property fmtid="{D5CDD505-2E9C-101B-9397-08002B2CF9AE}" pid="12" name="IsCheckedOut">
    <vt:bool>true</vt:bool>
  </property>
  <property fmtid="{D5CDD505-2E9C-101B-9397-08002B2CF9AE}" pid="13" name="CheckedOutBy">
    <vt:lpwstr>MansonJ</vt:lpwstr>
  </property>
  <property fmtid="{D5CDD505-2E9C-101B-9397-08002B2CF9AE}" pid="14" name="CheckOutComment">
    <vt:lpwstr/>
  </property>
  <property fmtid="{D5CDD505-2E9C-101B-9397-08002B2CF9AE}" pid="15" name="CheckOutDate">
    <vt:filetime>2015-04-16T21:32:47Z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3.0</vt:lpwstr>
  </property>
  <property fmtid="{D5CDD505-2E9C-101B-9397-08002B2CF9AE}" pid="21" name="Versions">
    <vt:lpwstr>1.0 1.1 1.2 2.0 2.1 2.2 3.0</vt:lpwstr>
  </property>
  <property fmtid="{D5CDD505-2E9C-101B-9397-08002B2CF9AE}" pid="22" name="ContentVersion">
    <vt:lpwstr>3.0</vt:lpwstr>
  </property>
  <property fmtid="{D5CDD505-2E9C-101B-9397-08002B2CF9AE}" pid="23" name="ContentType">
    <vt:i4>0</vt:i4>
  </property>
  <property fmtid="{D5CDD505-2E9C-101B-9397-08002B2CF9AE}" pid="24" name="ContentSize">
    <vt:i4>227748</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1899-12-29T12:00:00Z</vt:filetime>
  </property>
  <property fmtid="{D5CDD505-2E9C-101B-9397-08002B2CF9AE}" pid="31" name="DateExpires">
    <vt:filetime>1899-12-29T12:00:00Z</vt:filetime>
  </property>
  <property fmtid="{D5CDD505-2E9C-101B-9397-08002B2CF9AE}" pid="32" name="RelativeDateExpires">
    <vt:lpwstr>Never</vt:lpwstr>
  </property>
  <property fmtid="{D5CDD505-2E9C-101B-9397-08002B2CF9AE}" pid="33" name="Parents">
    <vt:lpwstr>ab41c3ac0315d750c6d3fe92578df231</vt:lpwstr>
  </property>
  <property fmtid="{D5CDD505-2E9C-101B-9397-08002B2CF9AE}" pid="34" name="Children">
    <vt:lpwstr/>
  </property>
  <property fmtid="{D5CDD505-2E9C-101B-9397-08002B2CF9AE}" pid="35" name="Master">
    <vt:lpwstr/>
  </property>
  <property fmtid="{D5CDD505-2E9C-101B-9397-08002B2CF9AE}" pid="36" name="Slaves">
    <vt:lpwstr/>
  </property>
  <property fmtid="{D5CDD505-2E9C-101B-9397-08002B2CF9AE}" pid="37" name="PublishPaths">
    <vt:lpwstr/>
  </property>
  <property fmtid="{D5CDD505-2E9C-101B-9397-08002B2CF9AE}" pid="38" name="SeeAlso">
    <vt:lpwstr/>
  </property>
  <property fmtid="{D5CDD505-2E9C-101B-9397-08002B2CF9AE}" pid="39" name="Folders">
    <vt:lpwstr/>
  </property>
  <property fmtid="{D5CDD505-2E9C-101B-9397-08002B2CF9AE}" pid="40" name="MetaPath">
    <vt:lpwstr>\MD\MD_EP\MD_EP_Seven\MD_EP_Seven_Two</vt:lpwstr>
  </property>
  <property fmtid="{D5CDD505-2E9C-101B-9397-08002B2CF9AE}" pid="41" name="ContentPath">
    <vt:lpwstr>\MD\MD_EP\MD_EP_Seven\MD_EP_Seven_Two</vt:lpwstr>
  </property>
  <property fmtid="{D5CDD505-2E9C-101B-9397-08002B2CF9AE}" pid="42" name="ArchiveMetaPath">
    <vt:lpwstr>\MD\MD_EP\MD_EP_Seven\MD_EP_Seven_Two</vt:lpwstr>
  </property>
  <property fmtid="{D5CDD505-2E9C-101B-9397-08002B2CF9AE}" pid="43" name="ArchiveContentPath">
    <vt:lpwstr>\MD\MD_EP\MD_EP_Seven\MD_EP_Seven_Two</vt:lpwstr>
  </property>
  <property fmtid="{D5CDD505-2E9C-101B-9397-08002B2CF9AE}" pid="44" name="ContentVPath">
    <vt:lpwstr>/MD/MD_EP/MD_EP_Seven/MD_EP_Seven_Two</vt:lpwstr>
  </property>
  <property fmtid="{D5CDD505-2E9C-101B-9397-08002B2CF9AE}" pid="45" name="Icon">
    <vt:lpwstr/>
  </property>
  <property fmtid="{D5CDD505-2E9C-101B-9397-08002B2CF9AE}" pid="46" name="DefaultContent">
    <vt:lpwstr/>
  </property>
  <property fmtid="{D5CDD505-2E9C-101B-9397-08002B2CF9AE}" pid="47" name="DefaultFormat">
    <vt:lpwstr>DOCX</vt:lpwstr>
  </property>
  <property fmtid="{D5CDD505-2E9C-101B-9397-08002B2CF9AE}" pid="48" name="DefaultForm">
    <vt:lpwstr/>
  </property>
  <property fmtid="{D5CDD505-2E9C-101B-9397-08002B2CF9AE}" pid="49" name="DefaultUIHandler">
    <vt:lpwstr/>
  </property>
  <property fmtid="{D5CDD505-2E9C-101B-9397-08002B2CF9AE}" pid="50" name="Abstract">
    <vt:bool>false</vt:bool>
  </property>
  <property fmtid="{D5CDD505-2E9C-101B-9397-08002B2CF9AE}" pid="51" name="PossibleSuperiors">
    <vt:lpwstr>MD_EP_Seven</vt:lpwstr>
  </property>
  <property fmtid="{D5CDD505-2E9C-101B-9397-08002B2CF9AE}" pid="52" name="HelpFileContext">
    <vt:i4>0</vt:i4>
  </property>
  <property fmtid="{D5CDD505-2E9C-101B-9397-08002B2CF9AE}" pid="53" name="HelpFileName">
    <vt:lpwstr/>
  </property>
  <property fmtid="{D5CDD505-2E9C-101B-9397-08002B2CF9AE}" pid="54" name="Description">
    <vt:lpwstr>Version sent to Channels team for publication</vt:lpwstr>
  </property>
  <property fmtid="{D5CDD505-2E9C-101B-9397-08002B2CF9AE}" pid="55" name="Doctype">
    <vt:lpwstr>Report</vt:lpwstr>
  </property>
  <property fmtid="{D5CDD505-2E9C-101B-9397-08002B2CF9AE}" pid="56" name="To">
    <vt:lpwstr/>
  </property>
  <property fmtid="{D5CDD505-2E9C-101B-9397-08002B2CF9AE}" pid="57" name="From">
    <vt:lpwstr/>
  </property>
  <property fmtid="{D5CDD505-2E9C-101B-9397-08002B2CF9AE}" pid="58" name="Sent_Received">
    <vt:filetime>1899-12-29T12:00:00Z</vt:filetime>
  </property>
  <property fmtid="{D5CDD505-2E9C-101B-9397-08002B2CF9AE}" pid="59" name="ContractNumber">
    <vt:lpwstr/>
  </property>
  <property fmtid="{D5CDD505-2E9C-101B-9397-08002B2CF9AE}" pid="60" name="Status">
    <vt:lpwstr>Draft</vt:lpwstr>
  </property>
  <property fmtid="{D5CDD505-2E9C-101B-9397-08002B2CF9AE}" pid="61" name="Year">
    <vt:lpwstr>2014 - 2015</vt:lpwstr>
  </property>
  <property fmtid="{D5CDD505-2E9C-101B-9397-08002B2CF9AE}" pid="62" name="adspath">
    <vt:lpwstr>Amphora://EDRMS1/MD/MD_EP/MD_EP_Seven/MD_EP_Seven_Two/000001680949</vt:lpwstr>
  </property>
</Properties>
</file>