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8BE22" w14:textId="393ABDEA" w:rsidR="00613CC7" w:rsidRDefault="00260791">
      <w:pPr>
        <w:jc w:val="center"/>
        <w:rPr>
          <w:rFonts w:ascii="Arial" w:hAnsi="Arial"/>
          <w:b/>
          <w:sz w:val="32"/>
        </w:rPr>
      </w:pPr>
      <w:r>
        <w:rPr>
          <w:rFonts w:ascii="Arial" w:hAnsi="Arial"/>
          <w:b/>
          <w:sz w:val="32"/>
        </w:rPr>
        <w:t xml:space="preserve"> </w:t>
      </w:r>
    </w:p>
    <w:p w14:paraId="2D02CE15" w14:textId="77777777" w:rsidR="00613CC7" w:rsidRDefault="00613CC7">
      <w:pPr>
        <w:jc w:val="center"/>
        <w:rPr>
          <w:rFonts w:ascii="Arial" w:hAnsi="Arial"/>
          <w:b/>
          <w:sz w:val="32"/>
        </w:rPr>
      </w:pPr>
    </w:p>
    <w:p w14:paraId="5FA8CA27" w14:textId="77777777" w:rsidR="00613CC7" w:rsidRDefault="00613CC7" w:rsidP="008F7B01">
      <w:pPr>
        <w:framePr w:w="8470" w:h="3164" w:hRule="exact" w:hSpace="181" w:wrap="around" w:vAnchor="page" w:hAnchor="page" w:x="1696" w:y="2598" w:anchorLock="1"/>
        <w:jc w:val="center"/>
        <w:rPr>
          <w:rFonts w:ascii="CG Times" w:hAnsi="CG Times"/>
          <w:b/>
          <w:sz w:val="36"/>
        </w:rPr>
      </w:pPr>
    </w:p>
    <w:p w14:paraId="3AA0F55E" w14:textId="77777777" w:rsidR="00246C20" w:rsidRDefault="00B302C3" w:rsidP="008F7B01">
      <w:pPr>
        <w:framePr w:w="8470" w:h="3164" w:hRule="exact" w:hSpace="181" w:wrap="around" w:vAnchor="page" w:hAnchor="page" w:x="1696" w:y="2598" w:anchorLock="1"/>
        <w:jc w:val="center"/>
        <w:rPr>
          <w:rFonts w:ascii="Arial Narrow" w:hAnsi="Arial Narrow"/>
          <w:b/>
          <w:sz w:val="56"/>
        </w:rPr>
      </w:pPr>
      <w:r>
        <w:rPr>
          <w:rFonts w:ascii="Arial Narrow" w:hAnsi="Arial Narrow"/>
          <w:b/>
          <w:sz w:val="56"/>
        </w:rPr>
        <w:t>Electricity Allocation Factor</w:t>
      </w:r>
    </w:p>
    <w:p w14:paraId="696021CB" w14:textId="6E755C38" w:rsidR="00613CC7" w:rsidRDefault="00246C20" w:rsidP="008F7B01">
      <w:pPr>
        <w:framePr w:w="8470" w:h="3164" w:hRule="exact" w:hSpace="181" w:wrap="around" w:vAnchor="page" w:hAnchor="page" w:x="1696" w:y="2598" w:anchorLock="1"/>
        <w:jc w:val="center"/>
        <w:rPr>
          <w:rFonts w:ascii="Arial Narrow" w:hAnsi="Arial Narrow"/>
          <w:b/>
          <w:sz w:val="56"/>
        </w:rPr>
      </w:pPr>
      <w:r>
        <w:rPr>
          <w:rFonts w:ascii="Arial Narrow" w:hAnsi="Arial Narrow"/>
          <w:b/>
          <w:sz w:val="56"/>
        </w:rPr>
        <w:t>Methodology Options</w:t>
      </w:r>
    </w:p>
    <w:p w14:paraId="27FD4A9B" w14:textId="77777777" w:rsidR="00613CC7" w:rsidRDefault="00613CC7">
      <w:pPr>
        <w:jc w:val="center"/>
        <w:rPr>
          <w:rFonts w:ascii="Arial" w:hAnsi="Arial"/>
          <w:b/>
          <w:i/>
          <w:color w:val="808080"/>
          <w:kern w:val="16"/>
          <w:position w:val="12"/>
          <w:sz w:val="48"/>
        </w:rPr>
      </w:pPr>
    </w:p>
    <w:p w14:paraId="3B23D854" w14:textId="77777777" w:rsidR="00613CC7" w:rsidRDefault="00613CC7">
      <w:pPr>
        <w:jc w:val="center"/>
        <w:rPr>
          <w:rFonts w:ascii="Arial" w:hAnsi="Arial"/>
          <w:sz w:val="32"/>
        </w:rPr>
      </w:pPr>
    </w:p>
    <w:p w14:paraId="692ED4F2" w14:textId="77777777" w:rsidR="00613CC7" w:rsidRDefault="00613CC7">
      <w:pPr>
        <w:jc w:val="center"/>
        <w:rPr>
          <w:rFonts w:ascii="Arial" w:hAnsi="Arial"/>
          <w:sz w:val="32"/>
        </w:rPr>
      </w:pPr>
    </w:p>
    <w:p w14:paraId="44AC3E3A" w14:textId="77777777" w:rsidR="00613CC7" w:rsidRDefault="00613CC7">
      <w:pPr>
        <w:jc w:val="center"/>
        <w:rPr>
          <w:rFonts w:ascii="Arial" w:hAnsi="Arial"/>
          <w:sz w:val="32"/>
        </w:rPr>
      </w:pPr>
    </w:p>
    <w:p w14:paraId="1EDC09A5" w14:textId="77777777" w:rsidR="00613CC7" w:rsidRDefault="00613CC7">
      <w:pPr>
        <w:jc w:val="center"/>
        <w:rPr>
          <w:rFonts w:ascii="Arial" w:hAnsi="Arial"/>
          <w:sz w:val="32"/>
        </w:rPr>
      </w:pPr>
    </w:p>
    <w:p w14:paraId="7A6AB8DC" w14:textId="77777777" w:rsidR="00613CC7" w:rsidRDefault="00613CC7">
      <w:pPr>
        <w:jc w:val="center"/>
        <w:rPr>
          <w:rFonts w:ascii="Arial Narrow" w:hAnsi="Arial Narrow"/>
          <w:sz w:val="32"/>
        </w:rPr>
      </w:pPr>
      <w:r>
        <w:rPr>
          <w:rFonts w:ascii="Arial Narrow" w:hAnsi="Arial Narrow"/>
          <w:sz w:val="32"/>
        </w:rPr>
        <w:t>Prepared by Energy Link</w:t>
      </w:r>
    </w:p>
    <w:p w14:paraId="6B42B96B" w14:textId="77777777" w:rsidR="00613CC7" w:rsidRDefault="00613CC7">
      <w:pPr>
        <w:jc w:val="center"/>
        <w:rPr>
          <w:rFonts w:ascii="Arial Narrow" w:hAnsi="Arial Narrow"/>
          <w:sz w:val="32"/>
        </w:rPr>
      </w:pPr>
    </w:p>
    <w:p w14:paraId="79D0347B" w14:textId="77777777" w:rsidR="00613CC7" w:rsidRDefault="00613CC7">
      <w:pPr>
        <w:jc w:val="center"/>
        <w:rPr>
          <w:rFonts w:ascii="Arial Narrow" w:hAnsi="Arial Narrow"/>
          <w:sz w:val="32"/>
        </w:rPr>
      </w:pPr>
      <w:r>
        <w:rPr>
          <w:rFonts w:ascii="Arial Narrow" w:hAnsi="Arial Narrow"/>
          <w:sz w:val="32"/>
        </w:rPr>
        <w:t>for</w:t>
      </w:r>
    </w:p>
    <w:p w14:paraId="437A4134" w14:textId="77777777" w:rsidR="00613CC7" w:rsidRDefault="00613CC7">
      <w:pPr>
        <w:jc w:val="center"/>
        <w:rPr>
          <w:rFonts w:ascii="Arial Narrow" w:hAnsi="Arial Narrow"/>
          <w:sz w:val="32"/>
        </w:rPr>
      </w:pPr>
    </w:p>
    <w:p w14:paraId="57A39E2E" w14:textId="7C5ABE08" w:rsidR="002F40A8" w:rsidRDefault="002F40A8">
      <w:pPr>
        <w:jc w:val="center"/>
        <w:rPr>
          <w:rFonts w:ascii="Arial Narrow" w:hAnsi="Arial Narrow"/>
          <w:b/>
          <w:sz w:val="32"/>
        </w:rPr>
      </w:pPr>
      <w:r>
        <w:rPr>
          <w:rFonts w:ascii="Arial Narrow" w:hAnsi="Arial Narrow"/>
          <w:b/>
          <w:sz w:val="32"/>
        </w:rPr>
        <w:t>Ministry for the Environment</w:t>
      </w:r>
    </w:p>
    <w:p w14:paraId="3D8779C7" w14:textId="77777777" w:rsidR="00613CC7" w:rsidRDefault="00613CC7">
      <w:pPr>
        <w:jc w:val="center"/>
        <w:rPr>
          <w:rFonts w:ascii="Arial" w:hAnsi="Arial"/>
          <w:sz w:val="32"/>
        </w:rPr>
      </w:pPr>
    </w:p>
    <w:p w14:paraId="1157AC13" w14:textId="77777777" w:rsidR="00613CC7" w:rsidRDefault="00613CC7">
      <w:pPr>
        <w:jc w:val="center"/>
        <w:rPr>
          <w:rFonts w:ascii="Arial" w:hAnsi="Arial"/>
          <w:sz w:val="32"/>
        </w:rPr>
      </w:pPr>
    </w:p>
    <w:p w14:paraId="6B51AEF1" w14:textId="77777777" w:rsidR="00613CC7" w:rsidRDefault="00613CC7">
      <w:pPr>
        <w:jc w:val="center"/>
        <w:rPr>
          <w:rFonts w:ascii="Arial" w:hAnsi="Arial"/>
          <w:b/>
          <w:sz w:val="32"/>
        </w:rPr>
      </w:pPr>
    </w:p>
    <w:p w14:paraId="37B13D47" w14:textId="77777777" w:rsidR="00613CC7" w:rsidRDefault="00613CC7">
      <w:pPr>
        <w:jc w:val="center"/>
        <w:rPr>
          <w:rFonts w:ascii="Arial" w:hAnsi="Arial"/>
          <w:b/>
          <w:sz w:val="32"/>
        </w:rPr>
      </w:pPr>
    </w:p>
    <w:p w14:paraId="25888BA9" w14:textId="77777777" w:rsidR="00613CC7" w:rsidRDefault="00613CC7">
      <w:pPr>
        <w:jc w:val="center"/>
        <w:rPr>
          <w:rFonts w:ascii="Arial" w:hAnsi="Arial"/>
          <w:b/>
          <w:sz w:val="32"/>
        </w:rPr>
      </w:pPr>
    </w:p>
    <w:p w14:paraId="02629516" w14:textId="77777777" w:rsidR="00613CC7" w:rsidRDefault="00613CC7">
      <w:pPr>
        <w:jc w:val="center"/>
        <w:rPr>
          <w:rFonts w:ascii="Arial" w:hAnsi="Arial"/>
          <w:b/>
          <w:sz w:val="32"/>
        </w:rPr>
      </w:pPr>
    </w:p>
    <w:p w14:paraId="1AFE136F" w14:textId="77777777" w:rsidR="00613CC7" w:rsidRDefault="008F7B01">
      <w:pPr>
        <w:jc w:val="center"/>
        <w:rPr>
          <w:rFonts w:ascii="Arial" w:hAnsi="Arial"/>
          <w:b/>
          <w:sz w:val="32"/>
        </w:rPr>
      </w:pPr>
      <w:r>
        <w:rPr>
          <w:noProof/>
          <w:lang w:eastAsia="en-NZ" w:bidi="ar-SA"/>
        </w:rPr>
        <w:lastRenderedPageBreak/>
        <w:drawing>
          <wp:inline distT="0" distB="0" distL="0" distR="0" wp14:anchorId="768E96D2" wp14:editId="573CFA63">
            <wp:extent cx="3196590" cy="845185"/>
            <wp:effectExtent l="0" t="0" r="3810" b="0"/>
            <wp:docPr id="3" name="Picture 3" descr="K:\Energy Link\Marketing\Graphics\Logo\Energy Link Logos\Energy Link Logos\Microsoft\Energy link Primary Logo\Energy Li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ergy Link\Marketing\Graphics\Logo\Energy Link Logos\Energy Link Logos\Microsoft\Energy link Primary Logo\Energy Lin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590" cy="845185"/>
                    </a:xfrm>
                    <a:prstGeom prst="rect">
                      <a:avLst/>
                    </a:prstGeom>
                    <a:noFill/>
                    <a:ln>
                      <a:noFill/>
                    </a:ln>
                  </pic:spPr>
                </pic:pic>
              </a:graphicData>
            </a:graphic>
          </wp:inline>
        </w:drawing>
      </w:r>
    </w:p>
    <w:p w14:paraId="203C43C6" w14:textId="77777777" w:rsidR="00613CC7" w:rsidRDefault="00613CC7">
      <w:pPr>
        <w:jc w:val="center"/>
        <w:rPr>
          <w:rFonts w:ascii="Arial" w:hAnsi="Arial"/>
          <w:b/>
          <w:sz w:val="28"/>
        </w:rPr>
      </w:pPr>
    </w:p>
    <w:p w14:paraId="4300C11F" w14:textId="77777777" w:rsidR="006301A0" w:rsidRDefault="006301A0">
      <w:pPr>
        <w:jc w:val="center"/>
        <w:rPr>
          <w:rFonts w:ascii="Arial" w:hAnsi="Arial"/>
          <w:b/>
          <w:sz w:val="28"/>
        </w:rPr>
      </w:pPr>
    </w:p>
    <w:p w14:paraId="0EFD92F6" w14:textId="60596BCA" w:rsidR="00613CC7" w:rsidRDefault="007E6E9A">
      <w:pPr>
        <w:jc w:val="center"/>
        <w:rPr>
          <w:rFonts w:ascii="Arial Narrow" w:hAnsi="Arial Narrow"/>
          <w:b/>
          <w:sz w:val="28"/>
        </w:rPr>
      </w:pPr>
      <w:r>
        <w:rPr>
          <w:rFonts w:ascii="Arial Narrow" w:hAnsi="Arial Narrow"/>
          <w:b/>
          <w:sz w:val="28"/>
        </w:rPr>
        <w:t>Ju</w:t>
      </w:r>
      <w:r w:rsidR="00D6133E">
        <w:rPr>
          <w:rFonts w:ascii="Arial Narrow" w:hAnsi="Arial Narrow"/>
          <w:b/>
          <w:sz w:val="28"/>
        </w:rPr>
        <w:t>ly</w:t>
      </w:r>
      <w:r w:rsidR="002F40A8">
        <w:rPr>
          <w:rFonts w:ascii="Arial Narrow" w:hAnsi="Arial Narrow"/>
          <w:b/>
          <w:sz w:val="28"/>
        </w:rPr>
        <w:t xml:space="preserve"> 20</w:t>
      </w:r>
      <w:r w:rsidR="00246C20">
        <w:rPr>
          <w:rFonts w:ascii="Arial Narrow" w:hAnsi="Arial Narrow"/>
          <w:b/>
          <w:sz w:val="28"/>
        </w:rPr>
        <w:t>20</w:t>
      </w:r>
    </w:p>
    <w:p w14:paraId="30FBB2E5" w14:textId="77777777" w:rsidR="00613CC7" w:rsidRDefault="00613CC7">
      <w:pPr>
        <w:jc w:val="center"/>
        <w:rPr>
          <w:rFonts w:ascii="Arial" w:hAnsi="Arial"/>
          <w:b/>
          <w:sz w:val="28"/>
        </w:rPr>
      </w:pPr>
    </w:p>
    <w:p w14:paraId="430AD8A1" w14:textId="77777777" w:rsidR="00613CC7" w:rsidRDefault="00613CC7">
      <w:pPr>
        <w:jc w:val="center"/>
      </w:pPr>
    </w:p>
    <w:p w14:paraId="12255F60" w14:textId="77777777" w:rsidR="00613CC7" w:rsidRDefault="00613CC7">
      <w:r>
        <w:br w:type="page"/>
      </w:r>
    </w:p>
    <w:p w14:paraId="3EC892E8" w14:textId="77777777" w:rsidR="00613CC7" w:rsidRDefault="00613CC7"/>
    <w:p w14:paraId="2FB8AE7E" w14:textId="77777777" w:rsidR="00613CC7" w:rsidRDefault="00613CC7"/>
    <w:p w14:paraId="5B0AD3F1" w14:textId="77777777" w:rsidR="00613CC7" w:rsidRDefault="00613CC7">
      <w:pPr>
        <w:rPr>
          <w:rFonts w:ascii="Arial Narrow" w:hAnsi="Arial Narrow"/>
          <w:b/>
          <w:sz w:val="28"/>
        </w:rPr>
      </w:pPr>
      <w:r>
        <w:rPr>
          <w:rFonts w:ascii="Arial Narrow" w:hAnsi="Arial Narrow"/>
          <w:b/>
          <w:sz w:val="28"/>
        </w:rPr>
        <w:t>Quality Assurance Information</w:t>
      </w:r>
    </w:p>
    <w:p w14:paraId="497198EB" w14:textId="77777777" w:rsidR="00613CC7" w:rsidRDefault="00613CC7">
      <w:pPr>
        <w:tabs>
          <w:tab w:val="left" w:pos="1701"/>
        </w:tabs>
      </w:pPr>
    </w:p>
    <w:tbl>
      <w:tblPr>
        <w:tblW w:w="8647" w:type="dxa"/>
        <w:tblLayout w:type="fixed"/>
        <w:tblLook w:val="0000" w:firstRow="0" w:lastRow="0" w:firstColumn="0" w:lastColumn="0" w:noHBand="0" w:noVBand="0"/>
      </w:tblPr>
      <w:tblGrid>
        <w:gridCol w:w="2376"/>
        <w:gridCol w:w="6271"/>
      </w:tblGrid>
      <w:tr w:rsidR="00613CC7" w:rsidRPr="005E3D25" w14:paraId="54CC94C0" w14:textId="77777777" w:rsidTr="00D6133E">
        <w:trPr>
          <w:trHeight w:val="400"/>
        </w:trPr>
        <w:tc>
          <w:tcPr>
            <w:tcW w:w="2376" w:type="dxa"/>
          </w:tcPr>
          <w:p w14:paraId="26045D71" w14:textId="77777777" w:rsidR="00613CC7" w:rsidRPr="005E3D25" w:rsidRDefault="00613CC7">
            <w:r w:rsidRPr="005E3D25">
              <w:t>Name</w:t>
            </w:r>
          </w:p>
        </w:tc>
        <w:tc>
          <w:tcPr>
            <w:tcW w:w="6271" w:type="dxa"/>
          </w:tcPr>
          <w:p w14:paraId="10818B60" w14:textId="36E6899B" w:rsidR="00613CC7" w:rsidRPr="005E3D25" w:rsidRDefault="00CF7917">
            <w:fldSimple w:instr=" FILENAME  \* MERGEFORMAT ">
              <w:r>
                <w:rPr>
                  <w:noProof/>
                </w:rPr>
                <w:t>MfE EAF Methodologies May-20 FINAL.docx</w:t>
              </w:r>
            </w:fldSimple>
          </w:p>
        </w:tc>
      </w:tr>
      <w:tr w:rsidR="00613CC7" w:rsidRPr="005E3D25" w14:paraId="09A5F4BD" w14:textId="77777777" w:rsidTr="00D6133E">
        <w:trPr>
          <w:trHeight w:val="400"/>
        </w:trPr>
        <w:tc>
          <w:tcPr>
            <w:tcW w:w="2376" w:type="dxa"/>
          </w:tcPr>
          <w:p w14:paraId="47737067" w14:textId="77777777" w:rsidR="00613CC7" w:rsidRPr="005E3D25" w:rsidRDefault="00613CC7">
            <w:r w:rsidRPr="005E3D25">
              <w:t>File reference</w:t>
            </w:r>
          </w:p>
        </w:tc>
        <w:tc>
          <w:tcPr>
            <w:tcW w:w="6271" w:type="dxa"/>
          </w:tcPr>
          <w:p w14:paraId="32ABF36A" w14:textId="6AF2E4C3" w:rsidR="00613CC7" w:rsidRPr="005E3D25" w:rsidRDefault="00613CC7">
            <w:r w:rsidRPr="005E3D25">
              <w:t>E-</w:t>
            </w:r>
            <w:r w:rsidR="00A4604B">
              <w:t>MfE-1</w:t>
            </w:r>
            <w:r w:rsidR="007D1428">
              <w:t>322</w:t>
            </w:r>
          </w:p>
        </w:tc>
      </w:tr>
      <w:tr w:rsidR="00613CC7" w:rsidRPr="005E3D25" w14:paraId="2442BCCD" w14:textId="77777777" w:rsidTr="00D6133E">
        <w:trPr>
          <w:trHeight w:val="400"/>
        </w:trPr>
        <w:tc>
          <w:tcPr>
            <w:tcW w:w="2376" w:type="dxa"/>
          </w:tcPr>
          <w:p w14:paraId="3EAAB839" w14:textId="77777777" w:rsidR="00613CC7" w:rsidRPr="005E3D25" w:rsidRDefault="00613CC7">
            <w:r w:rsidRPr="005E3D25">
              <w:t>Issue Status</w:t>
            </w:r>
          </w:p>
        </w:tc>
        <w:tc>
          <w:tcPr>
            <w:tcW w:w="6271" w:type="dxa"/>
          </w:tcPr>
          <w:p w14:paraId="366A3A13" w14:textId="6A96A721" w:rsidR="00613CC7" w:rsidRPr="005E3D25" w:rsidRDefault="00613CC7">
            <w:bookmarkStart w:id="0" w:name="Revision"/>
            <w:r w:rsidRPr="005E3D25">
              <w:t>Draft</w:t>
            </w:r>
            <w:bookmarkEnd w:id="0"/>
          </w:p>
        </w:tc>
      </w:tr>
      <w:tr w:rsidR="00613CC7" w:rsidRPr="005E3D25" w14:paraId="68304DD1" w14:textId="77777777" w:rsidTr="00D6133E">
        <w:trPr>
          <w:trHeight w:val="400"/>
        </w:trPr>
        <w:tc>
          <w:tcPr>
            <w:tcW w:w="2376" w:type="dxa"/>
          </w:tcPr>
          <w:p w14:paraId="2F51CC68" w14:textId="77777777" w:rsidR="00613CC7" w:rsidRPr="005E3D25" w:rsidRDefault="00613CC7">
            <w:r w:rsidRPr="005E3D25">
              <w:t>Issue Date</w:t>
            </w:r>
          </w:p>
        </w:tc>
        <w:tc>
          <w:tcPr>
            <w:tcW w:w="6271" w:type="dxa"/>
          </w:tcPr>
          <w:p w14:paraId="701B73A4" w14:textId="15F5F8F6" w:rsidR="00613CC7" w:rsidRPr="005E3D25" w:rsidRDefault="00D6133E">
            <w:r>
              <w:t>20</w:t>
            </w:r>
            <w:r w:rsidR="007E6E9A">
              <w:t xml:space="preserve"> Ju</w:t>
            </w:r>
            <w:r>
              <w:t>ly</w:t>
            </w:r>
            <w:r w:rsidR="00A4604B">
              <w:t xml:space="preserve"> 20</w:t>
            </w:r>
            <w:r w:rsidR="007D1428">
              <w:t>20</w:t>
            </w:r>
          </w:p>
        </w:tc>
      </w:tr>
      <w:tr w:rsidR="00613CC7" w:rsidRPr="005E3D25" w14:paraId="7ADDE235" w14:textId="77777777" w:rsidTr="00D6133E">
        <w:trPr>
          <w:trHeight w:val="400"/>
        </w:trPr>
        <w:tc>
          <w:tcPr>
            <w:tcW w:w="2376" w:type="dxa"/>
          </w:tcPr>
          <w:p w14:paraId="202632DB" w14:textId="77777777" w:rsidR="00613CC7" w:rsidRPr="005E3D25" w:rsidRDefault="00613CC7">
            <w:r w:rsidRPr="005E3D25">
              <w:t>Client</w:t>
            </w:r>
          </w:p>
        </w:tc>
        <w:tc>
          <w:tcPr>
            <w:tcW w:w="6271" w:type="dxa"/>
          </w:tcPr>
          <w:p w14:paraId="7479AC8F" w14:textId="20C31B0E" w:rsidR="00613CC7" w:rsidRPr="005E3D25" w:rsidRDefault="00A4604B">
            <w:r>
              <w:t>Ministry for the Environment</w:t>
            </w:r>
          </w:p>
        </w:tc>
      </w:tr>
    </w:tbl>
    <w:p w14:paraId="2D3BF9A0" w14:textId="77777777" w:rsidR="00613CC7" w:rsidRDefault="00613CC7">
      <w:pPr>
        <w:tabs>
          <w:tab w:val="left" w:leader="dot" w:pos="2835"/>
          <w:tab w:val="left" w:pos="6629"/>
        </w:tabs>
      </w:pPr>
    </w:p>
    <w:p w14:paraId="70E43807" w14:textId="77777777" w:rsidR="00613CC7" w:rsidRDefault="00613CC7">
      <w:pPr>
        <w:tabs>
          <w:tab w:val="left" w:leader="dot" w:pos="2835"/>
          <w:tab w:val="left" w:pos="6629"/>
        </w:tabs>
      </w:pPr>
    </w:p>
    <w:p w14:paraId="7E465AA0" w14:textId="77777777" w:rsidR="00613CC7" w:rsidRDefault="00613CC7">
      <w:pPr>
        <w:tabs>
          <w:tab w:val="left" w:leader="dot" w:pos="2835"/>
          <w:tab w:val="left" w:pos="6629"/>
        </w:tabs>
      </w:pPr>
    </w:p>
    <w:p w14:paraId="6C0FB684" w14:textId="236F528D" w:rsidR="00613CC7" w:rsidRDefault="00AA103D">
      <w:pPr>
        <w:spacing w:before="480" w:after="60"/>
        <w:rPr>
          <w:rFonts w:ascii="Arial Narrow" w:hAnsi="Arial Narrow"/>
          <w:b/>
          <w:sz w:val="28"/>
        </w:rPr>
      </w:pPr>
      <w:r>
        <w:rPr>
          <w:rFonts w:ascii="Arial Narrow" w:hAnsi="Arial Narrow"/>
          <w:b/>
          <w:sz w:val="28"/>
        </w:rPr>
        <w:t>Definitions</w:t>
      </w:r>
    </w:p>
    <w:p w14:paraId="31D9D2AD" w14:textId="77777777" w:rsidR="00613CC7" w:rsidRDefault="00613CC7"/>
    <w:p w14:paraId="0C73FFE8" w14:textId="77777777" w:rsidR="00613CC7" w:rsidRDefault="00613CC7">
      <w:r>
        <w:t>The following abbreviations and acronyms are used in this report.</w:t>
      </w:r>
    </w:p>
    <w:p w14:paraId="592D1E94" w14:textId="77777777" w:rsidR="00613CC7" w:rsidRDefault="00613CC7">
      <w:pPr>
        <w:ind w:left="567" w:hanging="567"/>
      </w:pPr>
    </w:p>
    <w:tbl>
      <w:tblPr>
        <w:tblW w:w="8720" w:type="dxa"/>
        <w:tblLayout w:type="fixed"/>
        <w:tblLook w:val="0000" w:firstRow="0" w:lastRow="0" w:firstColumn="0" w:lastColumn="0" w:noHBand="0" w:noVBand="0"/>
      </w:tblPr>
      <w:tblGrid>
        <w:gridCol w:w="1526"/>
        <w:gridCol w:w="7194"/>
      </w:tblGrid>
      <w:tr w:rsidR="00613CC7" w:rsidRPr="005E3D25" w14:paraId="1F104BBC" w14:textId="77777777" w:rsidTr="00B36CE1">
        <w:tc>
          <w:tcPr>
            <w:tcW w:w="1526" w:type="dxa"/>
          </w:tcPr>
          <w:p w14:paraId="32FAEF8E" w14:textId="05F8E232" w:rsidR="00613CC7" w:rsidRPr="005E3D25" w:rsidRDefault="002F40A8">
            <w:pPr>
              <w:spacing w:before="60"/>
            </w:pPr>
            <w:r>
              <w:t>EAF</w:t>
            </w:r>
          </w:p>
        </w:tc>
        <w:tc>
          <w:tcPr>
            <w:tcW w:w="7194" w:type="dxa"/>
          </w:tcPr>
          <w:p w14:paraId="5FC4E19E" w14:textId="410540EE" w:rsidR="00613CC7" w:rsidRPr="005E3D25" w:rsidRDefault="002F40A8">
            <w:pPr>
              <w:spacing w:before="60"/>
            </w:pPr>
            <w:r>
              <w:t>Electricity Allocation Factor</w:t>
            </w:r>
          </w:p>
        </w:tc>
      </w:tr>
      <w:tr w:rsidR="00587F3D" w:rsidRPr="005E3D25" w14:paraId="5F999CAA" w14:textId="77777777" w:rsidTr="00B36CE1">
        <w:tc>
          <w:tcPr>
            <w:tcW w:w="1526" w:type="dxa"/>
          </w:tcPr>
          <w:p w14:paraId="4C44549D" w14:textId="407049B3" w:rsidR="00587F3D" w:rsidRDefault="00587F3D">
            <w:pPr>
              <w:spacing w:before="60"/>
            </w:pPr>
            <w:r>
              <w:t>EITE</w:t>
            </w:r>
          </w:p>
        </w:tc>
        <w:tc>
          <w:tcPr>
            <w:tcW w:w="7194" w:type="dxa"/>
          </w:tcPr>
          <w:p w14:paraId="746EF428" w14:textId="76003225" w:rsidR="00587F3D" w:rsidRDefault="00587F3D">
            <w:pPr>
              <w:spacing w:before="60"/>
            </w:pPr>
            <w:r>
              <w:t>Emission</w:t>
            </w:r>
            <w:r w:rsidR="00752E9E">
              <w:t>-</w:t>
            </w:r>
            <w:r>
              <w:t>Intensive Trade</w:t>
            </w:r>
            <w:r w:rsidR="00752E9E">
              <w:t>-</w:t>
            </w:r>
            <w:r>
              <w:t>Exposed</w:t>
            </w:r>
          </w:p>
        </w:tc>
      </w:tr>
      <w:tr w:rsidR="00C76F17" w:rsidRPr="005E3D25" w14:paraId="219B9320" w14:textId="77777777" w:rsidTr="00B36CE1">
        <w:tc>
          <w:tcPr>
            <w:tcW w:w="1526" w:type="dxa"/>
          </w:tcPr>
          <w:p w14:paraId="58386D2E" w14:textId="0B94A932" w:rsidR="00C76F17" w:rsidRDefault="00C76F17">
            <w:pPr>
              <w:spacing w:before="60"/>
            </w:pPr>
            <w:r>
              <w:t>ETS</w:t>
            </w:r>
          </w:p>
        </w:tc>
        <w:tc>
          <w:tcPr>
            <w:tcW w:w="7194" w:type="dxa"/>
          </w:tcPr>
          <w:p w14:paraId="07C16710" w14:textId="1D4BA70A" w:rsidR="00C76F17" w:rsidRDefault="00C76F17">
            <w:pPr>
              <w:spacing w:before="60"/>
            </w:pPr>
            <w:r>
              <w:t>Emissions Trading Scheme</w:t>
            </w:r>
          </w:p>
        </w:tc>
      </w:tr>
      <w:tr w:rsidR="00895EA3" w:rsidRPr="005E3D25" w14:paraId="7900859E" w14:textId="77777777" w:rsidTr="00B36CE1">
        <w:tc>
          <w:tcPr>
            <w:tcW w:w="1526" w:type="dxa"/>
          </w:tcPr>
          <w:p w14:paraId="7CF9EDFB" w14:textId="5F982211" w:rsidR="00895EA3" w:rsidRDefault="00895EA3">
            <w:pPr>
              <w:spacing w:before="60"/>
            </w:pPr>
            <w:r>
              <w:t>FPVV</w:t>
            </w:r>
          </w:p>
        </w:tc>
        <w:tc>
          <w:tcPr>
            <w:tcW w:w="7194" w:type="dxa"/>
          </w:tcPr>
          <w:p w14:paraId="1B2BC3BA" w14:textId="6C486E37" w:rsidR="00895EA3" w:rsidRDefault="00895EA3">
            <w:pPr>
              <w:spacing w:before="60"/>
            </w:pPr>
            <w:r>
              <w:t>Fixed price variable volume</w:t>
            </w:r>
          </w:p>
        </w:tc>
      </w:tr>
      <w:tr w:rsidR="00D04DC6" w:rsidRPr="005E3D25" w14:paraId="6650D96D" w14:textId="77777777" w:rsidTr="00B36CE1">
        <w:tc>
          <w:tcPr>
            <w:tcW w:w="1526" w:type="dxa"/>
          </w:tcPr>
          <w:p w14:paraId="4169743A" w14:textId="1D429EDC" w:rsidR="00D04DC6" w:rsidRDefault="00D04DC6">
            <w:pPr>
              <w:spacing w:before="60"/>
            </w:pPr>
            <w:r>
              <w:t>LRMC</w:t>
            </w:r>
          </w:p>
        </w:tc>
        <w:tc>
          <w:tcPr>
            <w:tcW w:w="7194" w:type="dxa"/>
          </w:tcPr>
          <w:p w14:paraId="059CAACB" w14:textId="4500ECF1" w:rsidR="00D04DC6" w:rsidRDefault="00D04DC6">
            <w:pPr>
              <w:spacing w:before="60"/>
            </w:pPr>
            <w:r>
              <w:t>Long run marginal cost</w:t>
            </w:r>
          </w:p>
        </w:tc>
      </w:tr>
      <w:tr w:rsidR="00613CC7" w:rsidRPr="005E3D25" w14:paraId="0AE48D12" w14:textId="77777777" w:rsidTr="00B36CE1">
        <w:tc>
          <w:tcPr>
            <w:tcW w:w="1526" w:type="dxa"/>
          </w:tcPr>
          <w:p w14:paraId="4F361CE6" w14:textId="76EFD184" w:rsidR="00613CC7" w:rsidRPr="005E3D25" w:rsidRDefault="002F40A8">
            <w:pPr>
              <w:spacing w:before="60"/>
            </w:pPr>
            <w:r>
              <w:t>Ministry</w:t>
            </w:r>
          </w:p>
        </w:tc>
        <w:tc>
          <w:tcPr>
            <w:tcW w:w="7194" w:type="dxa"/>
          </w:tcPr>
          <w:p w14:paraId="69FF86D5" w14:textId="34001300" w:rsidR="00613CC7" w:rsidRPr="005E3D25" w:rsidRDefault="002F40A8">
            <w:pPr>
              <w:spacing w:before="60"/>
            </w:pPr>
            <w:r>
              <w:t>Ministry for the Environment</w:t>
            </w:r>
          </w:p>
        </w:tc>
      </w:tr>
      <w:tr w:rsidR="000C2EF8" w:rsidRPr="005E3D25" w14:paraId="66BD35FE" w14:textId="77777777" w:rsidTr="00B36CE1">
        <w:tc>
          <w:tcPr>
            <w:tcW w:w="1526" w:type="dxa"/>
          </w:tcPr>
          <w:p w14:paraId="64DBBFE4" w14:textId="05A82102" w:rsidR="000C2EF8" w:rsidRDefault="000C2EF8">
            <w:pPr>
              <w:spacing w:before="60"/>
            </w:pPr>
            <w:r>
              <w:t>NZU</w:t>
            </w:r>
          </w:p>
        </w:tc>
        <w:tc>
          <w:tcPr>
            <w:tcW w:w="7194" w:type="dxa"/>
          </w:tcPr>
          <w:p w14:paraId="5D5D7E25" w14:textId="62F87291" w:rsidR="000C2EF8" w:rsidRDefault="000C2EF8">
            <w:pPr>
              <w:spacing w:before="60"/>
            </w:pPr>
            <w:r>
              <w:t>New Zealand Unit</w:t>
            </w:r>
            <w:r w:rsidR="00D04DC6">
              <w:t xml:space="preserve"> (under the ETS)</w:t>
            </w:r>
          </w:p>
        </w:tc>
      </w:tr>
      <w:tr w:rsidR="005257F3" w:rsidRPr="005E3D25" w14:paraId="4FF76088" w14:textId="77777777" w:rsidTr="00B36CE1">
        <w:tc>
          <w:tcPr>
            <w:tcW w:w="1526" w:type="dxa"/>
          </w:tcPr>
          <w:p w14:paraId="54969257" w14:textId="7A3E6ACD" w:rsidR="005257F3" w:rsidRDefault="005257F3">
            <w:pPr>
              <w:spacing w:before="60"/>
            </w:pPr>
            <w:r>
              <w:t>SEIP TAG</w:t>
            </w:r>
          </w:p>
        </w:tc>
        <w:tc>
          <w:tcPr>
            <w:tcW w:w="7194" w:type="dxa"/>
          </w:tcPr>
          <w:p w14:paraId="2F78FFBA" w14:textId="03A6FC28" w:rsidR="005257F3" w:rsidRDefault="005257F3">
            <w:pPr>
              <w:spacing w:before="60"/>
            </w:pPr>
            <w:r w:rsidRPr="005257F3">
              <w:t>Stationary Energy and Industrial Processes Technical Advisory Group</w:t>
            </w:r>
          </w:p>
        </w:tc>
      </w:tr>
      <w:tr w:rsidR="00E2388A" w:rsidRPr="005E3D25" w14:paraId="2D057EFF" w14:textId="77777777" w:rsidTr="00B36CE1">
        <w:tc>
          <w:tcPr>
            <w:tcW w:w="1526" w:type="dxa"/>
          </w:tcPr>
          <w:p w14:paraId="4F7CB288" w14:textId="4600FDB1" w:rsidR="00E2388A" w:rsidRDefault="00E2388A">
            <w:pPr>
              <w:spacing w:before="60"/>
            </w:pPr>
            <w:r>
              <w:t>SPD</w:t>
            </w:r>
          </w:p>
        </w:tc>
        <w:tc>
          <w:tcPr>
            <w:tcW w:w="7194" w:type="dxa"/>
          </w:tcPr>
          <w:p w14:paraId="7DD9F128" w14:textId="5BE920A7" w:rsidR="00E2388A" w:rsidRDefault="00E2388A">
            <w:pPr>
              <w:spacing w:before="60"/>
            </w:pPr>
            <w:r>
              <w:t>Scheduling, Pricing and Dispatch model used in the electricity market to dispatch generation plant and to produce spot prices</w:t>
            </w:r>
          </w:p>
        </w:tc>
      </w:tr>
      <w:tr w:rsidR="00D04DC6" w:rsidRPr="005E3D25" w14:paraId="624B783E" w14:textId="77777777" w:rsidTr="00B36CE1">
        <w:tc>
          <w:tcPr>
            <w:tcW w:w="1526" w:type="dxa"/>
          </w:tcPr>
          <w:p w14:paraId="1AC8C046" w14:textId="13610FDF" w:rsidR="00D04DC6" w:rsidRDefault="00D04DC6">
            <w:pPr>
              <w:spacing w:before="60"/>
            </w:pPr>
            <w:r>
              <w:t>SRMC</w:t>
            </w:r>
          </w:p>
        </w:tc>
        <w:tc>
          <w:tcPr>
            <w:tcW w:w="7194" w:type="dxa"/>
          </w:tcPr>
          <w:p w14:paraId="2284F8DA" w14:textId="088E3294" w:rsidR="00D04DC6" w:rsidRDefault="00D04DC6">
            <w:pPr>
              <w:spacing w:before="60"/>
            </w:pPr>
            <w:r>
              <w:t>Short run marginal cost</w:t>
            </w:r>
          </w:p>
        </w:tc>
      </w:tr>
    </w:tbl>
    <w:p w14:paraId="7D04B065" w14:textId="77777777" w:rsidR="00613CC7" w:rsidRDefault="00613CC7"/>
    <w:p w14:paraId="37F0101F" w14:textId="77777777" w:rsidR="00613CC7" w:rsidRDefault="00613CC7">
      <w:pPr>
        <w:tabs>
          <w:tab w:val="left" w:leader="dot" w:pos="2835"/>
          <w:tab w:val="left" w:pos="6629"/>
        </w:tabs>
      </w:pPr>
    </w:p>
    <w:p w14:paraId="0FA751CD" w14:textId="77777777" w:rsidR="00613CC7" w:rsidRDefault="00613CC7"/>
    <w:p w14:paraId="20F9E577" w14:textId="77777777" w:rsidR="00613CC7" w:rsidRDefault="00613CC7">
      <w:pPr>
        <w:rPr>
          <w:rFonts w:ascii="Arial Narrow" w:hAnsi="Arial Narrow"/>
          <w:b/>
          <w:sz w:val="28"/>
        </w:rPr>
      </w:pPr>
      <w:r>
        <w:br w:type="page"/>
      </w:r>
      <w:r>
        <w:rPr>
          <w:rFonts w:ascii="Arial Narrow" w:hAnsi="Arial Narrow"/>
          <w:b/>
          <w:sz w:val="28"/>
        </w:rPr>
        <w:lastRenderedPageBreak/>
        <w:t>Contents</w:t>
      </w:r>
    </w:p>
    <w:p w14:paraId="2DE4BE5A" w14:textId="77777777" w:rsidR="00613CC7" w:rsidRDefault="00613CC7">
      <w:pPr>
        <w:rPr>
          <w:rFonts w:ascii="Arial" w:hAnsi="Arial"/>
          <w:b/>
          <w:sz w:val="28"/>
        </w:rPr>
      </w:pPr>
    </w:p>
    <w:p w14:paraId="372EAB20" w14:textId="5D849F8C" w:rsidR="00CF7917" w:rsidRPr="00CC0539" w:rsidRDefault="00613CC7" w:rsidP="00CC0539">
      <w:pPr>
        <w:pStyle w:val="TOC1"/>
        <w:spacing w:after="120"/>
        <w:rPr>
          <w:rFonts w:eastAsiaTheme="minorEastAsia" w:cstheme="minorBidi"/>
          <w:bCs w:val="0"/>
          <w:smallCaps w:val="0"/>
          <w:noProof/>
          <w:sz w:val="22"/>
          <w:szCs w:val="22"/>
          <w:lang w:val="en-US" w:bidi="ar-SA"/>
        </w:rPr>
      </w:pPr>
      <w:r w:rsidRPr="00CC0539">
        <w:rPr>
          <w:i/>
        </w:rPr>
        <w:fldChar w:fldCharType="begin"/>
      </w:r>
      <w:r w:rsidRPr="00CC0539">
        <w:rPr>
          <w:i/>
        </w:rPr>
        <w:instrText xml:space="preserve"> TOC \o \f </w:instrText>
      </w:r>
      <w:r w:rsidRPr="00CC0539">
        <w:rPr>
          <w:i/>
        </w:rPr>
        <w:fldChar w:fldCharType="separate"/>
      </w:r>
      <w:r w:rsidR="00CF7917" w:rsidRPr="00CC0539">
        <w:rPr>
          <w:noProof/>
        </w:rPr>
        <w:t>1</w:t>
      </w:r>
      <w:r w:rsidR="00CF7917" w:rsidRPr="00CC0539">
        <w:rPr>
          <w:rFonts w:eastAsiaTheme="minorEastAsia" w:cstheme="minorBidi"/>
          <w:bCs w:val="0"/>
          <w:smallCaps w:val="0"/>
          <w:noProof/>
          <w:sz w:val="22"/>
          <w:szCs w:val="22"/>
          <w:lang w:val="en-US" w:bidi="ar-SA"/>
        </w:rPr>
        <w:tab/>
      </w:r>
      <w:r w:rsidR="00CF7917" w:rsidRPr="00CC0539">
        <w:rPr>
          <w:noProof/>
        </w:rPr>
        <w:t>Introduction</w:t>
      </w:r>
      <w:r w:rsidR="00CF7917" w:rsidRPr="00CC0539">
        <w:rPr>
          <w:noProof/>
        </w:rPr>
        <w:tab/>
      </w:r>
      <w:r w:rsidR="00CF7917" w:rsidRPr="00CC0539">
        <w:rPr>
          <w:noProof/>
        </w:rPr>
        <w:fldChar w:fldCharType="begin"/>
      </w:r>
      <w:r w:rsidR="00CF7917" w:rsidRPr="00CC0539">
        <w:rPr>
          <w:noProof/>
        </w:rPr>
        <w:instrText xml:space="preserve"> PAGEREF _Toc46156007 \h </w:instrText>
      </w:r>
      <w:r w:rsidR="00CF7917" w:rsidRPr="00CC0539">
        <w:rPr>
          <w:noProof/>
        </w:rPr>
      </w:r>
      <w:r w:rsidR="00CF7917" w:rsidRPr="00CC0539">
        <w:rPr>
          <w:noProof/>
        </w:rPr>
        <w:fldChar w:fldCharType="separate"/>
      </w:r>
      <w:r w:rsidR="00CF7917" w:rsidRPr="00CC0539">
        <w:rPr>
          <w:noProof/>
        </w:rPr>
        <w:t>1</w:t>
      </w:r>
      <w:r w:rsidR="00CF7917" w:rsidRPr="00CC0539">
        <w:rPr>
          <w:noProof/>
        </w:rPr>
        <w:fldChar w:fldCharType="end"/>
      </w:r>
    </w:p>
    <w:p w14:paraId="1467AD50" w14:textId="43CD056A" w:rsidR="00CF7917" w:rsidRPr="00CC0539" w:rsidRDefault="00CF7917" w:rsidP="00CC0539">
      <w:pPr>
        <w:pStyle w:val="TOC1"/>
        <w:spacing w:after="120"/>
        <w:rPr>
          <w:rFonts w:eastAsiaTheme="minorEastAsia" w:cstheme="minorBidi"/>
          <w:bCs w:val="0"/>
          <w:smallCaps w:val="0"/>
          <w:noProof/>
          <w:sz w:val="22"/>
          <w:szCs w:val="22"/>
          <w:lang w:val="en-US" w:bidi="ar-SA"/>
        </w:rPr>
      </w:pPr>
      <w:r w:rsidRPr="00CC0539">
        <w:rPr>
          <w:noProof/>
        </w:rPr>
        <w:t>2</w:t>
      </w:r>
      <w:r w:rsidRPr="00CC0539">
        <w:rPr>
          <w:rFonts w:eastAsiaTheme="minorEastAsia" w:cstheme="minorBidi"/>
          <w:bCs w:val="0"/>
          <w:smallCaps w:val="0"/>
          <w:noProof/>
          <w:sz w:val="22"/>
          <w:szCs w:val="22"/>
          <w:lang w:val="en-US" w:bidi="ar-SA"/>
        </w:rPr>
        <w:tab/>
      </w:r>
      <w:r w:rsidRPr="00CC0539">
        <w:rPr>
          <w:noProof/>
        </w:rPr>
        <w:t>Summary</w:t>
      </w:r>
      <w:r w:rsidRPr="00CC0539">
        <w:rPr>
          <w:noProof/>
        </w:rPr>
        <w:tab/>
      </w:r>
      <w:r w:rsidRPr="00CC0539">
        <w:rPr>
          <w:noProof/>
        </w:rPr>
        <w:fldChar w:fldCharType="begin"/>
      </w:r>
      <w:r w:rsidRPr="00CC0539">
        <w:rPr>
          <w:noProof/>
        </w:rPr>
        <w:instrText xml:space="preserve"> PAGEREF _Toc46156008 \h </w:instrText>
      </w:r>
      <w:r w:rsidRPr="00CC0539">
        <w:rPr>
          <w:noProof/>
        </w:rPr>
      </w:r>
      <w:r w:rsidRPr="00CC0539">
        <w:rPr>
          <w:noProof/>
        </w:rPr>
        <w:fldChar w:fldCharType="separate"/>
      </w:r>
      <w:r w:rsidRPr="00CC0539">
        <w:rPr>
          <w:noProof/>
        </w:rPr>
        <w:t>1</w:t>
      </w:r>
      <w:r w:rsidRPr="00CC0539">
        <w:rPr>
          <w:noProof/>
        </w:rPr>
        <w:fldChar w:fldCharType="end"/>
      </w:r>
    </w:p>
    <w:p w14:paraId="6870A2DD" w14:textId="733F3CCE" w:rsidR="00CF7917" w:rsidRPr="00CC0539" w:rsidRDefault="00CF7917" w:rsidP="00CC0539">
      <w:pPr>
        <w:pStyle w:val="TOC1"/>
        <w:spacing w:after="120"/>
        <w:rPr>
          <w:rFonts w:eastAsiaTheme="minorEastAsia" w:cstheme="minorBidi"/>
          <w:bCs w:val="0"/>
          <w:smallCaps w:val="0"/>
          <w:noProof/>
          <w:sz w:val="22"/>
          <w:szCs w:val="22"/>
          <w:lang w:val="en-US" w:bidi="ar-SA"/>
        </w:rPr>
      </w:pPr>
      <w:r w:rsidRPr="00CC0539">
        <w:rPr>
          <w:noProof/>
        </w:rPr>
        <w:t>3</w:t>
      </w:r>
      <w:r w:rsidRPr="00CC0539">
        <w:rPr>
          <w:rFonts w:eastAsiaTheme="minorEastAsia" w:cstheme="minorBidi"/>
          <w:bCs w:val="0"/>
          <w:smallCaps w:val="0"/>
          <w:noProof/>
          <w:sz w:val="22"/>
          <w:szCs w:val="22"/>
          <w:lang w:val="en-US" w:bidi="ar-SA"/>
        </w:rPr>
        <w:tab/>
      </w:r>
      <w:r w:rsidRPr="00CC0539">
        <w:rPr>
          <w:noProof/>
        </w:rPr>
        <w:t>Background</w:t>
      </w:r>
      <w:r w:rsidRPr="00CC0539">
        <w:rPr>
          <w:noProof/>
        </w:rPr>
        <w:tab/>
      </w:r>
      <w:r w:rsidRPr="00CC0539">
        <w:rPr>
          <w:noProof/>
        </w:rPr>
        <w:fldChar w:fldCharType="begin"/>
      </w:r>
      <w:r w:rsidRPr="00CC0539">
        <w:rPr>
          <w:noProof/>
        </w:rPr>
        <w:instrText xml:space="preserve"> PAGEREF _Toc46156009 \h </w:instrText>
      </w:r>
      <w:r w:rsidRPr="00CC0539">
        <w:rPr>
          <w:noProof/>
        </w:rPr>
      </w:r>
      <w:r w:rsidRPr="00CC0539">
        <w:rPr>
          <w:noProof/>
        </w:rPr>
        <w:fldChar w:fldCharType="separate"/>
      </w:r>
      <w:r w:rsidRPr="00CC0539">
        <w:rPr>
          <w:noProof/>
        </w:rPr>
        <w:t>2</w:t>
      </w:r>
      <w:r w:rsidRPr="00CC0539">
        <w:rPr>
          <w:noProof/>
        </w:rPr>
        <w:fldChar w:fldCharType="end"/>
      </w:r>
    </w:p>
    <w:p w14:paraId="4424D918" w14:textId="42F9ACFB"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3.1</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Current EAF Definition</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_Toc46156010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3</w:t>
      </w:r>
      <w:r w:rsidRPr="00CC0539">
        <w:rPr>
          <w:rFonts w:ascii="Arial Narrow" w:hAnsi="Arial Narrow"/>
          <w:b w:val="0"/>
          <w:noProof/>
        </w:rPr>
        <w:fldChar w:fldCharType="end"/>
      </w:r>
    </w:p>
    <w:p w14:paraId="54A93B45" w14:textId="593745E0" w:rsidR="00CF7917" w:rsidRPr="00CC0539" w:rsidRDefault="00CF7917" w:rsidP="00CC0539">
      <w:pPr>
        <w:pStyle w:val="TOC1"/>
        <w:spacing w:after="120"/>
        <w:rPr>
          <w:rFonts w:eastAsiaTheme="minorEastAsia" w:cstheme="minorBidi"/>
          <w:bCs w:val="0"/>
          <w:smallCaps w:val="0"/>
          <w:noProof/>
          <w:sz w:val="22"/>
          <w:szCs w:val="22"/>
          <w:lang w:val="en-US" w:bidi="ar-SA"/>
        </w:rPr>
      </w:pPr>
      <w:r w:rsidRPr="00CC0539">
        <w:rPr>
          <w:noProof/>
        </w:rPr>
        <w:t>4</w:t>
      </w:r>
      <w:r w:rsidRPr="00CC0539">
        <w:rPr>
          <w:rFonts w:eastAsiaTheme="minorEastAsia" w:cstheme="minorBidi"/>
          <w:bCs w:val="0"/>
          <w:smallCaps w:val="0"/>
          <w:noProof/>
          <w:sz w:val="22"/>
          <w:szCs w:val="22"/>
          <w:lang w:val="en-US" w:bidi="ar-SA"/>
        </w:rPr>
        <w:tab/>
      </w:r>
      <w:r w:rsidRPr="00CC0539">
        <w:rPr>
          <w:noProof/>
        </w:rPr>
        <w:t>Methodologies</w:t>
      </w:r>
      <w:r w:rsidRPr="00CC0539">
        <w:rPr>
          <w:noProof/>
        </w:rPr>
        <w:tab/>
      </w:r>
      <w:r w:rsidRPr="00CC0539">
        <w:rPr>
          <w:noProof/>
        </w:rPr>
        <w:fldChar w:fldCharType="begin"/>
      </w:r>
      <w:r w:rsidRPr="00CC0539">
        <w:rPr>
          <w:noProof/>
        </w:rPr>
        <w:instrText xml:space="preserve"> PAGEREF _Toc46156011 \h </w:instrText>
      </w:r>
      <w:r w:rsidRPr="00CC0539">
        <w:rPr>
          <w:noProof/>
        </w:rPr>
      </w:r>
      <w:r w:rsidRPr="00CC0539">
        <w:rPr>
          <w:noProof/>
        </w:rPr>
        <w:fldChar w:fldCharType="separate"/>
      </w:r>
      <w:r w:rsidRPr="00CC0539">
        <w:rPr>
          <w:noProof/>
        </w:rPr>
        <w:t>5</w:t>
      </w:r>
      <w:r w:rsidRPr="00CC0539">
        <w:rPr>
          <w:noProof/>
        </w:rPr>
        <w:fldChar w:fldCharType="end"/>
      </w:r>
    </w:p>
    <w:p w14:paraId="7B539FD4" w14:textId="32F96A6B"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4.1</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Physical emissions</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_Toc46156012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6</w:t>
      </w:r>
      <w:r w:rsidRPr="00CC0539">
        <w:rPr>
          <w:rFonts w:ascii="Arial Narrow" w:hAnsi="Arial Narrow"/>
          <w:b w:val="0"/>
          <w:noProof/>
        </w:rPr>
        <w:fldChar w:fldCharType="end"/>
      </w:r>
    </w:p>
    <w:p w14:paraId="52277915" w14:textId="10568983"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4.2</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SRMC impact</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_Toc46156013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7</w:t>
      </w:r>
      <w:r w:rsidRPr="00CC0539">
        <w:rPr>
          <w:rFonts w:ascii="Arial Narrow" w:hAnsi="Arial Narrow"/>
          <w:b w:val="0"/>
          <w:noProof/>
        </w:rPr>
        <w:fldChar w:fldCharType="end"/>
      </w:r>
    </w:p>
    <w:p w14:paraId="4F5CF837" w14:textId="7C44B8CF"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4.3</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Electricity purchase cost impact – SRMC</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_Toc46156014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7</w:t>
      </w:r>
      <w:r w:rsidRPr="00CC0539">
        <w:rPr>
          <w:rFonts w:ascii="Arial Narrow" w:hAnsi="Arial Narrow"/>
          <w:b w:val="0"/>
          <w:noProof/>
        </w:rPr>
        <w:fldChar w:fldCharType="end"/>
      </w:r>
    </w:p>
    <w:p w14:paraId="3CAB2ACD" w14:textId="75C29E79"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4.4</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Electricity purchase cost impact – Cournot</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_Toc46156015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8</w:t>
      </w:r>
      <w:r w:rsidRPr="00CC0539">
        <w:rPr>
          <w:rFonts w:ascii="Arial Narrow" w:hAnsi="Arial Narrow"/>
          <w:b w:val="0"/>
          <w:noProof/>
        </w:rPr>
        <w:fldChar w:fldCharType="end"/>
      </w:r>
    </w:p>
    <w:p w14:paraId="0D95C5A1" w14:textId="5FC5193A"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4.5</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New generation cost impact</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_Toc46156016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8</w:t>
      </w:r>
      <w:r w:rsidRPr="00CC0539">
        <w:rPr>
          <w:rFonts w:ascii="Arial Narrow" w:hAnsi="Arial Narrow"/>
          <w:b w:val="0"/>
          <w:noProof/>
        </w:rPr>
        <w:fldChar w:fldCharType="end"/>
      </w:r>
    </w:p>
    <w:p w14:paraId="45CB6C15" w14:textId="0D9467EB"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4.6</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Modified generator offers</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_Toc46156017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9</w:t>
      </w:r>
      <w:r w:rsidRPr="00CC0539">
        <w:rPr>
          <w:rFonts w:ascii="Arial Narrow" w:hAnsi="Arial Narrow"/>
          <w:b w:val="0"/>
          <w:noProof/>
        </w:rPr>
        <w:fldChar w:fldCharType="end"/>
      </w:r>
    </w:p>
    <w:p w14:paraId="27FE3D1E" w14:textId="4D6424FB"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4.7</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Modified generator and hydro offers</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_Toc46156018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9</w:t>
      </w:r>
      <w:r w:rsidRPr="00CC0539">
        <w:rPr>
          <w:rFonts w:ascii="Arial Narrow" w:hAnsi="Arial Narrow"/>
          <w:b w:val="0"/>
          <w:noProof/>
        </w:rPr>
        <w:fldChar w:fldCharType="end"/>
      </w:r>
    </w:p>
    <w:p w14:paraId="5F7B796B" w14:textId="07CF9373"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4.8</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Modified generator and hydro offers with thermal quantity reduction</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_Toc46156019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9</w:t>
      </w:r>
      <w:r w:rsidRPr="00CC0539">
        <w:rPr>
          <w:rFonts w:ascii="Arial Narrow" w:hAnsi="Arial Narrow"/>
          <w:b w:val="0"/>
          <w:noProof/>
        </w:rPr>
        <w:fldChar w:fldCharType="end"/>
      </w:r>
    </w:p>
    <w:p w14:paraId="1EEDEFB1" w14:textId="715E5A29"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4.9</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Electricity purchase cost impact</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_Toc46156020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10</w:t>
      </w:r>
      <w:r w:rsidRPr="00CC0539">
        <w:rPr>
          <w:rFonts w:ascii="Arial Narrow" w:hAnsi="Arial Narrow"/>
          <w:b w:val="0"/>
          <w:noProof/>
        </w:rPr>
        <w:fldChar w:fldCharType="end"/>
      </w:r>
    </w:p>
    <w:p w14:paraId="29110968" w14:textId="6AE7BD74"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4.10</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Actual market with and without carbon</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_Toc46156021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10</w:t>
      </w:r>
      <w:r w:rsidRPr="00CC0539">
        <w:rPr>
          <w:rFonts w:ascii="Arial Narrow" w:hAnsi="Arial Narrow"/>
          <w:b w:val="0"/>
          <w:noProof/>
        </w:rPr>
        <w:fldChar w:fldCharType="end"/>
      </w:r>
    </w:p>
    <w:p w14:paraId="0DA2A5CA" w14:textId="570AA546"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4.11</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Actual market versus forecast counterfactual</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_Toc46156022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11</w:t>
      </w:r>
      <w:r w:rsidRPr="00CC0539">
        <w:rPr>
          <w:rFonts w:ascii="Arial Narrow" w:hAnsi="Arial Narrow"/>
          <w:b w:val="0"/>
          <w:noProof/>
        </w:rPr>
        <w:fldChar w:fldCharType="end"/>
      </w:r>
    </w:p>
    <w:p w14:paraId="33BEE30B" w14:textId="4A76AD6E" w:rsidR="00CF7917" w:rsidRPr="00CC0539" w:rsidRDefault="00CF7917" w:rsidP="00CC0539">
      <w:pPr>
        <w:pStyle w:val="TOC1"/>
        <w:spacing w:after="120"/>
        <w:rPr>
          <w:rFonts w:eastAsiaTheme="minorEastAsia" w:cstheme="minorBidi"/>
          <w:bCs w:val="0"/>
          <w:smallCaps w:val="0"/>
          <w:noProof/>
          <w:sz w:val="22"/>
          <w:szCs w:val="22"/>
          <w:lang w:val="en-US" w:bidi="ar-SA"/>
        </w:rPr>
      </w:pPr>
      <w:r w:rsidRPr="00CC0539">
        <w:rPr>
          <w:noProof/>
        </w:rPr>
        <w:t>5</w:t>
      </w:r>
      <w:r w:rsidRPr="00CC0539">
        <w:rPr>
          <w:rFonts w:eastAsiaTheme="minorEastAsia" w:cstheme="minorBidi"/>
          <w:bCs w:val="0"/>
          <w:smallCaps w:val="0"/>
          <w:noProof/>
          <w:sz w:val="22"/>
          <w:szCs w:val="22"/>
          <w:lang w:val="en-US" w:bidi="ar-SA"/>
        </w:rPr>
        <w:tab/>
      </w:r>
      <w:r w:rsidRPr="00CC0539">
        <w:rPr>
          <w:noProof/>
        </w:rPr>
        <w:t>Discussion and Conclusions</w:t>
      </w:r>
      <w:r w:rsidRPr="00CC0539">
        <w:rPr>
          <w:noProof/>
        </w:rPr>
        <w:tab/>
      </w:r>
      <w:r w:rsidRPr="00CC0539">
        <w:rPr>
          <w:noProof/>
        </w:rPr>
        <w:fldChar w:fldCharType="begin"/>
      </w:r>
      <w:r w:rsidRPr="00CC0539">
        <w:rPr>
          <w:noProof/>
        </w:rPr>
        <w:instrText xml:space="preserve"> PAGEREF _Toc46156023 \h </w:instrText>
      </w:r>
      <w:r w:rsidRPr="00CC0539">
        <w:rPr>
          <w:noProof/>
        </w:rPr>
      </w:r>
      <w:r w:rsidRPr="00CC0539">
        <w:rPr>
          <w:noProof/>
        </w:rPr>
        <w:fldChar w:fldCharType="separate"/>
      </w:r>
      <w:r w:rsidRPr="00CC0539">
        <w:rPr>
          <w:noProof/>
        </w:rPr>
        <w:t>1</w:t>
      </w:r>
      <w:r w:rsidRPr="00CC0539">
        <w:rPr>
          <w:noProof/>
        </w:rPr>
        <w:t>1</w:t>
      </w:r>
      <w:r w:rsidRPr="00CC0539">
        <w:rPr>
          <w:noProof/>
        </w:rPr>
        <w:fldChar w:fldCharType="end"/>
      </w:r>
    </w:p>
    <w:p w14:paraId="3D18DA5D" w14:textId="01D4F3F6"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5.1</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Forward versus Backward-Looking</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_Toc46156024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11</w:t>
      </w:r>
      <w:r w:rsidRPr="00CC0539">
        <w:rPr>
          <w:rFonts w:ascii="Arial Narrow" w:hAnsi="Arial Narrow"/>
          <w:b w:val="0"/>
          <w:noProof/>
        </w:rPr>
        <w:fldChar w:fldCharType="end"/>
      </w:r>
    </w:p>
    <w:p w14:paraId="7D7DF28E" w14:textId="257C6CF0"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5.2</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Choice of Counterfactual</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_Toc46156025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12</w:t>
      </w:r>
      <w:r w:rsidRPr="00CC0539">
        <w:rPr>
          <w:rFonts w:ascii="Arial Narrow" w:hAnsi="Arial Narrow"/>
          <w:b w:val="0"/>
          <w:noProof/>
        </w:rPr>
        <w:fldChar w:fldCharType="end"/>
      </w:r>
    </w:p>
    <w:p w14:paraId="63CF2A72" w14:textId="64A3CAE3" w:rsidR="00CF7917" w:rsidRPr="00CC0539" w:rsidRDefault="00CF7917" w:rsidP="00CC0539">
      <w:pPr>
        <w:pStyle w:val="TOC2"/>
        <w:spacing w:after="120"/>
        <w:rPr>
          <w:rFonts w:ascii="Arial Narrow" w:eastAsiaTheme="minorEastAsia" w:hAnsi="Arial Narrow" w:cstheme="minorBidi"/>
          <w:b w:val="0"/>
          <w:bCs w:val="0"/>
          <w:smallCaps w:val="0"/>
          <w:noProof/>
          <w:sz w:val="22"/>
          <w:szCs w:val="22"/>
          <w:lang w:val="en-US" w:bidi="ar-SA"/>
        </w:rPr>
      </w:pPr>
      <w:r w:rsidRPr="00CC0539">
        <w:rPr>
          <w:rFonts w:ascii="Arial Narrow" w:hAnsi="Arial Narrow"/>
          <w:b w:val="0"/>
          <w:noProof/>
        </w:rPr>
        <w:t>5.3</w:t>
      </w:r>
      <w:r w:rsidRPr="00CC0539">
        <w:rPr>
          <w:rFonts w:ascii="Arial Narrow" w:eastAsiaTheme="minorEastAsia" w:hAnsi="Arial Narrow" w:cstheme="minorBidi"/>
          <w:b w:val="0"/>
          <w:bCs w:val="0"/>
          <w:smallCaps w:val="0"/>
          <w:noProof/>
          <w:sz w:val="22"/>
          <w:szCs w:val="22"/>
          <w:lang w:val="en-US" w:bidi="ar-SA"/>
        </w:rPr>
        <w:tab/>
      </w:r>
      <w:r w:rsidRPr="00CC0539">
        <w:rPr>
          <w:rFonts w:ascii="Arial Narrow" w:hAnsi="Arial Narrow"/>
          <w:b w:val="0"/>
          <w:noProof/>
        </w:rPr>
        <w:t>Conclusions</w:t>
      </w:r>
      <w:r w:rsidRPr="00CC0539">
        <w:rPr>
          <w:rFonts w:ascii="Arial Narrow" w:hAnsi="Arial Narrow"/>
          <w:b w:val="0"/>
          <w:noProof/>
        </w:rPr>
        <w:tab/>
      </w:r>
      <w:r w:rsidRPr="00CC0539">
        <w:rPr>
          <w:rFonts w:ascii="Arial Narrow" w:hAnsi="Arial Narrow"/>
          <w:b w:val="0"/>
          <w:noProof/>
        </w:rPr>
        <w:fldChar w:fldCharType="begin"/>
      </w:r>
      <w:r w:rsidRPr="00CC0539">
        <w:rPr>
          <w:rFonts w:ascii="Arial Narrow" w:hAnsi="Arial Narrow"/>
          <w:b w:val="0"/>
          <w:noProof/>
        </w:rPr>
        <w:instrText xml:space="preserve"> PAGEREF _Toc46156026 \h </w:instrText>
      </w:r>
      <w:r w:rsidRPr="00CC0539">
        <w:rPr>
          <w:rFonts w:ascii="Arial Narrow" w:hAnsi="Arial Narrow"/>
          <w:b w:val="0"/>
          <w:noProof/>
        </w:rPr>
      </w:r>
      <w:r w:rsidRPr="00CC0539">
        <w:rPr>
          <w:rFonts w:ascii="Arial Narrow" w:hAnsi="Arial Narrow"/>
          <w:b w:val="0"/>
          <w:noProof/>
        </w:rPr>
        <w:fldChar w:fldCharType="separate"/>
      </w:r>
      <w:r w:rsidRPr="00CC0539">
        <w:rPr>
          <w:rFonts w:ascii="Arial Narrow" w:hAnsi="Arial Narrow"/>
          <w:b w:val="0"/>
          <w:noProof/>
        </w:rPr>
        <w:t>14</w:t>
      </w:r>
      <w:r w:rsidRPr="00CC0539">
        <w:rPr>
          <w:rFonts w:ascii="Arial Narrow" w:hAnsi="Arial Narrow"/>
          <w:b w:val="0"/>
          <w:noProof/>
        </w:rPr>
        <w:fldChar w:fldCharType="end"/>
      </w:r>
    </w:p>
    <w:p w14:paraId="1D9C30CE" w14:textId="244BDDD0" w:rsidR="00CF7917" w:rsidRPr="00CC0539" w:rsidRDefault="00CF7917" w:rsidP="00CC0539">
      <w:pPr>
        <w:pStyle w:val="TOC1"/>
        <w:spacing w:after="120"/>
        <w:rPr>
          <w:rFonts w:eastAsiaTheme="minorEastAsia" w:cstheme="minorBidi"/>
          <w:bCs w:val="0"/>
          <w:smallCaps w:val="0"/>
          <w:noProof/>
          <w:sz w:val="22"/>
          <w:szCs w:val="22"/>
          <w:lang w:val="en-US" w:bidi="ar-SA"/>
        </w:rPr>
      </w:pPr>
      <w:r w:rsidRPr="00CC0539">
        <w:rPr>
          <w:noProof/>
        </w:rPr>
        <w:t>6</w:t>
      </w:r>
      <w:r w:rsidRPr="00CC0539">
        <w:rPr>
          <w:rFonts w:eastAsiaTheme="minorEastAsia" w:cstheme="minorBidi"/>
          <w:bCs w:val="0"/>
          <w:smallCaps w:val="0"/>
          <w:noProof/>
          <w:sz w:val="22"/>
          <w:szCs w:val="22"/>
          <w:lang w:val="en-US" w:bidi="ar-SA"/>
        </w:rPr>
        <w:tab/>
      </w:r>
      <w:r w:rsidRPr="00CC0539">
        <w:rPr>
          <w:noProof/>
        </w:rPr>
        <w:t>References</w:t>
      </w:r>
      <w:r w:rsidRPr="00CC0539">
        <w:rPr>
          <w:noProof/>
        </w:rPr>
        <w:tab/>
      </w:r>
      <w:r w:rsidRPr="00CC0539">
        <w:rPr>
          <w:noProof/>
        </w:rPr>
        <w:fldChar w:fldCharType="begin"/>
      </w:r>
      <w:r w:rsidRPr="00CC0539">
        <w:rPr>
          <w:noProof/>
        </w:rPr>
        <w:instrText xml:space="preserve"> PAGEREF _Toc46156027 \h </w:instrText>
      </w:r>
      <w:r w:rsidRPr="00CC0539">
        <w:rPr>
          <w:noProof/>
        </w:rPr>
      </w:r>
      <w:r w:rsidRPr="00CC0539">
        <w:rPr>
          <w:noProof/>
        </w:rPr>
        <w:fldChar w:fldCharType="separate"/>
      </w:r>
      <w:r w:rsidRPr="00CC0539">
        <w:rPr>
          <w:noProof/>
        </w:rPr>
        <w:t>15</w:t>
      </w:r>
      <w:r w:rsidRPr="00CC0539">
        <w:rPr>
          <w:noProof/>
        </w:rPr>
        <w:fldChar w:fldCharType="end"/>
      </w:r>
    </w:p>
    <w:p w14:paraId="384E257D" w14:textId="0C091D11" w:rsidR="00613CC7" w:rsidRDefault="00613CC7" w:rsidP="00CC0539">
      <w:pPr>
        <w:spacing w:after="120"/>
        <w:rPr>
          <w:i/>
        </w:rPr>
      </w:pPr>
      <w:r w:rsidRPr="00CC0539">
        <w:rPr>
          <w:rFonts w:ascii="Arial Narrow" w:hAnsi="Arial Narrow"/>
          <w:i/>
        </w:rPr>
        <w:fldChar w:fldCharType="end"/>
      </w:r>
    </w:p>
    <w:p w14:paraId="2900EEB9" w14:textId="77777777" w:rsidR="00613CC7" w:rsidRDefault="00613CC7">
      <w:pPr>
        <w:rPr>
          <w:i/>
        </w:rPr>
      </w:pPr>
    </w:p>
    <w:p w14:paraId="23D2FF88" w14:textId="77777777" w:rsidR="00613CC7" w:rsidRDefault="00613CC7">
      <w:pPr>
        <w:spacing w:before="480" w:after="60"/>
        <w:rPr>
          <w:rFonts w:ascii="Arial" w:hAnsi="Arial"/>
          <w:b/>
          <w:sz w:val="28"/>
        </w:rPr>
        <w:sectPr w:rsidR="00613CC7">
          <w:headerReference w:type="even" r:id="rId9"/>
          <w:headerReference w:type="default" r:id="rId10"/>
          <w:footerReference w:type="even" r:id="rId11"/>
          <w:footerReference w:type="default" r:id="rId12"/>
          <w:headerReference w:type="first" r:id="rId13"/>
          <w:footerReference w:type="first" r:id="rId14"/>
          <w:pgSz w:w="11907" w:h="16840" w:code="9"/>
          <w:pgMar w:top="1418" w:right="1701" w:bottom="1418" w:left="1701" w:header="720" w:footer="851" w:gutter="0"/>
          <w:pgNumType w:fmt="lowerRoman" w:start="1"/>
          <w:cols w:space="720"/>
          <w:titlePg/>
        </w:sectPr>
      </w:pPr>
    </w:p>
    <w:p w14:paraId="70A1D374" w14:textId="689AA52B" w:rsidR="00613CC7" w:rsidRDefault="00613CC7">
      <w:pPr>
        <w:pStyle w:val="Heading1"/>
      </w:pPr>
      <w:bookmarkStart w:id="1" w:name="_Toc448636226"/>
      <w:bookmarkStart w:id="2" w:name="_Toc448636276"/>
      <w:bookmarkStart w:id="3" w:name="_Toc46156007"/>
      <w:r>
        <w:lastRenderedPageBreak/>
        <w:t>Introduction</w:t>
      </w:r>
      <w:bookmarkEnd w:id="1"/>
      <w:bookmarkEnd w:id="2"/>
      <w:bookmarkEnd w:id="3"/>
    </w:p>
    <w:p w14:paraId="314BFF78" w14:textId="6ACAB13C" w:rsidR="00B302C3" w:rsidRDefault="00004209" w:rsidP="00A4604B">
      <w:r>
        <w:t xml:space="preserve">In </w:t>
      </w:r>
      <w:r w:rsidR="007D1428">
        <w:t>2019, t</w:t>
      </w:r>
      <w:r w:rsidR="002F40A8">
        <w:t>he Ministry for the Environment (“the Ministry”)</w:t>
      </w:r>
      <w:r w:rsidR="00CA0552">
        <w:t xml:space="preserve"> </w:t>
      </w:r>
      <w:r>
        <w:t xml:space="preserve">decided to </w:t>
      </w:r>
      <w:r w:rsidR="00CA0552">
        <w:t>review the Electricity Allocation Factor (EAF)</w:t>
      </w:r>
      <w:r>
        <w:t>, currently set at 0.537 tCO</w:t>
      </w:r>
      <w:r>
        <w:rPr>
          <w:vertAlign w:val="subscript"/>
        </w:rPr>
        <w:t>2</w:t>
      </w:r>
      <w:r w:rsidR="00DD5586">
        <w:rPr>
          <w:rStyle w:val="FootnoteReference"/>
        </w:rPr>
        <w:footnoteReference w:id="1"/>
      </w:r>
      <w:r>
        <w:t>/MWh</w:t>
      </w:r>
      <w:r w:rsidR="00CA0552">
        <w:t>.</w:t>
      </w:r>
    </w:p>
    <w:p w14:paraId="494B0454" w14:textId="3C876C25" w:rsidR="00CA0552" w:rsidRDefault="00CA0552" w:rsidP="00A4604B"/>
    <w:p w14:paraId="74B34719" w14:textId="1905E9AE" w:rsidR="00C207E5" w:rsidRDefault="007D1428" w:rsidP="00A4604B">
      <w:r>
        <w:t xml:space="preserve">Detailed modelling was undertaken early in 2020 to calculate a new EAF, described in </w:t>
      </w:r>
      <w:sdt>
        <w:sdtPr>
          <w:id w:val="826326602"/>
          <w:citation/>
        </w:sdtPr>
        <w:sdtEndPr/>
        <w:sdtContent>
          <w:r w:rsidR="00004209">
            <w:fldChar w:fldCharType="begin"/>
          </w:r>
          <w:r w:rsidR="00004209">
            <w:rPr>
              <w:lang w:val="en-US"/>
            </w:rPr>
            <w:instrText xml:space="preserve"> CITATION Ene20 \l 1033 </w:instrText>
          </w:r>
          <w:r w:rsidR="00004209">
            <w:fldChar w:fldCharType="separate"/>
          </w:r>
          <w:r w:rsidR="00CF7917" w:rsidRPr="00CF7917">
            <w:rPr>
              <w:noProof/>
              <w:lang w:val="en-US"/>
            </w:rPr>
            <w:t>(Energy Link, 2020)</w:t>
          </w:r>
          <w:r w:rsidR="00004209">
            <w:fldChar w:fldCharType="end"/>
          </w:r>
        </w:sdtContent>
      </w:sdt>
      <w:r>
        <w:t xml:space="preserve"> using the methodology used in the two previous calculations in 20</w:t>
      </w:r>
      <w:r w:rsidR="00004209">
        <w:t>08</w:t>
      </w:r>
      <w:r>
        <w:t xml:space="preserve"> and 20</w:t>
      </w:r>
      <w:r w:rsidR="00004209">
        <w:t>11</w:t>
      </w:r>
      <w:r>
        <w:t xml:space="preserve">.  </w:t>
      </w:r>
      <w:r w:rsidR="00E346EA">
        <w:t>T</w:t>
      </w:r>
      <w:r>
        <w:t xml:space="preserve">he work </w:t>
      </w:r>
      <w:r w:rsidR="00C207E5">
        <w:t xml:space="preserve">also </w:t>
      </w:r>
      <w:r>
        <w:t xml:space="preserve">included </w:t>
      </w:r>
      <w:r w:rsidR="00E346EA">
        <w:t xml:space="preserve">the </w:t>
      </w:r>
      <w:r>
        <w:t xml:space="preserve">calculation of an EAF using two alternative methodologies, after concerns were expressed </w:t>
      </w:r>
      <w:r w:rsidR="00004209">
        <w:t xml:space="preserve">about the current </w:t>
      </w:r>
      <w:r w:rsidR="002E3E58">
        <w:t>methodology</w:t>
      </w:r>
      <w:r>
        <w:t>.</w:t>
      </w:r>
      <w:r w:rsidR="002E3E58">
        <w:t xml:space="preserve">  </w:t>
      </w:r>
    </w:p>
    <w:p w14:paraId="62D45755" w14:textId="77777777" w:rsidR="00C207E5" w:rsidRDefault="00C207E5" w:rsidP="00A4604B"/>
    <w:p w14:paraId="5674B671" w14:textId="1CBB91C8" w:rsidR="002E3E58" w:rsidRDefault="007D1428" w:rsidP="00A4604B">
      <w:r>
        <w:t>Other methodologies</w:t>
      </w:r>
      <w:r w:rsidR="002E3E58">
        <w:t xml:space="preserve"> were also either adopted or trialled over the years</w:t>
      </w:r>
      <w:r>
        <w:t xml:space="preserve">.  </w:t>
      </w:r>
    </w:p>
    <w:p w14:paraId="36780D16" w14:textId="77777777" w:rsidR="002E3E58" w:rsidRDefault="002E3E58" w:rsidP="00A4604B"/>
    <w:p w14:paraId="24AD6A77" w14:textId="7F106E93" w:rsidR="007D1428" w:rsidRDefault="007D1428" w:rsidP="00A4604B">
      <w:r>
        <w:t>The Ministry subsequently engaged Energy Link to review these methodologies in light of the latest round of modelling, listing the pros and cons of each method, and to advise on whether there should be a change in the methodology used either now or at some point in future.</w:t>
      </w:r>
    </w:p>
    <w:p w14:paraId="346EEBEC" w14:textId="4126C1AA" w:rsidR="00B06B92" w:rsidRDefault="00B06B92" w:rsidP="00A4604B"/>
    <w:p w14:paraId="06E07C5D" w14:textId="5238A7C4" w:rsidR="00B06B92" w:rsidRDefault="00B06B92" w:rsidP="00A4604B">
      <w:r>
        <w:t>This report is intended for readers who are either familiar with electricity market modelling, or with the details of the current EAF calculation methodology, and the use of the EAF in allocating NZUs to e</w:t>
      </w:r>
      <w:r w:rsidRPr="00B06B92">
        <w:t>mission-</w:t>
      </w:r>
      <w:r>
        <w:t>i</w:t>
      </w:r>
      <w:r w:rsidRPr="00B06B92">
        <w:t xml:space="preserve">ntensive </w:t>
      </w:r>
      <w:r>
        <w:t>t</w:t>
      </w:r>
      <w:r w:rsidRPr="00B06B92">
        <w:t>rade-</w:t>
      </w:r>
      <w:r>
        <w:t>e</w:t>
      </w:r>
      <w:r w:rsidRPr="00B06B92">
        <w:t>xposed</w:t>
      </w:r>
      <w:r>
        <w:t xml:space="preserve"> (EITE) entities.</w:t>
      </w:r>
      <w:r w:rsidR="00E928DB">
        <w:t xml:space="preserve">  Some familiarity with the current methodology and earlier reports is assumed.</w:t>
      </w:r>
    </w:p>
    <w:p w14:paraId="4217D56F" w14:textId="42086B9E" w:rsidR="009F46DE" w:rsidRDefault="009F46DE" w:rsidP="009F46DE">
      <w:pPr>
        <w:pStyle w:val="Heading1"/>
      </w:pPr>
      <w:bookmarkStart w:id="4" w:name="_Toc46156008"/>
      <w:r>
        <w:t>Summary</w:t>
      </w:r>
      <w:bookmarkEnd w:id="4"/>
    </w:p>
    <w:p w14:paraId="58156C3B" w14:textId="7664C50A" w:rsidR="009F46DE" w:rsidRDefault="009F46DE" w:rsidP="00A4604B">
      <w:r>
        <w:t xml:space="preserve">The methodology for calculating the EAF has evolved over time, </w:t>
      </w:r>
      <w:r w:rsidR="00C207E5">
        <w:t xml:space="preserve">from </w:t>
      </w:r>
      <w:r>
        <w:t>its genesis in 2003 when a physical emission factor was calculated for use in the Projects to Reduce Emissions.</w:t>
      </w:r>
    </w:p>
    <w:p w14:paraId="6163DAE7" w14:textId="4ED1B90B" w:rsidR="009F46DE" w:rsidRDefault="009F46DE" w:rsidP="00A4604B"/>
    <w:p w14:paraId="5EB4AEC4" w14:textId="4A398F5F" w:rsidR="009F46DE" w:rsidRDefault="009F46DE" w:rsidP="00A4604B">
      <w:r>
        <w:t>The current methodology requires development of market forecasts, forward-looking scenarios of how the average spot price of electricity may evolve over the next five years or so, along with modelling of an alternative world (counterfactual)</w:t>
      </w:r>
      <w:r w:rsidR="00167FB0">
        <w:t xml:space="preserve"> in which there never was a cost of carbon in respect of electricity generation, and no expectation of there ever being such a cost</w:t>
      </w:r>
      <w:r>
        <w:t>.</w:t>
      </w:r>
    </w:p>
    <w:p w14:paraId="3B60C92B" w14:textId="0B123B7C" w:rsidR="00167FB0" w:rsidRDefault="00167FB0" w:rsidP="00A4604B"/>
    <w:p w14:paraId="5580B4C0" w14:textId="78E7586E" w:rsidR="00167FB0" w:rsidRDefault="00167FB0" w:rsidP="00A4604B">
      <w:r>
        <w:t xml:space="preserve">Although this methodology is by now well established, it suffers from the problem of the counterfactual being increasingly uncertain and difficult to formulate over time, </w:t>
      </w:r>
      <w:r>
        <w:lastRenderedPageBreak/>
        <w:t xml:space="preserve">while uncertainty in the market forecasts (factual) remains more-or-less constant over time.  Combined with </w:t>
      </w:r>
      <w:r w:rsidR="00CF7956">
        <w:t xml:space="preserve">how </w:t>
      </w:r>
      <w:r>
        <w:t xml:space="preserve">innate biases in human cognition </w:t>
      </w:r>
      <w:r w:rsidR="00C207E5">
        <w:t xml:space="preserve">can unconsciously </w:t>
      </w:r>
      <w:r>
        <w:t xml:space="preserve">limit how </w:t>
      </w:r>
      <w:r w:rsidR="00C207E5">
        <w:t xml:space="preserve">much </w:t>
      </w:r>
      <w:r>
        <w:t xml:space="preserve">the counterfactual can </w:t>
      </w:r>
      <w:r w:rsidR="00C207E5">
        <w:t xml:space="preserve">differ from </w:t>
      </w:r>
      <w:r>
        <w:t>the factual, the current methodology is likely to become more expensive to run over time, and more open to criticism.</w:t>
      </w:r>
    </w:p>
    <w:p w14:paraId="78ED37DE" w14:textId="3F8543E6" w:rsidR="00167FB0" w:rsidRDefault="00167FB0" w:rsidP="00A4604B"/>
    <w:p w14:paraId="277CCE6E" w14:textId="33D8FDF4" w:rsidR="00167FB0" w:rsidRDefault="00167FB0" w:rsidP="00167FB0">
      <w:r>
        <w:t>To provide greater certainty and transparency around the inputs into the process, the methodology could either:</w:t>
      </w:r>
    </w:p>
    <w:p w14:paraId="7A0823B4" w14:textId="12510343" w:rsidR="00167FB0" w:rsidRDefault="00167FB0" w:rsidP="00167FB0">
      <w:pPr>
        <w:pStyle w:val="ListParagraph"/>
        <w:numPr>
          <w:ilvl w:val="0"/>
          <w:numId w:val="38"/>
        </w:numPr>
        <w:spacing w:before="60"/>
        <w:ind w:left="567" w:hanging="567"/>
      </w:pPr>
      <w:r>
        <w:t xml:space="preserve">change to a backward-looking </w:t>
      </w:r>
      <w:r w:rsidR="00C207E5">
        <w:t>approach</w:t>
      </w:r>
      <w:r>
        <w:t xml:space="preserve">; or </w:t>
      </w:r>
    </w:p>
    <w:p w14:paraId="768A98F5" w14:textId="58681EE9" w:rsidR="00167FB0" w:rsidRDefault="00167FB0" w:rsidP="00167FB0">
      <w:pPr>
        <w:pStyle w:val="ListParagraph"/>
        <w:numPr>
          <w:ilvl w:val="0"/>
          <w:numId w:val="38"/>
        </w:numPr>
        <w:spacing w:before="60"/>
        <w:ind w:left="567" w:hanging="567"/>
      </w:pPr>
      <w:r>
        <w:t xml:space="preserve">prescribe various elements of the counterfactual so that the allowed differences between the factual and counterfactual are limited, </w:t>
      </w:r>
      <w:r w:rsidR="00C207E5">
        <w:t xml:space="preserve">but accepted by stakeholders, </w:t>
      </w:r>
      <w:r>
        <w:t xml:space="preserve">thus facilitating development of the counterfactual. </w:t>
      </w:r>
    </w:p>
    <w:p w14:paraId="3086DF24" w14:textId="62022E03" w:rsidR="00167FB0" w:rsidRDefault="00167FB0" w:rsidP="00167FB0"/>
    <w:p w14:paraId="08AC1105" w14:textId="014B99BC" w:rsidR="00167FB0" w:rsidRDefault="00167FB0" w:rsidP="00167FB0">
      <w:r>
        <w:t xml:space="preserve">If the current methodology is retained, for example, then the counterfactual could be prescribed to the extent that fuel prices are assumed to be the same as in the factual, and that the plant mix includes thermal plant </w:t>
      </w:r>
      <w:r w:rsidR="00C207E5">
        <w:t xml:space="preserve">existing in 2009 </w:t>
      </w:r>
      <w:r>
        <w:t>for as long as it can be expected to remain reliable and to cover its cash costs.</w:t>
      </w:r>
    </w:p>
    <w:p w14:paraId="19B60EA1" w14:textId="785C0310" w:rsidR="00167FB0" w:rsidRDefault="00167FB0" w:rsidP="00167FB0"/>
    <w:p w14:paraId="7CEE6F13" w14:textId="70F55251" w:rsidR="00167FB0" w:rsidRDefault="00167FB0" w:rsidP="00167FB0">
      <w:r>
        <w:t xml:space="preserve">A number of alternative, backward-looking methodologies </w:t>
      </w:r>
      <w:r w:rsidR="00E43EEF">
        <w:t xml:space="preserve">were </w:t>
      </w:r>
      <w:r>
        <w:t>trialled</w:t>
      </w:r>
      <w:r w:rsidR="00C207E5">
        <w:t xml:space="preserve"> since 2018</w:t>
      </w:r>
      <w:r>
        <w:t xml:space="preserve">, and at least one is capable of </w:t>
      </w:r>
      <w:r w:rsidR="00624F72">
        <w:t xml:space="preserve">accurately </w:t>
      </w:r>
      <w:r>
        <w:t xml:space="preserve">determining </w:t>
      </w:r>
      <w:r w:rsidR="00624F72">
        <w:t xml:space="preserve">the impact of the cost of carbon on electricity prices over the </w:t>
      </w:r>
      <w:r w:rsidR="0023187F">
        <w:t>evaluation period</w:t>
      </w:r>
      <w:r w:rsidR="00624F72">
        <w:t xml:space="preserve"> on the more limited assumption that the counterfactual is the same market </w:t>
      </w:r>
      <w:r w:rsidR="00C207E5">
        <w:t xml:space="preserve">as the factual, but </w:t>
      </w:r>
      <w:r w:rsidR="00624F72">
        <w:t>without an explicit carbon cost.</w:t>
      </w:r>
    </w:p>
    <w:p w14:paraId="03582C7B" w14:textId="68AF2367" w:rsidR="00167FB0" w:rsidRDefault="00167FB0" w:rsidP="00167FB0"/>
    <w:p w14:paraId="740049D5" w14:textId="607EC150" w:rsidR="000058EB" w:rsidRDefault="00167FB0" w:rsidP="00167FB0">
      <w:r>
        <w:t xml:space="preserve">Given that the alternative world approach will be increasingly difficult </w:t>
      </w:r>
      <w:r w:rsidR="00624F72">
        <w:t xml:space="preserve">to implement and manage </w:t>
      </w:r>
      <w:r>
        <w:t>over time</w:t>
      </w:r>
      <w:r w:rsidR="00BC6A51">
        <w:t xml:space="preserve"> as the uncertainty in the counterfactual continues to increase, while the uncertainty in the market forecasts remains more-or-less constant, </w:t>
      </w:r>
      <w:r>
        <w:t xml:space="preserve">we recommend that a move to a backward-looking approach be considered sooner rather than later.  This will lead to fluctuations in the allocations of NZUs in each period, which increases uncertainty for </w:t>
      </w:r>
      <w:r w:rsidR="009B6550">
        <w:t>EITE firms</w:t>
      </w:r>
      <w:r>
        <w:t xml:space="preserve"> and also fiscal risk for the government, but </w:t>
      </w:r>
      <w:r w:rsidR="00C207E5">
        <w:t xml:space="preserve">it </w:t>
      </w:r>
      <w:r>
        <w:t>is a robust and ultimately more acceptable method for the long term.</w:t>
      </w:r>
    </w:p>
    <w:p w14:paraId="668EB4A3" w14:textId="77777777" w:rsidR="000058EB" w:rsidRDefault="000058EB" w:rsidP="00167FB0"/>
    <w:p w14:paraId="0BB4ABE2" w14:textId="4670FB39" w:rsidR="000058EB" w:rsidRPr="000058EB" w:rsidRDefault="000058EB" w:rsidP="000058EB">
      <w:r>
        <w:t>If these fluctuations are considered by stakeholders to be excessive, then a number of methods could be employed by which the fluctuations could be reduced.  For example, the EAF could be a running average of the EAFs calculated in each period, with the possibility of initially including the current EAF of 0.537 tCO</w:t>
      </w:r>
      <w:r>
        <w:rPr>
          <w:vertAlign w:val="subscript"/>
        </w:rPr>
        <w:t>2</w:t>
      </w:r>
      <w:r>
        <w:t>/MWh in the average.  Running averages could be formulated which balance the need for the EAF to adjust each year against the impact that volatile EAFs could have on stakeholders.</w:t>
      </w:r>
    </w:p>
    <w:p w14:paraId="0B39FB2F" w14:textId="6288E697" w:rsidR="00613CC7" w:rsidRDefault="000145C7">
      <w:pPr>
        <w:pStyle w:val="Heading1"/>
      </w:pPr>
      <w:bookmarkStart w:id="5" w:name="_Toc46156009"/>
      <w:r>
        <w:lastRenderedPageBreak/>
        <w:t>Background</w:t>
      </w:r>
      <w:bookmarkEnd w:id="5"/>
    </w:p>
    <w:p w14:paraId="4021FB6F" w14:textId="39030746" w:rsidR="00C207E5" w:rsidRDefault="00C207E5" w:rsidP="00C207E5">
      <w:r>
        <w:t>The Climate Change Response Act 2002 established the framework for the ETS, and also allows for the issue of free NZUs to specified industries</w:t>
      </w:r>
      <w:r w:rsidR="00944E43">
        <w:t xml:space="preserve"> to offset some of the cost that</w:t>
      </w:r>
      <w:r w:rsidR="00F62EFB">
        <w:t xml:space="preserve"> a carbon price places on them</w:t>
      </w:r>
      <w:r>
        <w:rPr>
          <w:rStyle w:val="FootnoteReference"/>
        </w:rPr>
        <w:footnoteReference w:id="2"/>
      </w:r>
      <w:r>
        <w:t>.</w:t>
      </w:r>
    </w:p>
    <w:p w14:paraId="72B7B1FB" w14:textId="77777777" w:rsidR="00C207E5" w:rsidRDefault="00C207E5" w:rsidP="00C207E5"/>
    <w:p w14:paraId="0688FFF1" w14:textId="6BED3029" w:rsidR="004319C8" w:rsidRDefault="004319C8" w:rsidP="004319C8">
      <w:r>
        <w:t xml:space="preserve">The EAF is used </w:t>
      </w:r>
      <w:r w:rsidR="00C207E5">
        <w:t>in</w:t>
      </w:r>
      <w:r>
        <w:t xml:space="preserve"> calculat</w:t>
      </w:r>
      <w:r w:rsidR="00C207E5">
        <w:t>ing</w:t>
      </w:r>
      <w:r>
        <w:t xml:space="preserve"> </w:t>
      </w:r>
      <w:r w:rsidR="00F62EFB">
        <w:t xml:space="preserve">the electricity portion of </w:t>
      </w:r>
      <w:r>
        <w:t xml:space="preserve">free allocations of NZUs to eligible activities that are EITE.  The EAF is stated in clause 6 of the Climate Change (Eligible Industrial Activities) Regulations 2010 and currently its value is 0.537 </w:t>
      </w:r>
      <w:r w:rsidRPr="00DC2AB3">
        <w:t>tCO</w:t>
      </w:r>
      <w:r w:rsidRPr="00DC2AB3">
        <w:rPr>
          <w:vertAlign w:val="subscript"/>
        </w:rPr>
        <w:t>2</w:t>
      </w:r>
      <w:r>
        <w:t>/</w:t>
      </w:r>
      <w:r w:rsidRPr="00DC2AB3">
        <w:t>MWh</w:t>
      </w:r>
      <w:r>
        <w:t>.  This number is a key parameter used in calculating the free allocation of approximately 2.9 million NZUs to EITE industries, currently valued at around $70 million per annum.</w:t>
      </w:r>
    </w:p>
    <w:p w14:paraId="464CD0C6" w14:textId="77777777" w:rsidR="000145C7" w:rsidRPr="000145C7" w:rsidRDefault="000145C7" w:rsidP="000145C7"/>
    <w:p w14:paraId="7332BA5E" w14:textId="0323A75F" w:rsidR="00245BCC" w:rsidRDefault="00475F3E">
      <w:bookmarkStart w:id="6" w:name="_Toc448636230"/>
      <w:r>
        <w:t xml:space="preserve">The </w:t>
      </w:r>
      <w:r w:rsidR="00F62EFB">
        <w:t xml:space="preserve">EAF </w:t>
      </w:r>
      <w:r>
        <w:t xml:space="preserve">was first calculated in 2008 </w:t>
      </w:r>
      <w:r w:rsidR="00F62EFB">
        <w:t>as</w:t>
      </w:r>
      <w:r>
        <w:t xml:space="preserve"> 0.52 </w:t>
      </w:r>
      <w:r w:rsidRPr="00DC2AB3">
        <w:t>tCO</w:t>
      </w:r>
      <w:r w:rsidRPr="00DC2AB3">
        <w:rPr>
          <w:vertAlign w:val="subscript"/>
        </w:rPr>
        <w:t>2</w:t>
      </w:r>
      <w:r>
        <w:t>/</w:t>
      </w:r>
      <w:r w:rsidRPr="00DC2AB3">
        <w:t>MWh</w:t>
      </w:r>
      <w:r w:rsidR="00245BCC">
        <w:t>.</w:t>
      </w:r>
      <w:r>
        <w:t xml:space="preserve">  The methodology used was </w:t>
      </w:r>
      <w:r w:rsidR="00DF72ED">
        <w:t xml:space="preserve">based on the average SRMC of generation in electricity market forecasts with a cost put on carbon, relative to </w:t>
      </w:r>
      <w:r w:rsidR="00C207E5">
        <w:t xml:space="preserve">the same market </w:t>
      </w:r>
      <w:r w:rsidR="00DF72ED">
        <w:t xml:space="preserve">forecast </w:t>
      </w:r>
      <w:r w:rsidR="00C207E5">
        <w:t xml:space="preserve">undertaken </w:t>
      </w:r>
      <w:r w:rsidR="00DF72ED">
        <w:t>with no carbon cost</w:t>
      </w:r>
      <w:r>
        <w:t>.</w:t>
      </w:r>
    </w:p>
    <w:p w14:paraId="32D162D2" w14:textId="25C8ED41" w:rsidR="00DF72ED" w:rsidRDefault="00DF72ED"/>
    <w:p w14:paraId="28429DB9" w14:textId="68E0F294" w:rsidR="00DF72ED" w:rsidRDefault="00DF72ED">
      <w:r>
        <w:t>In 20</w:t>
      </w:r>
      <w:r w:rsidR="00C207E5">
        <w:t>1</w:t>
      </w:r>
      <w:r>
        <w:t xml:space="preserve">1 the methodology was refined by using average prices obtained from forecasts, and by developing a counterfactual based on how the electricity market might have evolved without an explicit carbon cost.  The value finally </w:t>
      </w:r>
      <w:r w:rsidR="00C207E5">
        <w:t xml:space="preserve">agreed upon </w:t>
      </w:r>
      <w:r>
        <w:t>was 0.537</w:t>
      </w:r>
      <w:r w:rsidR="00C207E5">
        <w:t> </w:t>
      </w:r>
      <w:r w:rsidRPr="00DC2AB3">
        <w:t>tCO</w:t>
      </w:r>
      <w:r w:rsidRPr="00DC2AB3">
        <w:rPr>
          <w:vertAlign w:val="subscript"/>
        </w:rPr>
        <w:t>2</w:t>
      </w:r>
      <w:r>
        <w:t>/</w:t>
      </w:r>
      <w:r w:rsidRPr="00DC2AB3">
        <w:t>MWh</w:t>
      </w:r>
      <w:r>
        <w:t>, but the range of values obtained by various modelled scenarios was relatively large, and ultimately many scenarios were not included in the final averaging to obtain this value.  The excluded scenarios tended to include large changes in the market such as retirement of a large thermal plant.</w:t>
      </w:r>
    </w:p>
    <w:p w14:paraId="0FE54B8B" w14:textId="6A8FD9ED" w:rsidR="00DF72ED" w:rsidRDefault="00DF72ED"/>
    <w:p w14:paraId="2BA84F69" w14:textId="1E667B36" w:rsidR="00DF72ED" w:rsidRDefault="00DF72ED">
      <w:r>
        <w:t xml:space="preserve">Early in 2020, the methodology was again applied as in 2011, but this time more extreme scenarios were excluded, including closure of the Tiwai aluminium smelter and retirement of large thermal plant.  This exclusion, however, also went with a recommendation to recalculate the EAF if and when major events actually occurred.  The value recommended for the EAF was 0.472 </w:t>
      </w:r>
      <w:r w:rsidRPr="00DC2AB3">
        <w:t>tCO</w:t>
      </w:r>
      <w:r w:rsidRPr="00DC2AB3">
        <w:rPr>
          <w:vertAlign w:val="subscript"/>
        </w:rPr>
        <w:t>2</w:t>
      </w:r>
      <w:r>
        <w:t>/</w:t>
      </w:r>
      <w:r w:rsidRPr="00DC2AB3">
        <w:t>MWh</w:t>
      </w:r>
      <w:r>
        <w:t>, which is 12% lower than the current value, primarily because</w:t>
      </w:r>
      <w:r w:rsidR="00D43D34">
        <w:t xml:space="preserve"> the more extreme scenarios were excluded</w:t>
      </w:r>
      <w:r>
        <w:t>.</w:t>
      </w:r>
    </w:p>
    <w:p w14:paraId="38CEDC99" w14:textId="72F1A748" w:rsidR="009F46DE" w:rsidRDefault="009F46DE"/>
    <w:p w14:paraId="3BAB73DC" w14:textId="4693A80B" w:rsidR="009F46DE" w:rsidRDefault="009F46DE">
      <w:r>
        <w:t xml:space="preserve">In addition to applying the currently accepted methodology, the 2020 recalculation work also included the trialling of two alternative methodologies suggested through consultation with EITEs, both </w:t>
      </w:r>
      <w:r w:rsidR="00D43D34">
        <w:t xml:space="preserve">scenarios </w:t>
      </w:r>
      <w:r>
        <w:t>including some degree of backward-looking assessment.</w:t>
      </w:r>
    </w:p>
    <w:p w14:paraId="27264F19" w14:textId="6697B2F5" w:rsidR="00A23F25" w:rsidRDefault="005257F3" w:rsidP="00AD24B3">
      <w:pPr>
        <w:pStyle w:val="Heading2"/>
      </w:pPr>
      <w:bookmarkStart w:id="7" w:name="_Ref11417753"/>
      <w:bookmarkStart w:id="8" w:name="_Toc46156010"/>
      <w:r>
        <w:lastRenderedPageBreak/>
        <w:t xml:space="preserve">Current </w:t>
      </w:r>
      <w:r w:rsidR="00AD24B3">
        <w:t>EAF Definition</w:t>
      </w:r>
      <w:bookmarkEnd w:id="7"/>
      <w:bookmarkEnd w:id="8"/>
    </w:p>
    <w:p w14:paraId="3CC2FAF6" w14:textId="38C6E859" w:rsidR="005257F3" w:rsidRDefault="006E0BD7">
      <w:r>
        <w:t xml:space="preserve">The history of the EAF extends back indirectly to 2003 when the government awarded various </w:t>
      </w:r>
      <w:r w:rsidRPr="006E0BD7">
        <w:t xml:space="preserve">projects </w:t>
      </w:r>
      <w:r w:rsidR="00747AFE">
        <w:t xml:space="preserve">with </w:t>
      </w:r>
      <w:r w:rsidRPr="006E0BD7">
        <w:t>tradeable units under the ‘Projects to Reduce Emissions’</w:t>
      </w:r>
      <w:r w:rsidR="00747AFE">
        <w:t xml:space="preserve"> scheme</w:t>
      </w:r>
      <w:r>
        <w:t>, though this scheme was discontinued in 2005.</w:t>
      </w:r>
      <w:r w:rsidR="00A52EC0">
        <w:t xml:space="preserve">  In 2003 Concept Consulting was engaged by the Climate Change Office to estimate an </w:t>
      </w:r>
      <w:r w:rsidR="00EC670D">
        <w:t>‘</w:t>
      </w:r>
      <w:r w:rsidR="00A52EC0">
        <w:t>emission factor</w:t>
      </w:r>
      <w:r w:rsidR="00EC670D">
        <w:t>’</w:t>
      </w:r>
      <w:r w:rsidR="00A52EC0">
        <w:t xml:space="preserve"> for </w:t>
      </w:r>
      <w:r w:rsidR="00EC670D">
        <w:t xml:space="preserve">2008 – 2012, to be used in </w:t>
      </w:r>
      <w:r w:rsidR="00A52EC0">
        <w:t xml:space="preserve">the first round of tenders for suitable projects, </w:t>
      </w:r>
      <w:r w:rsidR="00EC670D">
        <w:t>and the value of this was 600 tonnes CO</w:t>
      </w:r>
      <w:r w:rsidR="00EC670D" w:rsidRPr="00EC670D">
        <w:rPr>
          <w:vertAlign w:val="subscript"/>
        </w:rPr>
        <w:t>2</w:t>
      </w:r>
      <w:r w:rsidR="00EC670D">
        <w:t xml:space="preserve"> per GWh (0.6 tCO</w:t>
      </w:r>
      <w:r w:rsidR="00EC670D" w:rsidRPr="00EC670D">
        <w:rPr>
          <w:vertAlign w:val="subscript"/>
        </w:rPr>
        <w:t>2</w:t>
      </w:r>
      <w:r w:rsidR="00747AFE">
        <w:t>/</w:t>
      </w:r>
      <w:r w:rsidR="00EC670D">
        <w:t>MWh).  This was updated in 2004 for the second round of tenders, and the new value was set at 0.625 tCO</w:t>
      </w:r>
      <w:r w:rsidR="00EC670D" w:rsidRPr="00EC670D">
        <w:rPr>
          <w:vertAlign w:val="subscript"/>
        </w:rPr>
        <w:t>2</w:t>
      </w:r>
      <w:r w:rsidR="00747AFE">
        <w:t>/</w:t>
      </w:r>
      <w:r w:rsidR="00EC670D">
        <w:t>MWh.</w:t>
      </w:r>
    </w:p>
    <w:p w14:paraId="71843B9F" w14:textId="78F04223" w:rsidR="006E0BD7" w:rsidRDefault="006E0BD7"/>
    <w:p w14:paraId="342630D3" w14:textId="130F0479" w:rsidR="006E0BD7" w:rsidRDefault="00EC670D">
      <w:r>
        <w:t xml:space="preserve">These initial factors represented an estimate of the marginal impact of 50 MW of new baseload </w:t>
      </w:r>
      <w:r w:rsidR="00747AFE">
        <w:t xml:space="preserve">renewable </w:t>
      </w:r>
      <w:r>
        <w:t>plant on the operation of, and hence emissions from, existing thermal power stations.  This original emission factor was based on the analysis of physical emission</w:t>
      </w:r>
      <w:r w:rsidR="003E40D9">
        <w:t xml:space="preserve"> reductions and was </w:t>
      </w:r>
      <w:r w:rsidR="00747AFE">
        <w:t>neither</w:t>
      </w:r>
      <w:r w:rsidR="003E40D9">
        <w:t xml:space="preserve"> explicitly related to</w:t>
      </w:r>
      <w:r w:rsidR="00747AFE">
        <w:t>,</w:t>
      </w:r>
      <w:r w:rsidR="003E40D9">
        <w:t xml:space="preserve"> </w:t>
      </w:r>
      <w:r w:rsidR="00747AFE">
        <w:t>n</w:t>
      </w:r>
      <w:r w:rsidR="003E40D9">
        <w:t>or driven by expectations of price changes caused by a charge on carbon.</w:t>
      </w:r>
    </w:p>
    <w:p w14:paraId="084A93AF" w14:textId="301056AC" w:rsidR="00EC670D" w:rsidRDefault="00EC670D"/>
    <w:p w14:paraId="7DD9E3DD" w14:textId="695222FE" w:rsidR="00EC670D" w:rsidRDefault="003E40D9">
      <w:r>
        <w:t>Nevertheless, the figure of approximately 0.625 tCO</w:t>
      </w:r>
      <w:r w:rsidRPr="003E40D9">
        <w:rPr>
          <w:vertAlign w:val="subscript"/>
        </w:rPr>
        <w:t>2</w:t>
      </w:r>
      <w:r>
        <w:t xml:space="preserve"> per MWh was assumed by some to be the EAF that would apply to </w:t>
      </w:r>
      <w:r w:rsidR="00490125">
        <w:t>the allocation of NZUs to EITEs</w:t>
      </w:r>
      <w:r w:rsidR="00490125">
        <w:rPr>
          <w:rStyle w:val="FootnoteReference"/>
        </w:rPr>
        <w:footnoteReference w:id="3"/>
      </w:r>
      <w:r w:rsidR="00490125">
        <w:t xml:space="preserve">.  But in December 2007 the Stationary Energy and Industrial Processes Technical Advisory Group (SEIP TAG) was set up to examine the issue of how to estimate the </w:t>
      </w:r>
      <w:r w:rsidR="00490125" w:rsidRPr="00490125">
        <w:t>expected increase in electricity price result</w:t>
      </w:r>
      <w:r w:rsidR="00490125">
        <w:t xml:space="preserve">ing from </w:t>
      </w:r>
      <w:r w:rsidR="00490125" w:rsidRPr="00490125">
        <w:t>the introduction of the ETS</w:t>
      </w:r>
      <w:r w:rsidR="00490125">
        <w:t xml:space="preserve"> in 2010. The SEIP TAG engaged </w:t>
      </w:r>
      <w:r w:rsidR="00503496">
        <w:t xml:space="preserve">Energy Modelling Consultants Ltd </w:t>
      </w:r>
      <w:sdt>
        <w:sdtPr>
          <w:id w:val="-780417194"/>
          <w:citation/>
        </w:sdtPr>
        <w:sdtEndPr/>
        <w:sdtContent>
          <w:r w:rsidR="00747AFE">
            <w:fldChar w:fldCharType="begin"/>
          </w:r>
          <w:r w:rsidR="00747AFE">
            <w:rPr>
              <w:lang w:val="en-US"/>
            </w:rPr>
            <w:instrText xml:space="preserve"> CITATION Ene08 \l 1033 </w:instrText>
          </w:r>
          <w:r w:rsidR="00747AFE">
            <w:fldChar w:fldCharType="separate"/>
          </w:r>
          <w:r w:rsidR="00CF7917" w:rsidRPr="00CF7917">
            <w:rPr>
              <w:noProof/>
              <w:lang w:val="en-US"/>
            </w:rPr>
            <w:t>(Energy Modelling Consultants, 2008)</w:t>
          </w:r>
          <w:r w:rsidR="00747AFE">
            <w:fldChar w:fldCharType="end"/>
          </w:r>
        </w:sdtContent>
      </w:sdt>
      <w:r w:rsidR="00747AFE">
        <w:t xml:space="preserve"> </w:t>
      </w:r>
      <w:r w:rsidR="00503496">
        <w:t xml:space="preserve">in the second half of 2008, who defined the EAF as </w:t>
      </w:r>
    </w:p>
    <w:p w14:paraId="68FB847D" w14:textId="3738A77F" w:rsidR="00503496" w:rsidRDefault="00503496"/>
    <w:p w14:paraId="073C8426" w14:textId="63BA58D1" w:rsidR="00503496" w:rsidRPr="00B7311E" w:rsidRDefault="00503496" w:rsidP="00503496">
      <w:pPr>
        <w:tabs>
          <w:tab w:val="right" w:pos="8505"/>
        </w:tabs>
      </w:pPr>
      <m:oMath>
        <m:r>
          <w:rPr>
            <w:rFonts w:ascii="Cambria Math" w:hAnsi="Cambria Math"/>
            <w:sz w:val="28"/>
            <w:szCs w:val="28"/>
          </w:rPr>
          <m:t>EAF=</m:t>
        </m:r>
        <m:f>
          <m:fPr>
            <m:ctrlPr>
              <w:rPr>
                <w:rFonts w:ascii="Cambria Math" w:hAnsi="Cambria Math"/>
                <w:i/>
                <w:sz w:val="28"/>
                <w:szCs w:val="28"/>
              </w:rPr>
            </m:ctrlPr>
          </m:fPr>
          <m:num>
            <m:r>
              <w:rPr>
                <w:rFonts w:ascii="Cambria Math" w:hAnsi="Cambria Math"/>
                <w:sz w:val="28"/>
                <w:szCs w:val="28"/>
              </w:rPr>
              <m:t>SRMC with carbon cost- SRMC without carbon cost</m:t>
            </m:r>
          </m:num>
          <m:den>
            <m:r>
              <w:rPr>
                <w:rFonts w:ascii="Cambria Math" w:hAnsi="Cambria Math"/>
                <w:sz w:val="28"/>
                <w:szCs w:val="28"/>
              </w:rPr>
              <m:t>Carbon cost</m:t>
            </m:r>
          </m:den>
        </m:f>
      </m:oMath>
      <w:r>
        <w:rPr>
          <w:sz w:val="16"/>
          <w:szCs w:val="16"/>
        </w:rPr>
        <w:tab/>
      </w:r>
      <w:r w:rsidRPr="00B7311E">
        <w:t>(</w:t>
      </w:r>
      <w:r w:rsidR="00FE79AE">
        <w:t>1</w:t>
      </w:r>
      <w:r w:rsidRPr="00B7311E">
        <w:t>)</w:t>
      </w:r>
    </w:p>
    <w:p w14:paraId="137E7EF8" w14:textId="37A64B1F" w:rsidR="00503496" w:rsidRDefault="00503496" w:rsidP="00503496">
      <w:pPr>
        <w:tabs>
          <w:tab w:val="right" w:pos="8505"/>
        </w:tabs>
      </w:pPr>
    </w:p>
    <w:p w14:paraId="0C667760" w14:textId="77777777" w:rsidR="005257F3" w:rsidRDefault="005257F3"/>
    <w:p w14:paraId="72FCACB0" w14:textId="6868C548" w:rsidR="001C56B7" w:rsidRDefault="001C56B7">
      <w:r>
        <w:t xml:space="preserve">where the SRMC is the average SRMC </w:t>
      </w:r>
      <w:r w:rsidR="00DD5586">
        <w:t xml:space="preserve">of all generation </w:t>
      </w:r>
      <w:r>
        <w:t xml:space="preserve">over the period considered.  EAFs were calculated for all years from </w:t>
      </w:r>
      <w:r w:rsidR="00CC538A">
        <w:t xml:space="preserve">2010 to 2032 and in each case the </w:t>
      </w:r>
      <w:r w:rsidR="00747AFE">
        <w:t xml:space="preserve">factual and counterfactual </w:t>
      </w:r>
      <w:r w:rsidR="00CC538A">
        <w:t>scenarios modelled were the same, except that one included carbon costs and one did not.  The SEIP TAG process eventually resulted in an EAF of 0.52</w:t>
      </w:r>
      <w:r w:rsidR="00747AFE">
        <w:t> </w:t>
      </w:r>
      <w:r w:rsidR="00CC538A">
        <w:t>tCO</w:t>
      </w:r>
      <w:r w:rsidR="00CC538A" w:rsidRPr="00CC538A">
        <w:rPr>
          <w:vertAlign w:val="subscript"/>
        </w:rPr>
        <w:t>2</w:t>
      </w:r>
      <w:r w:rsidR="00CC538A">
        <w:t>/MWh.</w:t>
      </w:r>
    </w:p>
    <w:p w14:paraId="15ED273C" w14:textId="6CC43725" w:rsidR="00747AFE" w:rsidRDefault="00747AFE"/>
    <w:p w14:paraId="7AC4356A" w14:textId="69763426" w:rsidR="00747AFE" w:rsidRDefault="00747AFE" w:rsidP="00747AFE">
      <w:r>
        <w:t>The EAF thus calculated, expresses the amount by which electricity prices change with the carbon price, and has underlying units of $/MWh per $/tCO</w:t>
      </w:r>
      <w:r w:rsidRPr="00A23F25">
        <w:rPr>
          <w:vertAlign w:val="subscript"/>
        </w:rPr>
        <w:t>2</w:t>
      </w:r>
      <w:r w:rsidR="00DD5586">
        <w:rPr>
          <w:rStyle w:val="FootnoteReference"/>
        </w:rPr>
        <w:footnoteReference w:id="4"/>
      </w:r>
      <w:r>
        <w:t xml:space="preserve"> although these are </w:t>
      </w:r>
      <w:r>
        <w:lastRenderedPageBreak/>
        <w:t xml:space="preserve">usually shortened to </w:t>
      </w:r>
      <w:r w:rsidRPr="00CC6A96">
        <w:t>tCO</w:t>
      </w:r>
      <w:r w:rsidRPr="001311D9">
        <w:rPr>
          <w:vertAlign w:val="subscript"/>
        </w:rPr>
        <w:t>2</w:t>
      </w:r>
      <w:r>
        <w:t xml:space="preserve">/MWh.  </w:t>
      </w:r>
      <w:r w:rsidR="00826D56">
        <w:t xml:space="preserve">The use of these </w:t>
      </w:r>
      <w:r w:rsidR="00AD75BD">
        <w:t xml:space="preserve">later </w:t>
      </w:r>
      <w:r w:rsidR="00826D56">
        <w:t>units can create the perception that the EAF is a measure of physical emissions, however this i</w:t>
      </w:r>
      <w:r w:rsidR="00E43EEF">
        <w:t>s not</w:t>
      </w:r>
      <w:r w:rsidR="00826D56">
        <w:t xml:space="preserve"> the case</w:t>
      </w:r>
      <w:r>
        <w:t>.</w:t>
      </w:r>
    </w:p>
    <w:p w14:paraId="74CBE7C1" w14:textId="77777777" w:rsidR="001C56B7" w:rsidRDefault="001C56B7"/>
    <w:p w14:paraId="2921C555" w14:textId="67D330FF" w:rsidR="00374F09" w:rsidRDefault="00E43EEF">
      <w:r>
        <w:t>In</w:t>
      </w:r>
      <w:r w:rsidR="00CC538A">
        <w:t xml:space="preserve"> 2011 C</w:t>
      </w:r>
      <w:r w:rsidR="00AF2DF9">
        <w:t xml:space="preserve">oncept Consulting </w:t>
      </w:r>
      <w:sdt>
        <w:sdtPr>
          <w:rPr>
            <w:noProof/>
          </w:rPr>
          <w:id w:val="2054115607"/>
          <w:citation/>
        </w:sdtPr>
        <w:sdtEndPr/>
        <w:sdtContent>
          <w:r w:rsidR="00E14EEB">
            <w:rPr>
              <w:noProof/>
            </w:rPr>
            <w:fldChar w:fldCharType="begin"/>
          </w:r>
          <w:r w:rsidR="006E0BD7">
            <w:rPr>
              <w:noProof/>
            </w:rPr>
            <w:instrText xml:space="preserve">CITATION Coa11 \l 5129 </w:instrText>
          </w:r>
          <w:r w:rsidR="00E14EEB">
            <w:rPr>
              <w:noProof/>
            </w:rPr>
            <w:fldChar w:fldCharType="separate"/>
          </w:r>
          <w:r w:rsidR="00CF7917">
            <w:rPr>
              <w:noProof/>
            </w:rPr>
            <w:t>(Concept Consulting, 2011)</w:t>
          </w:r>
          <w:r w:rsidR="00E14EEB">
            <w:rPr>
              <w:noProof/>
            </w:rPr>
            <w:fldChar w:fldCharType="end"/>
          </w:r>
        </w:sdtContent>
      </w:sdt>
      <w:r w:rsidR="00E14EEB">
        <w:rPr>
          <w:noProof/>
        </w:rPr>
        <w:t xml:space="preserve"> </w:t>
      </w:r>
      <w:r w:rsidR="00CC538A">
        <w:rPr>
          <w:noProof/>
        </w:rPr>
        <w:t>recommended the EAF be calculated using the following formula</w:t>
      </w:r>
      <w:r w:rsidR="00AF2DF9">
        <w:t>:</w:t>
      </w:r>
    </w:p>
    <w:p w14:paraId="597F483F" w14:textId="605B64FB" w:rsidR="00AF2DF9" w:rsidRDefault="00AF2DF9"/>
    <w:p w14:paraId="2D3DC93A" w14:textId="1293D438" w:rsidR="00AF2DF9" w:rsidRPr="00B7311E" w:rsidRDefault="00AF2DF9" w:rsidP="00B7311E">
      <w:pPr>
        <w:tabs>
          <w:tab w:val="right" w:pos="8505"/>
        </w:tabs>
      </w:pPr>
      <m:oMath>
        <m:r>
          <w:rPr>
            <w:rFonts w:ascii="Cambria Math" w:hAnsi="Cambria Math"/>
            <w:sz w:val="20"/>
            <w:szCs w:val="20"/>
          </w:rPr>
          <m:t>EAF=</m:t>
        </m:r>
        <m:f>
          <m:fPr>
            <m:ctrlPr>
              <w:rPr>
                <w:rFonts w:ascii="Cambria Math" w:hAnsi="Cambria Math"/>
                <w:i/>
                <w:sz w:val="20"/>
                <w:szCs w:val="20"/>
              </w:rPr>
            </m:ctrlPr>
          </m:fPr>
          <m:num>
            <m:r>
              <w:rPr>
                <w:rFonts w:ascii="Cambria Math" w:hAnsi="Cambria Math"/>
                <w:sz w:val="20"/>
                <w:szCs w:val="20"/>
              </w:rPr>
              <m:t>Electricity purchase cost with carbon charge-Electricity purchase cost without carbon charge</m:t>
            </m:r>
          </m:num>
          <m:den>
            <m:r>
              <w:rPr>
                <w:rFonts w:ascii="Cambria Math" w:hAnsi="Cambria Math"/>
                <w:sz w:val="20"/>
                <w:szCs w:val="20"/>
              </w:rPr>
              <m:t>Carbon charge</m:t>
            </m:r>
          </m:den>
        </m:f>
      </m:oMath>
      <w:r w:rsidR="00B7311E">
        <w:rPr>
          <w:sz w:val="16"/>
          <w:szCs w:val="16"/>
        </w:rPr>
        <w:tab/>
      </w:r>
      <w:r w:rsidR="00B7311E" w:rsidRPr="00B7311E">
        <w:t>(</w:t>
      </w:r>
      <w:r w:rsidR="00FE79AE">
        <w:t>2</w:t>
      </w:r>
      <w:r w:rsidR="00B7311E" w:rsidRPr="00B7311E">
        <w:t>)</w:t>
      </w:r>
    </w:p>
    <w:p w14:paraId="5DFD5E26" w14:textId="77777777" w:rsidR="00AF2DF9" w:rsidRDefault="00AF2DF9" w:rsidP="00AF2DF9"/>
    <w:p w14:paraId="636E08E8" w14:textId="32760F90" w:rsidR="00417177" w:rsidRDefault="00B7311E">
      <w:r>
        <w:t>w</w:t>
      </w:r>
      <w:r w:rsidR="00AF2DF9">
        <w:t>here</w:t>
      </w:r>
      <w:r>
        <w:t xml:space="preserve"> </w:t>
      </w:r>
      <w:r w:rsidR="00AF2DF9">
        <w:t>the purchase costs of electricity are in $/MWh</w:t>
      </w:r>
      <w:r w:rsidR="00747AFE">
        <w:t>,</w:t>
      </w:r>
      <w:r>
        <w:t xml:space="preserve"> </w:t>
      </w:r>
      <w:r w:rsidR="00AF2DF9">
        <w:t>the carbon charge is specified in $/t</w:t>
      </w:r>
      <w:r>
        <w:t>CO</w:t>
      </w:r>
      <w:r w:rsidRPr="00B7311E">
        <w:rPr>
          <w:vertAlign w:val="subscript"/>
        </w:rPr>
        <w:t>2</w:t>
      </w:r>
      <w:r w:rsidR="00CC538A">
        <w:t xml:space="preserve">, and the </w:t>
      </w:r>
      <w:r w:rsidR="00747AFE">
        <w:t>“</w:t>
      </w:r>
      <w:r w:rsidR="00CC538A">
        <w:t>without carbon charge</w:t>
      </w:r>
      <w:r w:rsidR="00747AFE">
        <w:t>”</w:t>
      </w:r>
      <w:r w:rsidR="00CC538A">
        <w:t xml:space="preserve"> is </w:t>
      </w:r>
      <w:r w:rsidR="00747AFE">
        <w:t xml:space="preserve">from </w:t>
      </w:r>
      <w:r w:rsidR="00CC538A">
        <w:t xml:space="preserve">a counterfactual world which </w:t>
      </w:r>
      <w:r w:rsidR="00747AFE">
        <w:t>“</w:t>
      </w:r>
      <w:r w:rsidR="00417177" w:rsidRPr="001311D9">
        <w:t>turns the clock-back</w:t>
      </w:r>
      <w:r w:rsidR="00747AFE">
        <w:t>”</w:t>
      </w:r>
      <w:r w:rsidR="00417177" w:rsidRPr="001311D9">
        <w:t xml:space="preserve"> and projects a schedule of generation build and retirement from before 2010 (the date of introduction of the ETS) for a world where there has </w:t>
      </w:r>
      <w:r w:rsidR="00747AFE">
        <w:t>“</w:t>
      </w:r>
      <w:r w:rsidR="00417177" w:rsidRPr="001311D9">
        <w:t>never been a cost of CO</w:t>
      </w:r>
      <w:r w:rsidR="00417177" w:rsidRPr="001311D9">
        <w:rPr>
          <w:vertAlign w:val="subscript"/>
        </w:rPr>
        <w:t>2</w:t>
      </w:r>
      <w:r w:rsidR="00417177" w:rsidRPr="001311D9">
        <w:t>, and no expectation of such a cost</w:t>
      </w:r>
      <w:r w:rsidR="00417177" w:rsidRPr="00417177">
        <w:t>.</w:t>
      </w:r>
      <w:r w:rsidR="00417177">
        <w:t>”</w:t>
      </w:r>
    </w:p>
    <w:p w14:paraId="560F178A" w14:textId="77777777" w:rsidR="00417177" w:rsidRDefault="00417177"/>
    <w:p w14:paraId="48568B04" w14:textId="63B1A222" w:rsidR="007D4161" w:rsidRDefault="00FE58A0">
      <w:r>
        <w:t>The approach recommended by Concept Consulting, and adopted by the 2011 contact group</w:t>
      </w:r>
      <w:r w:rsidR="00747AFE">
        <w:t xml:space="preserve"> set up to provide technical input into the process</w:t>
      </w:r>
      <w:r>
        <w:t>, was to model the period of interest (2012 – 2017) and beyond</w:t>
      </w:r>
      <w:r w:rsidR="00747AFE">
        <w:t>,</w:t>
      </w:r>
      <w:r>
        <w:t xml:space="preserve"> both with and without a carbon charge, with </w:t>
      </w:r>
      <w:r w:rsidR="008856F4">
        <w:t xml:space="preserve">electricity </w:t>
      </w:r>
      <w:r>
        <w:t>prices being the key out</w:t>
      </w:r>
      <w:r w:rsidR="00747AFE">
        <w:t>put</w:t>
      </w:r>
      <w:r>
        <w:t xml:space="preserve"> of the modelling. </w:t>
      </w:r>
    </w:p>
    <w:p w14:paraId="51E44CD5" w14:textId="77777777" w:rsidR="007D4161" w:rsidRDefault="007D4161"/>
    <w:p w14:paraId="4E148EAE" w14:textId="0743C64B" w:rsidR="00A94FE1" w:rsidRDefault="00747AFE">
      <w:r>
        <w:t>T</w:t>
      </w:r>
      <w:r w:rsidR="00A94FE1">
        <w:t xml:space="preserve">he interpretation </w:t>
      </w:r>
      <w:r w:rsidR="007D4161">
        <w:t xml:space="preserve">given </w:t>
      </w:r>
      <w:r w:rsidR="00A94FE1">
        <w:t>by Concept Consulting</w:t>
      </w:r>
      <w:r>
        <w:t xml:space="preserve"> requires the</w:t>
      </w:r>
      <w:r w:rsidR="00A94FE1">
        <w:t xml:space="preserve"> model</w:t>
      </w:r>
      <w:r>
        <w:t>ling of</w:t>
      </w:r>
      <w:r w:rsidR="00A94FE1">
        <w:t xml:space="preserve"> two separate worlds, one with </w:t>
      </w:r>
      <w:r w:rsidR="009F7FB3">
        <w:t xml:space="preserve">a </w:t>
      </w:r>
      <w:r>
        <w:t xml:space="preserve">carbon charge (factual) </w:t>
      </w:r>
      <w:r w:rsidR="00A94FE1">
        <w:t>and one without a carbon charge</w:t>
      </w:r>
      <w:r>
        <w:t xml:space="preserve"> (counterfactual),</w:t>
      </w:r>
      <w:r w:rsidR="007D6B3A">
        <w:t xml:space="preserve"> and </w:t>
      </w:r>
      <w:r>
        <w:t xml:space="preserve">in the latter case, there being </w:t>
      </w:r>
      <w:r w:rsidR="007D6B3A">
        <w:t>no expectation of a carbon charge</w:t>
      </w:r>
      <w:r w:rsidR="00A94FE1">
        <w:t>:  these two worlds potentially develop in quite different ways.</w:t>
      </w:r>
    </w:p>
    <w:p w14:paraId="5A2DB378" w14:textId="264AE44D" w:rsidR="00D6401A" w:rsidRDefault="00D6401A"/>
    <w:p w14:paraId="2225326B" w14:textId="05E2C575" w:rsidR="00D6401A" w:rsidRDefault="007D4161">
      <w:r>
        <w:t>But</w:t>
      </w:r>
      <w:r w:rsidR="002E07F0">
        <w:t xml:space="preserve"> t</w:t>
      </w:r>
      <w:r w:rsidR="00D6401A">
        <w:t>he phrase “no expectation of a carbon charge” could be interpreted in two different ways:</w:t>
      </w:r>
    </w:p>
    <w:p w14:paraId="3B833574" w14:textId="1B2ABE1A" w:rsidR="00D6401A" w:rsidRDefault="00D6401A" w:rsidP="00D6401A">
      <w:pPr>
        <w:pStyle w:val="ListParagraph"/>
        <w:numPr>
          <w:ilvl w:val="0"/>
          <w:numId w:val="27"/>
        </w:numPr>
        <w:spacing w:before="60"/>
        <w:ind w:left="567" w:hanging="567"/>
      </w:pPr>
      <w:r>
        <w:t xml:space="preserve">there is no </w:t>
      </w:r>
      <w:r w:rsidR="00930A66">
        <w:t>climate change and hence there are neither carbon-reduction policies nor shadow price</w:t>
      </w:r>
      <w:r w:rsidR="00D8705F">
        <w:t>(</w:t>
      </w:r>
      <w:r w:rsidR="00930A66">
        <w:t>s</w:t>
      </w:r>
      <w:r w:rsidR="00D8705F">
        <w:t>)</w:t>
      </w:r>
      <w:r w:rsidR="002E07F0">
        <w:rPr>
          <w:rStyle w:val="FootnoteReference"/>
        </w:rPr>
        <w:footnoteReference w:id="5"/>
      </w:r>
      <w:r w:rsidR="00930A66">
        <w:t xml:space="preserve"> of carbon; or</w:t>
      </w:r>
    </w:p>
    <w:p w14:paraId="015F10BA" w14:textId="53B71330" w:rsidR="00930A66" w:rsidRDefault="00930A66" w:rsidP="00D6401A">
      <w:pPr>
        <w:pStyle w:val="ListParagraph"/>
        <w:numPr>
          <w:ilvl w:val="0"/>
          <w:numId w:val="27"/>
        </w:numPr>
        <w:spacing w:before="60"/>
        <w:ind w:left="567" w:hanging="567"/>
      </w:pPr>
      <w:r>
        <w:t xml:space="preserve">there is climate change, and potentially </w:t>
      </w:r>
      <w:r w:rsidR="00D8705F">
        <w:t xml:space="preserve">domestic </w:t>
      </w:r>
      <w:r>
        <w:t>carbon-reduction policies, but there is no explicit carbon charge and never will be.</w:t>
      </w:r>
    </w:p>
    <w:p w14:paraId="71D4D335" w14:textId="1DDF346A" w:rsidR="00DD6D24" w:rsidRDefault="00DD6D24"/>
    <w:p w14:paraId="16EA92CA" w14:textId="0B1D42D6" w:rsidR="00930A66" w:rsidRDefault="00930A66">
      <w:r>
        <w:t>Interpretation 1 above is very restrictive, and could potentially require the modelling to use higher costs for new renewable plant than ha</w:t>
      </w:r>
      <w:r w:rsidR="00BB74EC">
        <w:t>s</w:t>
      </w:r>
      <w:r>
        <w:t xml:space="preserve"> actually occurred, on the assumption that in a world without climate change there would be </w:t>
      </w:r>
      <w:r w:rsidR="00BB74EC">
        <w:t>much less investment in renewable technology development and that it would remain relatively expensive</w:t>
      </w:r>
      <w:r w:rsidR="007D4161">
        <w:t xml:space="preserve"> compared to fossil-</w:t>
      </w:r>
      <w:r w:rsidR="00A5360B">
        <w:t>fuelled</w:t>
      </w:r>
      <w:r w:rsidR="007D4161">
        <w:t xml:space="preserve"> thermal plant</w:t>
      </w:r>
      <w:r>
        <w:t>.</w:t>
      </w:r>
    </w:p>
    <w:p w14:paraId="52052FD2" w14:textId="2C086188" w:rsidR="00BB74EC" w:rsidRDefault="00BB74EC"/>
    <w:p w14:paraId="58927ADE" w14:textId="59E65BC7" w:rsidR="00BB74EC" w:rsidRDefault="00BB74EC">
      <w:r>
        <w:t xml:space="preserve">Interpretation 2 seems more relevant to the EAF: where </w:t>
      </w:r>
      <w:r w:rsidR="00CE1435">
        <w:t xml:space="preserve">we </w:t>
      </w:r>
      <w:r>
        <w:t xml:space="preserve">live in a world </w:t>
      </w:r>
      <w:r w:rsidR="00CE1435">
        <w:t>where climate change is happening, and there is huge investment in renewables offshore because of demand induced by climate change, thus brin</w:t>
      </w:r>
      <w:r w:rsidR="0024454A">
        <w:t>g</w:t>
      </w:r>
      <w:r w:rsidR="00CE1435">
        <w:t xml:space="preserve">ing the cost of renewables down, and where there may be domestic </w:t>
      </w:r>
      <w:r>
        <w:t>carbon-reduction policies</w:t>
      </w:r>
      <w:r w:rsidR="009C1275">
        <w:t xml:space="preserve">; </w:t>
      </w:r>
      <w:r w:rsidR="0024454A">
        <w:t xml:space="preserve">but </w:t>
      </w:r>
      <w:r w:rsidR="00CE1435">
        <w:t xml:space="preserve">not an </w:t>
      </w:r>
      <w:r w:rsidR="00030BA1">
        <w:t>ETS</w:t>
      </w:r>
      <w:r>
        <w:t>.</w:t>
      </w:r>
    </w:p>
    <w:p w14:paraId="05AB3C33" w14:textId="0A648B97" w:rsidR="00BB0196" w:rsidRDefault="00BB0196" w:rsidP="005D0280">
      <w:pPr>
        <w:pStyle w:val="Heading1"/>
      </w:pPr>
      <w:bookmarkStart w:id="9" w:name="_Ref41731760"/>
      <w:bookmarkStart w:id="10" w:name="_Toc46156011"/>
      <w:r>
        <w:t>Methodolog</w:t>
      </w:r>
      <w:r w:rsidR="000145C7">
        <w:t>ies</w:t>
      </w:r>
      <w:bookmarkEnd w:id="9"/>
      <w:bookmarkEnd w:id="10"/>
    </w:p>
    <w:p w14:paraId="4E4BC6AB" w14:textId="3A027698" w:rsidR="007354F9" w:rsidRDefault="007354F9" w:rsidP="007354F9">
      <w:r>
        <w:t>This section briefly reviews the methodologies trialled or used over the years back to 2003, and lists their respective pros and cons.</w:t>
      </w:r>
    </w:p>
    <w:p w14:paraId="53525417" w14:textId="77777777" w:rsidR="007354F9" w:rsidRPr="007354F9" w:rsidRDefault="007354F9" w:rsidP="007354F9"/>
    <w:p w14:paraId="06561F70" w14:textId="5A0C9B28" w:rsidR="000145C7" w:rsidRDefault="00FE79AE" w:rsidP="000145C7">
      <w:r>
        <w:fldChar w:fldCharType="begin"/>
      </w:r>
      <w:r>
        <w:instrText xml:space="preserve"> REF _Ref41718350 \h </w:instrText>
      </w:r>
      <w:r>
        <w:fldChar w:fldCharType="separate"/>
      </w:r>
      <w:r w:rsidR="00CF7917">
        <w:t xml:space="preserve">Table </w:t>
      </w:r>
      <w:r w:rsidR="00CF7917">
        <w:rPr>
          <w:noProof/>
        </w:rPr>
        <w:t>1</w:t>
      </w:r>
      <w:r>
        <w:fldChar w:fldCharType="end"/>
      </w:r>
      <w:r>
        <w:t xml:space="preserve"> below summarises the methodologies that have so far either been trialled or adopted at various times.  The fields indicate the following:</w:t>
      </w:r>
    </w:p>
    <w:p w14:paraId="5404607B" w14:textId="190440C0" w:rsidR="00FE79AE" w:rsidRDefault="00FE79AE" w:rsidP="00FE79AE">
      <w:pPr>
        <w:pStyle w:val="ListParagraph"/>
        <w:numPr>
          <w:ilvl w:val="0"/>
          <w:numId w:val="33"/>
        </w:numPr>
        <w:spacing w:before="60"/>
        <w:ind w:left="567" w:hanging="567"/>
      </w:pPr>
      <w:r>
        <w:t xml:space="preserve">Methodology:  a short name for the </w:t>
      </w:r>
      <w:r w:rsidR="00A5360B">
        <w:t xml:space="preserve">particular </w:t>
      </w:r>
      <w:r>
        <w:t>methodology</w:t>
      </w:r>
      <w:r w:rsidR="00A5360B">
        <w:t xml:space="preserve"> being referenced</w:t>
      </w:r>
      <w:r>
        <w:t>;</w:t>
      </w:r>
    </w:p>
    <w:p w14:paraId="37904017" w14:textId="2E3D46E1" w:rsidR="00FE79AE" w:rsidRDefault="00FE79AE" w:rsidP="00FE79AE">
      <w:pPr>
        <w:pStyle w:val="ListParagraph"/>
        <w:numPr>
          <w:ilvl w:val="0"/>
          <w:numId w:val="33"/>
        </w:numPr>
        <w:spacing w:before="60"/>
        <w:ind w:left="567" w:hanging="567"/>
      </w:pPr>
      <w:r>
        <w:t>Year:  the first year the methodology was trialled or adopted;</w:t>
      </w:r>
    </w:p>
    <w:p w14:paraId="7FD4F60F" w14:textId="1D41CBF6" w:rsidR="00FE79AE" w:rsidRDefault="00FE79AE" w:rsidP="00FE79AE">
      <w:pPr>
        <w:pStyle w:val="ListParagraph"/>
        <w:numPr>
          <w:ilvl w:val="0"/>
          <w:numId w:val="33"/>
        </w:numPr>
        <w:spacing w:before="60"/>
        <w:ind w:left="567" w:hanging="567"/>
      </w:pPr>
      <w:r>
        <w:t xml:space="preserve">Status: this </w:t>
      </w:r>
      <w:r w:rsidR="00BD6417">
        <w:t>has</w:t>
      </w:r>
      <w:r>
        <w:t xml:space="preserve"> two parts</w:t>
      </w:r>
      <w:r w:rsidR="00BD6417">
        <w:t>;</w:t>
      </w:r>
      <w:r>
        <w:t xml:space="preserve"> whether the methodology was adopted or only trialled, and whether the methodology is consistent with the current definition of the EAF given </w:t>
      </w:r>
      <w:r w:rsidR="00BD6417">
        <w:t>by</w:t>
      </w:r>
      <w:r>
        <w:t xml:space="preserve"> formula (2) in section </w:t>
      </w:r>
      <w:r>
        <w:fldChar w:fldCharType="begin"/>
      </w:r>
      <w:r>
        <w:instrText xml:space="preserve"> REF _Ref11417753 \r \h </w:instrText>
      </w:r>
      <w:r>
        <w:fldChar w:fldCharType="separate"/>
      </w:r>
      <w:r w:rsidR="00CF7917">
        <w:t>3.1</w:t>
      </w:r>
      <w:r>
        <w:fldChar w:fldCharType="end"/>
      </w:r>
      <w:r>
        <w:t xml:space="preserve"> </w:t>
      </w:r>
      <w:r>
        <w:fldChar w:fldCharType="begin"/>
      </w:r>
      <w:r>
        <w:instrText xml:space="preserve"> REF _Ref11417753 \p \h </w:instrText>
      </w:r>
      <w:r>
        <w:fldChar w:fldCharType="separate"/>
      </w:r>
      <w:r w:rsidR="00CF7917">
        <w:t>above</w:t>
      </w:r>
      <w:r>
        <w:fldChar w:fldCharType="end"/>
      </w:r>
      <w:r>
        <w:t>;</w:t>
      </w:r>
    </w:p>
    <w:p w14:paraId="30403C7D" w14:textId="4A89A89A" w:rsidR="00FE79AE" w:rsidRDefault="00FE79AE" w:rsidP="00FE79AE">
      <w:pPr>
        <w:pStyle w:val="ListParagraph"/>
        <w:numPr>
          <w:ilvl w:val="0"/>
          <w:numId w:val="33"/>
        </w:numPr>
        <w:spacing w:before="60"/>
        <w:ind w:left="567" w:hanging="567"/>
      </w:pPr>
      <w:r>
        <w:t>Time Domain: indicates whether the methodology calculates an EAF using forecasts (forward-looking) or analysis of actual market data (backward-looking);</w:t>
      </w:r>
    </w:p>
    <w:p w14:paraId="53BB1400" w14:textId="1B1E5FA2" w:rsidR="00FE79AE" w:rsidRDefault="00FE79AE" w:rsidP="00FE79AE">
      <w:pPr>
        <w:pStyle w:val="ListParagraph"/>
        <w:numPr>
          <w:ilvl w:val="0"/>
          <w:numId w:val="33"/>
        </w:numPr>
        <w:spacing w:before="60"/>
        <w:ind w:left="567" w:hanging="567"/>
      </w:pPr>
      <w:r>
        <w:t xml:space="preserve">Factual: </w:t>
      </w:r>
      <w:r w:rsidR="001F01A9">
        <w:t>the scenario which produces costs with a charge on carbon;</w:t>
      </w:r>
    </w:p>
    <w:p w14:paraId="5AF5FF72" w14:textId="7224A25B" w:rsidR="00FE79AE" w:rsidRDefault="00FE79AE" w:rsidP="00FE79AE">
      <w:pPr>
        <w:pStyle w:val="ListParagraph"/>
        <w:numPr>
          <w:ilvl w:val="0"/>
          <w:numId w:val="33"/>
        </w:numPr>
        <w:spacing w:before="60"/>
        <w:ind w:left="567" w:hanging="567"/>
      </w:pPr>
      <w:r>
        <w:t>Counterfactual:</w:t>
      </w:r>
      <w:r w:rsidR="001F01A9">
        <w:t xml:space="preserve">  the scenario which produces costs without a charge on carbon</w:t>
      </w:r>
    </w:p>
    <w:p w14:paraId="5C411C28" w14:textId="690AA9BA" w:rsidR="00FE79AE" w:rsidRDefault="00FE79AE" w:rsidP="00FE79AE">
      <w:pPr>
        <w:pStyle w:val="ListParagraph"/>
        <w:numPr>
          <w:ilvl w:val="0"/>
          <w:numId w:val="33"/>
        </w:numPr>
        <w:spacing w:before="60"/>
        <w:ind w:left="567" w:hanging="567"/>
      </w:pPr>
      <w:r>
        <w:t>Cost Type:</w:t>
      </w:r>
      <w:r w:rsidR="001F01A9">
        <w:t xml:space="preserve">  the type of costs used in calculating the EAF, e.g. LRMC, SRMC, market spot prices;</w:t>
      </w:r>
    </w:p>
    <w:p w14:paraId="113C8913" w14:textId="5DD732CF" w:rsidR="00FE79AE" w:rsidRDefault="00FE79AE" w:rsidP="00FE79AE">
      <w:pPr>
        <w:pStyle w:val="ListParagraph"/>
        <w:numPr>
          <w:ilvl w:val="0"/>
          <w:numId w:val="33"/>
        </w:numPr>
        <w:spacing w:before="60"/>
        <w:ind w:left="567" w:hanging="567"/>
      </w:pPr>
      <w:r>
        <w:t xml:space="preserve">Comments:  </w:t>
      </w:r>
      <w:r w:rsidR="001F01A9">
        <w:t>additional relevant information.</w:t>
      </w:r>
    </w:p>
    <w:p w14:paraId="23C52810" w14:textId="5D9EA0C3" w:rsidR="00AB2B32" w:rsidRDefault="00AB2B32" w:rsidP="00AB2B32"/>
    <w:p w14:paraId="298A4676" w14:textId="59D704F9" w:rsidR="00AB2B32" w:rsidRDefault="00AB2B32" w:rsidP="00AB2B32">
      <w:r>
        <w:t xml:space="preserve">Forward-looking methodologies produce EAFs that are averaged over many forecast scenarios, including many scenarios for inflows into the hydro lakes, so these EAFs do not relate to any particular year.  Thus, an EITE paying spot prices will receive allocations of NZUs which do not match </w:t>
      </w:r>
      <w:r w:rsidR="00747AFE">
        <w:t xml:space="preserve">the electricity prices in any given </w:t>
      </w:r>
      <w:r>
        <w:t>year, unless a year just happens to be “average” in some sense.</w:t>
      </w:r>
    </w:p>
    <w:p w14:paraId="23EE6C1E" w14:textId="0CB672E0" w:rsidR="00AB2B32" w:rsidRDefault="00AB2B32" w:rsidP="00AB2B32"/>
    <w:p w14:paraId="665D8B7D" w14:textId="7490F121" w:rsidR="00AB2B32" w:rsidRPr="00F02D42" w:rsidRDefault="00AB2B32" w:rsidP="00AB2B32">
      <w:r>
        <w:t>On the other hand, backward-looking methodologies produce an EAF for each year, or period within each year, which match</w:t>
      </w:r>
      <w:r w:rsidR="00826D56">
        <w:t>es</w:t>
      </w:r>
      <w:r>
        <w:t xml:space="preserve"> what happens in each year.  For example, in a wet year with low prices, the EAF will tend to be lower than some average value, and EITEs will receive less NZUs.  In a dry year, the opposite is likely to happen.  On the </w:t>
      </w:r>
      <w:r>
        <w:lastRenderedPageBreak/>
        <w:t xml:space="preserve">other hand, EITEs on </w:t>
      </w:r>
      <w:r w:rsidR="00FE284E">
        <w:t>fixed price variable volume (</w:t>
      </w:r>
      <w:r>
        <w:t>FPVV</w:t>
      </w:r>
      <w:r w:rsidR="00FE284E">
        <w:t>)</w:t>
      </w:r>
      <w:r>
        <w:t xml:space="preserve"> contracts will receive NZU allocations which may appear to bare little relationship to the electricity prices they pay.</w:t>
      </w:r>
    </w:p>
    <w:p w14:paraId="0281F927" w14:textId="7428403B" w:rsidR="000145C7" w:rsidRDefault="00FE79AE" w:rsidP="00FE79AE">
      <w:pPr>
        <w:pStyle w:val="Caption"/>
      </w:pPr>
      <w:bookmarkStart w:id="11" w:name="_Ref41718350"/>
      <w:r>
        <w:t xml:space="preserve">Table </w:t>
      </w:r>
      <w:fldSimple w:instr=" SEQ Table \* ARABIC ">
        <w:r w:rsidR="00CF7917">
          <w:rPr>
            <w:noProof/>
          </w:rPr>
          <w:t>1</w:t>
        </w:r>
      </w:fldSimple>
      <w:bookmarkEnd w:id="11"/>
      <w:r>
        <w:t xml:space="preserve"> – Summary of Methodologies</w:t>
      </w:r>
    </w:p>
    <w:tbl>
      <w:tblPr>
        <w:tblStyle w:val="TableGrid"/>
        <w:tblW w:w="9923" w:type="dxa"/>
        <w:tblInd w:w="-714" w:type="dxa"/>
        <w:tblLook w:val="04A0" w:firstRow="1" w:lastRow="0" w:firstColumn="1" w:lastColumn="0" w:noHBand="0" w:noVBand="1"/>
      </w:tblPr>
      <w:tblGrid>
        <w:gridCol w:w="1251"/>
        <w:gridCol w:w="560"/>
        <w:gridCol w:w="885"/>
        <w:gridCol w:w="900"/>
        <w:gridCol w:w="1014"/>
        <w:gridCol w:w="1530"/>
        <w:gridCol w:w="1083"/>
        <w:gridCol w:w="2700"/>
      </w:tblGrid>
      <w:tr w:rsidR="007354F9" w:rsidRPr="007354F9" w14:paraId="30181E56" w14:textId="77777777" w:rsidTr="00EC6008">
        <w:trPr>
          <w:tblHeader/>
        </w:trPr>
        <w:tc>
          <w:tcPr>
            <w:tcW w:w="1251" w:type="dxa"/>
            <w:shd w:val="clear" w:color="auto" w:fill="595959" w:themeFill="text1" w:themeFillTint="A6"/>
          </w:tcPr>
          <w:p w14:paraId="18ECE065" w14:textId="1B6C1CC0"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Methodology</w:t>
            </w:r>
          </w:p>
        </w:tc>
        <w:tc>
          <w:tcPr>
            <w:tcW w:w="560" w:type="dxa"/>
            <w:shd w:val="clear" w:color="auto" w:fill="595959" w:themeFill="text1" w:themeFillTint="A6"/>
          </w:tcPr>
          <w:p w14:paraId="222A0EB0" w14:textId="5EAC741A"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Year</w:t>
            </w:r>
          </w:p>
        </w:tc>
        <w:tc>
          <w:tcPr>
            <w:tcW w:w="885" w:type="dxa"/>
            <w:shd w:val="clear" w:color="auto" w:fill="595959" w:themeFill="text1" w:themeFillTint="A6"/>
          </w:tcPr>
          <w:p w14:paraId="17FD83C5" w14:textId="5ABE53DE"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Status</w:t>
            </w:r>
          </w:p>
        </w:tc>
        <w:tc>
          <w:tcPr>
            <w:tcW w:w="900" w:type="dxa"/>
            <w:shd w:val="clear" w:color="auto" w:fill="595959" w:themeFill="text1" w:themeFillTint="A6"/>
          </w:tcPr>
          <w:p w14:paraId="52693D96" w14:textId="3666920B"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Time Domain</w:t>
            </w:r>
          </w:p>
        </w:tc>
        <w:tc>
          <w:tcPr>
            <w:tcW w:w="1014" w:type="dxa"/>
            <w:shd w:val="clear" w:color="auto" w:fill="595959" w:themeFill="text1" w:themeFillTint="A6"/>
          </w:tcPr>
          <w:p w14:paraId="3DA4146B" w14:textId="1A089AB8"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Factual</w:t>
            </w:r>
          </w:p>
        </w:tc>
        <w:tc>
          <w:tcPr>
            <w:tcW w:w="1530" w:type="dxa"/>
            <w:shd w:val="clear" w:color="auto" w:fill="595959" w:themeFill="text1" w:themeFillTint="A6"/>
          </w:tcPr>
          <w:p w14:paraId="2A6C747E" w14:textId="54899849"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Counterfactual</w:t>
            </w:r>
          </w:p>
        </w:tc>
        <w:tc>
          <w:tcPr>
            <w:tcW w:w="1083" w:type="dxa"/>
            <w:shd w:val="clear" w:color="auto" w:fill="595959" w:themeFill="text1" w:themeFillTint="A6"/>
          </w:tcPr>
          <w:p w14:paraId="1DBDC6D0" w14:textId="11EE07E8"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Cost Type</w:t>
            </w:r>
          </w:p>
        </w:tc>
        <w:tc>
          <w:tcPr>
            <w:tcW w:w="2700" w:type="dxa"/>
            <w:shd w:val="clear" w:color="auto" w:fill="595959" w:themeFill="text1" w:themeFillTint="A6"/>
          </w:tcPr>
          <w:p w14:paraId="1480E684" w14:textId="0686B313" w:rsidR="00234A97" w:rsidRPr="007354F9" w:rsidRDefault="00234A97" w:rsidP="000145C7">
            <w:pPr>
              <w:rPr>
                <w:rFonts w:asciiTheme="minorHAnsi" w:hAnsiTheme="minorHAnsi" w:cstheme="minorHAnsi"/>
                <w:b/>
                <w:bCs/>
                <w:color w:val="FFFFFF" w:themeColor="background1"/>
                <w:sz w:val="16"/>
                <w:szCs w:val="16"/>
              </w:rPr>
            </w:pPr>
            <w:r w:rsidRPr="007354F9">
              <w:rPr>
                <w:rFonts w:asciiTheme="minorHAnsi" w:hAnsiTheme="minorHAnsi" w:cstheme="minorHAnsi"/>
                <w:b/>
                <w:bCs/>
                <w:color w:val="FFFFFF" w:themeColor="background1"/>
                <w:sz w:val="16"/>
                <w:szCs w:val="16"/>
              </w:rPr>
              <w:t>Comments</w:t>
            </w:r>
          </w:p>
        </w:tc>
      </w:tr>
      <w:tr w:rsidR="007354F9" w:rsidRPr="007354F9" w14:paraId="72FFA8EF" w14:textId="77777777" w:rsidTr="00EC6008">
        <w:tc>
          <w:tcPr>
            <w:tcW w:w="1251" w:type="dxa"/>
          </w:tcPr>
          <w:p w14:paraId="1B785B3A" w14:textId="6E025C63"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Physical emissions</w:t>
            </w:r>
          </w:p>
        </w:tc>
        <w:tc>
          <w:tcPr>
            <w:tcW w:w="560" w:type="dxa"/>
          </w:tcPr>
          <w:p w14:paraId="1716D233" w14:textId="5462B6DB"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2003</w:t>
            </w:r>
          </w:p>
        </w:tc>
        <w:tc>
          <w:tcPr>
            <w:tcW w:w="885" w:type="dxa"/>
          </w:tcPr>
          <w:p w14:paraId="6B0868ED" w14:textId="24B31148"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Adopted</w:t>
            </w:r>
            <w:r w:rsidR="00FE79AE" w:rsidRPr="007354F9">
              <w:rPr>
                <w:rFonts w:asciiTheme="minorHAnsi" w:hAnsiTheme="minorHAnsi" w:cstheme="minorHAnsi"/>
                <w:sz w:val="16"/>
                <w:szCs w:val="16"/>
              </w:rPr>
              <w:t xml:space="preserve"> but no longer used</w:t>
            </w:r>
            <w:r w:rsidR="00F02D42" w:rsidRPr="007354F9">
              <w:rPr>
                <w:rFonts w:asciiTheme="minorHAnsi" w:hAnsiTheme="minorHAnsi" w:cstheme="minorHAnsi"/>
                <w:sz w:val="16"/>
                <w:szCs w:val="16"/>
              </w:rPr>
              <w:t>;</w:t>
            </w:r>
          </w:p>
          <w:p w14:paraId="7B0B42C0" w14:textId="64AD3063" w:rsidR="00F02D42" w:rsidRPr="007354F9" w:rsidRDefault="00F02D42" w:rsidP="000145C7">
            <w:pPr>
              <w:rPr>
                <w:rFonts w:asciiTheme="minorHAnsi" w:hAnsiTheme="minorHAnsi" w:cstheme="minorHAnsi"/>
                <w:sz w:val="16"/>
                <w:szCs w:val="16"/>
              </w:rPr>
            </w:pPr>
            <w:r w:rsidRPr="007354F9">
              <w:rPr>
                <w:rFonts w:asciiTheme="minorHAnsi" w:hAnsiTheme="minorHAnsi" w:cstheme="minorHAnsi"/>
                <w:sz w:val="16"/>
                <w:szCs w:val="16"/>
              </w:rPr>
              <w:t xml:space="preserve">not consistent </w:t>
            </w:r>
          </w:p>
        </w:tc>
        <w:tc>
          <w:tcPr>
            <w:tcW w:w="900" w:type="dxa"/>
          </w:tcPr>
          <w:p w14:paraId="7350920A" w14:textId="73B4D2E3"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304602C2" w14:textId="24986018" w:rsidR="00234A97" w:rsidRPr="007354F9" w:rsidRDefault="00645692" w:rsidP="000145C7">
            <w:pPr>
              <w:rPr>
                <w:rFonts w:asciiTheme="minorHAnsi" w:hAnsiTheme="minorHAnsi" w:cstheme="minorHAnsi"/>
                <w:sz w:val="16"/>
                <w:szCs w:val="16"/>
              </w:rPr>
            </w:pPr>
            <w:r w:rsidRPr="007354F9">
              <w:rPr>
                <w:rFonts w:asciiTheme="minorHAnsi" w:hAnsiTheme="minorHAnsi" w:cstheme="minorHAnsi"/>
                <w:sz w:val="16"/>
                <w:szCs w:val="16"/>
              </w:rPr>
              <w:t>Modelled p</w:t>
            </w:r>
            <w:r w:rsidR="00234A97" w:rsidRPr="007354F9">
              <w:rPr>
                <w:rFonts w:asciiTheme="minorHAnsi" w:hAnsiTheme="minorHAnsi" w:cstheme="minorHAnsi"/>
                <w:sz w:val="16"/>
                <w:szCs w:val="16"/>
              </w:rPr>
              <w:t>hysical generation with 50 MW baseload new renewables</w:t>
            </w:r>
          </w:p>
        </w:tc>
        <w:tc>
          <w:tcPr>
            <w:tcW w:w="1530" w:type="dxa"/>
          </w:tcPr>
          <w:p w14:paraId="74FF7EE5" w14:textId="0FC5B461" w:rsidR="00234A97" w:rsidRPr="007354F9" w:rsidRDefault="00645692" w:rsidP="000145C7">
            <w:pPr>
              <w:rPr>
                <w:rFonts w:asciiTheme="minorHAnsi" w:hAnsiTheme="minorHAnsi" w:cstheme="minorHAnsi"/>
                <w:sz w:val="16"/>
                <w:szCs w:val="16"/>
              </w:rPr>
            </w:pPr>
            <w:r w:rsidRPr="007354F9">
              <w:rPr>
                <w:rFonts w:asciiTheme="minorHAnsi" w:hAnsiTheme="minorHAnsi" w:cstheme="minorHAnsi"/>
                <w:sz w:val="16"/>
                <w:szCs w:val="16"/>
              </w:rPr>
              <w:t xml:space="preserve">Same </w:t>
            </w:r>
            <w:r w:rsidR="00234A97" w:rsidRPr="007354F9">
              <w:rPr>
                <w:rFonts w:asciiTheme="minorHAnsi" w:hAnsiTheme="minorHAnsi" w:cstheme="minorHAnsi"/>
                <w:sz w:val="16"/>
                <w:szCs w:val="16"/>
              </w:rPr>
              <w:t xml:space="preserve">market </w:t>
            </w:r>
            <w:r w:rsidRPr="007354F9">
              <w:rPr>
                <w:rFonts w:asciiTheme="minorHAnsi" w:hAnsiTheme="minorHAnsi" w:cstheme="minorHAnsi"/>
                <w:sz w:val="16"/>
                <w:szCs w:val="16"/>
              </w:rPr>
              <w:t xml:space="preserve">as factual but </w:t>
            </w:r>
            <w:r w:rsidR="00234A97" w:rsidRPr="007354F9">
              <w:rPr>
                <w:rFonts w:asciiTheme="minorHAnsi" w:hAnsiTheme="minorHAnsi" w:cstheme="minorHAnsi"/>
                <w:sz w:val="16"/>
                <w:szCs w:val="16"/>
              </w:rPr>
              <w:t>without new renewables</w:t>
            </w:r>
          </w:p>
        </w:tc>
        <w:tc>
          <w:tcPr>
            <w:tcW w:w="1083" w:type="dxa"/>
          </w:tcPr>
          <w:p w14:paraId="08B3FB60" w14:textId="76CDD4D6"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Not applicable</w:t>
            </w:r>
            <w:r w:rsidR="001F01A9" w:rsidRPr="007354F9">
              <w:rPr>
                <w:rFonts w:asciiTheme="minorHAnsi" w:hAnsiTheme="minorHAnsi" w:cstheme="minorHAnsi"/>
                <w:sz w:val="16"/>
                <w:szCs w:val="16"/>
              </w:rPr>
              <w:t xml:space="preserve"> – this methodology is based on physical emissions</w:t>
            </w:r>
          </w:p>
        </w:tc>
        <w:tc>
          <w:tcPr>
            <w:tcW w:w="2700" w:type="dxa"/>
          </w:tcPr>
          <w:p w14:paraId="7BBF3FCD" w14:textId="79DA2346" w:rsidR="00234A97" w:rsidRPr="007354F9" w:rsidRDefault="002821A3" w:rsidP="000145C7">
            <w:pPr>
              <w:rPr>
                <w:rFonts w:asciiTheme="minorHAnsi" w:hAnsiTheme="minorHAnsi" w:cstheme="minorHAnsi"/>
                <w:sz w:val="16"/>
                <w:szCs w:val="16"/>
              </w:rPr>
            </w:pPr>
            <w:r w:rsidRPr="007354F9">
              <w:rPr>
                <w:rFonts w:asciiTheme="minorHAnsi" w:hAnsiTheme="minorHAnsi" w:cstheme="minorHAnsi"/>
                <w:sz w:val="16"/>
                <w:szCs w:val="16"/>
              </w:rPr>
              <w:t>Initially developed for use in assessing the carbon impact of Projects to Reduce Emissions</w:t>
            </w:r>
          </w:p>
        </w:tc>
      </w:tr>
      <w:tr w:rsidR="007354F9" w:rsidRPr="007354F9" w14:paraId="4F09BFF1" w14:textId="77777777" w:rsidTr="00EC6008">
        <w:tc>
          <w:tcPr>
            <w:tcW w:w="1251" w:type="dxa"/>
          </w:tcPr>
          <w:p w14:paraId="0E6F160C" w14:textId="64205CE7"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SRMC impact</w:t>
            </w:r>
          </w:p>
        </w:tc>
        <w:tc>
          <w:tcPr>
            <w:tcW w:w="560" w:type="dxa"/>
          </w:tcPr>
          <w:p w14:paraId="1F89C59F" w14:textId="322BA13B"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2008</w:t>
            </w:r>
          </w:p>
        </w:tc>
        <w:tc>
          <w:tcPr>
            <w:tcW w:w="885" w:type="dxa"/>
          </w:tcPr>
          <w:p w14:paraId="7E4FF96E" w14:textId="3AFE30C3" w:rsidR="00FE79AE" w:rsidRPr="007354F9" w:rsidRDefault="00FE79AE" w:rsidP="00FE79AE">
            <w:pPr>
              <w:rPr>
                <w:rFonts w:asciiTheme="minorHAnsi" w:hAnsiTheme="minorHAnsi" w:cstheme="minorHAnsi"/>
                <w:sz w:val="16"/>
                <w:szCs w:val="16"/>
              </w:rPr>
            </w:pPr>
            <w:r w:rsidRPr="007354F9">
              <w:rPr>
                <w:rFonts w:asciiTheme="minorHAnsi" w:hAnsiTheme="minorHAnsi" w:cstheme="minorHAnsi"/>
                <w:sz w:val="16"/>
                <w:szCs w:val="16"/>
              </w:rPr>
              <w:t>Adopted but no longer used;</w:t>
            </w:r>
          </w:p>
          <w:p w14:paraId="174CFDFE" w14:textId="5D20E061" w:rsidR="00234A97" w:rsidRPr="007354F9" w:rsidRDefault="00FE79AE" w:rsidP="00FE79AE">
            <w:pPr>
              <w:rPr>
                <w:rFonts w:asciiTheme="minorHAnsi" w:hAnsiTheme="minorHAnsi" w:cstheme="minorHAnsi"/>
                <w:sz w:val="16"/>
                <w:szCs w:val="16"/>
              </w:rPr>
            </w:pPr>
            <w:r w:rsidRPr="007354F9">
              <w:rPr>
                <w:rFonts w:asciiTheme="minorHAnsi" w:hAnsiTheme="minorHAnsi" w:cstheme="minorHAnsi"/>
                <w:sz w:val="16"/>
                <w:szCs w:val="16"/>
              </w:rPr>
              <w:t>not consistent</w:t>
            </w:r>
          </w:p>
          <w:p w14:paraId="55A2CB98" w14:textId="54190E49" w:rsidR="00F02D42" w:rsidRPr="007354F9" w:rsidRDefault="00F02D42" w:rsidP="000145C7">
            <w:pPr>
              <w:rPr>
                <w:rFonts w:asciiTheme="minorHAnsi" w:hAnsiTheme="minorHAnsi" w:cstheme="minorHAnsi"/>
                <w:sz w:val="16"/>
                <w:szCs w:val="16"/>
              </w:rPr>
            </w:pPr>
          </w:p>
        </w:tc>
        <w:tc>
          <w:tcPr>
            <w:tcW w:w="900" w:type="dxa"/>
          </w:tcPr>
          <w:p w14:paraId="56AD9343" w14:textId="7A0CBC5A"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4717FFBC" w14:textId="4FF32838" w:rsidR="00234A97" w:rsidRPr="007354F9" w:rsidRDefault="00645692" w:rsidP="000145C7">
            <w:pPr>
              <w:rPr>
                <w:rFonts w:asciiTheme="minorHAnsi" w:hAnsiTheme="minorHAnsi" w:cstheme="minorHAnsi"/>
                <w:sz w:val="16"/>
                <w:szCs w:val="16"/>
              </w:rPr>
            </w:pPr>
            <w:r w:rsidRPr="007354F9">
              <w:rPr>
                <w:rFonts w:asciiTheme="minorHAnsi" w:hAnsiTheme="minorHAnsi" w:cstheme="minorHAnsi"/>
                <w:sz w:val="16"/>
                <w:szCs w:val="16"/>
              </w:rPr>
              <w:t>Modelled m</w:t>
            </w:r>
            <w:r w:rsidR="00234A97" w:rsidRPr="007354F9">
              <w:rPr>
                <w:rFonts w:asciiTheme="minorHAnsi" w:hAnsiTheme="minorHAnsi" w:cstheme="minorHAnsi"/>
                <w:sz w:val="16"/>
                <w:szCs w:val="16"/>
              </w:rPr>
              <w:t>arket with ETS</w:t>
            </w:r>
          </w:p>
        </w:tc>
        <w:tc>
          <w:tcPr>
            <w:tcW w:w="1530" w:type="dxa"/>
          </w:tcPr>
          <w:p w14:paraId="5BF7676D" w14:textId="0C64FA83"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 xml:space="preserve">Same market </w:t>
            </w:r>
            <w:r w:rsidR="00645692" w:rsidRPr="007354F9">
              <w:rPr>
                <w:rFonts w:asciiTheme="minorHAnsi" w:hAnsiTheme="minorHAnsi" w:cstheme="minorHAnsi"/>
                <w:sz w:val="16"/>
                <w:szCs w:val="16"/>
              </w:rPr>
              <w:t xml:space="preserve">as factual </w:t>
            </w:r>
            <w:r w:rsidRPr="007354F9">
              <w:rPr>
                <w:rFonts w:asciiTheme="minorHAnsi" w:hAnsiTheme="minorHAnsi" w:cstheme="minorHAnsi"/>
                <w:sz w:val="16"/>
                <w:szCs w:val="16"/>
              </w:rPr>
              <w:t>but with</w:t>
            </w:r>
            <w:r w:rsidR="001F01A9" w:rsidRPr="007354F9">
              <w:rPr>
                <w:rFonts w:asciiTheme="minorHAnsi" w:hAnsiTheme="minorHAnsi" w:cstheme="minorHAnsi"/>
                <w:sz w:val="16"/>
                <w:szCs w:val="16"/>
              </w:rPr>
              <w:t xml:space="preserve"> carbon costs removed from SRMCs</w:t>
            </w:r>
          </w:p>
        </w:tc>
        <w:tc>
          <w:tcPr>
            <w:tcW w:w="1083" w:type="dxa"/>
          </w:tcPr>
          <w:p w14:paraId="3D47A4A1" w14:textId="3206BDDD" w:rsidR="00234A97" w:rsidRPr="007354F9" w:rsidRDefault="00234A97" w:rsidP="000145C7">
            <w:pPr>
              <w:rPr>
                <w:rFonts w:asciiTheme="minorHAnsi" w:hAnsiTheme="minorHAnsi" w:cstheme="minorHAnsi"/>
                <w:sz w:val="16"/>
                <w:szCs w:val="16"/>
              </w:rPr>
            </w:pPr>
            <w:r w:rsidRPr="007354F9">
              <w:rPr>
                <w:rFonts w:asciiTheme="minorHAnsi" w:hAnsiTheme="minorHAnsi" w:cstheme="minorHAnsi"/>
                <w:sz w:val="16"/>
                <w:szCs w:val="16"/>
              </w:rPr>
              <w:t>SRMC</w:t>
            </w:r>
          </w:p>
        </w:tc>
        <w:tc>
          <w:tcPr>
            <w:tcW w:w="2700" w:type="dxa"/>
          </w:tcPr>
          <w:p w14:paraId="00837AC6" w14:textId="6AED18D0" w:rsidR="00234A97" w:rsidRPr="007354F9" w:rsidRDefault="00980523" w:rsidP="000145C7">
            <w:pPr>
              <w:rPr>
                <w:rFonts w:asciiTheme="minorHAnsi" w:hAnsiTheme="minorHAnsi" w:cstheme="minorHAnsi"/>
                <w:sz w:val="16"/>
                <w:szCs w:val="16"/>
              </w:rPr>
            </w:pPr>
            <w:r w:rsidRPr="007354F9">
              <w:rPr>
                <w:rFonts w:asciiTheme="minorHAnsi" w:hAnsiTheme="minorHAnsi" w:cstheme="minorHAnsi"/>
                <w:sz w:val="16"/>
                <w:szCs w:val="16"/>
              </w:rPr>
              <w:t>Does not require a separate counterfactual</w:t>
            </w:r>
          </w:p>
        </w:tc>
      </w:tr>
      <w:tr w:rsidR="007354F9" w:rsidRPr="007354F9" w14:paraId="6720F3B3" w14:textId="77777777" w:rsidTr="00EC6008">
        <w:tc>
          <w:tcPr>
            <w:tcW w:w="1251" w:type="dxa"/>
          </w:tcPr>
          <w:p w14:paraId="5D6D64CA" w14:textId="44A6D241" w:rsidR="00234A97" w:rsidRPr="007354F9" w:rsidRDefault="00234A97" w:rsidP="00234A97">
            <w:pPr>
              <w:rPr>
                <w:rFonts w:asciiTheme="minorHAnsi" w:hAnsiTheme="minorHAnsi" w:cstheme="minorHAnsi"/>
                <w:sz w:val="16"/>
                <w:szCs w:val="16"/>
              </w:rPr>
            </w:pPr>
            <w:r w:rsidRPr="007354F9">
              <w:rPr>
                <w:rFonts w:asciiTheme="minorHAnsi" w:hAnsiTheme="minorHAnsi" w:cstheme="minorHAnsi"/>
                <w:sz w:val="16"/>
                <w:szCs w:val="16"/>
              </w:rPr>
              <w:t>Electricity purchase cost</w:t>
            </w:r>
            <w:r w:rsidR="00645692" w:rsidRPr="007354F9">
              <w:rPr>
                <w:rFonts w:asciiTheme="minorHAnsi" w:hAnsiTheme="minorHAnsi" w:cstheme="minorHAnsi"/>
                <w:sz w:val="16"/>
                <w:szCs w:val="16"/>
              </w:rPr>
              <w:t xml:space="preserve"> impact</w:t>
            </w:r>
            <w:r w:rsidR="00EB29C7" w:rsidRPr="007354F9">
              <w:rPr>
                <w:rFonts w:asciiTheme="minorHAnsi" w:hAnsiTheme="minorHAnsi" w:cstheme="minorHAnsi"/>
                <w:sz w:val="16"/>
                <w:szCs w:val="16"/>
              </w:rPr>
              <w:t xml:space="preserve"> - SRMC</w:t>
            </w:r>
          </w:p>
        </w:tc>
        <w:tc>
          <w:tcPr>
            <w:tcW w:w="560" w:type="dxa"/>
          </w:tcPr>
          <w:p w14:paraId="48C076AB" w14:textId="2D719B39" w:rsidR="00234A97" w:rsidRPr="007354F9" w:rsidRDefault="00234A97" w:rsidP="00234A97">
            <w:pPr>
              <w:rPr>
                <w:rFonts w:asciiTheme="minorHAnsi" w:hAnsiTheme="minorHAnsi" w:cstheme="minorHAnsi"/>
                <w:sz w:val="16"/>
                <w:szCs w:val="16"/>
              </w:rPr>
            </w:pPr>
            <w:r w:rsidRPr="007354F9">
              <w:rPr>
                <w:rFonts w:asciiTheme="minorHAnsi" w:hAnsiTheme="minorHAnsi" w:cstheme="minorHAnsi"/>
                <w:sz w:val="16"/>
                <w:szCs w:val="16"/>
              </w:rPr>
              <w:t>2011</w:t>
            </w:r>
          </w:p>
        </w:tc>
        <w:tc>
          <w:tcPr>
            <w:tcW w:w="885" w:type="dxa"/>
          </w:tcPr>
          <w:p w14:paraId="2479DB65" w14:textId="3CD4F2AE" w:rsidR="00234A97" w:rsidRPr="007354F9" w:rsidRDefault="00234A97" w:rsidP="00234A97">
            <w:pPr>
              <w:rPr>
                <w:rFonts w:asciiTheme="minorHAnsi" w:hAnsiTheme="minorHAnsi" w:cstheme="minorHAnsi"/>
                <w:sz w:val="16"/>
                <w:szCs w:val="16"/>
              </w:rPr>
            </w:pPr>
            <w:r w:rsidRPr="007354F9">
              <w:rPr>
                <w:rFonts w:asciiTheme="minorHAnsi" w:hAnsiTheme="minorHAnsi" w:cstheme="minorHAnsi"/>
                <w:sz w:val="16"/>
                <w:szCs w:val="16"/>
              </w:rPr>
              <w:t>Adopted</w:t>
            </w:r>
            <w:r w:rsidR="00FE79AE" w:rsidRPr="007354F9">
              <w:rPr>
                <w:rFonts w:asciiTheme="minorHAnsi" w:hAnsiTheme="minorHAnsi" w:cstheme="minorHAnsi"/>
                <w:sz w:val="16"/>
                <w:szCs w:val="16"/>
              </w:rPr>
              <w:t>;  consistent</w:t>
            </w:r>
          </w:p>
        </w:tc>
        <w:tc>
          <w:tcPr>
            <w:tcW w:w="900" w:type="dxa"/>
          </w:tcPr>
          <w:p w14:paraId="1A955D6F" w14:textId="61696CA5" w:rsidR="00234A97" w:rsidRPr="007354F9" w:rsidRDefault="00234A97" w:rsidP="00234A97">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6F2E2098" w14:textId="4A723F81" w:rsidR="00234A97" w:rsidRPr="007354F9" w:rsidRDefault="00645692" w:rsidP="00234A97">
            <w:pPr>
              <w:rPr>
                <w:rFonts w:asciiTheme="minorHAnsi" w:hAnsiTheme="minorHAnsi" w:cstheme="minorHAnsi"/>
                <w:sz w:val="16"/>
                <w:szCs w:val="16"/>
              </w:rPr>
            </w:pPr>
            <w:r w:rsidRPr="007354F9">
              <w:rPr>
                <w:rFonts w:asciiTheme="minorHAnsi" w:hAnsiTheme="minorHAnsi" w:cstheme="minorHAnsi"/>
                <w:sz w:val="16"/>
                <w:szCs w:val="16"/>
              </w:rPr>
              <w:t>Modelled m</w:t>
            </w:r>
            <w:r w:rsidR="00234A97" w:rsidRPr="007354F9">
              <w:rPr>
                <w:rFonts w:asciiTheme="minorHAnsi" w:hAnsiTheme="minorHAnsi" w:cstheme="minorHAnsi"/>
                <w:sz w:val="16"/>
                <w:szCs w:val="16"/>
              </w:rPr>
              <w:t>arket with ETS</w:t>
            </w:r>
          </w:p>
        </w:tc>
        <w:tc>
          <w:tcPr>
            <w:tcW w:w="1530" w:type="dxa"/>
          </w:tcPr>
          <w:p w14:paraId="57A56D0A" w14:textId="10219C1A" w:rsidR="00234A97" w:rsidRPr="007354F9" w:rsidRDefault="00645692" w:rsidP="00234A97">
            <w:pPr>
              <w:rPr>
                <w:rFonts w:asciiTheme="minorHAnsi" w:hAnsiTheme="minorHAnsi" w:cstheme="minorHAnsi"/>
                <w:sz w:val="16"/>
                <w:szCs w:val="16"/>
              </w:rPr>
            </w:pPr>
            <w:r w:rsidRPr="007354F9">
              <w:rPr>
                <w:rFonts w:asciiTheme="minorHAnsi" w:hAnsiTheme="minorHAnsi" w:cstheme="minorHAnsi"/>
                <w:sz w:val="16"/>
                <w:szCs w:val="16"/>
              </w:rPr>
              <w:t>Modelled m</w:t>
            </w:r>
            <w:r w:rsidR="00234A97" w:rsidRPr="007354F9">
              <w:rPr>
                <w:rFonts w:asciiTheme="minorHAnsi" w:hAnsiTheme="minorHAnsi" w:cstheme="minorHAnsi"/>
                <w:sz w:val="16"/>
                <w:szCs w:val="16"/>
              </w:rPr>
              <w:t>arket as it might have evolved without ETS</w:t>
            </w:r>
          </w:p>
        </w:tc>
        <w:tc>
          <w:tcPr>
            <w:tcW w:w="1083" w:type="dxa"/>
          </w:tcPr>
          <w:p w14:paraId="0055025C" w14:textId="72B55E1F" w:rsidR="00234A97" w:rsidRPr="007354F9" w:rsidRDefault="00EB29C7" w:rsidP="00234A97">
            <w:pPr>
              <w:rPr>
                <w:rFonts w:asciiTheme="minorHAnsi" w:hAnsiTheme="minorHAnsi" w:cstheme="minorHAnsi"/>
                <w:sz w:val="16"/>
                <w:szCs w:val="16"/>
              </w:rPr>
            </w:pPr>
            <w:r w:rsidRPr="007354F9">
              <w:rPr>
                <w:rFonts w:asciiTheme="minorHAnsi" w:hAnsiTheme="minorHAnsi" w:cstheme="minorHAnsi"/>
                <w:sz w:val="16"/>
                <w:szCs w:val="16"/>
              </w:rPr>
              <w:t>SRMC</w:t>
            </w:r>
          </w:p>
        </w:tc>
        <w:tc>
          <w:tcPr>
            <w:tcW w:w="2700" w:type="dxa"/>
          </w:tcPr>
          <w:p w14:paraId="58484236" w14:textId="2B6986C9" w:rsidR="00234A97" w:rsidRPr="007354F9" w:rsidRDefault="00980523" w:rsidP="00234A97">
            <w:pPr>
              <w:rPr>
                <w:rFonts w:asciiTheme="minorHAnsi" w:hAnsiTheme="minorHAnsi" w:cstheme="minorHAnsi"/>
                <w:sz w:val="16"/>
                <w:szCs w:val="16"/>
              </w:rPr>
            </w:pPr>
            <w:r w:rsidRPr="007354F9">
              <w:rPr>
                <w:rFonts w:asciiTheme="minorHAnsi" w:hAnsiTheme="minorHAnsi" w:cstheme="minorHAnsi"/>
                <w:sz w:val="16"/>
                <w:szCs w:val="16"/>
              </w:rPr>
              <w:t>Counterfactual is an alternative evolution of the electricity market</w:t>
            </w:r>
            <w:r w:rsidR="001F01A9" w:rsidRPr="007354F9">
              <w:rPr>
                <w:rFonts w:asciiTheme="minorHAnsi" w:hAnsiTheme="minorHAnsi" w:cstheme="minorHAnsi"/>
                <w:sz w:val="16"/>
                <w:szCs w:val="16"/>
              </w:rPr>
              <w:t xml:space="preserve"> in a world with no carb</w:t>
            </w:r>
            <w:r w:rsidR="007354F9">
              <w:rPr>
                <w:rFonts w:asciiTheme="minorHAnsi" w:hAnsiTheme="minorHAnsi" w:cstheme="minorHAnsi"/>
                <w:sz w:val="16"/>
                <w:szCs w:val="16"/>
              </w:rPr>
              <w:t>o</w:t>
            </w:r>
            <w:r w:rsidR="001F01A9" w:rsidRPr="007354F9">
              <w:rPr>
                <w:rFonts w:asciiTheme="minorHAnsi" w:hAnsiTheme="minorHAnsi" w:cstheme="minorHAnsi"/>
                <w:sz w:val="16"/>
                <w:szCs w:val="16"/>
              </w:rPr>
              <w:t>n charge on emissions from generation</w:t>
            </w:r>
          </w:p>
        </w:tc>
      </w:tr>
      <w:tr w:rsidR="007354F9" w:rsidRPr="007354F9" w14:paraId="225CD321" w14:textId="77777777" w:rsidTr="00EC6008">
        <w:tc>
          <w:tcPr>
            <w:tcW w:w="1251" w:type="dxa"/>
          </w:tcPr>
          <w:p w14:paraId="0DA6B8C5" w14:textId="6250082F"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Electricity purchase cost impact - Cournot</w:t>
            </w:r>
          </w:p>
        </w:tc>
        <w:tc>
          <w:tcPr>
            <w:tcW w:w="560" w:type="dxa"/>
          </w:tcPr>
          <w:p w14:paraId="500B11F1" w14:textId="10164C9A"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2011</w:t>
            </w:r>
          </w:p>
        </w:tc>
        <w:tc>
          <w:tcPr>
            <w:tcW w:w="885" w:type="dxa"/>
          </w:tcPr>
          <w:p w14:paraId="53BC231D" w14:textId="52A6B1BB" w:rsidR="00EB29C7" w:rsidRPr="007354F9" w:rsidRDefault="00726CE0" w:rsidP="00EB29C7">
            <w:pPr>
              <w:rPr>
                <w:rFonts w:asciiTheme="minorHAnsi" w:hAnsiTheme="minorHAnsi" w:cstheme="minorHAnsi"/>
                <w:sz w:val="16"/>
                <w:szCs w:val="16"/>
              </w:rPr>
            </w:pPr>
            <w:r w:rsidRPr="007354F9">
              <w:rPr>
                <w:rFonts w:asciiTheme="minorHAnsi" w:hAnsiTheme="minorHAnsi" w:cstheme="minorHAnsi"/>
                <w:sz w:val="16"/>
                <w:szCs w:val="16"/>
              </w:rPr>
              <w:t>Trialled</w:t>
            </w:r>
            <w:r w:rsidR="00FE79AE" w:rsidRPr="007354F9">
              <w:rPr>
                <w:rFonts w:asciiTheme="minorHAnsi" w:hAnsiTheme="minorHAnsi" w:cstheme="minorHAnsi"/>
                <w:sz w:val="16"/>
                <w:szCs w:val="16"/>
              </w:rPr>
              <w:t>;  not consistent</w:t>
            </w:r>
          </w:p>
        </w:tc>
        <w:tc>
          <w:tcPr>
            <w:tcW w:w="900" w:type="dxa"/>
          </w:tcPr>
          <w:p w14:paraId="739C0432" w14:textId="1104E644"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4359EB40" w14:textId="04026ED0"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Modelled market with ETS</w:t>
            </w:r>
          </w:p>
        </w:tc>
        <w:tc>
          <w:tcPr>
            <w:tcW w:w="1530" w:type="dxa"/>
          </w:tcPr>
          <w:p w14:paraId="6BA2BE1B" w14:textId="6C61C633"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Modelled market as it might have evolved without ETS</w:t>
            </w:r>
          </w:p>
        </w:tc>
        <w:tc>
          <w:tcPr>
            <w:tcW w:w="1083" w:type="dxa"/>
          </w:tcPr>
          <w:p w14:paraId="5D63F310" w14:textId="21E65AD6" w:rsidR="00EB29C7" w:rsidRPr="007354F9" w:rsidRDefault="00726CE0" w:rsidP="00EB29C7">
            <w:pPr>
              <w:rPr>
                <w:rFonts w:asciiTheme="minorHAnsi" w:hAnsiTheme="minorHAnsi" w:cstheme="minorHAnsi"/>
                <w:sz w:val="16"/>
                <w:szCs w:val="16"/>
              </w:rPr>
            </w:pPr>
            <w:r w:rsidRPr="007354F9">
              <w:rPr>
                <w:rFonts w:asciiTheme="minorHAnsi" w:hAnsiTheme="minorHAnsi" w:cstheme="minorHAnsi"/>
                <w:sz w:val="16"/>
                <w:szCs w:val="16"/>
              </w:rPr>
              <w:t>SRMC</w:t>
            </w:r>
          </w:p>
        </w:tc>
        <w:tc>
          <w:tcPr>
            <w:tcW w:w="2700" w:type="dxa"/>
          </w:tcPr>
          <w:p w14:paraId="5E70A452" w14:textId="280D4AC7" w:rsidR="00EB29C7" w:rsidRPr="007354F9" w:rsidRDefault="003727C5" w:rsidP="00EB29C7">
            <w:pPr>
              <w:rPr>
                <w:rFonts w:asciiTheme="minorHAnsi" w:hAnsiTheme="minorHAnsi" w:cstheme="minorHAnsi"/>
                <w:sz w:val="16"/>
                <w:szCs w:val="16"/>
              </w:rPr>
            </w:pPr>
            <w:r w:rsidRPr="007354F9">
              <w:rPr>
                <w:rFonts w:asciiTheme="minorHAnsi" w:hAnsiTheme="minorHAnsi" w:cstheme="minorHAnsi"/>
                <w:sz w:val="16"/>
                <w:szCs w:val="16"/>
              </w:rPr>
              <w:t>Must be used with care due to the tendency to produce higher prices than observed in the actual market</w:t>
            </w:r>
          </w:p>
        </w:tc>
      </w:tr>
      <w:tr w:rsidR="007354F9" w:rsidRPr="007354F9" w14:paraId="57233D5D" w14:textId="77777777" w:rsidTr="00EC6008">
        <w:tc>
          <w:tcPr>
            <w:tcW w:w="1251" w:type="dxa"/>
          </w:tcPr>
          <w:p w14:paraId="592A264D" w14:textId="35C8482B" w:rsidR="00726CE0" w:rsidRPr="007354F9" w:rsidRDefault="003727C5" w:rsidP="00726CE0">
            <w:pPr>
              <w:rPr>
                <w:rFonts w:asciiTheme="minorHAnsi" w:hAnsiTheme="minorHAnsi" w:cstheme="minorHAnsi"/>
                <w:sz w:val="16"/>
                <w:szCs w:val="16"/>
              </w:rPr>
            </w:pPr>
            <w:r w:rsidRPr="007354F9">
              <w:rPr>
                <w:rFonts w:asciiTheme="minorHAnsi" w:hAnsiTheme="minorHAnsi" w:cstheme="minorHAnsi"/>
                <w:sz w:val="16"/>
                <w:szCs w:val="16"/>
              </w:rPr>
              <w:t>New generation</w:t>
            </w:r>
            <w:r w:rsidR="00726CE0" w:rsidRPr="007354F9">
              <w:rPr>
                <w:rFonts w:asciiTheme="minorHAnsi" w:hAnsiTheme="minorHAnsi" w:cstheme="minorHAnsi"/>
                <w:sz w:val="16"/>
                <w:szCs w:val="16"/>
              </w:rPr>
              <w:t xml:space="preserve"> cost impact</w:t>
            </w:r>
          </w:p>
        </w:tc>
        <w:tc>
          <w:tcPr>
            <w:tcW w:w="560" w:type="dxa"/>
          </w:tcPr>
          <w:p w14:paraId="410C3D80" w14:textId="449483F1"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2011</w:t>
            </w:r>
          </w:p>
        </w:tc>
        <w:tc>
          <w:tcPr>
            <w:tcW w:w="885" w:type="dxa"/>
          </w:tcPr>
          <w:p w14:paraId="0DA03610" w14:textId="3D9A8E01"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Trialled</w:t>
            </w:r>
            <w:r w:rsidR="00FE79AE" w:rsidRPr="007354F9">
              <w:rPr>
                <w:rFonts w:asciiTheme="minorHAnsi" w:hAnsiTheme="minorHAnsi" w:cstheme="minorHAnsi"/>
                <w:sz w:val="16"/>
                <w:szCs w:val="16"/>
              </w:rPr>
              <w:t>;  consistent</w:t>
            </w:r>
          </w:p>
        </w:tc>
        <w:tc>
          <w:tcPr>
            <w:tcW w:w="900" w:type="dxa"/>
          </w:tcPr>
          <w:p w14:paraId="5646C021" w14:textId="789F9DFE"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7345944B" w14:textId="1E7D095E"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Modelled market with ETS</w:t>
            </w:r>
          </w:p>
        </w:tc>
        <w:tc>
          <w:tcPr>
            <w:tcW w:w="1530" w:type="dxa"/>
          </w:tcPr>
          <w:p w14:paraId="4F56E713" w14:textId="3DDD2ACC"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Modelled market as it might have evolved without ETS</w:t>
            </w:r>
          </w:p>
        </w:tc>
        <w:tc>
          <w:tcPr>
            <w:tcW w:w="1083" w:type="dxa"/>
          </w:tcPr>
          <w:p w14:paraId="53EB980C" w14:textId="46868770" w:rsidR="00726CE0" w:rsidRPr="007354F9" w:rsidRDefault="00726CE0" w:rsidP="00726CE0">
            <w:pPr>
              <w:rPr>
                <w:rFonts w:asciiTheme="minorHAnsi" w:hAnsiTheme="minorHAnsi" w:cstheme="minorHAnsi"/>
                <w:sz w:val="16"/>
                <w:szCs w:val="16"/>
              </w:rPr>
            </w:pPr>
            <w:r w:rsidRPr="007354F9">
              <w:rPr>
                <w:rFonts w:asciiTheme="minorHAnsi" w:hAnsiTheme="minorHAnsi" w:cstheme="minorHAnsi"/>
                <w:sz w:val="16"/>
                <w:szCs w:val="16"/>
              </w:rPr>
              <w:t>LRMC</w:t>
            </w:r>
          </w:p>
        </w:tc>
        <w:tc>
          <w:tcPr>
            <w:tcW w:w="2700" w:type="dxa"/>
          </w:tcPr>
          <w:p w14:paraId="1034DD87" w14:textId="29FD66E1" w:rsidR="00726CE0" w:rsidRPr="007354F9" w:rsidRDefault="001F01A9" w:rsidP="00726CE0">
            <w:pPr>
              <w:rPr>
                <w:rFonts w:asciiTheme="minorHAnsi" w:hAnsiTheme="minorHAnsi" w:cstheme="minorHAnsi"/>
                <w:sz w:val="16"/>
                <w:szCs w:val="16"/>
              </w:rPr>
            </w:pPr>
            <w:r w:rsidRPr="007354F9">
              <w:rPr>
                <w:rFonts w:asciiTheme="minorHAnsi" w:hAnsiTheme="minorHAnsi" w:cstheme="minorHAnsi"/>
                <w:sz w:val="16"/>
                <w:szCs w:val="16"/>
              </w:rPr>
              <w:t>Market costs are calculated using the LRMC of new generation in the two worlds (factual and counterfactual)</w:t>
            </w:r>
          </w:p>
        </w:tc>
      </w:tr>
      <w:tr w:rsidR="007354F9" w:rsidRPr="007354F9" w14:paraId="63B6B503" w14:textId="77777777" w:rsidTr="00EC6008">
        <w:tc>
          <w:tcPr>
            <w:tcW w:w="1251" w:type="dxa"/>
          </w:tcPr>
          <w:p w14:paraId="2E702A11" w14:textId="29BDB08B"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Modified generator offers</w:t>
            </w:r>
          </w:p>
        </w:tc>
        <w:tc>
          <w:tcPr>
            <w:tcW w:w="560" w:type="dxa"/>
          </w:tcPr>
          <w:p w14:paraId="200AA40C" w14:textId="3CFB7EC7"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2018</w:t>
            </w:r>
          </w:p>
        </w:tc>
        <w:tc>
          <w:tcPr>
            <w:tcW w:w="885" w:type="dxa"/>
          </w:tcPr>
          <w:p w14:paraId="534419FA" w14:textId="6D8A16D7" w:rsidR="00721976" w:rsidRPr="007354F9" w:rsidRDefault="00FE79AE" w:rsidP="00EB29C7">
            <w:pPr>
              <w:rPr>
                <w:rFonts w:asciiTheme="minorHAnsi" w:hAnsiTheme="minorHAnsi" w:cstheme="minorHAnsi"/>
                <w:sz w:val="16"/>
                <w:szCs w:val="16"/>
              </w:rPr>
            </w:pPr>
            <w:r w:rsidRPr="007354F9">
              <w:rPr>
                <w:rFonts w:asciiTheme="minorHAnsi" w:hAnsiTheme="minorHAnsi" w:cstheme="minorHAnsi"/>
                <w:sz w:val="16"/>
                <w:szCs w:val="16"/>
              </w:rPr>
              <w:t>Trialled;  not consistent</w:t>
            </w:r>
          </w:p>
        </w:tc>
        <w:tc>
          <w:tcPr>
            <w:tcW w:w="900" w:type="dxa"/>
          </w:tcPr>
          <w:p w14:paraId="76A57FCE" w14:textId="00252212"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Backward-looking</w:t>
            </w:r>
          </w:p>
        </w:tc>
        <w:tc>
          <w:tcPr>
            <w:tcW w:w="1014" w:type="dxa"/>
          </w:tcPr>
          <w:p w14:paraId="462508EE" w14:textId="5AE2A89B"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Actual market</w:t>
            </w:r>
          </w:p>
        </w:tc>
        <w:tc>
          <w:tcPr>
            <w:tcW w:w="1530" w:type="dxa"/>
          </w:tcPr>
          <w:p w14:paraId="15D47F7C" w14:textId="0B813958"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 xml:space="preserve">Actual market with carbon cost removed from </w:t>
            </w:r>
            <w:r w:rsidR="002821A3" w:rsidRPr="007354F9">
              <w:rPr>
                <w:rFonts w:asciiTheme="minorHAnsi" w:hAnsiTheme="minorHAnsi" w:cstheme="minorHAnsi"/>
                <w:sz w:val="16"/>
                <w:szCs w:val="16"/>
              </w:rPr>
              <w:t xml:space="preserve">thermal </w:t>
            </w:r>
            <w:r w:rsidRPr="007354F9">
              <w:rPr>
                <w:rFonts w:asciiTheme="minorHAnsi" w:hAnsiTheme="minorHAnsi" w:cstheme="minorHAnsi"/>
                <w:sz w:val="16"/>
                <w:szCs w:val="16"/>
              </w:rPr>
              <w:t>offers only</w:t>
            </w:r>
          </w:p>
        </w:tc>
        <w:tc>
          <w:tcPr>
            <w:tcW w:w="1083" w:type="dxa"/>
          </w:tcPr>
          <w:p w14:paraId="142B768A" w14:textId="66B188DE" w:rsidR="00721976" w:rsidRPr="007354F9" w:rsidRDefault="00721976" w:rsidP="00EB29C7">
            <w:pPr>
              <w:rPr>
                <w:rFonts w:asciiTheme="minorHAnsi" w:hAnsiTheme="minorHAnsi" w:cstheme="minorHAnsi"/>
                <w:sz w:val="16"/>
                <w:szCs w:val="16"/>
              </w:rPr>
            </w:pPr>
            <w:r w:rsidRPr="007354F9">
              <w:rPr>
                <w:rFonts w:asciiTheme="minorHAnsi" w:hAnsiTheme="minorHAnsi" w:cstheme="minorHAnsi"/>
                <w:sz w:val="16"/>
                <w:szCs w:val="16"/>
              </w:rPr>
              <w:t>Spot prices</w:t>
            </w:r>
          </w:p>
        </w:tc>
        <w:tc>
          <w:tcPr>
            <w:tcW w:w="2700" w:type="dxa"/>
          </w:tcPr>
          <w:p w14:paraId="626F5257" w14:textId="0C6AEA13" w:rsidR="00721976" w:rsidRPr="007354F9" w:rsidRDefault="001F01A9" w:rsidP="00EB29C7">
            <w:pPr>
              <w:rPr>
                <w:rFonts w:asciiTheme="minorHAnsi" w:hAnsiTheme="minorHAnsi" w:cstheme="minorHAnsi"/>
                <w:sz w:val="16"/>
                <w:szCs w:val="16"/>
              </w:rPr>
            </w:pPr>
            <w:r w:rsidRPr="007354F9">
              <w:rPr>
                <w:rFonts w:asciiTheme="minorHAnsi" w:hAnsiTheme="minorHAnsi" w:cstheme="minorHAnsi"/>
                <w:sz w:val="16"/>
                <w:szCs w:val="16"/>
              </w:rPr>
              <w:t>Hydro offers are not consistent with the lower thermal offer prices in the counterfactual</w:t>
            </w:r>
            <w:r w:rsidR="007354F9" w:rsidRPr="007354F9">
              <w:rPr>
                <w:rFonts w:asciiTheme="minorHAnsi" w:hAnsiTheme="minorHAnsi" w:cstheme="minorHAnsi"/>
                <w:sz w:val="16"/>
                <w:szCs w:val="16"/>
              </w:rPr>
              <w:t>.  Uses the vSPD or similar model.</w:t>
            </w:r>
          </w:p>
        </w:tc>
      </w:tr>
      <w:tr w:rsidR="007354F9" w:rsidRPr="007354F9" w14:paraId="5DF07FBE" w14:textId="77777777" w:rsidTr="00EC6008">
        <w:tc>
          <w:tcPr>
            <w:tcW w:w="1251" w:type="dxa"/>
          </w:tcPr>
          <w:p w14:paraId="5F8C2455" w14:textId="0466AD8E"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Modified generator and hydro offers</w:t>
            </w:r>
          </w:p>
        </w:tc>
        <w:tc>
          <w:tcPr>
            <w:tcW w:w="560" w:type="dxa"/>
          </w:tcPr>
          <w:p w14:paraId="1E5ACB9D" w14:textId="70305F1F"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2018</w:t>
            </w:r>
          </w:p>
        </w:tc>
        <w:tc>
          <w:tcPr>
            <w:tcW w:w="885" w:type="dxa"/>
          </w:tcPr>
          <w:p w14:paraId="1C420DBE" w14:textId="0A2118D5" w:rsidR="00721976" w:rsidRPr="007354F9" w:rsidRDefault="00FE79AE" w:rsidP="00721976">
            <w:pPr>
              <w:rPr>
                <w:rFonts w:asciiTheme="minorHAnsi" w:hAnsiTheme="minorHAnsi" w:cstheme="minorHAnsi"/>
                <w:sz w:val="16"/>
                <w:szCs w:val="16"/>
              </w:rPr>
            </w:pPr>
            <w:r w:rsidRPr="007354F9">
              <w:rPr>
                <w:rFonts w:asciiTheme="minorHAnsi" w:hAnsiTheme="minorHAnsi" w:cstheme="minorHAnsi"/>
                <w:sz w:val="16"/>
                <w:szCs w:val="16"/>
              </w:rPr>
              <w:t>Trialled;  not consistent</w:t>
            </w:r>
          </w:p>
        </w:tc>
        <w:tc>
          <w:tcPr>
            <w:tcW w:w="900" w:type="dxa"/>
          </w:tcPr>
          <w:p w14:paraId="2D160558" w14:textId="38FE5330"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Backward-looking</w:t>
            </w:r>
          </w:p>
        </w:tc>
        <w:tc>
          <w:tcPr>
            <w:tcW w:w="1014" w:type="dxa"/>
          </w:tcPr>
          <w:p w14:paraId="40D7DA35" w14:textId="0FCA3BCC"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Actual market</w:t>
            </w:r>
          </w:p>
        </w:tc>
        <w:tc>
          <w:tcPr>
            <w:tcW w:w="1530" w:type="dxa"/>
          </w:tcPr>
          <w:p w14:paraId="33DB09E8" w14:textId="2BFA0DB8"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 xml:space="preserve">Actual market with carbon cost removed from </w:t>
            </w:r>
            <w:r w:rsidR="002821A3" w:rsidRPr="007354F9">
              <w:rPr>
                <w:rFonts w:asciiTheme="minorHAnsi" w:hAnsiTheme="minorHAnsi" w:cstheme="minorHAnsi"/>
                <w:sz w:val="16"/>
                <w:szCs w:val="16"/>
              </w:rPr>
              <w:t xml:space="preserve">thermal offers, </w:t>
            </w:r>
            <w:r w:rsidRPr="007354F9">
              <w:rPr>
                <w:rFonts w:asciiTheme="minorHAnsi" w:hAnsiTheme="minorHAnsi" w:cstheme="minorHAnsi"/>
                <w:sz w:val="16"/>
                <w:szCs w:val="16"/>
              </w:rPr>
              <w:t>hydro offers reduced</w:t>
            </w:r>
          </w:p>
        </w:tc>
        <w:tc>
          <w:tcPr>
            <w:tcW w:w="1083" w:type="dxa"/>
          </w:tcPr>
          <w:p w14:paraId="7517DD46" w14:textId="1D9BF9BD"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Spot prices</w:t>
            </w:r>
          </w:p>
        </w:tc>
        <w:tc>
          <w:tcPr>
            <w:tcW w:w="2700" w:type="dxa"/>
          </w:tcPr>
          <w:p w14:paraId="2F90B806" w14:textId="5B6248C3" w:rsidR="00721976" w:rsidRPr="007354F9" w:rsidRDefault="001F01A9" w:rsidP="00721976">
            <w:pPr>
              <w:rPr>
                <w:rFonts w:asciiTheme="minorHAnsi" w:hAnsiTheme="minorHAnsi" w:cstheme="minorHAnsi"/>
                <w:sz w:val="16"/>
                <w:szCs w:val="16"/>
              </w:rPr>
            </w:pPr>
            <w:r w:rsidRPr="007354F9">
              <w:rPr>
                <w:rFonts w:asciiTheme="minorHAnsi" w:hAnsiTheme="minorHAnsi" w:cstheme="minorHAnsi"/>
                <w:sz w:val="16"/>
                <w:szCs w:val="16"/>
              </w:rPr>
              <w:t>Capable of estimating the actual EAF for the historical year of interest.  Counterfactual water values are estimated using the reduced thermal offer prices.</w:t>
            </w:r>
            <w:r w:rsidR="007354F9" w:rsidRPr="007354F9">
              <w:rPr>
                <w:rFonts w:asciiTheme="minorHAnsi" w:hAnsiTheme="minorHAnsi" w:cstheme="minorHAnsi"/>
                <w:sz w:val="16"/>
                <w:szCs w:val="16"/>
              </w:rPr>
              <w:t xml:space="preserve">  Uses the vSPD or similar model.</w:t>
            </w:r>
          </w:p>
        </w:tc>
      </w:tr>
      <w:tr w:rsidR="007354F9" w:rsidRPr="007354F9" w14:paraId="4F7F2639" w14:textId="77777777" w:rsidTr="00EC6008">
        <w:tc>
          <w:tcPr>
            <w:tcW w:w="1251" w:type="dxa"/>
          </w:tcPr>
          <w:p w14:paraId="68B72ADE" w14:textId="3C7B08E2"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Modified generator and hydro offers with thermal quantity reduction</w:t>
            </w:r>
          </w:p>
        </w:tc>
        <w:tc>
          <w:tcPr>
            <w:tcW w:w="560" w:type="dxa"/>
          </w:tcPr>
          <w:p w14:paraId="55F465A8" w14:textId="7E03AB15"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2018</w:t>
            </w:r>
          </w:p>
        </w:tc>
        <w:tc>
          <w:tcPr>
            <w:tcW w:w="885" w:type="dxa"/>
          </w:tcPr>
          <w:p w14:paraId="1BECC429" w14:textId="6556F80C" w:rsidR="00721976" w:rsidRPr="007354F9" w:rsidRDefault="00FE79AE" w:rsidP="00721976">
            <w:pPr>
              <w:rPr>
                <w:rFonts w:asciiTheme="minorHAnsi" w:hAnsiTheme="minorHAnsi" w:cstheme="minorHAnsi"/>
                <w:sz w:val="16"/>
                <w:szCs w:val="16"/>
              </w:rPr>
            </w:pPr>
            <w:r w:rsidRPr="007354F9">
              <w:rPr>
                <w:rFonts w:asciiTheme="minorHAnsi" w:hAnsiTheme="minorHAnsi" w:cstheme="minorHAnsi"/>
                <w:sz w:val="16"/>
                <w:szCs w:val="16"/>
              </w:rPr>
              <w:t>Trialled;  not consistent</w:t>
            </w:r>
          </w:p>
        </w:tc>
        <w:tc>
          <w:tcPr>
            <w:tcW w:w="900" w:type="dxa"/>
          </w:tcPr>
          <w:p w14:paraId="652E2279" w14:textId="11C7E432"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Backward-looking</w:t>
            </w:r>
          </w:p>
        </w:tc>
        <w:tc>
          <w:tcPr>
            <w:tcW w:w="1014" w:type="dxa"/>
          </w:tcPr>
          <w:p w14:paraId="35ED6409" w14:textId="3C8A1620"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Actual market</w:t>
            </w:r>
          </w:p>
        </w:tc>
        <w:tc>
          <w:tcPr>
            <w:tcW w:w="1530" w:type="dxa"/>
          </w:tcPr>
          <w:p w14:paraId="6F236C35" w14:textId="119F2F6B"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 xml:space="preserve">Actual market with carbon cost removed from thermal </w:t>
            </w:r>
            <w:r w:rsidR="002821A3" w:rsidRPr="007354F9">
              <w:rPr>
                <w:rFonts w:asciiTheme="minorHAnsi" w:hAnsiTheme="minorHAnsi" w:cstheme="minorHAnsi"/>
                <w:sz w:val="16"/>
                <w:szCs w:val="16"/>
              </w:rPr>
              <w:t xml:space="preserve">offers, </w:t>
            </w:r>
            <w:r w:rsidRPr="007354F9">
              <w:rPr>
                <w:rFonts w:asciiTheme="minorHAnsi" w:hAnsiTheme="minorHAnsi" w:cstheme="minorHAnsi"/>
                <w:sz w:val="16"/>
                <w:szCs w:val="16"/>
              </w:rPr>
              <w:t xml:space="preserve"> hydro offers reduced</w:t>
            </w:r>
            <w:r w:rsidR="002821A3" w:rsidRPr="007354F9">
              <w:rPr>
                <w:rFonts w:asciiTheme="minorHAnsi" w:hAnsiTheme="minorHAnsi" w:cstheme="minorHAnsi"/>
                <w:sz w:val="16"/>
                <w:szCs w:val="16"/>
              </w:rPr>
              <w:t>, low-priced thermal generation reduced</w:t>
            </w:r>
          </w:p>
        </w:tc>
        <w:tc>
          <w:tcPr>
            <w:tcW w:w="1083" w:type="dxa"/>
          </w:tcPr>
          <w:p w14:paraId="3CFB1D46" w14:textId="723C0E95" w:rsidR="00721976" w:rsidRPr="007354F9" w:rsidRDefault="00721976" w:rsidP="00721976">
            <w:pPr>
              <w:rPr>
                <w:rFonts w:asciiTheme="minorHAnsi" w:hAnsiTheme="minorHAnsi" w:cstheme="minorHAnsi"/>
                <w:sz w:val="16"/>
                <w:szCs w:val="16"/>
              </w:rPr>
            </w:pPr>
            <w:r w:rsidRPr="007354F9">
              <w:rPr>
                <w:rFonts w:asciiTheme="minorHAnsi" w:hAnsiTheme="minorHAnsi" w:cstheme="minorHAnsi"/>
                <w:sz w:val="16"/>
                <w:szCs w:val="16"/>
              </w:rPr>
              <w:t>Spot prices</w:t>
            </w:r>
          </w:p>
        </w:tc>
        <w:tc>
          <w:tcPr>
            <w:tcW w:w="2700" w:type="dxa"/>
          </w:tcPr>
          <w:p w14:paraId="089ECF30" w14:textId="609B41A7" w:rsidR="00721976" w:rsidRPr="007354F9" w:rsidRDefault="001F01A9" w:rsidP="00721976">
            <w:pPr>
              <w:rPr>
                <w:rFonts w:asciiTheme="minorHAnsi" w:hAnsiTheme="minorHAnsi" w:cstheme="minorHAnsi"/>
                <w:sz w:val="16"/>
                <w:szCs w:val="16"/>
              </w:rPr>
            </w:pPr>
            <w:r w:rsidRPr="007354F9">
              <w:rPr>
                <w:rFonts w:asciiTheme="minorHAnsi" w:hAnsiTheme="minorHAnsi" w:cstheme="minorHAnsi"/>
                <w:sz w:val="16"/>
                <w:szCs w:val="16"/>
              </w:rPr>
              <w:t>Capable of estimating the actual EAF for the historical year of interest</w:t>
            </w:r>
            <w:r w:rsidR="007354F9" w:rsidRPr="007354F9">
              <w:rPr>
                <w:rFonts w:asciiTheme="minorHAnsi" w:hAnsiTheme="minorHAnsi" w:cstheme="minorHAnsi"/>
                <w:sz w:val="16"/>
                <w:szCs w:val="16"/>
              </w:rPr>
              <w:t>.  Counterfactual water values are estimated using the reduced thermal offer prices.  Uses the vSPD or similar model.</w:t>
            </w:r>
          </w:p>
        </w:tc>
      </w:tr>
      <w:tr w:rsidR="00EC6008" w:rsidRPr="007354F9" w14:paraId="5D2FBBFC" w14:textId="77777777" w:rsidTr="0066350C">
        <w:tc>
          <w:tcPr>
            <w:tcW w:w="1251" w:type="dxa"/>
          </w:tcPr>
          <w:p w14:paraId="115EB653"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Electricity purchase cost impact</w:t>
            </w:r>
          </w:p>
        </w:tc>
        <w:tc>
          <w:tcPr>
            <w:tcW w:w="560" w:type="dxa"/>
          </w:tcPr>
          <w:p w14:paraId="798551BC"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20</w:t>
            </w:r>
            <w:r>
              <w:rPr>
                <w:rFonts w:asciiTheme="minorHAnsi" w:hAnsiTheme="minorHAnsi" w:cstheme="minorHAnsi"/>
                <w:sz w:val="16"/>
                <w:szCs w:val="16"/>
              </w:rPr>
              <w:t>20</w:t>
            </w:r>
          </w:p>
        </w:tc>
        <w:tc>
          <w:tcPr>
            <w:tcW w:w="885" w:type="dxa"/>
          </w:tcPr>
          <w:p w14:paraId="0A9D935C"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Adopted;  consistent</w:t>
            </w:r>
          </w:p>
        </w:tc>
        <w:tc>
          <w:tcPr>
            <w:tcW w:w="900" w:type="dxa"/>
          </w:tcPr>
          <w:p w14:paraId="5A2ADFDA"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Forward-looking</w:t>
            </w:r>
          </w:p>
        </w:tc>
        <w:tc>
          <w:tcPr>
            <w:tcW w:w="1014" w:type="dxa"/>
          </w:tcPr>
          <w:p w14:paraId="39DA8736"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Modelled market with ETS</w:t>
            </w:r>
          </w:p>
        </w:tc>
        <w:tc>
          <w:tcPr>
            <w:tcW w:w="1530" w:type="dxa"/>
          </w:tcPr>
          <w:p w14:paraId="0F81F45E"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Modelled market as it might have evolved without ETS</w:t>
            </w:r>
          </w:p>
        </w:tc>
        <w:tc>
          <w:tcPr>
            <w:tcW w:w="1083" w:type="dxa"/>
          </w:tcPr>
          <w:p w14:paraId="07887426" w14:textId="77777777" w:rsidR="00EC6008" w:rsidRPr="007354F9" w:rsidRDefault="00EC6008" w:rsidP="0066350C">
            <w:pPr>
              <w:rPr>
                <w:rFonts w:asciiTheme="minorHAnsi" w:hAnsiTheme="minorHAnsi" w:cstheme="minorHAnsi"/>
                <w:sz w:val="16"/>
                <w:szCs w:val="16"/>
              </w:rPr>
            </w:pPr>
            <w:r>
              <w:rPr>
                <w:rFonts w:asciiTheme="minorHAnsi" w:hAnsiTheme="minorHAnsi" w:cstheme="minorHAnsi"/>
                <w:sz w:val="16"/>
                <w:szCs w:val="16"/>
              </w:rPr>
              <w:t>Offer prices in line with observed and likely market behaviour</w:t>
            </w:r>
          </w:p>
        </w:tc>
        <w:tc>
          <w:tcPr>
            <w:tcW w:w="2700" w:type="dxa"/>
          </w:tcPr>
          <w:p w14:paraId="18DC798C" w14:textId="77777777" w:rsidR="00EC6008" w:rsidRPr="007354F9" w:rsidRDefault="00EC6008" w:rsidP="0066350C">
            <w:pPr>
              <w:rPr>
                <w:rFonts w:asciiTheme="minorHAnsi" w:hAnsiTheme="minorHAnsi" w:cstheme="minorHAnsi"/>
                <w:sz w:val="16"/>
                <w:szCs w:val="16"/>
              </w:rPr>
            </w:pPr>
            <w:r w:rsidRPr="007354F9">
              <w:rPr>
                <w:rFonts w:asciiTheme="minorHAnsi" w:hAnsiTheme="minorHAnsi" w:cstheme="minorHAnsi"/>
                <w:sz w:val="16"/>
                <w:szCs w:val="16"/>
              </w:rPr>
              <w:t>Counterfactual is an alternative evolution of the electricity market in a world with no carb</w:t>
            </w:r>
            <w:r>
              <w:rPr>
                <w:rFonts w:asciiTheme="minorHAnsi" w:hAnsiTheme="minorHAnsi" w:cstheme="minorHAnsi"/>
                <w:sz w:val="16"/>
                <w:szCs w:val="16"/>
              </w:rPr>
              <w:t>o</w:t>
            </w:r>
            <w:r w:rsidRPr="007354F9">
              <w:rPr>
                <w:rFonts w:asciiTheme="minorHAnsi" w:hAnsiTheme="minorHAnsi" w:cstheme="minorHAnsi"/>
                <w:sz w:val="16"/>
                <w:szCs w:val="16"/>
              </w:rPr>
              <w:t>n charge on emissions from generation</w:t>
            </w:r>
          </w:p>
        </w:tc>
      </w:tr>
      <w:tr w:rsidR="007354F9" w:rsidRPr="007354F9" w14:paraId="623E84E1" w14:textId="77777777" w:rsidTr="00EC6008">
        <w:tc>
          <w:tcPr>
            <w:tcW w:w="1251" w:type="dxa"/>
          </w:tcPr>
          <w:p w14:paraId="5D84468E" w14:textId="2D7C8592"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Actual market with and without carbon</w:t>
            </w:r>
          </w:p>
        </w:tc>
        <w:tc>
          <w:tcPr>
            <w:tcW w:w="560" w:type="dxa"/>
          </w:tcPr>
          <w:p w14:paraId="369394D2" w14:textId="15F4DF81"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2020</w:t>
            </w:r>
          </w:p>
        </w:tc>
        <w:tc>
          <w:tcPr>
            <w:tcW w:w="885" w:type="dxa"/>
          </w:tcPr>
          <w:p w14:paraId="1AB975F6" w14:textId="6C7F4446" w:rsidR="00EB29C7" w:rsidRPr="007354F9" w:rsidRDefault="00FE79AE" w:rsidP="00EB29C7">
            <w:pPr>
              <w:rPr>
                <w:rFonts w:asciiTheme="minorHAnsi" w:hAnsiTheme="minorHAnsi" w:cstheme="minorHAnsi"/>
                <w:sz w:val="16"/>
                <w:szCs w:val="16"/>
              </w:rPr>
            </w:pPr>
            <w:r w:rsidRPr="007354F9">
              <w:rPr>
                <w:rFonts w:asciiTheme="minorHAnsi" w:hAnsiTheme="minorHAnsi" w:cstheme="minorHAnsi"/>
                <w:sz w:val="16"/>
                <w:szCs w:val="16"/>
              </w:rPr>
              <w:t>Trialled;  not consistent</w:t>
            </w:r>
          </w:p>
        </w:tc>
        <w:tc>
          <w:tcPr>
            <w:tcW w:w="900" w:type="dxa"/>
          </w:tcPr>
          <w:p w14:paraId="56C110F5" w14:textId="4D43807B"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Backward-looking</w:t>
            </w:r>
          </w:p>
        </w:tc>
        <w:tc>
          <w:tcPr>
            <w:tcW w:w="1014" w:type="dxa"/>
          </w:tcPr>
          <w:p w14:paraId="47B46A95" w14:textId="6C45B552"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Actual market</w:t>
            </w:r>
            <w:r w:rsidR="007354F9" w:rsidRPr="007354F9">
              <w:rPr>
                <w:rFonts w:asciiTheme="minorHAnsi" w:hAnsiTheme="minorHAnsi" w:cstheme="minorHAnsi"/>
                <w:sz w:val="16"/>
                <w:szCs w:val="16"/>
              </w:rPr>
              <w:t xml:space="preserve"> modelled in EMarket</w:t>
            </w:r>
          </w:p>
        </w:tc>
        <w:tc>
          <w:tcPr>
            <w:tcW w:w="1530" w:type="dxa"/>
          </w:tcPr>
          <w:p w14:paraId="6F69BF53" w14:textId="22BAD400"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Actual market with carbon cost removed from generator offers</w:t>
            </w:r>
          </w:p>
        </w:tc>
        <w:tc>
          <w:tcPr>
            <w:tcW w:w="1083" w:type="dxa"/>
          </w:tcPr>
          <w:p w14:paraId="46DDD441" w14:textId="617DC679"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Average electricity spot price</w:t>
            </w:r>
          </w:p>
        </w:tc>
        <w:tc>
          <w:tcPr>
            <w:tcW w:w="2700" w:type="dxa"/>
          </w:tcPr>
          <w:p w14:paraId="47249A41" w14:textId="38BCC997" w:rsidR="00EB29C7" w:rsidRPr="007354F9" w:rsidRDefault="001F01A9" w:rsidP="00EB29C7">
            <w:pPr>
              <w:rPr>
                <w:rFonts w:asciiTheme="minorHAnsi" w:hAnsiTheme="minorHAnsi" w:cstheme="minorHAnsi"/>
                <w:sz w:val="16"/>
                <w:szCs w:val="16"/>
              </w:rPr>
            </w:pPr>
            <w:r w:rsidRPr="007354F9">
              <w:rPr>
                <w:rFonts w:asciiTheme="minorHAnsi" w:hAnsiTheme="minorHAnsi" w:cstheme="minorHAnsi"/>
                <w:sz w:val="16"/>
                <w:szCs w:val="16"/>
              </w:rPr>
              <w:t>Capable of estimating the actual EAF for the historical year of interest</w:t>
            </w:r>
            <w:r w:rsidR="007354F9" w:rsidRPr="007354F9">
              <w:rPr>
                <w:rFonts w:asciiTheme="minorHAnsi" w:hAnsiTheme="minorHAnsi" w:cstheme="minorHAnsi"/>
                <w:sz w:val="16"/>
                <w:szCs w:val="16"/>
              </w:rPr>
              <w:t xml:space="preserve">.  The scenarios were run using the EMarket model which re-optimises water values in the counterfactual. </w:t>
            </w:r>
          </w:p>
        </w:tc>
      </w:tr>
      <w:tr w:rsidR="007354F9" w:rsidRPr="007354F9" w14:paraId="57F690E6" w14:textId="77777777" w:rsidTr="00EC6008">
        <w:tc>
          <w:tcPr>
            <w:tcW w:w="1251" w:type="dxa"/>
          </w:tcPr>
          <w:p w14:paraId="7AF6F6DC" w14:textId="36A299CA"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 xml:space="preserve">Actual market versus </w:t>
            </w:r>
            <w:r w:rsidR="007354F9" w:rsidRPr="007354F9">
              <w:rPr>
                <w:rFonts w:asciiTheme="minorHAnsi" w:hAnsiTheme="minorHAnsi" w:cstheme="minorHAnsi"/>
                <w:sz w:val="16"/>
                <w:szCs w:val="16"/>
              </w:rPr>
              <w:t xml:space="preserve">forecast </w:t>
            </w:r>
            <w:r w:rsidRPr="007354F9">
              <w:rPr>
                <w:rFonts w:asciiTheme="minorHAnsi" w:hAnsiTheme="minorHAnsi" w:cstheme="minorHAnsi"/>
                <w:sz w:val="16"/>
                <w:szCs w:val="16"/>
              </w:rPr>
              <w:t>counterfactual</w:t>
            </w:r>
          </w:p>
        </w:tc>
        <w:tc>
          <w:tcPr>
            <w:tcW w:w="560" w:type="dxa"/>
          </w:tcPr>
          <w:p w14:paraId="6F693CCC" w14:textId="407127EE"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2020</w:t>
            </w:r>
          </w:p>
        </w:tc>
        <w:tc>
          <w:tcPr>
            <w:tcW w:w="885" w:type="dxa"/>
          </w:tcPr>
          <w:p w14:paraId="334E4716" w14:textId="4B45C042" w:rsidR="00EB29C7" w:rsidRPr="007354F9" w:rsidRDefault="00FE79AE" w:rsidP="00EB29C7">
            <w:pPr>
              <w:rPr>
                <w:rFonts w:asciiTheme="minorHAnsi" w:hAnsiTheme="minorHAnsi" w:cstheme="minorHAnsi"/>
                <w:sz w:val="16"/>
                <w:szCs w:val="16"/>
              </w:rPr>
            </w:pPr>
            <w:r w:rsidRPr="007354F9">
              <w:rPr>
                <w:rFonts w:asciiTheme="minorHAnsi" w:hAnsiTheme="minorHAnsi" w:cstheme="minorHAnsi"/>
                <w:sz w:val="16"/>
                <w:szCs w:val="16"/>
              </w:rPr>
              <w:t>Trialled;  not consistent</w:t>
            </w:r>
          </w:p>
        </w:tc>
        <w:tc>
          <w:tcPr>
            <w:tcW w:w="900" w:type="dxa"/>
          </w:tcPr>
          <w:p w14:paraId="5D09DCE6" w14:textId="4C13EF91"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Backward-looking</w:t>
            </w:r>
            <w:r w:rsidR="007354F9" w:rsidRPr="007354F9">
              <w:rPr>
                <w:rFonts w:asciiTheme="minorHAnsi" w:hAnsiTheme="minorHAnsi" w:cstheme="minorHAnsi"/>
                <w:sz w:val="16"/>
                <w:szCs w:val="16"/>
              </w:rPr>
              <w:t xml:space="preserve"> and forward-looking</w:t>
            </w:r>
          </w:p>
        </w:tc>
        <w:tc>
          <w:tcPr>
            <w:tcW w:w="1014" w:type="dxa"/>
          </w:tcPr>
          <w:p w14:paraId="5E6C4F73" w14:textId="225A5C1D"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Actual market</w:t>
            </w:r>
          </w:p>
        </w:tc>
        <w:tc>
          <w:tcPr>
            <w:tcW w:w="1530" w:type="dxa"/>
          </w:tcPr>
          <w:p w14:paraId="7C30DE31" w14:textId="1AC93AC6"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Modelled market as it might have evolved without ETS</w:t>
            </w:r>
          </w:p>
        </w:tc>
        <w:tc>
          <w:tcPr>
            <w:tcW w:w="1083" w:type="dxa"/>
          </w:tcPr>
          <w:p w14:paraId="79C901D2" w14:textId="33855BC7" w:rsidR="00EB29C7" w:rsidRPr="007354F9" w:rsidRDefault="00EB29C7" w:rsidP="00EB29C7">
            <w:pPr>
              <w:rPr>
                <w:rFonts w:asciiTheme="minorHAnsi" w:hAnsiTheme="minorHAnsi" w:cstheme="minorHAnsi"/>
                <w:sz w:val="16"/>
                <w:szCs w:val="16"/>
              </w:rPr>
            </w:pPr>
            <w:r w:rsidRPr="007354F9">
              <w:rPr>
                <w:rFonts w:asciiTheme="minorHAnsi" w:hAnsiTheme="minorHAnsi" w:cstheme="minorHAnsi"/>
                <w:sz w:val="16"/>
                <w:szCs w:val="16"/>
              </w:rPr>
              <w:t>Average electricity spot price</w:t>
            </w:r>
          </w:p>
        </w:tc>
        <w:tc>
          <w:tcPr>
            <w:tcW w:w="2700" w:type="dxa"/>
          </w:tcPr>
          <w:p w14:paraId="2F57D797" w14:textId="5BA4B2FC" w:rsidR="00EB29C7" w:rsidRPr="007354F9" w:rsidRDefault="007354F9" w:rsidP="00EB29C7">
            <w:pPr>
              <w:rPr>
                <w:rFonts w:asciiTheme="minorHAnsi" w:hAnsiTheme="minorHAnsi" w:cstheme="minorHAnsi"/>
                <w:sz w:val="16"/>
                <w:szCs w:val="16"/>
              </w:rPr>
            </w:pPr>
            <w:r w:rsidRPr="007354F9">
              <w:rPr>
                <w:rFonts w:asciiTheme="minorHAnsi" w:hAnsiTheme="minorHAnsi" w:cstheme="minorHAnsi"/>
                <w:sz w:val="16"/>
                <w:szCs w:val="16"/>
              </w:rPr>
              <w:t>Inconsistencies arise from the use of the actual market as factual and a forecast counterfactual</w:t>
            </w:r>
          </w:p>
        </w:tc>
      </w:tr>
    </w:tbl>
    <w:p w14:paraId="40062467" w14:textId="46AF5610" w:rsidR="008F5CC7" w:rsidRDefault="008F5CC7" w:rsidP="000145C7"/>
    <w:p w14:paraId="5894565C" w14:textId="06ADDCA7" w:rsidR="007354F9" w:rsidRDefault="007354F9" w:rsidP="007354F9">
      <w:pPr>
        <w:pStyle w:val="Heading2"/>
      </w:pPr>
      <w:bookmarkStart w:id="12" w:name="_Ref41721028"/>
      <w:bookmarkStart w:id="13" w:name="_Toc46156012"/>
      <w:r>
        <w:t>Physical emissions</w:t>
      </w:r>
      <w:bookmarkEnd w:id="12"/>
      <w:bookmarkEnd w:id="13"/>
    </w:p>
    <w:p w14:paraId="56F699E3" w14:textId="693A1095" w:rsidR="007354F9" w:rsidRDefault="007354F9" w:rsidP="007354F9">
      <w:r>
        <w:t xml:space="preserve">This methodology was used to estimate the marginal emission reductions caused by new generation that might be allocated tradeable carbon units under the </w:t>
      </w:r>
      <w:r w:rsidRPr="006E0BD7">
        <w:t>Projects to Reduce Emissions</w:t>
      </w:r>
      <w:r>
        <w:t xml:space="preserve">.  The market is modelled with and without </w:t>
      </w:r>
      <w:r w:rsidR="00BF3ABB">
        <w:t xml:space="preserve">a project in 50 MW ‘chunks’ (438 GWh per annum) and the difference in emissions in tonnes between the with and </w:t>
      </w:r>
      <w:r w:rsidR="00BF3ABB">
        <w:lastRenderedPageBreak/>
        <w:t>the without scenarios is divided by 438 GWh to give the marginal impact in units of tCO</w:t>
      </w:r>
      <w:r w:rsidR="00BF3ABB">
        <w:rPr>
          <w:vertAlign w:val="subscript"/>
        </w:rPr>
        <w:t>2</w:t>
      </w:r>
      <w:r w:rsidR="00BF3ABB">
        <w:t xml:space="preserve"> per GWh</w:t>
      </w:r>
      <w:r w:rsidR="00DB07C7">
        <w:t>.  The values adopted in 2003 and again in 2004 were 600 tCO</w:t>
      </w:r>
      <w:r w:rsidR="00DB07C7">
        <w:rPr>
          <w:vertAlign w:val="subscript"/>
        </w:rPr>
        <w:t>2</w:t>
      </w:r>
      <w:r w:rsidR="00DB07C7">
        <w:t xml:space="preserve"> per GWh and 625 tCO</w:t>
      </w:r>
      <w:r w:rsidR="00DB07C7">
        <w:rPr>
          <w:vertAlign w:val="subscript"/>
        </w:rPr>
        <w:t>2</w:t>
      </w:r>
      <w:r w:rsidR="00DB07C7">
        <w:t xml:space="preserve"> per GWh, respectively, which can be written as 0.6 tCO</w:t>
      </w:r>
      <w:r w:rsidR="00DB07C7">
        <w:rPr>
          <w:vertAlign w:val="subscript"/>
        </w:rPr>
        <w:t>2</w:t>
      </w:r>
      <w:r w:rsidR="00DB07C7" w:rsidRPr="00DB07C7">
        <w:t>/</w:t>
      </w:r>
      <w:r w:rsidR="00DB07C7">
        <w:t xml:space="preserve">MWh and 0.625 </w:t>
      </w:r>
      <w:r w:rsidR="00DB07C7" w:rsidRPr="00DB07C7">
        <w:t>tCO2</w:t>
      </w:r>
      <w:r w:rsidR="00DB07C7">
        <w:t>/</w:t>
      </w:r>
      <w:r w:rsidR="00DB07C7" w:rsidRPr="00DB07C7">
        <w:t>MWh</w:t>
      </w:r>
      <w:r w:rsidR="00DB07C7">
        <w:t>.</w:t>
      </w:r>
    </w:p>
    <w:p w14:paraId="1BF1D889" w14:textId="280CC60E" w:rsidR="00DB07C7" w:rsidRDefault="00DB07C7" w:rsidP="007354F9"/>
    <w:p w14:paraId="0D16C91A" w14:textId="4781A600" w:rsidR="00DB07C7" w:rsidRDefault="00DB07C7" w:rsidP="007354F9">
      <w:r>
        <w:t>These units are the same as those of the current EAF which suggests that the 2003 and 2004 values are equivalent to the current EAF.  However, the earlier values were expressions of the physical impact on emissions whereas the current EAF expresses the cost impact of the ETS and has underlying units of $/MWh per $/tCO</w:t>
      </w:r>
      <w:r>
        <w:rPr>
          <w:vertAlign w:val="subscript"/>
        </w:rPr>
        <w:t>2</w:t>
      </w:r>
      <w:r>
        <w:t xml:space="preserve"> which can be shortened to tCO</w:t>
      </w:r>
      <w:r>
        <w:rPr>
          <w:vertAlign w:val="subscript"/>
        </w:rPr>
        <w:t>2</w:t>
      </w:r>
      <w:r>
        <w:t>/MWh.</w:t>
      </w:r>
    </w:p>
    <w:p w14:paraId="61E4DAEB" w14:textId="23AF5DA9" w:rsidR="00DB07C7" w:rsidRDefault="00DB07C7" w:rsidP="007354F9"/>
    <w:p w14:paraId="19A8F2A4" w14:textId="0F8029FE" w:rsidR="00DB07C7" w:rsidRDefault="00DB07C7" w:rsidP="007354F9">
      <w:r>
        <w:t>The earlier values thus appear to be EAFs</w:t>
      </w:r>
      <w:r w:rsidR="00826D56">
        <w:t xml:space="preserve"> because of the units used,</w:t>
      </w:r>
      <w:r>
        <w:t xml:space="preserve"> but in reality they are not</w:t>
      </w:r>
      <w:r w:rsidR="00DC795F">
        <w:t xml:space="preserve"> EAFs as currently defined</w:t>
      </w:r>
      <w:r>
        <w:t xml:space="preserve">.  As a result, we </w:t>
      </w:r>
      <w:r w:rsidR="00826D56">
        <w:t xml:space="preserve">must </w:t>
      </w:r>
      <w:r>
        <w:t>assume that once the SEIP TAG took up the issue, the emphasis was changed from assessing the physical impact of new renewable generation to the impact on the cost of electricity paid by consumers.</w:t>
      </w:r>
      <w:r w:rsidR="001A7358">
        <w:t xml:space="preserve">  The fact that the values of 0.6 and 0.625 </w:t>
      </w:r>
      <w:r w:rsidR="001A7358" w:rsidRPr="001A7358">
        <w:t>tCO2</w:t>
      </w:r>
      <w:r w:rsidR="001A7358">
        <w:t>/M</w:t>
      </w:r>
      <w:r w:rsidR="001A7358" w:rsidRPr="001A7358">
        <w:t>Wh</w:t>
      </w:r>
      <w:r w:rsidR="001A7358">
        <w:t xml:space="preserve"> are relatively close to the current value of the EAF (0.537 tCO</w:t>
      </w:r>
      <w:r w:rsidR="001A7358">
        <w:rPr>
          <w:vertAlign w:val="subscript"/>
        </w:rPr>
        <w:t>2</w:t>
      </w:r>
      <w:r w:rsidR="001A7358">
        <w:t>/MWh) is a result of the fact that spot prices in the electricity market are set based on the marginal cost of electricity to consumers purchasing at spot prices</w:t>
      </w:r>
      <w:r w:rsidR="00826D56">
        <w:t>, which tend to be either set by, or influenced by the marginal cost of operating thermal generation</w:t>
      </w:r>
      <w:r w:rsidR="001A7358">
        <w:t>.</w:t>
      </w:r>
    </w:p>
    <w:p w14:paraId="32C097D1" w14:textId="5D66C52D" w:rsidR="00B5492B" w:rsidRDefault="00B5492B"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5492B" w:rsidRPr="00B5492B" w14:paraId="733B7412" w14:textId="77777777" w:rsidTr="00BB750A">
        <w:tc>
          <w:tcPr>
            <w:tcW w:w="4247" w:type="dxa"/>
            <w:shd w:val="clear" w:color="auto" w:fill="595959" w:themeFill="text1" w:themeFillTint="A6"/>
          </w:tcPr>
          <w:p w14:paraId="4B108DBD" w14:textId="04C38E3D" w:rsidR="00B5492B" w:rsidRPr="00B5492B" w:rsidRDefault="00B5492B" w:rsidP="007354F9">
            <w:pPr>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551A765B" w14:textId="33339015" w:rsidR="00B5492B" w:rsidRPr="00B5492B" w:rsidRDefault="00B5492B" w:rsidP="007354F9">
            <w:pPr>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5492B" w:rsidRPr="00B5492B" w14:paraId="659E8FD9" w14:textId="77777777" w:rsidTr="00BB750A">
        <w:tc>
          <w:tcPr>
            <w:tcW w:w="4247" w:type="dxa"/>
          </w:tcPr>
          <w:p w14:paraId="580271AB" w14:textId="57F4A63F" w:rsidR="00BB750A" w:rsidRPr="00BB750A" w:rsidRDefault="00BB750A" w:rsidP="00BB750A">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Requires fewer assumptions about the future market than methodologies based on costs</w:t>
            </w:r>
          </w:p>
        </w:tc>
        <w:tc>
          <w:tcPr>
            <w:tcW w:w="4248" w:type="dxa"/>
          </w:tcPr>
          <w:p w14:paraId="70CF8E9A" w14:textId="66D91AC4" w:rsidR="00B5492B" w:rsidRPr="00BB750A" w:rsidRDefault="00BB750A" w:rsidP="00BB750A">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 xml:space="preserve">Not based on changes </w:t>
            </w:r>
            <w:r w:rsidR="00826D56">
              <w:rPr>
                <w:rFonts w:asciiTheme="minorHAnsi" w:hAnsiTheme="minorHAnsi" w:cstheme="minorHAnsi"/>
                <w:sz w:val="18"/>
                <w:szCs w:val="18"/>
              </w:rPr>
              <w:t>i</w:t>
            </w:r>
            <w:r>
              <w:rPr>
                <w:rFonts w:asciiTheme="minorHAnsi" w:hAnsiTheme="minorHAnsi" w:cstheme="minorHAnsi"/>
                <w:sz w:val="18"/>
                <w:szCs w:val="18"/>
              </w:rPr>
              <w:t>n costs to consumers</w:t>
            </w:r>
          </w:p>
        </w:tc>
      </w:tr>
    </w:tbl>
    <w:p w14:paraId="4DC1E349" w14:textId="4D7A8245" w:rsidR="007354F9" w:rsidRDefault="007354F9" w:rsidP="007354F9">
      <w:pPr>
        <w:pStyle w:val="Heading2"/>
      </w:pPr>
      <w:bookmarkStart w:id="14" w:name="_Toc46156013"/>
      <w:r>
        <w:t>SRMC impact</w:t>
      </w:r>
      <w:bookmarkEnd w:id="14"/>
    </w:p>
    <w:p w14:paraId="6FE47731" w14:textId="59E78E30" w:rsidR="007354F9" w:rsidRDefault="00C10FB8" w:rsidP="007354F9">
      <w:r>
        <w:t>In the years leading up to the commencement of the obligations</w:t>
      </w:r>
      <w:r>
        <w:rPr>
          <w:rStyle w:val="FootnoteReference"/>
        </w:rPr>
        <w:footnoteReference w:id="6"/>
      </w:r>
      <w:r>
        <w:t xml:space="preserve"> on electricity generators to surrender NZUs into the ETS to cover their emissions, </w:t>
      </w:r>
      <w:r w:rsidR="002C2D72">
        <w:t xml:space="preserve">the SEIP TAG developed the concept of basing an EAF on the impact of the ETS on electricity prices, rather than using physical emissions as outlined in </w:t>
      </w:r>
      <w:r w:rsidR="002C2D72">
        <w:fldChar w:fldCharType="begin"/>
      </w:r>
      <w:r w:rsidR="002C2D72">
        <w:instrText xml:space="preserve"> REF _Ref41721028 \r \h </w:instrText>
      </w:r>
      <w:r w:rsidR="002C2D72">
        <w:fldChar w:fldCharType="separate"/>
      </w:r>
      <w:r w:rsidR="00CF7917">
        <w:t>4.1</w:t>
      </w:r>
      <w:r w:rsidR="002C2D72">
        <w:fldChar w:fldCharType="end"/>
      </w:r>
      <w:r w:rsidR="002C2D72">
        <w:t>.</w:t>
      </w:r>
    </w:p>
    <w:p w14:paraId="5679C7CF" w14:textId="18F32E16" w:rsidR="002C2D72" w:rsidRDefault="002C2D72" w:rsidP="007354F9"/>
    <w:p w14:paraId="443BCC52" w14:textId="3A0C5019" w:rsidR="002C2D72" w:rsidRDefault="002C2D72" w:rsidP="007354F9">
      <w:r>
        <w:t>The method adopted in 2008 forecast market prices over the period from 20</w:t>
      </w:r>
      <w:r w:rsidR="00826D56">
        <w:t>10</w:t>
      </w:r>
      <w:r>
        <w:t xml:space="preserve"> to 2032 using five scenarios of carbon costs from $0 to $80/tCO</w:t>
      </w:r>
      <w:r>
        <w:rPr>
          <w:vertAlign w:val="subscript"/>
        </w:rPr>
        <w:t>2</w:t>
      </w:r>
      <w:r>
        <w:t xml:space="preserve">.  The carbon costs were then simply removed from the modelled generator costs, </w:t>
      </w:r>
      <w:r w:rsidR="00826D56">
        <w:t xml:space="preserve">and the market model rerun, </w:t>
      </w:r>
      <w:r>
        <w:t>to produce the without-carbon counterfactual.</w:t>
      </w:r>
    </w:p>
    <w:p w14:paraId="4ABAB856" w14:textId="72994B67" w:rsidR="00312AF2" w:rsidRDefault="00312AF2" w:rsidP="007354F9"/>
    <w:p w14:paraId="770DB745" w14:textId="5FA9EC69" w:rsidR="00312AF2" w:rsidRDefault="00312AF2" w:rsidP="00312AF2">
      <w:r>
        <w:lastRenderedPageBreak/>
        <w:t xml:space="preserve">The costs used in formula (1) to calculate the EAF were the average SRMCs </w:t>
      </w:r>
      <w:r w:rsidR="00826D56">
        <w:t xml:space="preserve">of generators </w:t>
      </w:r>
      <w:r>
        <w:t>in each scenario modelled.</w:t>
      </w:r>
    </w:p>
    <w:p w14:paraId="53891BE8" w14:textId="4E006C38" w:rsidR="002C2D72" w:rsidRDefault="002C2D72" w:rsidP="007354F9"/>
    <w:p w14:paraId="3E8E2687" w14:textId="20C5B9AC" w:rsidR="002C2D72" w:rsidRDefault="002C2D72" w:rsidP="002C2D72">
      <w:r>
        <w:t>The SEIP TAG process eventually resulted in an EAF of 0.52 tCO</w:t>
      </w:r>
      <w:r w:rsidRPr="00CC538A">
        <w:rPr>
          <w:vertAlign w:val="subscript"/>
        </w:rPr>
        <w:t>2</w:t>
      </w:r>
      <w:r>
        <w:t>/MWh.</w:t>
      </w:r>
    </w:p>
    <w:p w14:paraId="5C70B135" w14:textId="6A4B2128" w:rsidR="00BB750A" w:rsidRDefault="00BB750A" w:rsidP="002C2D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0F5A6DF1" w14:textId="77777777" w:rsidTr="0066350C">
        <w:tc>
          <w:tcPr>
            <w:tcW w:w="4247" w:type="dxa"/>
            <w:shd w:val="clear" w:color="auto" w:fill="595959" w:themeFill="text1" w:themeFillTint="A6"/>
          </w:tcPr>
          <w:p w14:paraId="4CC43C7D"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1F515C9B"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6FD9C90D" w14:textId="77777777" w:rsidTr="0066350C">
        <w:tc>
          <w:tcPr>
            <w:tcW w:w="4247" w:type="dxa"/>
          </w:tcPr>
          <w:p w14:paraId="6202B547" w14:textId="02147E9E" w:rsidR="00BB750A" w:rsidRPr="00BB750A" w:rsidRDefault="00BB750A"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Does not require an alternative evolution of the electricity market without a carbon cost</w:t>
            </w:r>
          </w:p>
        </w:tc>
        <w:tc>
          <w:tcPr>
            <w:tcW w:w="4248" w:type="dxa"/>
          </w:tcPr>
          <w:p w14:paraId="1CF14B13" w14:textId="005B6BA3" w:rsidR="00BB750A" w:rsidRPr="00BB750A" w:rsidRDefault="00BB750A"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Using SRMCs may miss some of the dynamic pricing impacts in the spot market</w:t>
            </w:r>
          </w:p>
        </w:tc>
      </w:tr>
    </w:tbl>
    <w:p w14:paraId="22393586" w14:textId="0D69BA67" w:rsidR="007354F9" w:rsidRDefault="007354F9" w:rsidP="007354F9">
      <w:pPr>
        <w:pStyle w:val="Heading2"/>
      </w:pPr>
      <w:bookmarkStart w:id="15" w:name="_Ref41722335"/>
      <w:bookmarkStart w:id="16" w:name="_Toc46156014"/>
      <w:r>
        <w:t>Electricity purchase cost impact – SRMC</w:t>
      </w:r>
      <w:bookmarkEnd w:id="15"/>
      <w:bookmarkEnd w:id="16"/>
    </w:p>
    <w:p w14:paraId="434D9B40" w14:textId="085041E7" w:rsidR="007354F9" w:rsidRDefault="002C2D72" w:rsidP="007354F9">
      <w:r>
        <w:t>Late in 2011 further modelling was undertaken to calculate an EAF for the years 2013 to 2017, but this time the counterfactual changed to an alternative evolution of the electricity market without a</w:t>
      </w:r>
      <w:r w:rsidR="00826D56">
        <w:t xml:space="preserve">n explicit </w:t>
      </w:r>
      <w:r>
        <w:t xml:space="preserve">cost on carbon.  Three methodologies were trialled, including this one, </w:t>
      </w:r>
      <w:r w:rsidR="00BB750A">
        <w:t xml:space="preserve">along with </w:t>
      </w:r>
      <w:r>
        <w:t>‘E</w:t>
      </w:r>
      <w:r w:rsidRPr="002C2D72">
        <w:t>lectricity purchase cost impact – Cournot</w:t>
      </w:r>
      <w:r>
        <w:t xml:space="preserve">’ outlined in section </w:t>
      </w:r>
      <w:r>
        <w:fldChar w:fldCharType="begin"/>
      </w:r>
      <w:r>
        <w:instrText xml:space="preserve"> REF _Ref41721494 \r \h </w:instrText>
      </w:r>
      <w:r>
        <w:fldChar w:fldCharType="separate"/>
      </w:r>
      <w:r w:rsidR="00CF7917">
        <w:t>4.4</w:t>
      </w:r>
      <w:r>
        <w:fldChar w:fldCharType="end"/>
      </w:r>
      <w:r>
        <w:t xml:space="preserve"> and ‘New generation cost impact’ outlined in section </w:t>
      </w:r>
      <w:r>
        <w:fldChar w:fldCharType="begin"/>
      </w:r>
      <w:r>
        <w:instrText xml:space="preserve"> REF _Ref41721506 \r \h </w:instrText>
      </w:r>
      <w:r>
        <w:fldChar w:fldCharType="separate"/>
      </w:r>
      <w:r w:rsidR="00CF7917">
        <w:t>4.5</w:t>
      </w:r>
      <w:r>
        <w:fldChar w:fldCharType="end"/>
      </w:r>
      <w:r>
        <w:t>.</w:t>
      </w:r>
    </w:p>
    <w:p w14:paraId="5A9B3C4A" w14:textId="1FA98858" w:rsidR="002C2D72" w:rsidRDefault="002C2D72" w:rsidP="007354F9"/>
    <w:p w14:paraId="45E06572" w14:textId="619E155A" w:rsidR="00BB750A" w:rsidRDefault="00BB750A" w:rsidP="007354F9">
      <w:r>
        <w:t xml:space="preserve">The costs used in formula (1) to calculate the EAF were </w:t>
      </w:r>
      <w:r w:rsidR="00312AF2">
        <w:t>the average prices in each scenario.</w:t>
      </w:r>
    </w:p>
    <w:p w14:paraId="08A5FA3C" w14:textId="627D8FC9" w:rsidR="00587817" w:rsidRDefault="00587817" w:rsidP="007354F9"/>
    <w:p w14:paraId="0601F082" w14:textId="0235AF46" w:rsidR="00587817" w:rsidRDefault="00587817" w:rsidP="007354F9">
      <w:r>
        <w:t>Although this methodology uses SRMCs in modelled generator offers, the ‘build schedules’ of new generation plant used in the factual and counterfactual scenarios are calculated using LRMCs.  The assumption here is that new plant will be built as demand increases, or as existing plant retires, in order of LRMC, with the lowest cost plant being the next to be built.  The resulting build schedule is then added to existing plant in the detailed market modelling.</w:t>
      </w:r>
    </w:p>
    <w:p w14:paraId="6091C7CD" w14:textId="53AAE63B" w:rsidR="00587817" w:rsidRDefault="00587817" w:rsidP="007354F9"/>
    <w:p w14:paraId="29FA03E6" w14:textId="77777777" w:rsidR="00D233DF" w:rsidRDefault="00587817" w:rsidP="007354F9">
      <w:r>
        <w:t>A contact group was set up prior to this modelling taking place, and it ultimately chose this methodology to calculate the current value of the EAF, 0.537 tCO</w:t>
      </w:r>
      <w:r>
        <w:rPr>
          <w:vertAlign w:val="subscript"/>
        </w:rPr>
        <w:t>2</w:t>
      </w:r>
      <w:r>
        <w:t>/MWh.</w:t>
      </w:r>
      <w:r w:rsidR="0066350C">
        <w:t xml:space="preserve">  </w:t>
      </w:r>
    </w:p>
    <w:p w14:paraId="32593B07" w14:textId="77777777" w:rsidR="00D233DF" w:rsidRDefault="00D233DF" w:rsidP="007354F9"/>
    <w:p w14:paraId="5E4F3F59" w14:textId="403D6852" w:rsidR="00587817" w:rsidRPr="00587817" w:rsidRDefault="0066350C" w:rsidP="007354F9">
      <w:r>
        <w:t xml:space="preserve">However, </w:t>
      </w:r>
      <w:r w:rsidR="00D233DF">
        <w:t xml:space="preserve">a wide </w:t>
      </w:r>
      <w:r>
        <w:t xml:space="preserve">range of scenarios </w:t>
      </w:r>
      <w:r w:rsidR="00D233DF">
        <w:t xml:space="preserve">were </w:t>
      </w:r>
      <w:r>
        <w:t>modelled</w:t>
      </w:r>
      <w:r w:rsidR="00D233DF">
        <w:t>,</w:t>
      </w:r>
      <w:r>
        <w:t xml:space="preserve"> includ</w:t>
      </w:r>
      <w:r w:rsidR="00D233DF">
        <w:t>ing</w:t>
      </w:r>
      <w:r>
        <w:t xml:space="preserve"> some in which large t</w:t>
      </w:r>
      <w:r w:rsidR="00D233DF">
        <w:t>he</w:t>
      </w:r>
      <w:r>
        <w:t xml:space="preserve">rmal plant </w:t>
      </w:r>
      <w:r w:rsidR="00D233DF">
        <w:t xml:space="preserve">either </w:t>
      </w:r>
      <w:r>
        <w:t>retired</w:t>
      </w:r>
      <w:r w:rsidR="00D233DF">
        <w:t xml:space="preserve"> or changed operating status</w:t>
      </w:r>
      <w:r w:rsidR="00D233DF">
        <w:rPr>
          <w:rStyle w:val="FootnoteReference"/>
        </w:rPr>
        <w:footnoteReference w:id="7"/>
      </w:r>
      <w:r w:rsidR="00D233DF">
        <w:t>, and these produced a wide range of EAFs.  Ultimately, the contact group had to come to a consensus over which scenarios to include in the averaging to obtain the new EAF, and some were simply ignored.</w:t>
      </w:r>
    </w:p>
    <w:p w14:paraId="512C31DC" w14:textId="77777777" w:rsidR="00312AF2" w:rsidRDefault="00312AF2"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5759B8C8" w14:textId="77777777" w:rsidTr="0066350C">
        <w:tc>
          <w:tcPr>
            <w:tcW w:w="4247" w:type="dxa"/>
            <w:shd w:val="clear" w:color="auto" w:fill="595959" w:themeFill="text1" w:themeFillTint="A6"/>
          </w:tcPr>
          <w:p w14:paraId="3A7A95C5"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0BD0765E"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32064029" w14:textId="77777777" w:rsidTr="0066350C">
        <w:tc>
          <w:tcPr>
            <w:tcW w:w="4247" w:type="dxa"/>
          </w:tcPr>
          <w:p w14:paraId="2812B92F" w14:textId="662186AE" w:rsidR="00BB750A" w:rsidRPr="00BB750A" w:rsidRDefault="00BB750A"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 xml:space="preserve">The modelling approach used SRMC in generator costs but was explicit in using the current definition of the </w:t>
            </w:r>
            <w:r w:rsidR="00312AF2">
              <w:rPr>
                <w:rFonts w:asciiTheme="minorHAnsi" w:hAnsiTheme="minorHAnsi" w:cstheme="minorHAnsi"/>
                <w:sz w:val="18"/>
                <w:szCs w:val="18"/>
              </w:rPr>
              <w:t>EAF and average prices</w:t>
            </w:r>
          </w:p>
        </w:tc>
        <w:tc>
          <w:tcPr>
            <w:tcW w:w="4248" w:type="dxa"/>
          </w:tcPr>
          <w:p w14:paraId="71570275" w14:textId="0826379C" w:rsidR="00BB750A" w:rsidRPr="00BB750A" w:rsidRDefault="00BB750A"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Requires an alternative evolution of the electricity market without a carbon cost</w:t>
            </w:r>
          </w:p>
        </w:tc>
      </w:tr>
    </w:tbl>
    <w:p w14:paraId="35AFB6D1" w14:textId="77777777" w:rsidR="00B5492B" w:rsidRPr="007354F9" w:rsidRDefault="00B5492B" w:rsidP="007354F9"/>
    <w:p w14:paraId="07C70C88" w14:textId="60EB8BB5" w:rsidR="007354F9" w:rsidRDefault="007354F9" w:rsidP="007354F9">
      <w:pPr>
        <w:pStyle w:val="Heading2"/>
      </w:pPr>
      <w:bookmarkStart w:id="17" w:name="_Ref41721494"/>
      <w:bookmarkStart w:id="18" w:name="_Toc46156015"/>
      <w:r>
        <w:lastRenderedPageBreak/>
        <w:t>Electricity purchase cost impact – Cournot</w:t>
      </w:r>
      <w:bookmarkEnd w:id="17"/>
      <w:bookmarkEnd w:id="18"/>
    </w:p>
    <w:p w14:paraId="475B8016" w14:textId="482FC068" w:rsidR="006C4E8B" w:rsidRDefault="006C4E8B" w:rsidP="006C4E8B">
      <w:r>
        <w:t xml:space="preserve">As in section </w:t>
      </w:r>
      <w:r>
        <w:fldChar w:fldCharType="begin"/>
      </w:r>
      <w:r>
        <w:instrText xml:space="preserve"> REF _Ref41722335 \r \h </w:instrText>
      </w:r>
      <w:r>
        <w:fldChar w:fldCharType="separate"/>
      </w:r>
      <w:r w:rsidR="00CF7917">
        <w:t>4.3</w:t>
      </w:r>
      <w:r>
        <w:fldChar w:fldCharType="end"/>
      </w:r>
      <w:r>
        <w:t>, this methodology required a forecast of market prices as the factual, and a counterfactual in which the electricity market evolved without a carbon cost.</w:t>
      </w:r>
    </w:p>
    <w:p w14:paraId="03B621C1" w14:textId="7D39AC65" w:rsidR="006C4E8B" w:rsidRDefault="006C4E8B" w:rsidP="006C4E8B"/>
    <w:p w14:paraId="2897A33E" w14:textId="10022D72" w:rsidR="006C4E8B" w:rsidRPr="006C4E8B" w:rsidRDefault="00940FE8" w:rsidP="006C4E8B">
      <w:r>
        <w:t>This methodology produced higher prices overall than the SRMC method, but lower price differences between the factual and counterfactual prices, resulting in a lower EAF.  Cournot models of market behaviour assume market participants will make use of an</w:t>
      </w:r>
      <w:r w:rsidR="00826D56">
        <w:t>y</w:t>
      </w:r>
      <w:r>
        <w:t xml:space="preserve"> market power they may have, which is not necessarily consistent with the behaviour actually observed in electricity markets.</w:t>
      </w:r>
    </w:p>
    <w:p w14:paraId="0112C0FA" w14:textId="34D82FE6"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7B36971E" w14:textId="77777777" w:rsidTr="0066350C">
        <w:tc>
          <w:tcPr>
            <w:tcW w:w="4247" w:type="dxa"/>
            <w:shd w:val="clear" w:color="auto" w:fill="595959" w:themeFill="text1" w:themeFillTint="A6"/>
          </w:tcPr>
          <w:p w14:paraId="29BCB422"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47574D20"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56E99821" w14:textId="77777777" w:rsidTr="0066350C">
        <w:tc>
          <w:tcPr>
            <w:tcW w:w="4247" w:type="dxa"/>
          </w:tcPr>
          <w:p w14:paraId="78505993" w14:textId="335C628C" w:rsidR="00BB750A" w:rsidRPr="00BB750A" w:rsidRDefault="006C4E8B"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Based on a relatively simple theoretical model of market behaviour in oligopoly markets</w:t>
            </w:r>
            <w:r w:rsidR="003B1C69">
              <w:rPr>
                <w:rStyle w:val="FootnoteReference"/>
                <w:rFonts w:asciiTheme="minorHAnsi" w:hAnsiTheme="minorHAnsi" w:cstheme="minorHAnsi"/>
                <w:sz w:val="18"/>
                <w:szCs w:val="18"/>
              </w:rPr>
              <w:footnoteReference w:id="8"/>
            </w:r>
          </w:p>
        </w:tc>
        <w:tc>
          <w:tcPr>
            <w:tcW w:w="4248" w:type="dxa"/>
          </w:tcPr>
          <w:p w14:paraId="6F775BED" w14:textId="77777777" w:rsidR="00BB750A" w:rsidRDefault="00BB750A"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Requires an alternative evolution of the electricity market without a carbon cost</w:t>
            </w:r>
          </w:p>
          <w:p w14:paraId="3D894A06" w14:textId="7DDEA1A1" w:rsidR="00BB750A" w:rsidRPr="00BB750A" w:rsidRDefault="00BB750A"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 xml:space="preserve">Cournot modelling is based on a model of the </w:t>
            </w:r>
            <w:r w:rsidR="006C4E8B">
              <w:rPr>
                <w:rFonts w:asciiTheme="minorHAnsi" w:hAnsiTheme="minorHAnsi" w:cstheme="minorHAnsi"/>
                <w:sz w:val="18"/>
                <w:szCs w:val="18"/>
              </w:rPr>
              <w:t xml:space="preserve">oligopolistic </w:t>
            </w:r>
            <w:r>
              <w:rPr>
                <w:rFonts w:asciiTheme="minorHAnsi" w:hAnsiTheme="minorHAnsi" w:cstheme="minorHAnsi"/>
                <w:sz w:val="18"/>
                <w:szCs w:val="18"/>
              </w:rPr>
              <w:t>electricity market which may not reflect actual market behaviour, leading to overestimates of prices</w:t>
            </w:r>
          </w:p>
        </w:tc>
      </w:tr>
    </w:tbl>
    <w:p w14:paraId="64B25D93" w14:textId="77777777" w:rsidR="00BB750A" w:rsidRPr="007354F9" w:rsidRDefault="00BB750A" w:rsidP="007354F9"/>
    <w:p w14:paraId="7A386F61" w14:textId="2E7FEB75" w:rsidR="007354F9" w:rsidRDefault="007354F9" w:rsidP="007354F9">
      <w:pPr>
        <w:pStyle w:val="Heading2"/>
      </w:pPr>
      <w:bookmarkStart w:id="19" w:name="_Ref41721506"/>
      <w:bookmarkStart w:id="20" w:name="_Toc46156016"/>
      <w:r>
        <w:t>New generation cost impact</w:t>
      </w:r>
      <w:bookmarkEnd w:id="19"/>
      <w:bookmarkEnd w:id="20"/>
    </w:p>
    <w:p w14:paraId="7C78A637" w14:textId="5762BE91" w:rsidR="00940FE8" w:rsidRDefault="00587817" w:rsidP="00940FE8">
      <w:r>
        <w:t>This methodology uses only the LRMCs to calculate factual and counterfactual build schedules.  It is then assumed that electricity prices will be driven directly by the LRMCs of new plant, and the difference between the average LRMC of new plant in the factual and counterfactual captures the impact of carbon on electricity prices.</w:t>
      </w:r>
    </w:p>
    <w:p w14:paraId="33E3F8CF" w14:textId="5A7DFC8F"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2F84D90B" w14:textId="77777777" w:rsidTr="0066350C">
        <w:tc>
          <w:tcPr>
            <w:tcW w:w="4247" w:type="dxa"/>
            <w:shd w:val="clear" w:color="auto" w:fill="595959" w:themeFill="text1" w:themeFillTint="A6"/>
          </w:tcPr>
          <w:p w14:paraId="764E1FFB"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2E2DD659"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5A0BE947" w14:textId="77777777" w:rsidTr="0066350C">
        <w:tc>
          <w:tcPr>
            <w:tcW w:w="4247" w:type="dxa"/>
          </w:tcPr>
          <w:p w14:paraId="16874421" w14:textId="6C405683" w:rsidR="00BB750A" w:rsidRPr="00BB750A" w:rsidRDefault="00BB750A"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 xml:space="preserve">Does not require </w:t>
            </w:r>
            <w:r w:rsidR="00587817">
              <w:rPr>
                <w:rFonts w:asciiTheme="minorHAnsi" w:hAnsiTheme="minorHAnsi" w:cstheme="minorHAnsi"/>
                <w:sz w:val="18"/>
                <w:szCs w:val="18"/>
              </w:rPr>
              <w:t>detailed modelling of spot prices</w:t>
            </w:r>
          </w:p>
        </w:tc>
        <w:tc>
          <w:tcPr>
            <w:tcW w:w="4248" w:type="dxa"/>
          </w:tcPr>
          <w:p w14:paraId="5E4D6441" w14:textId="1D8C77D1" w:rsidR="00BB750A" w:rsidRPr="00BB750A" w:rsidRDefault="00587817"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 xml:space="preserve">Misses dynamic </w:t>
            </w:r>
            <w:r w:rsidR="00826D56">
              <w:rPr>
                <w:rFonts w:asciiTheme="minorHAnsi" w:hAnsiTheme="minorHAnsi" w:cstheme="minorHAnsi"/>
                <w:sz w:val="18"/>
                <w:szCs w:val="18"/>
              </w:rPr>
              <w:t xml:space="preserve">market </w:t>
            </w:r>
            <w:r>
              <w:rPr>
                <w:rFonts w:asciiTheme="minorHAnsi" w:hAnsiTheme="minorHAnsi" w:cstheme="minorHAnsi"/>
                <w:sz w:val="18"/>
                <w:szCs w:val="18"/>
              </w:rPr>
              <w:t xml:space="preserve">effects </w:t>
            </w:r>
            <w:r w:rsidR="00826D56">
              <w:rPr>
                <w:rFonts w:asciiTheme="minorHAnsi" w:hAnsiTheme="minorHAnsi" w:cstheme="minorHAnsi"/>
                <w:sz w:val="18"/>
                <w:szCs w:val="18"/>
              </w:rPr>
              <w:t xml:space="preserve">caused by </w:t>
            </w:r>
            <w:r>
              <w:rPr>
                <w:rFonts w:asciiTheme="minorHAnsi" w:hAnsiTheme="minorHAnsi" w:cstheme="minorHAnsi"/>
                <w:sz w:val="18"/>
                <w:szCs w:val="18"/>
              </w:rPr>
              <w:t>interactions between market participants or delays in building new plant</w:t>
            </w:r>
          </w:p>
        </w:tc>
      </w:tr>
    </w:tbl>
    <w:p w14:paraId="2E4EDA3C" w14:textId="77777777" w:rsidR="00BB750A" w:rsidRPr="007354F9" w:rsidRDefault="00BB750A" w:rsidP="007354F9"/>
    <w:p w14:paraId="6215E25C" w14:textId="77A5DB92" w:rsidR="007354F9" w:rsidRDefault="007354F9" w:rsidP="007354F9">
      <w:pPr>
        <w:pStyle w:val="Heading2"/>
      </w:pPr>
      <w:bookmarkStart w:id="21" w:name="_Ref41724221"/>
      <w:bookmarkStart w:id="22" w:name="_Toc46156017"/>
      <w:r>
        <w:t>Modified generator offers</w:t>
      </w:r>
      <w:bookmarkEnd w:id="21"/>
      <w:bookmarkEnd w:id="22"/>
    </w:p>
    <w:p w14:paraId="30E555CB" w14:textId="41356F7F" w:rsidR="00587817" w:rsidRDefault="00587817" w:rsidP="00587817">
      <w:r>
        <w:t>The Electricity Authority’s vSPD</w:t>
      </w:r>
      <w:r w:rsidR="00CB6D79">
        <w:rPr>
          <w:rStyle w:val="FootnoteReference"/>
        </w:rPr>
        <w:footnoteReference w:id="9"/>
      </w:r>
      <w:r>
        <w:t xml:space="preserve"> model was used to recalculate half-hourly spot prices for 2016 and 2017 after removing the actual effective carbon cost</w:t>
      </w:r>
      <w:r w:rsidR="00CB6D79">
        <w:t>s</w:t>
      </w:r>
      <w:r w:rsidR="005F686B">
        <w:t xml:space="preserve"> from the actual offers of thermal generators</w:t>
      </w:r>
      <w:r w:rsidR="00252787">
        <w:t xml:space="preserve">.  The effective carbon costs were </w:t>
      </w:r>
      <w:r w:rsidR="00CB6D79">
        <w:t xml:space="preserve">calculated </w:t>
      </w:r>
      <w:r w:rsidR="00252787">
        <w:t xml:space="preserve">using </w:t>
      </w:r>
      <w:r w:rsidR="00CB6D79">
        <w:t xml:space="preserve">the actual </w:t>
      </w:r>
      <w:r w:rsidR="00CB6D79">
        <w:lastRenderedPageBreak/>
        <w:t>prices of NZUs and the subsidies</w:t>
      </w:r>
      <w:r w:rsidR="00CB6D79">
        <w:rPr>
          <w:rStyle w:val="FootnoteReference"/>
        </w:rPr>
        <w:footnoteReference w:id="10"/>
      </w:r>
      <w:r w:rsidR="00CB6D79">
        <w:t xml:space="preserve"> applying in each year</w:t>
      </w:r>
      <w:r>
        <w:t>.</w:t>
      </w:r>
      <w:r w:rsidR="005F686B">
        <w:t xml:space="preserve">  No other adjustments were made to generator offer prices.</w:t>
      </w:r>
    </w:p>
    <w:p w14:paraId="088D85DE" w14:textId="385538A4" w:rsidR="005F686B" w:rsidRDefault="005F686B" w:rsidP="00587817"/>
    <w:p w14:paraId="386ABEC0" w14:textId="26B21F26" w:rsidR="005F686B" w:rsidRPr="00587817" w:rsidRDefault="005F686B" w:rsidP="00587817">
      <w:r>
        <w:t>As a result, hydro generators held prices higher than would be expected in the counterfactual</w:t>
      </w:r>
      <w:r>
        <w:rPr>
          <w:rStyle w:val="FootnoteReference"/>
        </w:rPr>
        <w:footnoteReference w:id="11"/>
      </w:r>
      <w:r>
        <w:t>, so this methodology produced an unrealistically low EAF of 0.1 tCO</w:t>
      </w:r>
      <w:r w:rsidRPr="005F686B">
        <w:rPr>
          <w:vertAlign w:val="subscript"/>
        </w:rPr>
        <w:t>2</w:t>
      </w:r>
      <w:r>
        <w:t>/MWh.</w:t>
      </w:r>
    </w:p>
    <w:p w14:paraId="117E88B0" w14:textId="16013691"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44908B1C" w14:textId="77777777" w:rsidTr="0066350C">
        <w:tc>
          <w:tcPr>
            <w:tcW w:w="4247" w:type="dxa"/>
            <w:shd w:val="clear" w:color="auto" w:fill="595959" w:themeFill="text1" w:themeFillTint="A6"/>
          </w:tcPr>
          <w:p w14:paraId="09525EFD"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3812CEB3"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4301B051" w14:textId="77777777" w:rsidTr="0066350C">
        <w:tc>
          <w:tcPr>
            <w:tcW w:w="4247" w:type="dxa"/>
          </w:tcPr>
          <w:p w14:paraId="78358217" w14:textId="77777777" w:rsidR="00BB750A" w:rsidRPr="00BB750A" w:rsidRDefault="00BB750A" w:rsidP="00826D56">
            <w:pPr>
              <w:pStyle w:val="ListParagraph"/>
              <w:keepNext/>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Does not require an alternative evolution of the electricity market without a carbon cost</w:t>
            </w:r>
          </w:p>
        </w:tc>
        <w:tc>
          <w:tcPr>
            <w:tcW w:w="4248" w:type="dxa"/>
          </w:tcPr>
          <w:p w14:paraId="37CCB327" w14:textId="2DEC7542" w:rsidR="00BB750A" w:rsidRPr="00BB750A" w:rsidRDefault="005F686B" w:rsidP="00826D56">
            <w:pPr>
              <w:pStyle w:val="ListParagraph"/>
              <w:keepNext/>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 xml:space="preserve">Does not take account </w:t>
            </w:r>
            <w:r w:rsidR="00826D56">
              <w:rPr>
                <w:rFonts w:asciiTheme="minorHAnsi" w:hAnsiTheme="minorHAnsi" w:cstheme="minorHAnsi"/>
                <w:sz w:val="18"/>
                <w:szCs w:val="18"/>
              </w:rPr>
              <w:t xml:space="preserve">of the impact </w:t>
            </w:r>
            <w:r>
              <w:rPr>
                <w:rFonts w:asciiTheme="minorHAnsi" w:hAnsiTheme="minorHAnsi" w:cstheme="minorHAnsi"/>
                <w:sz w:val="18"/>
                <w:szCs w:val="18"/>
              </w:rPr>
              <w:t>on water values of lower thermal generator offers, resulting in unrealistically high offer prices for hydro generators</w:t>
            </w:r>
          </w:p>
        </w:tc>
      </w:tr>
    </w:tbl>
    <w:p w14:paraId="4797101F" w14:textId="77777777" w:rsidR="00BB750A" w:rsidRPr="007354F9" w:rsidRDefault="00BB750A" w:rsidP="007354F9"/>
    <w:p w14:paraId="7C99C2A7" w14:textId="2CC55580" w:rsidR="007354F9" w:rsidRDefault="007354F9" w:rsidP="007354F9">
      <w:pPr>
        <w:pStyle w:val="Heading2"/>
      </w:pPr>
      <w:bookmarkStart w:id="23" w:name="_Ref41724343"/>
      <w:bookmarkStart w:id="24" w:name="_Toc46156018"/>
      <w:r>
        <w:t>Modified generator and hydro offers</w:t>
      </w:r>
      <w:bookmarkEnd w:id="23"/>
      <w:bookmarkEnd w:id="24"/>
    </w:p>
    <w:p w14:paraId="296DE811" w14:textId="598FEB2F" w:rsidR="005F686B" w:rsidRPr="005F686B" w:rsidRDefault="005F686B" w:rsidP="005F686B">
      <w:r>
        <w:t xml:space="preserve">The methodology in section </w:t>
      </w:r>
      <w:r>
        <w:fldChar w:fldCharType="begin"/>
      </w:r>
      <w:r>
        <w:instrText xml:space="preserve"> REF _Ref41724221 \r \h </w:instrText>
      </w:r>
      <w:r>
        <w:fldChar w:fldCharType="separate"/>
      </w:r>
      <w:r w:rsidR="00CF7917">
        <w:t>4.6</w:t>
      </w:r>
      <w:r>
        <w:fldChar w:fldCharType="end"/>
      </w:r>
      <w:r>
        <w:t xml:space="preserve"> was modified by adjusting hydro offers in the counterfactual scenario without carbon costs, and produced a more realistic EAF of 0.48 tCO</w:t>
      </w:r>
      <w:r w:rsidRPr="005F686B">
        <w:rPr>
          <w:vertAlign w:val="subscript"/>
        </w:rPr>
        <w:t>2</w:t>
      </w:r>
      <w:r>
        <w:t>/MWh.  The hydro adjustment</w:t>
      </w:r>
      <w:r w:rsidR="00EC6008">
        <w:t xml:space="preserve"> was in proportion to the </w:t>
      </w:r>
      <w:r w:rsidR="00EC6008" w:rsidRPr="00EC6008">
        <w:t xml:space="preserve">reduction in </w:t>
      </w:r>
      <w:r w:rsidR="00EC6008">
        <w:t xml:space="preserve">the offer prices of </w:t>
      </w:r>
      <w:r w:rsidR="00EC6008" w:rsidRPr="00EC6008">
        <w:t>thermal generation</w:t>
      </w:r>
      <w:r w:rsidR="00EC6008">
        <w:t xml:space="preserve"> that was likely to be marginal in any given vSPD solve</w:t>
      </w:r>
      <w:r>
        <w:t>.</w:t>
      </w:r>
    </w:p>
    <w:p w14:paraId="63C4A479" w14:textId="32D5E267"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1CD762B6" w14:textId="77777777" w:rsidTr="0066350C">
        <w:tc>
          <w:tcPr>
            <w:tcW w:w="4247" w:type="dxa"/>
            <w:shd w:val="clear" w:color="auto" w:fill="595959" w:themeFill="text1" w:themeFillTint="A6"/>
          </w:tcPr>
          <w:p w14:paraId="13D1111F"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568A9087"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0BD3AE23" w14:textId="77777777" w:rsidTr="0066350C">
        <w:tc>
          <w:tcPr>
            <w:tcW w:w="4247" w:type="dxa"/>
          </w:tcPr>
          <w:p w14:paraId="1BAA4F65" w14:textId="77777777" w:rsidR="00BB750A" w:rsidRDefault="00BB750A"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Does not require an alternative evolution of the electricity market without a carbon cost</w:t>
            </w:r>
          </w:p>
          <w:p w14:paraId="0DF2A787" w14:textId="55EAD39F" w:rsidR="005F686B" w:rsidRPr="00BB750A" w:rsidRDefault="005F686B"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Makes an adjustment to hydro offer prices in the counterfactual in line with lower offers from marginal thermal generators</w:t>
            </w:r>
          </w:p>
        </w:tc>
        <w:tc>
          <w:tcPr>
            <w:tcW w:w="4248" w:type="dxa"/>
          </w:tcPr>
          <w:p w14:paraId="31119D7E" w14:textId="0EC58E2A" w:rsidR="00BB750A" w:rsidRPr="00BB750A" w:rsidRDefault="00EC6008"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The hydro adjustment is not a re-optimisation of the value of water in storage lakes.</w:t>
            </w:r>
          </w:p>
        </w:tc>
      </w:tr>
    </w:tbl>
    <w:p w14:paraId="525B4E20" w14:textId="77777777" w:rsidR="00BB750A" w:rsidRPr="007354F9" w:rsidRDefault="00BB750A" w:rsidP="007354F9"/>
    <w:p w14:paraId="31CD7BB4" w14:textId="1A61AF54" w:rsidR="007354F9" w:rsidRDefault="007354F9" w:rsidP="007354F9">
      <w:pPr>
        <w:pStyle w:val="Heading2"/>
      </w:pPr>
      <w:bookmarkStart w:id="25" w:name="_Ref41809621"/>
      <w:bookmarkStart w:id="26" w:name="_Toc46156019"/>
      <w:r>
        <w:t>Modified generator and hydro offers with thermal quantity reduction</w:t>
      </w:r>
      <w:bookmarkEnd w:id="25"/>
      <w:bookmarkEnd w:id="26"/>
    </w:p>
    <w:p w14:paraId="172065AB" w14:textId="5001D42D" w:rsidR="005F686B" w:rsidRPr="005F686B" w:rsidRDefault="005F686B" w:rsidP="005F686B">
      <w:r>
        <w:t xml:space="preserve">The methodology in section </w:t>
      </w:r>
      <w:r>
        <w:fldChar w:fldCharType="begin"/>
      </w:r>
      <w:r>
        <w:instrText xml:space="preserve"> REF _Ref41724343 \r \h </w:instrText>
      </w:r>
      <w:r>
        <w:fldChar w:fldCharType="separate"/>
      </w:r>
      <w:r w:rsidR="00CF7917">
        <w:t>4.7</w:t>
      </w:r>
      <w:r>
        <w:fldChar w:fldCharType="end"/>
      </w:r>
      <w:r>
        <w:t xml:space="preserve"> was modified by </w:t>
      </w:r>
      <w:r w:rsidRPr="005F686B">
        <w:t>reduc</w:t>
      </w:r>
      <w:r>
        <w:t>ing</w:t>
      </w:r>
      <w:r w:rsidRPr="005F686B">
        <w:t xml:space="preserve"> </w:t>
      </w:r>
      <w:r>
        <w:t>the</w:t>
      </w:r>
      <w:r w:rsidRPr="005F686B">
        <w:t xml:space="preserve"> quantity of low-priced thermal generation offered into the market</w:t>
      </w:r>
      <w:r>
        <w:t>, which was</w:t>
      </w:r>
      <w:r w:rsidRPr="005F686B">
        <w:t xml:space="preserve"> based on observ</w:t>
      </w:r>
      <w:r>
        <w:t>ations</w:t>
      </w:r>
      <w:r w:rsidRPr="005F686B">
        <w:t xml:space="preserve"> </w:t>
      </w:r>
      <w:r>
        <w:t xml:space="preserve">of </w:t>
      </w:r>
      <w:r w:rsidRPr="005F686B">
        <w:t xml:space="preserve">historical </w:t>
      </w:r>
      <w:r>
        <w:t xml:space="preserve">market </w:t>
      </w:r>
      <w:r w:rsidRPr="005F686B">
        <w:t>behaviour</w:t>
      </w:r>
      <w:r>
        <w:t>, and produced an EAF of 0.42 tCO</w:t>
      </w:r>
      <w:r w:rsidRPr="005F686B">
        <w:rPr>
          <w:vertAlign w:val="subscript"/>
        </w:rPr>
        <w:t>2</w:t>
      </w:r>
      <w:r>
        <w:t>/MWh.</w:t>
      </w:r>
    </w:p>
    <w:p w14:paraId="6D8352A4" w14:textId="52CC3381"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7CABDE6B" w14:textId="77777777" w:rsidTr="0066350C">
        <w:tc>
          <w:tcPr>
            <w:tcW w:w="4247" w:type="dxa"/>
            <w:shd w:val="clear" w:color="auto" w:fill="595959" w:themeFill="text1" w:themeFillTint="A6"/>
          </w:tcPr>
          <w:p w14:paraId="0EE3BDD7"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51F69B2D"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5CD877AF" w14:textId="77777777" w:rsidTr="0066350C">
        <w:tc>
          <w:tcPr>
            <w:tcW w:w="4247" w:type="dxa"/>
          </w:tcPr>
          <w:p w14:paraId="68809D3D" w14:textId="77777777" w:rsidR="00BB750A" w:rsidRPr="00BB750A" w:rsidRDefault="00BB750A"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Does not require an alternative evolution of the electricity market without a carbon cost</w:t>
            </w:r>
          </w:p>
        </w:tc>
        <w:tc>
          <w:tcPr>
            <w:tcW w:w="4248" w:type="dxa"/>
          </w:tcPr>
          <w:p w14:paraId="291D1C6E" w14:textId="40C111AD" w:rsidR="00BB750A" w:rsidRPr="00BB750A" w:rsidRDefault="00EC6008"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The hydro adjustment is not a re-optimisation of the value of water in storage lakes.</w:t>
            </w:r>
          </w:p>
        </w:tc>
      </w:tr>
    </w:tbl>
    <w:p w14:paraId="54F1B7B6" w14:textId="77777777" w:rsidR="00826D56" w:rsidRDefault="00826D56" w:rsidP="00826D56">
      <w:bookmarkStart w:id="27" w:name="_Ref41727665"/>
      <w:bookmarkStart w:id="28" w:name="_Ref41728092"/>
    </w:p>
    <w:p w14:paraId="7EE0BDF1" w14:textId="6013069E" w:rsidR="00BB750A" w:rsidRDefault="00EC6008" w:rsidP="00EC6008">
      <w:pPr>
        <w:pStyle w:val="Heading2"/>
      </w:pPr>
      <w:bookmarkStart w:id="29" w:name="_Ref42020389"/>
      <w:bookmarkStart w:id="30" w:name="_Toc46156020"/>
      <w:r w:rsidRPr="007354F9">
        <w:lastRenderedPageBreak/>
        <w:t>Electricity purchase cost impact</w:t>
      </w:r>
      <w:bookmarkEnd w:id="27"/>
      <w:bookmarkEnd w:id="28"/>
      <w:bookmarkEnd w:id="29"/>
      <w:bookmarkEnd w:id="30"/>
    </w:p>
    <w:p w14:paraId="18622331" w14:textId="2FC44570" w:rsidR="00EC6008" w:rsidRDefault="00EC6008" w:rsidP="00EC6008">
      <w:r>
        <w:t xml:space="preserve">This methodology is based on the methodology outlined in section </w:t>
      </w:r>
      <w:r>
        <w:fldChar w:fldCharType="begin"/>
      </w:r>
      <w:r>
        <w:instrText xml:space="preserve"> REF _Ref41722335 \r \h </w:instrText>
      </w:r>
      <w:r>
        <w:fldChar w:fldCharType="separate"/>
      </w:r>
      <w:r w:rsidR="00CF7917">
        <w:t>4.3</w:t>
      </w:r>
      <w:r>
        <w:fldChar w:fldCharType="end"/>
      </w:r>
      <w:r>
        <w:t xml:space="preserve"> and also uses an LRMC-based model to produce build schedules</w:t>
      </w:r>
      <w:r w:rsidR="00252787">
        <w:t xml:space="preserve"> for new plant</w:t>
      </w:r>
      <w:r>
        <w:t xml:space="preserve">, </w:t>
      </w:r>
      <w:r w:rsidR="0066350C">
        <w:t>which are then added to existing plant</w:t>
      </w:r>
      <w:r w:rsidR="00F468C2">
        <w:t>.</w:t>
      </w:r>
      <w:r w:rsidR="0066350C">
        <w:t xml:space="preserve"> </w:t>
      </w:r>
      <w:r w:rsidR="00F468C2">
        <w:t>T</w:t>
      </w:r>
      <w:r>
        <w:t xml:space="preserve">he </w:t>
      </w:r>
      <w:r w:rsidR="0066350C">
        <w:t>market is modelled using thermal offers with offer structures observed over many years in the market: these are not purely based on generator SRMC</w:t>
      </w:r>
      <w:r w:rsidR="0066350C">
        <w:rPr>
          <w:rStyle w:val="FootnoteReference"/>
        </w:rPr>
        <w:footnoteReference w:id="12"/>
      </w:r>
      <w:r w:rsidR="0066350C">
        <w:t>.</w:t>
      </w:r>
    </w:p>
    <w:p w14:paraId="739AF9A3" w14:textId="1B67C845" w:rsidR="0066350C" w:rsidRDefault="0066350C" w:rsidP="00EC6008"/>
    <w:p w14:paraId="777AC1D3" w14:textId="16D61004" w:rsidR="0066350C" w:rsidRDefault="0066350C" w:rsidP="00EC6008">
      <w:r>
        <w:t xml:space="preserve">This was the methodology used early in 2020 and described in </w:t>
      </w:r>
      <w:sdt>
        <w:sdtPr>
          <w:id w:val="1603608196"/>
          <w:citation/>
        </w:sdtPr>
        <w:sdtEndPr/>
        <w:sdtContent>
          <w:r>
            <w:fldChar w:fldCharType="begin"/>
          </w:r>
          <w:r>
            <w:rPr>
              <w:lang w:val="en-US"/>
            </w:rPr>
            <w:instrText xml:space="preserve"> CITATION Ene20 \l 1033 </w:instrText>
          </w:r>
          <w:r>
            <w:fldChar w:fldCharType="separate"/>
          </w:r>
          <w:r w:rsidR="00CF7917" w:rsidRPr="00CF7917">
            <w:rPr>
              <w:noProof/>
              <w:lang w:val="en-US"/>
            </w:rPr>
            <w:t>(Energy Link, 2020)</w:t>
          </w:r>
          <w:r>
            <w:fldChar w:fldCharType="end"/>
          </w:r>
        </w:sdtContent>
      </w:sdt>
      <w:r w:rsidR="00F468C2">
        <w:t>,</w:t>
      </w:r>
      <w:r>
        <w:t xml:space="preserve"> produc</w:t>
      </w:r>
      <w:r w:rsidR="00F468C2">
        <w:t>ing</w:t>
      </w:r>
      <w:r>
        <w:t xml:space="preserve"> a final recommendation of 0.472 tCO</w:t>
      </w:r>
      <w:r>
        <w:rPr>
          <w:vertAlign w:val="subscript"/>
        </w:rPr>
        <w:t>2</w:t>
      </w:r>
      <w:r>
        <w:t>/MWh, although this value has not yet been adopted.</w:t>
      </w:r>
    </w:p>
    <w:p w14:paraId="4F217BBC" w14:textId="5294ABD8" w:rsidR="0066350C" w:rsidRDefault="0066350C" w:rsidP="00EC6008"/>
    <w:p w14:paraId="2C91616D" w14:textId="523230FC" w:rsidR="0066350C" w:rsidRDefault="00D233DF" w:rsidP="00EC6008">
      <w:r>
        <w:t xml:space="preserve">The range of scenarios was limited relative to the modelling undertaken in 2011 (see section </w:t>
      </w:r>
      <w:r>
        <w:fldChar w:fldCharType="begin"/>
      </w:r>
      <w:r>
        <w:instrText xml:space="preserve"> REF _Ref41722335 \r \h </w:instrText>
      </w:r>
      <w:r>
        <w:fldChar w:fldCharType="separate"/>
      </w:r>
      <w:r w:rsidR="00CF7917">
        <w:t>4.3</w:t>
      </w:r>
      <w:r>
        <w:fldChar w:fldCharType="end"/>
      </w:r>
      <w:r>
        <w:t>) to avoid having an excessively wide range of EAFs contributing to the final average EAF.  However, this was done with the recommendation that if any major event occurred, such as retirement of a large thermal plant or closure of the Tiwai Pt aluminium smelter, this would trigger a recalculation of the EAF.</w:t>
      </w:r>
    </w:p>
    <w:p w14:paraId="10577B59" w14:textId="0723C8FF" w:rsidR="00B01EF0" w:rsidRDefault="00B01EF0" w:rsidP="00EC6008"/>
    <w:p w14:paraId="02E292F1" w14:textId="1B4EC3D8" w:rsidR="00B01EF0" w:rsidRPr="0066350C" w:rsidRDefault="00B01EF0" w:rsidP="00EC6008">
      <w:r>
        <w:t>The counterfactual was developed by running an alternative build schedule from 2009 to the end of 2019, thus producing the starting plant mix.</w:t>
      </w:r>
    </w:p>
    <w:p w14:paraId="3277E488" w14:textId="1DB1A95E" w:rsidR="00EC6008" w:rsidRDefault="00EC6008" w:rsidP="00EC60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EC6008" w:rsidRPr="00B5492B" w14:paraId="067B7F7F" w14:textId="77777777" w:rsidTr="0066350C">
        <w:tc>
          <w:tcPr>
            <w:tcW w:w="4247" w:type="dxa"/>
            <w:shd w:val="clear" w:color="auto" w:fill="595959" w:themeFill="text1" w:themeFillTint="A6"/>
          </w:tcPr>
          <w:p w14:paraId="0073F0BB" w14:textId="77777777" w:rsidR="00EC6008" w:rsidRPr="00B5492B" w:rsidRDefault="00EC6008" w:rsidP="0066350C">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7AE6E210" w14:textId="77777777" w:rsidR="00EC6008" w:rsidRPr="00B5492B" w:rsidRDefault="00EC6008" w:rsidP="0066350C">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EC6008" w:rsidRPr="00B5492B" w14:paraId="652B5D6B" w14:textId="77777777" w:rsidTr="0066350C">
        <w:tc>
          <w:tcPr>
            <w:tcW w:w="4247" w:type="dxa"/>
          </w:tcPr>
          <w:p w14:paraId="4AD6D792" w14:textId="7E1436B0" w:rsidR="00EC6008" w:rsidRPr="00BB750A" w:rsidRDefault="00D233DF"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C</w:t>
            </w:r>
            <w:r w:rsidR="0066350C">
              <w:rPr>
                <w:rFonts w:asciiTheme="minorHAnsi" w:hAnsiTheme="minorHAnsi" w:cstheme="minorHAnsi"/>
                <w:sz w:val="18"/>
                <w:szCs w:val="18"/>
              </w:rPr>
              <w:t>apable of capturing both the impact of LRMC on build schedules and the dynamic behaviour of spot market participants</w:t>
            </w:r>
          </w:p>
        </w:tc>
        <w:tc>
          <w:tcPr>
            <w:tcW w:w="4248" w:type="dxa"/>
          </w:tcPr>
          <w:p w14:paraId="2F18CADD" w14:textId="1BCBCB9C" w:rsidR="00EC6008" w:rsidRPr="00BB750A" w:rsidRDefault="0066350C"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Requires a fully developed alternative evolution of the electricity market without a carbon cost</w:t>
            </w:r>
            <w:r w:rsidR="00B01EF0">
              <w:rPr>
                <w:rFonts w:asciiTheme="minorHAnsi" w:hAnsiTheme="minorHAnsi" w:cstheme="minorHAnsi"/>
                <w:sz w:val="18"/>
                <w:szCs w:val="18"/>
              </w:rPr>
              <w:t>, dating back to 2009</w:t>
            </w:r>
          </w:p>
        </w:tc>
      </w:tr>
    </w:tbl>
    <w:p w14:paraId="438304BD" w14:textId="77777777" w:rsidR="00F468C2" w:rsidRDefault="00F468C2" w:rsidP="00F468C2">
      <w:bookmarkStart w:id="31" w:name="_Ref41809496"/>
      <w:bookmarkStart w:id="32" w:name="_Ref41809509"/>
    </w:p>
    <w:p w14:paraId="330F65C2" w14:textId="7B388CEB" w:rsidR="007354F9" w:rsidRDefault="007354F9" w:rsidP="007354F9">
      <w:pPr>
        <w:pStyle w:val="Heading2"/>
      </w:pPr>
      <w:bookmarkStart w:id="33" w:name="_Ref42020338"/>
      <w:bookmarkStart w:id="34" w:name="_Toc46156021"/>
      <w:r>
        <w:t>Actual market with and without carbon</w:t>
      </w:r>
      <w:bookmarkEnd w:id="31"/>
      <w:bookmarkEnd w:id="32"/>
      <w:bookmarkEnd w:id="33"/>
      <w:bookmarkEnd w:id="34"/>
    </w:p>
    <w:p w14:paraId="6A19B2BA" w14:textId="47DAE82A" w:rsidR="00D233DF" w:rsidRDefault="00CE214F" w:rsidP="00D233DF">
      <w:r>
        <w:t xml:space="preserve">In principle, this methodology </w:t>
      </w:r>
      <w:r w:rsidR="00FB54DD">
        <w:t xml:space="preserve">is similar to the </w:t>
      </w:r>
      <w:r w:rsidR="00D551D5">
        <w:t xml:space="preserve">methodology trialled in 2018 and outlined in section </w:t>
      </w:r>
      <w:r w:rsidR="00D551D5">
        <w:fldChar w:fldCharType="begin"/>
      </w:r>
      <w:r w:rsidR="00D551D5">
        <w:instrText xml:space="preserve"> REF _Ref41724343 \r \h </w:instrText>
      </w:r>
      <w:r w:rsidR="00D551D5">
        <w:fldChar w:fldCharType="separate"/>
      </w:r>
      <w:r w:rsidR="00CF7917">
        <w:t>4.7</w:t>
      </w:r>
      <w:r w:rsidR="00D551D5">
        <w:fldChar w:fldCharType="end"/>
      </w:r>
      <w:r w:rsidR="00D551D5">
        <w:t xml:space="preserve"> and it was trialled early in 2020 </w:t>
      </w:r>
      <w:sdt>
        <w:sdtPr>
          <w:id w:val="-433899623"/>
          <w:citation/>
        </w:sdtPr>
        <w:sdtEndPr/>
        <w:sdtContent>
          <w:r w:rsidR="00D551D5">
            <w:fldChar w:fldCharType="begin"/>
          </w:r>
          <w:r w:rsidR="00D551D5">
            <w:rPr>
              <w:lang w:val="en-US"/>
            </w:rPr>
            <w:instrText xml:space="preserve"> CITATION Ene20 \l 1033 </w:instrText>
          </w:r>
          <w:r w:rsidR="00D551D5">
            <w:fldChar w:fldCharType="separate"/>
          </w:r>
          <w:r w:rsidR="00CF7917" w:rsidRPr="00CF7917">
            <w:rPr>
              <w:noProof/>
              <w:lang w:val="en-US"/>
            </w:rPr>
            <w:t>(Energy Link, 2020)</w:t>
          </w:r>
          <w:r w:rsidR="00D551D5">
            <w:fldChar w:fldCharType="end"/>
          </w:r>
        </w:sdtContent>
      </w:sdt>
      <w:r w:rsidR="00D551D5">
        <w:t xml:space="preserve">.  </w:t>
      </w:r>
      <w:r w:rsidR="001B2AB2">
        <w:t xml:space="preserve">However, it was run in Energy Link’s </w:t>
      </w:r>
      <w:r w:rsidR="001B2AB2" w:rsidRPr="001B2AB2">
        <w:rPr>
          <w:i/>
          <w:iCs/>
        </w:rPr>
        <w:t>EMarket</w:t>
      </w:r>
      <w:r w:rsidR="001B2AB2">
        <w:t xml:space="preserve"> model which does the market dispatch, and produces spot prices using the same methodology as in the SPD model, </w:t>
      </w:r>
      <w:r w:rsidR="00E2388A">
        <w:t>but also fully optimises water values for stored water, and uses these in modelled offers for hydro generators, along with the impact of the physical structure of the large hydro river chains</w:t>
      </w:r>
      <w:r w:rsidR="00E2388A">
        <w:rPr>
          <w:rStyle w:val="FootnoteReference"/>
        </w:rPr>
        <w:footnoteReference w:id="13"/>
      </w:r>
      <w:r w:rsidR="00E2388A">
        <w:t>.</w:t>
      </w:r>
    </w:p>
    <w:p w14:paraId="766F64BD" w14:textId="2A78AE5B" w:rsidR="00E2388A" w:rsidRDefault="00E2388A" w:rsidP="00D233DF"/>
    <w:p w14:paraId="72C5B119" w14:textId="2376D2DA" w:rsidR="00E2388A" w:rsidRDefault="00E2388A" w:rsidP="00D233DF">
      <w:r>
        <w:lastRenderedPageBreak/>
        <w:t>Actual market prices could have been used</w:t>
      </w:r>
      <w:r w:rsidR="00F468C2">
        <w:t xml:space="preserve"> as the factual</w:t>
      </w:r>
      <w:r>
        <w:t xml:space="preserve">, but </w:t>
      </w:r>
      <w:r w:rsidRPr="00E2388A">
        <w:rPr>
          <w:i/>
          <w:iCs/>
        </w:rPr>
        <w:t>EMarket</w:t>
      </w:r>
      <w:r>
        <w:t xml:space="preserve"> was initially set up to model what actually happened in the market, then carbon costs were removed and </w:t>
      </w:r>
      <w:r w:rsidRPr="00E2388A">
        <w:rPr>
          <w:i/>
          <w:iCs/>
        </w:rPr>
        <w:t>EMarket</w:t>
      </w:r>
      <w:r>
        <w:t xml:space="preserve"> was rerun as the counterfactual.  </w:t>
      </w:r>
      <w:r w:rsidR="0057106C">
        <w:t xml:space="preserve">In principle, it would be possible to set </w:t>
      </w:r>
      <w:r w:rsidR="0057106C" w:rsidRPr="0057106C">
        <w:rPr>
          <w:i/>
          <w:iCs/>
        </w:rPr>
        <w:t>EMarket</w:t>
      </w:r>
      <w:r w:rsidR="0057106C">
        <w:t xml:space="preserve"> up to model the actual market and to produce spot prices which match actual prices almost perfectly, but this would require a large</w:t>
      </w:r>
      <w:r w:rsidR="00F468C2">
        <w:t>r</w:t>
      </w:r>
      <w:r w:rsidR="0057106C">
        <w:t xml:space="preserve"> effort subject to diminishing returns.  Using modelled actual prices reduces the effort</w:t>
      </w:r>
      <w:r w:rsidR="00252787">
        <w:t xml:space="preserve"> required to remove carbon costs from generators’ offers in </w:t>
      </w:r>
      <w:r w:rsidR="00252787" w:rsidRPr="00D6133E">
        <w:rPr>
          <w:i/>
          <w:iCs/>
        </w:rPr>
        <w:t>EMarket</w:t>
      </w:r>
      <w:r w:rsidR="0057106C">
        <w:t>, and ensures that differences between actual market prices, and modelled actual market prices, did not distort the final result.</w:t>
      </w:r>
    </w:p>
    <w:p w14:paraId="437D407A" w14:textId="371F6F46" w:rsidR="0057106C" w:rsidRDefault="0057106C" w:rsidP="00D233DF"/>
    <w:p w14:paraId="4BFC99EF" w14:textId="6F41C995" w:rsidR="0057106C" w:rsidRPr="00D233DF" w:rsidRDefault="00AB2B32" w:rsidP="00D233DF">
      <w:r>
        <w:t>This methodology was trialled on four years from 2016 to 2019 and produced EAFs from 0.312 (2017) to 0.557 (2019).</w:t>
      </w:r>
    </w:p>
    <w:p w14:paraId="26B37126" w14:textId="7774589A" w:rsid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46143734" w14:textId="77777777" w:rsidTr="0066350C">
        <w:tc>
          <w:tcPr>
            <w:tcW w:w="4247" w:type="dxa"/>
            <w:shd w:val="clear" w:color="auto" w:fill="595959" w:themeFill="text1" w:themeFillTint="A6"/>
          </w:tcPr>
          <w:p w14:paraId="2688A162"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62A3EEFC"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2ACDB575" w14:textId="77777777" w:rsidTr="0066350C">
        <w:tc>
          <w:tcPr>
            <w:tcW w:w="4247" w:type="dxa"/>
          </w:tcPr>
          <w:p w14:paraId="05455247" w14:textId="4FF377A2" w:rsidR="00BB750A" w:rsidRDefault="00AB2B32"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 xml:space="preserve">Does not </w:t>
            </w:r>
            <w:r w:rsidR="00BB750A">
              <w:rPr>
                <w:rFonts w:asciiTheme="minorHAnsi" w:hAnsiTheme="minorHAnsi" w:cstheme="minorHAnsi"/>
                <w:sz w:val="18"/>
                <w:szCs w:val="18"/>
              </w:rPr>
              <w:t>require an alternative evolution of the electricity market without a carbon cost</w:t>
            </w:r>
          </w:p>
          <w:p w14:paraId="109690D2" w14:textId="1FBFA8FC" w:rsidR="0057106C" w:rsidRPr="0057106C" w:rsidRDefault="00CE214F" w:rsidP="0057106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Consistent approach to modelling the actual and counterfactual markets</w:t>
            </w:r>
          </w:p>
        </w:tc>
        <w:tc>
          <w:tcPr>
            <w:tcW w:w="4248" w:type="dxa"/>
          </w:tcPr>
          <w:p w14:paraId="7B3E9457" w14:textId="2E12977A" w:rsidR="00BB750A" w:rsidRPr="00BB750A" w:rsidRDefault="0033608D"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Lacks a counterfactual in which there is no carbon cost and never was</w:t>
            </w:r>
            <w:r w:rsidR="00F468C2">
              <w:rPr>
                <w:rFonts w:asciiTheme="minorHAnsi" w:hAnsiTheme="minorHAnsi" w:cstheme="minorHAnsi"/>
                <w:sz w:val="18"/>
                <w:szCs w:val="18"/>
              </w:rPr>
              <w:t>, and never will be</w:t>
            </w:r>
          </w:p>
        </w:tc>
      </w:tr>
    </w:tbl>
    <w:p w14:paraId="4577F897" w14:textId="77777777" w:rsidR="00BB750A" w:rsidRPr="007354F9" w:rsidRDefault="00BB750A" w:rsidP="007354F9"/>
    <w:p w14:paraId="4FEFD8BE" w14:textId="2FF6959D" w:rsidR="007354F9" w:rsidRDefault="007354F9" w:rsidP="007354F9">
      <w:pPr>
        <w:pStyle w:val="Heading2"/>
      </w:pPr>
      <w:bookmarkStart w:id="35" w:name="_Toc46156022"/>
      <w:r>
        <w:t>Actual market versus forecast counterfactual</w:t>
      </w:r>
      <w:bookmarkEnd w:id="35"/>
    </w:p>
    <w:p w14:paraId="21D671D7" w14:textId="328C19C9" w:rsidR="0033608D" w:rsidRDefault="0033608D" w:rsidP="0033608D">
      <w:r>
        <w:t xml:space="preserve">This methodology was also trialled early in 2020 </w:t>
      </w:r>
      <w:sdt>
        <w:sdtPr>
          <w:id w:val="759482774"/>
          <w:citation/>
        </w:sdtPr>
        <w:sdtEndPr/>
        <w:sdtContent>
          <w:r>
            <w:fldChar w:fldCharType="begin"/>
          </w:r>
          <w:r>
            <w:rPr>
              <w:lang w:val="en-US"/>
            </w:rPr>
            <w:instrText xml:space="preserve"> CITATION Ene20 \l 1033 </w:instrText>
          </w:r>
          <w:r>
            <w:fldChar w:fldCharType="separate"/>
          </w:r>
          <w:r w:rsidR="00CF7917" w:rsidRPr="00CF7917">
            <w:rPr>
              <w:noProof/>
              <w:lang w:val="en-US"/>
            </w:rPr>
            <w:t>(Energy Link, 2020)</w:t>
          </w:r>
          <w:r>
            <w:fldChar w:fldCharType="end"/>
          </w:r>
        </w:sdtContent>
      </w:sdt>
      <w:r>
        <w:t>.  It used actual market prices as the factual for the years 2016 to 2019, but the counterfactual data was taken from the counterfactual developed under the ‘</w:t>
      </w:r>
      <w:r w:rsidR="00F468C2">
        <w:t>E</w:t>
      </w:r>
      <w:r w:rsidRPr="0033608D">
        <w:t>lectricity purchase cost impact</w:t>
      </w:r>
      <w:r>
        <w:t xml:space="preserve">’ </w:t>
      </w:r>
      <w:r w:rsidR="00F468C2">
        <w:t xml:space="preserve">methodology </w:t>
      </w:r>
      <w:r>
        <w:t>outlined in section</w:t>
      </w:r>
      <w:r w:rsidR="007E6E9A">
        <w:t xml:space="preserve"> </w:t>
      </w:r>
      <w:r w:rsidR="007E6E9A">
        <w:fldChar w:fldCharType="begin"/>
      </w:r>
      <w:r w:rsidR="007E6E9A">
        <w:instrText xml:space="preserve"> REF _Ref42020389 \r \h </w:instrText>
      </w:r>
      <w:r w:rsidR="007E6E9A">
        <w:fldChar w:fldCharType="separate"/>
      </w:r>
      <w:r w:rsidR="00CF7917">
        <w:t>4.9</w:t>
      </w:r>
      <w:r w:rsidR="007E6E9A">
        <w:fldChar w:fldCharType="end"/>
      </w:r>
      <w:r>
        <w:t>.</w:t>
      </w:r>
    </w:p>
    <w:p w14:paraId="54D2DC6C" w14:textId="385F070F" w:rsidR="0033608D" w:rsidRDefault="0033608D" w:rsidP="0033608D"/>
    <w:p w14:paraId="309E8C8A" w14:textId="76EEF913" w:rsidR="0033608D" w:rsidRDefault="0033608D" w:rsidP="0033608D">
      <w:r>
        <w:t>However, it produced EAFs from -0.1 up to 1.9, and this wide range was significantly influenced by the choice of a counterfactual that was developed under an entirely different</w:t>
      </w:r>
      <w:r w:rsidR="00F468C2">
        <w:t xml:space="preserve"> set of assumptions</w:t>
      </w:r>
      <w:r>
        <w:t>, and the two scenarios were so widely different in their construction that th</w:t>
      </w:r>
      <w:r w:rsidR="00AF6840">
        <w:t xml:space="preserve">is resulted in </w:t>
      </w:r>
      <w:r w:rsidR="00F468C2">
        <w:t xml:space="preserve">large </w:t>
      </w:r>
      <w:r w:rsidR="00AF6840">
        <w:t>errors in the calculated EAFs.</w:t>
      </w:r>
    </w:p>
    <w:p w14:paraId="5C666125" w14:textId="77777777" w:rsidR="0033608D" w:rsidRPr="0033608D" w:rsidRDefault="0033608D" w:rsidP="0033608D"/>
    <w:p w14:paraId="5D1FABC2" w14:textId="77777777" w:rsidR="007354F9" w:rsidRPr="007354F9" w:rsidRDefault="007354F9" w:rsidP="00735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BB750A" w:rsidRPr="00B5492B" w14:paraId="7743FA86" w14:textId="77777777" w:rsidTr="0066350C">
        <w:tc>
          <w:tcPr>
            <w:tcW w:w="4247" w:type="dxa"/>
            <w:shd w:val="clear" w:color="auto" w:fill="595959" w:themeFill="text1" w:themeFillTint="A6"/>
          </w:tcPr>
          <w:p w14:paraId="30B71A0E"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Pros</w:t>
            </w:r>
          </w:p>
        </w:tc>
        <w:tc>
          <w:tcPr>
            <w:tcW w:w="4248" w:type="dxa"/>
            <w:shd w:val="clear" w:color="auto" w:fill="595959" w:themeFill="text1" w:themeFillTint="A6"/>
          </w:tcPr>
          <w:p w14:paraId="7B6F48AC" w14:textId="77777777" w:rsidR="00BB750A" w:rsidRPr="00B5492B" w:rsidRDefault="00BB750A" w:rsidP="00BB750A">
            <w:pPr>
              <w:keepNext/>
              <w:rPr>
                <w:rFonts w:asciiTheme="minorHAnsi" w:hAnsiTheme="minorHAnsi" w:cstheme="minorHAnsi"/>
                <w:b/>
                <w:bCs/>
                <w:color w:val="FFFFFF" w:themeColor="background1"/>
                <w:sz w:val="18"/>
                <w:szCs w:val="18"/>
              </w:rPr>
            </w:pPr>
            <w:r w:rsidRPr="00B5492B">
              <w:rPr>
                <w:rFonts w:asciiTheme="minorHAnsi" w:hAnsiTheme="minorHAnsi" w:cstheme="minorHAnsi"/>
                <w:b/>
                <w:bCs/>
                <w:color w:val="FFFFFF" w:themeColor="background1"/>
                <w:sz w:val="18"/>
                <w:szCs w:val="18"/>
              </w:rPr>
              <w:t>Cons</w:t>
            </w:r>
          </w:p>
        </w:tc>
      </w:tr>
      <w:tr w:rsidR="00BB750A" w:rsidRPr="00B5492B" w14:paraId="2F6D2ED6" w14:textId="77777777" w:rsidTr="0066350C">
        <w:tc>
          <w:tcPr>
            <w:tcW w:w="4247" w:type="dxa"/>
          </w:tcPr>
          <w:p w14:paraId="05EED341" w14:textId="193E21FB" w:rsidR="00BB750A" w:rsidRPr="00BB750A" w:rsidRDefault="0033608D" w:rsidP="0066350C">
            <w:pPr>
              <w:pStyle w:val="ListParagraph"/>
              <w:numPr>
                <w:ilvl w:val="0"/>
                <w:numId w:val="34"/>
              </w:numPr>
              <w:spacing w:before="60"/>
              <w:ind w:left="172" w:hanging="172"/>
              <w:rPr>
                <w:rFonts w:asciiTheme="minorHAnsi" w:hAnsiTheme="minorHAnsi" w:cstheme="minorHAnsi"/>
                <w:sz w:val="18"/>
                <w:szCs w:val="18"/>
              </w:rPr>
            </w:pPr>
            <w:r>
              <w:rPr>
                <w:rFonts w:asciiTheme="minorHAnsi" w:hAnsiTheme="minorHAnsi" w:cstheme="minorHAnsi"/>
                <w:sz w:val="18"/>
                <w:szCs w:val="18"/>
              </w:rPr>
              <w:t>Lack of consistency between factual and counterfactual is likely to introduce large errors, and diverse EAFs, that do not necessarily represent actual EAFs</w:t>
            </w:r>
          </w:p>
        </w:tc>
        <w:tc>
          <w:tcPr>
            <w:tcW w:w="4248" w:type="dxa"/>
          </w:tcPr>
          <w:p w14:paraId="362B1FBC" w14:textId="688C400A" w:rsidR="00BB750A" w:rsidRPr="00BB750A" w:rsidRDefault="0033608D" w:rsidP="0066350C">
            <w:pPr>
              <w:pStyle w:val="ListParagraph"/>
              <w:numPr>
                <w:ilvl w:val="0"/>
                <w:numId w:val="35"/>
              </w:numPr>
              <w:spacing w:before="60"/>
              <w:ind w:left="179" w:hanging="179"/>
              <w:rPr>
                <w:rFonts w:asciiTheme="minorHAnsi" w:hAnsiTheme="minorHAnsi" w:cstheme="minorHAnsi"/>
                <w:sz w:val="18"/>
                <w:szCs w:val="18"/>
              </w:rPr>
            </w:pPr>
            <w:r>
              <w:rPr>
                <w:rFonts w:asciiTheme="minorHAnsi" w:hAnsiTheme="minorHAnsi" w:cstheme="minorHAnsi"/>
                <w:sz w:val="18"/>
                <w:szCs w:val="18"/>
              </w:rPr>
              <w:t>Requires an alternative evolution of the electricity market without a carbon cost</w:t>
            </w:r>
          </w:p>
        </w:tc>
      </w:tr>
    </w:tbl>
    <w:p w14:paraId="02CEBBA5" w14:textId="77777777" w:rsidR="00F468C2" w:rsidRDefault="00F468C2" w:rsidP="00F468C2">
      <w:bookmarkStart w:id="36" w:name="_Ref11683908"/>
      <w:bookmarkEnd w:id="6"/>
    </w:p>
    <w:p w14:paraId="44E180C2" w14:textId="3E70A74B" w:rsidR="000145C7" w:rsidRDefault="000145C7" w:rsidP="000145C7">
      <w:pPr>
        <w:pStyle w:val="Heading1"/>
      </w:pPr>
      <w:bookmarkStart w:id="37" w:name="_Toc46156023"/>
      <w:bookmarkStart w:id="38" w:name="_GoBack"/>
      <w:bookmarkEnd w:id="38"/>
      <w:r>
        <w:t>Discussion and Conclusions</w:t>
      </w:r>
      <w:bookmarkEnd w:id="37"/>
    </w:p>
    <w:p w14:paraId="731FBF22" w14:textId="2652D422" w:rsidR="006B6A60" w:rsidRDefault="007F6DB0" w:rsidP="000145C7">
      <w:r>
        <w:t>The choice of methodology ultimately comes down to two key considerations:</w:t>
      </w:r>
    </w:p>
    <w:p w14:paraId="52A0DDC3" w14:textId="601BAC14" w:rsidR="007F6DB0" w:rsidRDefault="007F6DB0" w:rsidP="007F6DB0">
      <w:pPr>
        <w:pStyle w:val="ListParagraph"/>
        <w:numPr>
          <w:ilvl w:val="0"/>
          <w:numId w:val="36"/>
        </w:numPr>
        <w:spacing w:before="60"/>
        <w:ind w:hanging="567"/>
      </w:pPr>
      <w:r>
        <w:t>should the EAF be forward or backward-looking?</w:t>
      </w:r>
    </w:p>
    <w:p w14:paraId="20A56EA8" w14:textId="2F69121B" w:rsidR="007F6DB0" w:rsidRPr="006B6A60" w:rsidRDefault="007F6DB0" w:rsidP="007F6DB0">
      <w:pPr>
        <w:pStyle w:val="ListParagraph"/>
        <w:numPr>
          <w:ilvl w:val="0"/>
          <w:numId w:val="36"/>
        </w:numPr>
        <w:spacing w:before="60"/>
        <w:ind w:hanging="567"/>
      </w:pPr>
      <w:r>
        <w:lastRenderedPageBreak/>
        <w:t xml:space="preserve">should the EAF reflect the difference </w:t>
      </w:r>
      <w:r w:rsidR="009A7574">
        <w:t>between the actual world and a world in which “</w:t>
      </w:r>
      <w:r w:rsidR="009A7574" w:rsidRPr="009A7574">
        <w:t>there has never been a cost of CO</w:t>
      </w:r>
      <w:r w:rsidR="009A7574" w:rsidRPr="009A7574">
        <w:rPr>
          <w:vertAlign w:val="subscript"/>
        </w:rPr>
        <w:t>2</w:t>
      </w:r>
      <w:r w:rsidR="009A7574" w:rsidRPr="009A7574">
        <w:t>, and no expectation of such a cost”</w:t>
      </w:r>
      <w:r w:rsidR="00F468C2">
        <w:t>?</w:t>
      </w:r>
    </w:p>
    <w:p w14:paraId="766C6AE6" w14:textId="0AD8C264" w:rsidR="000C7A80" w:rsidRDefault="000C7A80" w:rsidP="000C7A80">
      <w:pPr>
        <w:pStyle w:val="Heading2"/>
      </w:pPr>
      <w:bookmarkStart w:id="39" w:name="_Toc46156024"/>
      <w:r>
        <w:t>Forward versus Backward-Looking</w:t>
      </w:r>
      <w:bookmarkEnd w:id="39"/>
    </w:p>
    <w:p w14:paraId="1AFEE978" w14:textId="77777777" w:rsidR="009A7574" w:rsidRDefault="009A7574" w:rsidP="000145C7">
      <w:r>
        <w:t xml:space="preserve">A forward-looking EAF is based on forecasts, none of which can be certain about a range of factors including inflows into hydro systems, fuel prices, demand, plant mix, and of course carbon prices.  The EAFs produced using forward-looking methodologies inevitably cover a wide range of scenarios which are then averaged to give an EAF.  </w:t>
      </w:r>
    </w:p>
    <w:p w14:paraId="41D4201F" w14:textId="77777777" w:rsidR="009A7574" w:rsidRDefault="009A7574" w:rsidP="000145C7"/>
    <w:p w14:paraId="760E9A90" w14:textId="2A9813FC" w:rsidR="009A7574" w:rsidRDefault="009A7574" w:rsidP="000145C7">
      <w:r>
        <w:t>Electricity market modelling typically includes some or all of the 89 historical inflow sequences commonly available to modellers</w:t>
      </w:r>
      <w:r>
        <w:rPr>
          <w:rStyle w:val="FootnoteReference"/>
        </w:rPr>
        <w:footnoteReference w:id="14"/>
      </w:r>
      <w:r>
        <w:t>, so inflows alone produce this number of scenarios.  Add in some variations on demand, fuel prices, and so on, and one ends up with hundreds of scenarios.  In principle then, if these scenarios cover a representative range of future scenarios, then the resulting averaged EAF</w:t>
      </w:r>
      <w:r w:rsidR="00A73C66">
        <w:rPr>
          <w:rStyle w:val="FootnoteReference"/>
        </w:rPr>
        <w:footnoteReference w:id="15"/>
      </w:r>
      <w:r>
        <w:t xml:space="preserve"> should be the actual EAF obtained by averaging the </w:t>
      </w:r>
      <w:r w:rsidR="00694CE3">
        <w:t xml:space="preserve">actual annual </w:t>
      </w:r>
      <w:r>
        <w:t>EAF</w:t>
      </w:r>
      <w:r w:rsidR="00694CE3">
        <w:t>s</w:t>
      </w:r>
      <w:r>
        <w:t xml:space="preserve"> from the next hundreds of years.</w:t>
      </w:r>
      <w:r w:rsidR="00694CE3">
        <w:t xml:space="preserve">  The calculated EAF is therefore only an expectation value.</w:t>
      </w:r>
    </w:p>
    <w:p w14:paraId="5231B156" w14:textId="576D1D43" w:rsidR="009A7574" w:rsidRDefault="009A7574" w:rsidP="000145C7"/>
    <w:p w14:paraId="10087832" w14:textId="7CD13770" w:rsidR="009A7574" w:rsidRDefault="00694CE3" w:rsidP="000145C7">
      <w:r>
        <w:t xml:space="preserve">On the other hand, a backward-looking methodology is based on what actually happened versus some counterfactual that is assumed would have happened without a carbon cost.  The EAF that results from each calculation, be it annually or quarterly, for example, should reflect the impact of a carbon cost during that period.  As noted above, if all other things are equal, a wet year will produce a lower EAF and </w:t>
      </w:r>
      <w:r w:rsidR="002C07FC">
        <w:t xml:space="preserve">a </w:t>
      </w:r>
      <w:r>
        <w:t xml:space="preserve">dry year will produce a higher EAF.  Ignoring the issue of whether or not an EITE is paying spot price or not, this produces a better match, period-by-period, between the cost of carbon </w:t>
      </w:r>
      <w:r w:rsidR="002C07FC">
        <w:t xml:space="preserve">and its underlying effect on electricity prices, </w:t>
      </w:r>
      <w:r>
        <w:t>and the allocation of NZUs</w:t>
      </w:r>
      <w:r w:rsidR="00123716">
        <w:t>.</w:t>
      </w:r>
    </w:p>
    <w:p w14:paraId="76899671" w14:textId="416E22EE" w:rsidR="009A7574" w:rsidRDefault="009A7574" w:rsidP="000145C7"/>
    <w:p w14:paraId="393ED6CF" w14:textId="4587E2AB" w:rsidR="000C7A80" w:rsidRDefault="00BB3964" w:rsidP="000145C7">
      <w:r>
        <w:t xml:space="preserve">In the electricity market, EITEs can choose whether to pay spot prices, or to contract out of paying spot prices by contracting under FPVV arrangements.  </w:t>
      </w:r>
      <w:r w:rsidR="002C07FC">
        <w:t>I</w:t>
      </w:r>
      <w:r>
        <w:t xml:space="preserve">f they </w:t>
      </w:r>
      <w:r w:rsidR="003828C9">
        <w:t xml:space="preserve">choose to </w:t>
      </w:r>
      <w:r>
        <w:t xml:space="preserve">pay spot prices, they can also hedge </w:t>
      </w:r>
      <w:r w:rsidR="003828C9">
        <w:t xml:space="preserve">their </w:t>
      </w:r>
      <w:r>
        <w:t xml:space="preserve">spot price risk </w:t>
      </w:r>
      <w:r w:rsidR="003828C9">
        <w:t>by buying electricity hedge contracts</w:t>
      </w:r>
      <w:r>
        <w:t>.</w:t>
      </w:r>
      <w:r w:rsidR="003828C9">
        <w:t xml:space="preserve">  The same choice is not present for them in respect of the EAF, which partly determines their allocation of NZUs each year.  </w:t>
      </w:r>
      <w:r w:rsidR="002C07FC">
        <w:t>T</w:t>
      </w:r>
      <w:r w:rsidR="003828C9">
        <w:t>he monetary risk associated with a backward-looking EAF</w:t>
      </w:r>
      <w:r w:rsidR="00D227B8">
        <w:t xml:space="preserve"> may be able to be hedged, or partially hedged, using a combination of hedge contracts that are already traded, e.g. electricity and NZU hedges</w:t>
      </w:r>
      <w:r w:rsidR="002C07FC">
        <w:t>, but as this is a small market it is difficult to predict whether such a hedge market would develop if a backward-looking approach were adopted</w:t>
      </w:r>
      <w:r w:rsidR="00232F70">
        <w:t>.</w:t>
      </w:r>
    </w:p>
    <w:p w14:paraId="67F90E44" w14:textId="58A54628" w:rsidR="00232F70" w:rsidRDefault="00232F70" w:rsidP="000145C7"/>
    <w:p w14:paraId="501F2E85" w14:textId="073EEFAA" w:rsidR="00232F70" w:rsidRDefault="00D227B8" w:rsidP="000145C7">
      <w:r>
        <w:t>On the other hand, b</w:t>
      </w:r>
      <w:r w:rsidR="00232F70">
        <w:t>ackward-looking EAFs have the advantage</w:t>
      </w:r>
      <w:r>
        <w:t>,</w:t>
      </w:r>
      <w:r w:rsidR="00232F70">
        <w:t xml:space="preserve"> for EITEs paying the spot price</w:t>
      </w:r>
      <w:r>
        <w:t xml:space="preserve">, </w:t>
      </w:r>
      <w:r w:rsidR="00232F70">
        <w:t>of being a partial hedge for electricity spot prices.</w:t>
      </w:r>
      <w:r>
        <w:t xml:space="preserve">  </w:t>
      </w:r>
      <w:r w:rsidR="00232F70">
        <w:t xml:space="preserve">This being the case, </w:t>
      </w:r>
      <w:r>
        <w:t xml:space="preserve">and given that EAFs are calculated using spot prices, </w:t>
      </w:r>
      <w:r w:rsidR="00232F70">
        <w:t>moving to using backward-looking EAFs is a viable alternative to the current methodology using forward-looking EAFs.</w:t>
      </w:r>
    </w:p>
    <w:p w14:paraId="587682D4" w14:textId="25E4466A" w:rsidR="000C7A80" w:rsidRDefault="000C7A80" w:rsidP="000C7A80">
      <w:pPr>
        <w:pStyle w:val="Heading2"/>
      </w:pPr>
      <w:bookmarkStart w:id="40" w:name="_Toc46156025"/>
      <w:r>
        <w:t>Choice of Counterfactual</w:t>
      </w:r>
      <w:bookmarkEnd w:id="40"/>
    </w:p>
    <w:p w14:paraId="4C839A06" w14:textId="09E863EC" w:rsidR="004E0B53" w:rsidRDefault="009A7574" w:rsidP="000145C7">
      <w:r w:rsidRPr="009A7574">
        <w:t xml:space="preserve">This requires modelling of two separate worlds which potentially develop in quite different ways.  But just because there is no carbon charge, and “no expectation of a carbon charge” in the counterfactual scenarios, </w:t>
      </w:r>
      <w:r w:rsidR="003C6386">
        <w:t xml:space="preserve">it </w:t>
      </w:r>
      <w:r w:rsidRPr="009A7574">
        <w:t xml:space="preserve">does not mean that there is no climate change.  If New Zealand did not have an ETS, nor any expectation of ever having an ETS (or equivalent explicit carbon charge such as a carbon tax), we nevertheless live in a world where climate change is happening and, as a result, there is huge investment offshore in renewables because of the demand induced by climate change, thus bringing the cost of renewables down over time.  </w:t>
      </w:r>
    </w:p>
    <w:p w14:paraId="1C727167" w14:textId="77777777" w:rsidR="004E0B53" w:rsidRDefault="004E0B53" w:rsidP="000145C7"/>
    <w:p w14:paraId="09B73419" w14:textId="6CEF09FC" w:rsidR="000145C7" w:rsidRDefault="009A7574" w:rsidP="000145C7">
      <w:r w:rsidRPr="009A7574">
        <w:t>There are also domestic carbon-reduction policies which are not based on the ETS.  Because of this, the counterfactual is not isolated from the transition to renewables, it just happens at a lower rate</w:t>
      </w:r>
      <w:r w:rsidR="003C6386">
        <w:t xml:space="preserve"> in respect of the electricity market</w:t>
      </w:r>
      <w:r w:rsidRPr="009A7574">
        <w:t>.</w:t>
      </w:r>
      <w:r w:rsidR="000B66CF">
        <w:t xml:space="preserve">  Thus, even the counterfactual represents a world in which climate change has an impact on the electricity market, which means that some of the assumptions used in the factual can also be used in the counterfactual, in particular the cost of building new generation where that cost is heavily influenced by developments offshore.</w:t>
      </w:r>
    </w:p>
    <w:p w14:paraId="473C0D83" w14:textId="00B4668E" w:rsidR="004E0B53" w:rsidRDefault="004E0B53" w:rsidP="000145C7"/>
    <w:p w14:paraId="23CF0EAF" w14:textId="7C3CE872" w:rsidR="00315E0C" w:rsidRDefault="00315E0C" w:rsidP="000145C7">
      <w:r>
        <w:t>From a conceptual standpoint, this approach has obvious appeal, because it can capture changes in prices which move far beyond the direct impact of carbon costs on electricity generation.  For example, if we expected gas prices to remain much lower in the counterfactual than in the factual, for whatever reason, then the resulting EAF would be larger than if it were only calculated with respect to the direct impact of carbon costs.</w:t>
      </w:r>
    </w:p>
    <w:p w14:paraId="2EA48BBD" w14:textId="77777777" w:rsidR="00315E0C" w:rsidRDefault="00315E0C" w:rsidP="000145C7"/>
    <w:p w14:paraId="06782A56" w14:textId="77777777" w:rsidR="006D5673" w:rsidRDefault="000B66CF" w:rsidP="000145C7">
      <w:r>
        <w:t>But there a</w:t>
      </w:r>
      <w:r w:rsidR="009540BE">
        <w:t>re a</w:t>
      </w:r>
      <w:r>
        <w:t xml:space="preserve"> range of issues with this approach which make it not only </w:t>
      </w:r>
      <w:r w:rsidR="00315E0C">
        <w:t>difficult to implement successfully</w:t>
      </w:r>
      <w:r>
        <w:t xml:space="preserve">, but increasingly </w:t>
      </w:r>
      <w:r w:rsidR="003C6386">
        <w:t>problematic</w:t>
      </w:r>
      <w:r>
        <w:t xml:space="preserve"> over time</w:t>
      </w:r>
      <w:r w:rsidR="00315E0C">
        <w:t>.  T</w:t>
      </w:r>
      <w:r>
        <w:t xml:space="preserve">he </w:t>
      </w:r>
      <w:r w:rsidR="003C6386">
        <w:t xml:space="preserve">most </w:t>
      </w:r>
      <w:r>
        <w:t xml:space="preserve">obvious </w:t>
      </w:r>
      <w:r w:rsidR="003C6386">
        <w:t xml:space="preserve">and most important issue is </w:t>
      </w:r>
      <w:r>
        <w:t xml:space="preserve">that the uncertainty over how the </w:t>
      </w:r>
      <w:r w:rsidR="003C6386">
        <w:t>counterfactual</w:t>
      </w:r>
      <w:r>
        <w:t xml:space="preserve"> </w:t>
      </w:r>
      <w:r w:rsidR="003C6386">
        <w:t xml:space="preserve">world </w:t>
      </w:r>
      <w:r>
        <w:t>evolves increases over time, whereas the uncertainty in the factual, while significant, remain</w:t>
      </w:r>
      <w:r w:rsidR="003C6386">
        <w:t>s</w:t>
      </w:r>
      <w:r>
        <w:t xml:space="preserve"> relatively constant over time.  </w:t>
      </w:r>
    </w:p>
    <w:p w14:paraId="6354A285" w14:textId="77777777" w:rsidR="006D5673" w:rsidRDefault="006D5673" w:rsidP="000145C7"/>
    <w:p w14:paraId="5551F797" w14:textId="324E3636" w:rsidR="005561D0" w:rsidRDefault="000B66CF" w:rsidP="000145C7">
      <w:r>
        <w:t xml:space="preserve">For example, </w:t>
      </w:r>
      <w:r w:rsidR="006D5673">
        <w:t xml:space="preserve">consider the next two decades, and suppose that we recalculate the EAF once every five years starting in 2025.  Then in 2025 we will </w:t>
      </w:r>
      <w:r>
        <w:t xml:space="preserve">forecast </w:t>
      </w:r>
      <w:r w:rsidR="006D5673">
        <w:t xml:space="preserve">the electricity </w:t>
      </w:r>
      <w:r w:rsidR="006D5673">
        <w:lastRenderedPageBreak/>
        <w:t xml:space="preserve">market for </w:t>
      </w:r>
      <w:r>
        <w:t xml:space="preserve">around five years </w:t>
      </w:r>
      <w:r w:rsidR="005561D0">
        <w:t xml:space="preserve">from 2026 </w:t>
      </w:r>
      <w:r w:rsidR="006D5673">
        <w:t xml:space="preserve">through to 2030.  </w:t>
      </w:r>
      <w:r w:rsidR="005561D0">
        <w:t>At this point, t</w:t>
      </w:r>
      <w:r>
        <w:t>he uncertainty in the factual remains the uncertainty associated with five years</w:t>
      </w:r>
      <w:r w:rsidR="005561D0">
        <w:t xml:space="preserve"> of forecast electricity market operation, as it is today</w:t>
      </w:r>
      <w:r w:rsidR="009540BE">
        <w:t xml:space="preserve">. </w:t>
      </w:r>
      <w:r w:rsidR="006D5673">
        <w:t xml:space="preserve">But </w:t>
      </w:r>
      <w:r>
        <w:t>the uncertainty in the counterfactual increase</w:t>
      </w:r>
      <w:r w:rsidR="006D5673">
        <w:t xml:space="preserve">s </w:t>
      </w:r>
      <w:r>
        <w:t xml:space="preserve">from the </w:t>
      </w:r>
      <w:r w:rsidR="005561D0">
        <w:t xml:space="preserve">current level of </w:t>
      </w:r>
      <w:r>
        <w:t xml:space="preserve">uncertainty </w:t>
      </w:r>
      <w:r w:rsidR="005561D0">
        <w:t xml:space="preserve">inherent </w:t>
      </w:r>
      <w:r>
        <w:t xml:space="preserve">in an 11 year forecast (2009 to 2019) to the uncertainty in a </w:t>
      </w:r>
      <w:r w:rsidR="005561D0">
        <w:t>16</w:t>
      </w:r>
      <w:r>
        <w:t xml:space="preserve"> year forecast</w:t>
      </w:r>
      <w:r w:rsidR="00A73C66">
        <w:t xml:space="preserve"> (2009 to 2024</w:t>
      </w:r>
      <w:r>
        <w:t>.</w:t>
      </w:r>
      <w:r w:rsidR="00315E0C">
        <w:t xml:space="preserve">  </w:t>
      </w:r>
    </w:p>
    <w:p w14:paraId="05249C1B" w14:textId="77777777" w:rsidR="005561D0" w:rsidRDefault="005561D0" w:rsidP="000145C7"/>
    <w:p w14:paraId="6571F3F3" w14:textId="1EA7D20E" w:rsidR="005561D0" w:rsidRDefault="005561D0" w:rsidP="000145C7">
      <w:r>
        <w:t>Then in 2030 the uncertainty in the factual will be that which is associated with a five year forecast, from 2031 to 2035, but the uncertainty in the counterfactual will rise in relation to a 21 year forecast.  Every five years the disparity in uncertainties between the factual and counterfactual will increase until, by 2040, the counterfactual period is 31 years while the factual period is still five years.</w:t>
      </w:r>
    </w:p>
    <w:p w14:paraId="60A2E76C" w14:textId="77777777" w:rsidR="005561D0" w:rsidRDefault="005561D0" w:rsidP="000145C7"/>
    <w:p w14:paraId="7A8A8172" w14:textId="290EA39A" w:rsidR="004E0B53" w:rsidRDefault="005561D0" w:rsidP="000145C7">
      <w:r>
        <w:t xml:space="preserve">This growing uncertainty difference between the factual and counterfactual </w:t>
      </w:r>
      <w:r w:rsidR="00315E0C">
        <w:t xml:space="preserve">could translate into </w:t>
      </w:r>
      <w:r w:rsidR="008D6884">
        <w:t>confidence in the value of the EAF falling over time</w:t>
      </w:r>
      <w:r w:rsidR="00315E0C">
        <w:t>.</w:t>
      </w:r>
      <w:r>
        <w:t xml:space="preserve">  In other words, there could come a point when the counterfactual is simply viewed as being irrelevant to the present day.</w:t>
      </w:r>
    </w:p>
    <w:p w14:paraId="1F170F81" w14:textId="14337C35" w:rsidR="000B66CF" w:rsidRDefault="000B66CF" w:rsidP="000145C7"/>
    <w:bookmarkEnd w:id="36"/>
    <w:p w14:paraId="143F96EE" w14:textId="54FAD08D" w:rsidR="0051249E" w:rsidRDefault="0051249E" w:rsidP="002821A3">
      <w:r>
        <w:t>The second most important issue is that we live in the factual world, and not in the counterfactual world</w:t>
      </w:r>
      <w:r w:rsidR="00A7413B">
        <w:t>, and this leads to cognitive biases that influence the development of the counterfactual</w:t>
      </w:r>
      <w:r w:rsidR="003C6386">
        <w:t>, albeit unconsciously</w:t>
      </w:r>
      <w:r>
        <w:t xml:space="preserve">.  </w:t>
      </w:r>
      <w:r w:rsidR="009540BE">
        <w:t>Even w</w:t>
      </w:r>
      <w:r w:rsidR="00E25AB0">
        <w:t xml:space="preserve">ith the best </w:t>
      </w:r>
      <w:r w:rsidR="009540BE">
        <w:t>intentions</w:t>
      </w:r>
      <w:r w:rsidR="00E25AB0">
        <w:t xml:space="preserve"> in the world, the ‘a</w:t>
      </w:r>
      <w:r w:rsidR="00A7413B" w:rsidRPr="00A7413B">
        <w:t>nchoring effect</w:t>
      </w:r>
      <w:r w:rsidR="00E25AB0">
        <w:t>’</w:t>
      </w:r>
      <w:r w:rsidR="00E25AB0">
        <w:rPr>
          <w:rStyle w:val="FootnoteReference"/>
        </w:rPr>
        <w:footnoteReference w:id="16"/>
      </w:r>
      <w:r w:rsidR="00A7413B">
        <w:t xml:space="preserve"> </w:t>
      </w:r>
      <w:r w:rsidR="00E25AB0">
        <w:t>and ‘a</w:t>
      </w:r>
      <w:r w:rsidR="00A7413B" w:rsidRPr="00A7413B">
        <w:t>vailability bias</w:t>
      </w:r>
      <w:r w:rsidR="00E25AB0">
        <w:t>’</w:t>
      </w:r>
      <w:r w:rsidR="00E25AB0">
        <w:rPr>
          <w:rStyle w:val="FootnoteReference"/>
        </w:rPr>
        <w:footnoteReference w:id="17"/>
      </w:r>
      <w:r w:rsidR="00E25AB0">
        <w:t xml:space="preserve">, for example, will both tend to lead to a counterfactual that resembles the factual more than it </w:t>
      </w:r>
      <w:r w:rsidR="005561D0">
        <w:t xml:space="preserve">theoretically </w:t>
      </w:r>
      <w:r w:rsidR="00E25AB0">
        <w:t>should</w:t>
      </w:r>
      <w:r w:rsidR="00A7413B" w:rsidRPr="00A7413B">
        <w:t>.</w:t>
      </w:r>
      <w:r w:rsidR="00E25AB0">
        <w:t xml:space="preserve">  These tendencies can be overcome to a</w:t>
      </w:r>
      <w:r w:rsidR="003C6386">
        <w:t>n</w:t>
      </w:r>
      <w:r w:rsidR="00E25AB0">
        <w:t xml:space="preserve"> extent by expert forecasters </w:t>
      </w:r>
      <w:r w:rsidR="005561D0">
        <w:t xml:space="preserve">who have the </w:t>
      </w:r>
      <w:r w:rsidR="00E25AB0">
        <w:t>experience and processes designed to overcome them, and by adding additional resources to the process, e.g. by using a panel of experts</w:t>
      </w:r>
      <w:r w:rsidR="003C6386">
        <w:t xml:space="preserve"> so that a wider range of views can be obtained in respect of the counterfactual</w:t>
      </w:r>
      <w:r w:rsidR="00E25AB0">
        <w:t>.  But because of this, the cost of developing the counterfactual is likely to increase</w:t>
      </w:r>
      <w:r w:rsidR="003C6386">
        <w:t xml:space="preserve"> </w:t>
      </w:r>
      <w:r w:rsidR="005561D0">
        <w:t xml:space="preserve">substantially </w:t>
      </w:r>
      <w:r w:rsidR="003C6386">
        <w:t>over time</w:t>
      </w:r>
      <w:r w:rsidR="00E25AB0">
        <w:t>.</w:t>
      </w:r>
    </w:p>
    <w:p w14:paraId="2816465B" w14:textId="7995CC8C" w:rsidR="00E25AB0" w:rsidRDefault="00E25AB0" w:rsidP="002821A3"/>
    <w:p w14:paraId="02D51F9C" w14:textId="69653F20" w:rsidR="00E25AB0" w:rsidRDefault="005561D0" w:rsidP="002821A3">
      <w:r>
        <w:t>A</w:t>
      </w:r>
      <w:r w:rsidR="00E25AB0">
        <w:t>nchoring</w:t>
      </w:r>
      <w:r>
        <w:t>,</w:t>
      </w:r>
      <w:r w:rsidR="00E25AB0">
        <w:t xml:space="preserve"> in particular</w:t>
      </w:r>
      <w:r>
        <w:t>,</w:t>
      </w:r>
      <w:r w:rsidR="00E25AB0">
        <w:t xml:space="preserve"> also has the unfortunate effect of making it difficult for stakeholders to accept alternative realities that might be markedly different to the world we live in.  </w:t>
      </w:r>
      <w:r w:rsidR="006F37D0">
        <w:t xml:space="preserve">This will lead to increasing debate over the EAF each time it is recalculated, also causing the cost of the process to increase over time.  In </w:t>
      </w:r>
      <w:r w:rsidR="003C6386">
        <w:t>many</w:t>
      </w:r>
      <w:r w:rsidR="006F37D0">
        <w:t xml:space="preserve"> ways, the anchoring effect makes it almost inevitable that at some point the use of an alternative world</w:t>
      </w:r>
      <w:r>
        <w:t xml:space="preserve"> as </w:t>
      </w:r>
      <w:r>
        <w:lastRenderedPageBreak/>
        <w:t>counterfactual</w:t>
      </w:r>
      <w:r w:rsidR="003C6386">
        <w:t>,</w:t>
      </w:r>
      <w:r w:rsidR="006F37D0">
        <w:t xml:space="preserve"> will be abandoned in favour of a methodology that is more believable</w:t>
      </w:r>
      <w:r w:rsidR="003C6386">
        <w:t xml:space="preserve"> </w:t>
      </w:r>
      <w:r>
        <w:t xml:space="preserve">and more acceptable to </w:t>
      </w:r>
      <w:r w:rsidR="006F37D0">
        <w:t>a wide</w:t>
      </w:r>
      <w:r>
        <w:t>r</w:t>
      </w:r>
      <w:r w:rsidR="006F37D0">
        <w:t xml:space="preserve"> range of stakeholders.</w:t>
      </w:r>
    </w:p>
    <w:p w14:paraId="4F2B393B" w14:textId="483F5CC2" w:rsidR="006F37D0" w:rsidRDefault="006F37D0" w:rsidP="002821A3"/>
    <w:p w14:paraId="41D64D87" w14:textId="2C3D694F" w:rsidR="006F37D0" w:rsidRDefault="00312E01" w:rsidP="002821A3">
      <w:r>
        <w:t xml:space="preserve">There are </w:t>
      </w:r>
      <w:r w:rsidR="003C6386">
        <w:t xml:space="preserve">‘halfway house’ </w:t>
      </w:r>
      <w:r>
        <w:t>approaches which could allow the current methodology to function for some years yet, but they rely on limit</w:t>
      </w:r>
      <w:r w:rsidR="005561D0">
        <w:t>ing</w:t>
      </w:r>
      <w:r>
        <w:t xml:space="preserve"> </w:t>
      </w:r>
      <w:r w:rsidR="005561D0">
        <w:t xml:space="preserve">the </w:t>
      </w:r>
      <w:r>
        <w:t xml:space="preserve">set of </w:t>
      </w:r>
      <w:r w:rsidR="005561D0">
        <w:t xml:space="preserve">alternative worlds that </w:t>
      </w:r>
      <w:r>
        <w:t>are allowed in the counterfactual, relative to the factual.  For example, in the modelling undertaken early in 2020 it was</w:t>
      </w:r>
      <w:r w:rsidR="007E6E9A">
        <w:t>, after consideration of a range of alternatives,</w:t>
      </w:r>
      <w:r>
        <w:t xml:space="preserve"> assumed that all thermal plant operating in 2009</w:t>
      </w:r>
      <w:r w:rsidR="007E6E9A">
        <w:t>,</w:t>
      </w:r>
      <w:r>
        <w:t xml:space="preserve"> </w:t>
      </w:r>
      <w:r w:rsidR="007E6E9A">
        <w:t xml:space="preserve">or </w:t>
      </w:r>
      <w:r>
        <w:t>commissioned since, would be kept in the market indefinitely, i.e. it would be run until maintenance and reliability issues forced it out of the market, unless prices fell to the extent that they no longer covered cash costs.  It was also assumed that the impact of this on the gas market, i.e. the quantities of gas demanded, would be insufficient to cause a significant movement in the price of gas away from the prices in the factual.</w:t>
      </w:r>
      <w:r w:rsidR="008E2F95">
        <w:t xml:space="preserve">  These two assumptions ma</w:t>
      </w:r>
      <w:r w:rsidR="007E6E9A">
        <w:t>d</w:t>
      </w:r>
      <w:r w:rsidR="008E2F95">
        <w:t>e the development of a counterfactual</w:t>
      </w:r>
      <w:r w:rsidR="007E6E9A">
        <w:t xml:space="preserve"> </w:t>
      </w:r>
      <w:r w:rsidR="008E2F95">
        <w:t xml:space="preserve">significantly more straightforward than having to </w:t>
      </w:r>
      <w:r w:rsidR="007E6E9A">
        <w:t xml:space="preserve">completely </w:t>
      </w:r>
      <w:r w:rsidR="008E2F95">
        <w:t xml:space="preserve">reimagine the </w:t>
      </w:r>
      <w:r w:rsidR="007E6E9A">
        <w:t xml:space="preserve">evolution of the </w:t>
      </w:r>
      <w:r w:rsidR="008E2F95">
        <w:t>electricity market since 2009.</w:t>
      </w:r>
    </w:p>
    <w:p w14:paraId="139DF0C0" w14:textId="3370760F" w:rsidR="008E2F95" w:rsidRDefault="00F5520D" w:rsidP="00F5520D">
      <w:pPr>
        <w:pStyle w:val="Heading2"/>
      </w:pPr>
      <w:bookmarkStart w:id="41" w:name="_Toc46156026"/>
      <w:r>
        <w:t>Conclusions</w:t>
      </w:r>
      <w:bookmarkEnd w:id="41"/>
    </w:p>
    <w:p w14:paraId="1145C4EE" w14:textId="2AF7599B" w:rsidR="002F67B5" w:rsidRDefault="002F67B5" w:rsidP="002821A3">
      <w:r>
        <w:t xml:space="preserve">Looking ahead, it is likely (perhaps inevitable) that the current methodology will </w:t>
      </w:r>
      <w:r w:rsidR="00751FEC">
        <w:t xml:space="preserve">become more expensive to maintain, and </w:t>
      </w:r>
      <w:r>
        <w:t xml:space="preserve">come under increasing scrutiny, and the call for change will </w:t>
      </w:r>
      <w:r w:rsidR="00751FEC">
        <w:t>rise</w:t>
      </w:r>
      <w:r>
        <w:t xml:space="preserve">.  At some point in the future, it may </w:t>
      </w:r>
      <w:r w:rsidR="00751FEC">
        <w:t xml:space="preserve">therefore </w:t>
      </w:r>
      <w:r>
        <w:t>be necessary to provide greater certainty and transparency around the inputs into the process, by either:</w:t>
      </w:r>
    </w:p>
    <w:p w14:paraId="5133898B" w14:textId="1D2436C2" w:rsidR="002F67B5" w:rsidRDefault="002F67B5" w:rsidP="002F67B5">
      <w:pPr>
        <w:pStyle w:val="ListParagraph"/>
        <w:numPr>
          <w:ilvl w:val="0"/>
          <w:numId w:val="37"/>
        </w:numPr>
        <w:spacing w:before="60"/>
        <w:ind w:left="567" w:hanging="567"/>
      </w:pPr>
      <w:r>
        <w:t xml:space="preserve">moving to a backward-looking methodology; or </w:t>
      </w:r>
    </w:p>
    <w:p w14:paraId="7C6DF569" w14:textId="370431F5" w:rsidR="00F5520D" w:rsidRDefault="002F67B5" w:rsidP="002F67B5">
      <w:pPr>
        <w:pStyle w:val="ListParagraph"/>
        <w:numPr>
          <w:ilvl w:val="0"/>
          <w:numId w:val="37"/>
        </w:numPr>
        <w:spacing w:before="60"/>
        <w:ind w:left="567" w:hanging="567"/>
      </w:pPr>
      <w:r>
        <w:t xml:space="preserve">prescribing various elements of the forward-looking counterfactual (alternative world) so that the </w:t>
      </w:r>
      <w:r w:rsidR="00167FB0">
        <w:t xml:space="preserve">allowed </w:t>
      </w:r>
      <w:r>
        <w:t>differences between the factual and counterfactual</w:t>
      </w:r>
      <w:r w:rsidR="00167FB0">
        <w:t xml:space="preserve"> are limited</w:t>
      </w:r>
      <w:r w:rsidR="00893CAF">
        <w:t>, thus facilitating development of the counterfactual, in particular</w:t>
      </w:r>
      <w:r>
        <w:t>.</w:t>
      </w:r>
    </w:p>
    <w:p w14:paraId="1A58D430" w14:textId="5CD0E624" w:rsidR="00893CAF" w:rsidRDefault="00893CAF" w:rsidP="00893CAF"/>
    <w:p w14:paraId="600BEB6C" w14:textId="2000233E" w:rsidR="002C556E" w:rsidRDefault="00893CAF" w:rsidP="00893CAF">
      <w:r>
        <w:t>Of the backward-looking methodologies trialled to-date, the ‘</w:t>
      </w:r>
      <w:r w:rsidR="00E4056F">
        <w:t>A</w:t>
      </w:r>
      <w:r>
        <w:t xml:space="preserve">ctual market with and without carbon’ described in section </w:t>
      </w:r>
      <w:r w:rsidR="007E6E9A">
        <w:fldChar w:fldCharType="begin"/>
      </w:r>
      <w:r w:rsidR="007E6E9A">
        <w:instrText xml:space="preserve"> REF _Ref42020338 \r \h </w:instrText>
      </w:r>
      <w:r w:rsidR="007E6E9A">
        <w:fldChar w:fldCharType="separate"/>
      </w:r>
      <w:r w:rsidR="00CF7917">
        <w:t>4.10</w:t>
      </w:r>
      <w:r w:rsidR="007E6E9A">
        <w:fldChar w:fldCharType="end"/>
      </w:r>
      <w:r w:rsidR="007E6E9A">
        <w:t xml:space="preserve"> </w:t>
      </w:r>
      <w:r>
        <w:t xml:space="preserve">will capture changes in thermal offers when carbon costs are removed, and the impact on water values.  Using </w:t>
      </w:r>
      <w:r w:rsidRPr="00893CAF">
        <w:rPr>
          <w:i/>
          <w:iCs/>
        </w:rPr>
        <w:t>EMarket</w:t>
      </w:r>
      <w:r>
        <w:t xml:space="preserve">, for example, it can also be run down to the half-hourly level if required, although sufficiently accurate answers will be able to be obtained </w:t>
      </w:r>
      <w:r w:rsidR="00E4056F">
        <w:t xml:space="preserve">significantly faster </w:t>
      </w:r>
      <w:r>
        <w:t>using a higher resolution, e.g.</w:t>
      </w:r>
      <w:r w:rsidR="00E4056F">
        <w:t> </w:t>
      </w:r>
      <w:r>
        <w:t>three-hourly.</w:t>
      </w:r>
    </w:p>
    <w:p w14:paraId="4F988964" w14:textId="77777777" w:rsidR="002C556E" w:rsidRDefault="002C556E" w:rsidP="00893CAF"/>
    <w:p w14:paraId="7813C219" w14:textId="5D9BD9B9" w:rsidR="00893CAF" w:rsidRDefault="00893CAF" w:rsidP="00893CAF">
      <w:r>
        <w:t>Th</w:t>
      </w:r>
      <w:r w:rsidR="002C556E">
        <w:t>e</w:t>
      </w:r>
      <w:r>
        <w:t xml:space="preserve"> process could be run monthly, quarterly or annually, for example, using a method that could be prescribed</w:t>
      </w:r>
      <w:r w:rsidR="002C556E">
        <w:t xml:space="preserve"> </w:t>
      </w:r>
      <w:r w:rsidR="00E4056F">
        <w:t xml:space="preserve">to the extent required to make it </w:t>
      </w:r>
      <w:r w:rsidR="002C556E">
        <w:t>both repeatable and transparent, requiring relatively few judgements about model settings</w:t>
      </w:r>
      <w:r w:rsidR="00E4056F">
        <w:t>,</w:t>
      </w:r>
      <w:r w:rsidR="002C556E">
        <w:t xml:space="preserve"> and no judgements about an alternative world.</w:t>
      </w:r>
      <w:r>
        <w:t xml:space="preserve"> </w:t>
      </w:r>
    </w:p>
    <w:p w14:paraId="52831653" w14:textId="09FC527C" w:rsidR="002C556E" w:rsidRDefault="002C556E" w:rsidP="00893CAF"/>
    <w:p w14:paraId="771D0153" w14:textId="77777777" w:rsidR="002C556E" w:rsidRDefault="002C556E" w:rsidP="00893CAF">
      <w:r>
        <w:t>The disadvantage would be that EAFs would move around from period to period, in line with volatility in electricity prices.</w:t>
      </w:r>
    </w:p>
    <w:p w14:paraId="66C041B8" w14:textId="77777777" w:rsidR="002C556E" w:rsidRDefault="002C556E" w:rsidP="00893CAF"/>
    <w:p w14:paraId="2FF51AD7" w14:textId="1050F114" w:rsidR="002C556E" w:rsidRDefault="002C556E" w:rsidP="00893CAF">
      <w:r>
        <w:t>The methodology used early in 2020 is based on the methodologies used in 2008 and 2011, so by now is well established.  But it could be refined by prescribing key elements of the alternative world, and by basing each recalculation on an extension of the counterfactual used in the previous recalculation, thus ensuring continuity in plant mix and other key elements of the alternative world.</w:t>
      </w:r>
    </w:p>
    <w:p w14:paraId="0C3D3BA0" w14:textId="242514CF" w:rsidR="002C556E" w:rsidRDefault="002C556E" w:rsidP="00893CAF"/>
    <w:p w14:paraId="0368A37D" w14:textId="77777777" w:rsidR="000058EB" w:rsidRDefault="000A35D8" w:rsidP="00893CAF">
      <w:r>
        <w:t xml:space="preserve">Given that the alternative world approach will be increasingly difficult </w:t>
      </w:r>
      <w:r w:rsidR="00624F72">
        <w:t>to implement and manage over time</w:t>
      </w:r>
      <w:r>
        <w:t xml:space="preserve">, </w:t>
      </w:r>
      <w:r w:rsidR="00E4056F">
        <w:t xml:space="preserve">however, </w:t>
      </w:r>
      <w:r>
        <w:t xml:space="preserve">we recommend that a move to a backward-looking approach, as recommended above, be considered sooner rather than later.  This will lead to fluctuations in the allocations of NZUs in each period, which increases uncertainty for EITEs and also fiscal risk for the government, but </w:t>
      </w:r>
      <w:r w:rsidR="00E4056F">
        <w:t xml:space="preserve">it will also be </w:t>
      </w:r>
      <w:r>
        <w:t xml:space="preserve">a </w:t>
      </w:r>
      <w:r w:rsidR="00E4056F">
        <w:t xml:space="preserve">more </w:t>
      </w:r>
      <w:r>
        <w:t>robust and ultimately more acceptable method for the long term.</w:t>
      </w:r>
      <w:r w:rsidR="000058EB">
        <w:t xml:space="preserve">  </w:t>
      </w:r>
    </w:p>
    <w:p w14:paraId="27C0A5EB" w14:textId="77777777" w:rsidR="000058EB" w:rsidRDefault="000058EB" w:rsidP="00893CAF"/>
    <w:p w14:paraId="33A5CB90" w14:textId="6BB0A6CB" w:rsidR="000058EB" w:rsidRPr="000058EB" w:rsidRDefault="000058EB" w:rsidP="00893CAF">
      <w:r>
        <w:t>If these fluctuations are considered by stakeholders to be excessive, then a number of methods could be employed by which the fluctuations could be reduced.  For example, the EAF could be a running average of the EAFs calculated in each period, with the possibility of initially including the current EAF of 0.537 tCO</w:t>
      </w:r>
      <w:r>
        <w:rPr>
          <w:vertAlign w:val="subscript"/>
        </w:rPr>
        <w:t>2</w:t>
      </w:r>
      <w:r>
        <w:t>/MWh in the average.  Running averages could be formulated which balance the need for the EAF to adjust each year against the impact that volatile EAFs could have on stakeholders.</w:t>
      </w:r>
    </w:p>
    <w:p w14:paraId="5EE40D1A" w14:textId="54CBD554" w:rsidR="00113B6A" w:rsidRDefault="00113B6A" w:rsidP="00113B6A">
      <w:pPr>
        <w:pStyle w:val="Heading1"/>
      </w:pPr>
      <w:bookmarkStart w:id="42" w:name="_Toc46156027"/>
      <w:r>
        <w:t>References</w:t>
      </w:r>
      <w:bookmarkEnd w:id="42"/>
    </w:p>
    <w:p w14:paraId="35D47F23" w14:textId="77777777" w:rsidR="008E2F95" w:rsidRDefault="008E2F95" w:rsidP="002821A3"/>
    <w:p w14:paraId="7C311606" w14:textId="77777777" w:rsidR="00CF7917" w:rsidRDefault="00B925BC" w:rsidP="00CF7917">
      <w:pPr>
        <w:pStyle w:val="Bibliography"/>
        <w:ind w:left="720" w:hanging="720"/>
        <w:rPr>
          <w:noProof/>
        </w:rPr>
      </w:pPr>
      <w:r w:rsidRPr="00A7413B">
        <w:fldChar w:fldCharType="begin"/>
      </w:r>
      <w:r>
        <w:instrText xml:space="preserve"> BIBLIOGRAPHY  \l 5129 </w:instrText>
      </w:r>
      <w:r w:rsidRPr="00A7413B">
        <w:fldChar w:fldCharType="separate"/>
      </w:r>
      <w:r w:rsidR="00CF7917">
        <w:rPr>
          <w:noProof/>
        </w:rPr>
        <w:t xml:space="preserve">Concept Consulting. (2004). </w:t>
      </w:r>
      <w:r w:rsidR="00CF7917">
        <w:rPr>
          <w:i/>
          <w:iCs/>
          <w:noProof/>
        </w:rPr>
        <w:t>Electricity EMission Factor Review.</w:t>
      </w:r>
      <w:r w:rsidR="00CF7917">
        <w:rPr>
          <w:noProof/>
        </w:rPr>
        <w:t xml:space="preserve"> Wellington.</w:t>
      </w:r>
    </w:p>
    <w:p w14:paraId="0226DEEB" w14:textId="77777777" w:rsidR="00CF7917" w:rsidRDefault="00CF7917" w:rsidP="00CF7917">
      <w:pPr>
        <w:pStyle w:val="Bibliography"/>
        <w:ind w:left="720" w:hanging="720"/>
        <w:rPr>
          <w:noProof/>
        </w:rPr>
      </w:pPr>
      <w:r>
        <w:rPr>
          <w:noProof/>
        </w:rPr>
        <w:t xml:space="preserve">Concept Consulting. (2011). </w:t>
      </w:r>
      <w:r>
        <w:rPr>
          <w:i/>
          <w:iCs/>
          <w:noProof/>
        </w:rPr>
        <w:t>Developing a methodology to estimate an electricity allocation factor for 2013-2017.</w:t>
      </w:r>
      <w:r>
        <w:rPr>
          <w:noProof/>
        </w:rPr>
        <w:t xml:space="preserve"> Wellington.</w:t>
      </w:r>
    </w:p>
    <w:p w14:paraId="28427EDE" w14:textId="77777777" w:rsidR="00CF7917" w:rsidRDefault="00CF7917" w:rsidP="00CF7917">
      <w:pPr>
        <w:pStyle w:val="Bibliography"/>
        <w:ind w:left="720" w:hanging="720"/>
        <w:rPr>
          <w:noProof/>
        </w:rPr>
      </w:pPr>
      <w:r>
        <w:rPr>
          <w:noProof/>
        </w:rPr>
        <w:t xml:space="preserve">Concept Consulting. (2015, April 20). </w:t>
      </w:r>
      <w:r>
        <w:rPr>
          <w:i/>
          <w:iCs/>
          <w:noProof/>
        </w:rPr>
        <w:t>High-level review of approaches for estimating a standard electricity allocation factor (EAF).</w:t>
      </w:r>
      <w:r>
        <w:rPr>
          <w:noProof/>
        </w:rPr>
        <w:t xml:space="preserve"> Wellington.</w:t>
      </w:r>
    </w:p>
    <w:p w14:paraId="1A09C58C" w14:textId="77777777" w:rsidR="00CF7917" w:rsidRDefault="00CF7917" w:rsidP="00CF7917">
      <w:pPr>
        <w:pStyle w:val="Bibliography"/>
        <w:ind w:left="720" w:hanging="720"/>
        <w:rPr>
          <w:noProof/>
        </w:rPr>
      </w:pPr>
      <w:r>
        <w:rPr>
          <w:noProof/>
        </w:rPr>
        <w:t xml:space="preserve">Concept Consulting. (2019). </w:t>
      </w:r>
      <w:r>
        <w:rPr>
          <w:i/>
          <w:iCs/>
          <w:noProof/>
        </w:rPr>
        <w:t>Electricity Allocation Factor Assumptions Review.</w:t>
      </w:r>
      <w:r>
        <w:rPr>
          <w:noProof/>
        </w:rPr>
        <w:t xml:space="preserve"> Wellington.</w:t>
      </w:r>
    </w:p>
    <w:p w14:paraId="03EC4D80" w14:textId="77777777" w:rsidR="00CF7917" w:rsidRDefault="00CF7917" w:rsidP="00CF7917">
      <w:pPr>
        <w:pStyle w:val="Bibliography"/>
        <w:ind w:left="720" w:hanging="720"/>
        <w:rPr>
          <w:noProof/>
        </w:rPr>
      </w:pPr>
      <w:r>
        <w:rPr>
          <w:noProof/>
        </w:rPr>
        <w:t xml:space="preserve">EAF Contact Group. (2012). </w:t>
      </w:r>
      <w:r>
        <w:rPr>
          <w:i/>
          <w:iCs/>
          <w:noProof/>
        </w:rPr>
        <w:t>Development of an Electricity Allocation Factor Recommendation for 2013 Onwards.</w:t>
      </w:r>
      <w:r>
        <w:rPr>
          <w:noProof/>
        </w:rPr>
        <w:t xml:space="preserve"> Wellington: Ministry for the Environment.</w:t>
      </w:r>
    </w:p>
    <w:p w14:paraId="1B65DF79" w14:textId="77777777" w:rsidR="00CF7917" w:rsidRDefault="00CF7917" w:rsidP="00CF7917">
      <w:pPr>
        <w:pStyle w:val="Bibliography"/>
        <w:ind w:left="720" w:hanging="720"/>
        <w:rPr>
          <w:noProof/>
        </w:rPr>
      </w:pPr>
      <w:r>
        <w:rPr>
          <w:noProof/>
        </w:rPr>
        <w:t xml:space="preserve">Energy Link. (2019). </w:t>
      </w:r>
      <w:r>
        <w:rPr>
          <w:i/>
          <w:iCs/>
          <w:noProof/>
        </w:rPr>
        <w:t>Electricity Allocation Factor Background Iformation.</w:t>
      </w:r>
      <w:r>
        <w:rPr>
          <w:noProof/>
        </w:rPr>
        <w:t xml:space="preserve"> Dunedin: Ministry for the Environment.</w:t>
      </w:r>
    </w:p>
    <w:p w14:paraId="2E3AF2BC" w14:textId="77777777" w:rsidR="00CF7917" w:rsidRDefault="00CF7917" w:rsidP="00CF7917">
      <w:pPr>
        <w:pStyle w:val="Bibliography"/>
        <w:ind w:left="720" w:hanging="720"/>
        <w:rPr>
          <w:noProof/>
        </w:rPr>
      </w:pPr>
      <w:r>
        <w:rPr>
          <w:noProof/>
        </w:rPr>
        <w:lastRenderedPageBreak/>
        <w:t xml:space="preserve">Energy Link. (2020). </w:t>
      </w:r>
      <w:r>
        <w:rPr>
          <w:i/>
          <w:iCs/>
          <w:noProof/>
        </w:rPr>
        <w:t>Electricity Allocation Factor Modelling 2020.</w:t>
      </w:r>
      <w:r>
        <w:rPr>
          <w:noProof/>
        </w:rPr>
        <w:t xml:space="preserve"> Wellington: Ministry for the Environment.</w:t>
      </w:r>
    </w:p>
    <w:p w14:paraId="267EDE9B" w14:textId="77777777" w:rsidR="00CF7917" w:rsidRDefault="00CF7917" w:rsidP="00CF7917">
      <w:pPr>
        <w:pStyle w:val="Bibliography"/>
        <w:ind w:left="720" w:hanging="720"/>
        <w:rPr>
          <w:noProof/>
        </w:rPr>
      </w:pPr>
      <w:r>
        <w:rPr>
          <w:noProof/>
        </w:rPr>
        <w:t xml:space="preserve">Energy Modelling Consultants. (2008). </w:t>
      </w:r>
      <w:r>
        <w:rPr>
          <w:i/>
          <w:iCs/>
          <w:noProof/>
        </w:rPr>
        <w:t>SDDP Modelling of Carbon Dioxide Emissoins from Electricity Generation.</w:t>
      </w:r>
      <w:r>
        <w:rPr>
          <w:noProof/>
        </w:rPr>
        <w:t xml:space="preserve"> Wellington.</w:t>
      </w:r>
    </w:p>
    <w:p w14:paraId="6C2E9EA6" w14:textId="77777777" w:rsidR="00CF7917" w:rsidRDefault="00CF7917" w:rsidP="00CF7917">
      <w:pPr>
        <w:pStyle w:val="Bibliography"/>
        <w:ind w:left="720" w:hanging="720"/>
        <w:rPr>
          <w:noProof/>
        </w:rPr>
      </w:pPr>
      <w:r>
        <w:rPr>
          <w:noProof/>
        </w:rPr>
        <w:t xml:space="preserve">Energy Modelling Consultants. (2011). </w:t>
      </w:r>
      <w:r>
        <w:rPr>
          <w:i/>
          <w:iCs/>
          <w:noProof/>
        </w:rPr>
        <w:t>Generation System Modelling for the 2013-2017 Electricity Allocation Factor.</w:t>
      </w:r>
      <w:r>
        <w:rPr>
          <w:noProof/>
        </w:rPr>
        <w:t xml:space="preserve"> Wellington.</w:t>
      </w:r>
    </w:p>
    <w:p w14:paraId="538924F0" w14:textId="77777777" w:rsidR="00CF7917" w:rsidRDefault="00CF7917" w:rsidP="00CF7917">
      <w:pPr>
        <w:pStyle w:val="Bibliography"/>
        <w:ind w:left="720" w:hanging="720"/>
        <w:rPr>
          <w:noProof/>
        </w:rPr>
      </w:pPr>
      <w:r>
        <w:rPr>
          <w:noProof/>
        </w:rPr>
        <w:t>NZIER. (2015, May 26). Estimating an Electricity Allocation Factor. Wellington: NZIER.</w:t>
      </w:r>
    </w:p>
    <w:p w14:paraId="4F5AF4E9" w14:textId="77777777" w:rsidR="00CF7917" w:rsidRDefault="00CF7917" w:rsidP="00CF7917">
      <w:pPr>
        <w:pStyle w:val="Bibliography"/>
        <w:ind w:left="720" w:hanging="720"/>
        <w:rPr>
          <w:noProof/>
        </w:rPr>
      </w:pPr>
      <w:r>
        <w:rPr>
          <w:noProof/>
        </w:rPr>
        <w:t xml:space="preserve">Scientia Consulting. (2018). </w:t>
      </w:r>
      <w:r>
        <w:rPr>
          <w:i/>
          <w:iCs/>
          <w:noProof/>
        </w:rPr>
        <w:t>Electricity Allocation Factor Estimates for 2016/17.</w:t>
      </w:r>
      <w:r>
        <w:rPr>
          <w:noProof/>
        </w:rPr>
        <w:t xml:space="preserve"> Wellington.</w:t>
      </w:r>
    </w:p>
    <w:p w14:paraId="33138AA7" w14:textId="441C4B98" w:rsidR="00F1130C" w:rsidRDefault="00B925BC" w:rsidP="00CF7917">
      <w:pPr>
        <w:pStyle w:val="StyleBibliographyLeft0mmHanging127mm2"/>
      </w:pPr>
      <w:r w:rsidRPr="00A7413B">
        <w:rPr>
          <w:szCs w:val="24"/>
        </w:rPr>
        <w:fldChar w:fldCharType="end"/>
      </w:r>
    </w:p>
    <w:p w14:paraId="364A453A" w14:textId="5A4E91B8" w:rsidR="00CD3642" w:rsidRDefault="00CD3642" w:rsidP="00B925BC"/>
    <w:p w14:paraId="1B1DE1FF" w14:textId="77777777" w:rsidR="00D6133E" w:rsidRDefault="00D6133E"/>
    <w:p w14:paraId="14D13B32" w14:textId="77777777" w:rsidR="00CF7917" w:rsidRDefault="00CF7917"/>
    <w:sectPr w:rsidR="00CF7917">
      <w:footerReference w:type="default" r:id="rId15"/>
      <w:pgSz w:w="11907" w:h="16840" w:code="9"/>
      <w:pgMar w:top="1418" w:right="1701" w:bottom="1418" w:left="1701"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FD6F0" w14:textId="77777777" w:rsidR="007A5A5E" w:rsidRDefault="007A5A5E">
      <w:r>
        <w:separator/>
      </w:r>
    </w:p>
  </w:endnote>
  <w:endnote w:type="continuationSeparator" w:id="0">
    <w:p w14:paraId="3EA7D452" w14:textId="77777777" w:rsidR="007A5A5E" w:rsidRDefault="007A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4249" w14:textId="77777777" w:rsidR="007A5A5E" w:rsidRDefault="007A5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FC721" w14:textId="77777777" w:rsidR="007A5A5E" w:rsidRDefault="007A5A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F323" w14:textId="5D928650" w:rsidR="007A5A5E" w:rsidRDefault="007A5A5E">
    <w:pPr>
      <w:pStyle w:val="Footer"/>
      <w:pBdr>
        <w:top w:val="single" w:sz="6" w:space="1" w:color="auto"/>
      </w:pBdr>
      <w:tabs>
        <w:tab w:val="clear" w:pos="8306"/>
        <w:tab w:val="right" w:pos="8505"/>
      </w:tabs>
      <w:rPr>
        <w:rFonts w:ascii="Arial Narrow" w:hAnsi="Arial Narrow"/>
        <w:i/>
        <w:sz w:val="18"/>
      </w:rPr>
    </w:pPr>
    <w:r>
      <w:rPr>
        <w:rFonts w:ascii="Arial Narrow" w:hAnsi="Arial Narrow"/>
        <w:i/>
        <w:sz w:val="18"/>
      </w:rPr>
      <w:fldChar w:fldCharType="begin"/>
    </w:r>
    <w:r>
      <w:rPr>
        <w:rFonts w:ascii="Arial Narrow" w:hAnsi="Arial Narrow"/>
        <w:i/>
        <w:sz w:val="18"/>
      </w:rPr>
      <w:instrText xml:space="preserve"> FILENAME  \* MERGEFORMAT </w:instrText>
    </w:r>
    <w:r>
      <w:rPr>
        <w:rFonts w:ascii="Arial Narrow" w:hAnsi="Arial Narrow"/>
        <w:i/>
        <w:sz w:val="18"/>
      </w:rPr>
      <w:fldChar w:fldCharType="separate"/>
    </w:r>
    <w:r>
      <w:rPr>
        <w:rFonts w:ascii="Arial Narrow" w:hAnsi="Arial Narrow"/>
        <w:i/>
        <w:noProof/>
        <w:sz w:val="18"/>
      </w:rPr>
      <w:t>MfE EAF Methodologies May-20.docx</w:t>
    </w:r>
    <w:r>
      <w:rPr>
        <w:rFonts w:ascii="Arial Narrow" w:hAnsi="Arial Narrow"/>
        <w:i/>
        <w:sz w:val="18"/>
      </w:rPr>
      <w:fldChar w:fldCharType="end"/>
    </w:r>
    <w:r>
      <w:rPr>
        <w:rFonts w:ascii="Arial Narrow" w:hAnsi="Arial Narrow"/>
        <w:i/>
        <w:sz w:val="18"/>
      </w:rPr>
      <w:tab/>
    </w:r>
    <w:r>
      <w:rPr>
        <w:rFonts w:ascii="Arial Narrow" w:hAnsi="Arial Narrow"/>
        <w:i/>
        <w:sz w:val="18"/>
      </w:rPr>
      <w:tab/>
    </w:r>
    <w:r>
      <w:rPr>
        <w:rStyle w:val="PageNumber"/>
        <w:rFonts w:ascii="Arial Narrow" w:hAnsi="Arial Narrow"/>
        <w:i/>
        <w:sz w:val="18"/>
      </w:rPr>
      <w:t>(</w:t>
    </w:r>
    <w:r>
      <w:rPr>
        <w:rStyle w:val="PageNumber"/>
        <w:rFonts w:ascii="Arial Narrow" w:hAnsi="Arial Narrow"/>
        <w:i/>
        <w:sz w:val="18"/>
      </w:rPr>
      <w:fldChar w:fldCharType="begin"/>
    </w:r>
    <w:r>
      <w:rPr>
        <w:rStyle w:val="PageNumber"/>
        <w:rFonts w:ascii="Arial Narrow" w:hAnsi="Arial Narrow"/>
        <w:i/>
        <w:sz w:val="18"/>
      </w:rPr>
      <w:instrText xml:space="preserve">PAGE  </w:instrText>
    </w:r>
    <w:r>
      <w:rPr>
        <w:rStyle w:val="PageNumber"/>
        <w:rFonts w:ascii="Arial Narrow" w:hAnsi="Arial Narrow"/>
        <w:i/>
        <w:sz w:val="18"/>
      </w:rPr>
      <w:fldChar w:fldCharType="separate"/>
    </w:r>
    <w:r w:rsidR="00CC0539">
      <w:rPr>
        <w:rStyle w:val="PageNumber"/>
        <w:rFonts w:ascii="Arial Narrow" w:hAnsi="Arial Narrow"/>
        <w:i/>
        <w:noProof/>
        <w:sz w:val="18"/>
      </w:rPr>
      <w:t>iii</w:t>
    </w:r>
    <w:r>
      <w:rPr>
        <w:rStyle w:val="PageNumber"/>
        <w:rFonts w:ascii="Arial Narrow" w:hAnsi="Arial Narrow"/>
        <w:i/>
        <w:sz w:val="18"/>
      </w:rPr>
      <w:fldChar w:fldCharType="end"/>
    </w:r>
    <w:r>
      <w:rPr>
        <w:rStyle w:val="PageNumber"/>
        <w:rFonts w:ascii="Arial Narrow" w:hAnsi="Arial Narrow"/>
        <w:i/>
        <w:sz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9251" w14:textId="77777777" w:rsidR="007A5A5E" w:rsidRDefault="007A5A5E">
    <w:pPr>
      <w:pStyle w:val="Footer"/>
      <w:tabs>
        <w:tab w:val="clear" w:pos="8306"/>
        <w:tab w:val="right" w:pos="850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D8F4" w14:textId="2521F1A4" w:rsidR="007A5A5E" w:rsidRPr="007C7B83" w:rsidRDefault="007A5A5E">
    <w:pPr>
      <w:pStyle w:val="Footer"/>
      <w:pBdr>
        <w:top w:val="single" w:sz="6" w:space="1" w:color="auto"/>
      </w:pBdr>
      <w:tabs>
        <w:tab w:val="clear" w:pos="8306"/>
        <w:tab w:val="right" w:pos="8505"/>
      </w:tabs>
      <w:rPr>
        <w:rFonts w:ascii="Arial Narrow" w:hAnsi="Arial Narrow"/>
        <w:i/>
        <w:sz w:val="18"/>
        <w:szCs w:val="18"/>
      </w:rPr>
    </w:pPr>
    <w:r w:rsidRPr="007C7B83">
      <w:rPr>
        <w:rFonts w:ascii="Arial Narrow" w:hAnsi="Arial Narrow"/>
        <w:i/>
        <w:sz w:val="18"/>
        <w:szCs w:val="18"/>
      </w:rPr>
      <w:fldChar w:fldCharType="begin"/>
    </w:r>
    <w:r w:rsidRPr="007C7B83">
      <w:rPr>
        <w:rFonts w:ascii="Arial Narrow" w:hAnsi="Arial Narrow"/>
        <w:i/>
        <w:sz w:val="18"/>
        <w:szCs w:val="18"/>
      </w:rPr>
      <w:instrText xml:space="preserve"> FILENAME  \* MERGEFORMAT </w:instrText>
    </w:r>
    <w:r w:rsidRPr="007C7B83">
      <w:rPr>
        <w:rFonts w:ascii="Arial Narrow" w:hAnsi="Arial Narrow"/>
        <w:i/>
        <w:sz w:val="18"/>
        <w:szCs w:val="18"/>
      </w:rPr>
      <w:fldChar w:fldCharType="separate"/>
    </w:r>
    <w:r>
      <w:rPr>
        <w:rFonts w:ascii="Arial Narrow" w:hAnsi="Arial Narrow"/>
        <w:i/>
        <w:noProof/>
        <w:sz w:val="18"/>
        <w:szCs w:val="18"/>
      </w:rPr>
      <w:t>MfE EAF Methodologies May-20.docx</w:t>
    </w:r>
    <w:r w:rsidRPr="007C7B83">
      <w:rPr>
        <w:rFonts w:ascii="Arial Narrow" w:hAnsi="Arial Narrow"/>
        <w:i/>
        <w:sz w:val="18"/>
        <w:szCs w:val="18"/>
      </w:rPr>
      <w:fldChar w:fldCharType="end"/>
    </w:r>
    <w:r w:rsidRPr="007C7B83">
      <w:rPr>
        <w:rFonts w:ascii="Arial Narrow" w:hAnsi="Arial Narrow"/>
        <w:i/>
        <w:sz w:val="18"/>
        <w:szCs w:val="18"/>
      </w:rPr>
      <w:tab/>
      <w:t>Copyright Energy Link Ltd</w:t>
    </w:r>
    <w:r w:rsidRPr="007C7B83">
      <w:rPr>
        <w:rFonts w:ascii="Arial Narrow" w:hAnsi="Arial Narrow"/>
        <w:i/>
        <w:sz w:val="18"/>
        <w:szCs w:val="18"/>
      </w:rPr>
      <w:tab/>
    </w:r>
    <w:r w:rsidRPr="007C7B83">
      <w:rPr>
        <w:rStyle w:val="PageNumber"/>
        <w:rFonts w:ascii="Arial Narrow" w:hAnsi="Arial Narrow"/>
        <w:i/>
        <w:sz w:val="18"/>
        <w:szCs w:val="18"/>
      </w:rPr>
      <w:fldChar w:fldCharType="begin"/>
    </w:r>
    <w:r w:rsidRPr="007C7B83">
      <w:rPr>
        <w:rStyle w:val="PageNumber"/>
        <w:rFonts w:ascii="Arial Narrow" w:hAnsi="Arial Narrow"/>
        <w:i/>
        <w:sz w:val="18"/>
        <w:szCs w:val="18"/>
      </w:rPr>
      <w:instrText xml:space="preserve">PAGE  </w:instrText>
    </w:r>
    <w:r w:rsidRPr="007C7B83">
      <w:rPr>
        <w:rStyle w:val="PageNumber"/>
        <w:rFonts w:ascii="Arial Narrow" w:hAnsi="Arial Narrow"/>
        <w:i/>
        <w:sz w:val="18"/>
        <w:szCs w:val="18"/>
      </w:rPr>
      <w:fldChar w:fldCharType="separate"/>
    </w:r>
    <w:r w:rsidR="00CC0539">
      <w:rPr>
        <w:rStyle w:val="PageNumber"/>
        <w:rFonts w:ascii="Arial Narrow" w:hAnsi="Arial Narrow"/>
        <w:i/>
        <w:noProof/>
        <w:sz w:val="18"/>
        <w:szCs w:val="18"/>
      </w:rPr>
      <w:t>11</w:t>
    </w:r>
    <w:r w:rsidRPr="007C7B83">
      <w:rPr>
        <w:rStyle w:val="PageNumber"/>
        <w:rFonts w:ascii="Arial Narrow" w:hAnsi="Arial Narrow"/>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CFD1E" w14:textId="77777777" w:rsidR="007A5A5E" w:rsidRDefault="007A5A5E">
      <w:r>
        <w:separator/>
      </w:r>
    </w:p>
  </w:footnote>
  <w:footnote w:type="continuationSeparator" w:id="0">
    <w:p w14:paraId="3C8E2511" w14:textId="77777777" w:rsidR="007A5A5E" w:rsidRDefault="007A5A5E">
      <w:r>
        <w:continuationSeparator/>
      </w:r>
    </w:p>
  </w:footnote>
  <w:footnote w:id="1">
    <w:p w14:paraId="74CE894C" w14:textId="7C51FCB5" w:rsidR="007A5A5E" w:rsidRPr="00EC670D" w:rsidRDefault="007A5A5E" w:rsidP="00DD5586">
      <w:pPr>
        <w:pStyle w:val="FootnoteText"/>
        <w:rPr>
          <w:lang w:val="en-US"/>
        </w:rPr>
      </w:pPr>
      <w:r>
        <w:rPr>
          <w:rStyle w:val="FootnoteReference"/>
        </w:rPr>
        <w:footnoteRef/>
      </w:r>
      <w:r>
        <w:t xml:space="preserve"> </w:t>
      </w:r>
      <w:r>
        <w:rPr>
          <w:lang w:val="en-US"/>
        </w:rPr>
        <w:t xml:space="preserve">See </w:t>
      </w:r>
      <w:hyperlink r:id="rId1" w:history="1">
        <w:r>
          <w:rPr>
            <w:rStyle w:val="Hyperlink"/>
          </w:rPr>
          <w:t>https://www.mfe.govt.nz/publications/climate/electricity-emissions-factor-reports/index.html</w:t>
        </w:r>
      </w:hyperlink>
      <w:r>
        <w:t xml:space="preserve"> and </w:t>
      </w:r>
      <w:sdt>
        <w:sdtPr>
          <w:id w:val="-100957087"/>
          <w:citation/>
        </w:sdtPr>
        <w:sdtEndPr/>
        <w:sdtContent>
          <w:r>
            <w:fldChar w:fldCharType="begin"/>
          </w:r>
          <w:r>
            <w:rPr>
              <w:lang w:val="en-US"/>
            </w:rPr>
            <w:instrText xml:space="preserve"> CITATION Con04 \l 1033 </w:instrText>
          </w:r>
          <w:r>
            <w:fldChar w:fldCharType="separate"/>
          </w:r>
          <w:r w:rsidR="00252787" w:rsidRPr="00252787">
            <w:rPr>
              <w:noProof/>
              <w:lang w:val="en-US"/>
            </w:rPr>
            <w:t>(Concept Consulting, 2004)</w:t>
          </w:r>
          <w:r>
            <w:fldChar w:fldCharType="end"/>
          </w:r>
        </w:sdtContent>
      </w:sdt>
      <w:r>
        <w:t>.</w:t>
      </w:r>
    </w:p>
  </w:footnote>
  <w:footnote w:id="2">
    <w:p w14:paraId="0C33E72B" w14:textId="0325FEDF" w:rsidR="007A5A5E" w:rsidRPr="00C207E5" w:rsidRDefault="007A5A5E" w:rsidP="00C207E5">
      <w:pPr>
        <w:pStyle w:val="FootnoteText"/>
        <w:rPr>
          <w:lang w:val="en-US"/>
        </w:rPr>
      </w:pPr>
      <w:r>
        <w:rPr>
          <w:rStyle w:val="FootnoteReference"/>
        </w:rPr>
        <w:footnoteRef/>
      </w:r>
      <w:r>
        <w:t xml:space="preserve"> </w:t>
      </w:r>
      <w:r w:rsidRPr="00C207E5">
        <w:t xml:space="preserve">The allocation to an industry is explained in more detail in </w:t>
      </w:r>
      <w:sdt>
        <w:sdtPr>
          <w:id w:val="1830011228"/>
          <w:citation/>
        </w:sdtPr>
        <w:sdtEndPr/>
        <w:sdtContent>
          <w:r>
            <w:fldChar w:fldCharType="begin"/>
          </w:r>
          <w:r>
            <w:rPr>
              <w:lang w:val="en-US"/>
            </w:rPr>
            <w:instrText xml:space="preserve"> CITATION Ene19 \l 1033 </w:instrText>
          </w:r>
          <w:r>
            <w:fldChar w:fldCharType="separate"/>
          </w:r>
          <w:r w:rsidR="00252787" w:rsidRPr="00252787">
            <w:rPr>
              <w:noProof/>
              <w:lang w:val="en-US"/>
            </w:rPr>
            <w:t>(Energy Link, 2019)</w:t>
          </w:r>
          <w:r>
            <w:fldChar w:fldCharType="end"/>
          </w:r>
        </w:sdtContent>
      </w:sdt>
      <w:r w:rsidRPr="00C207E5">
        <w:t>.</w:t>
      </w:r>
    </w:p>
  </w:footnote>
  <w:footnote w:id="3">
    <w:p w14:paraId="640BFD6C" w14:textId="63AF7605" w:rsidR="007A5A5E" w:rsidRPr="00490125" w:rsidRDefault="007A5A5E">
      <w:pPr>
        <w:pStyle w:val="FootnoteText"/>
        <w:rPr>
          <w:lang w:val="en-US"/>
        </w:rPr>
      </w:pPr>
      <w:r>
        <w:rPr>
          <w:rStyle w:val="FootnoteReference"/>
        </w:rPr>
        <w:footnoteRef/>
      </w:r>
      <w:r>
        <w:t xml:space="preserve"> </w:t>
      </w:r>
      <w:r>
        <w:rPr>
          <w:lang w:val="en-US"/>
        </w:rPr>
        <w:t xml:space="preserve">For example, see a </w:t>
      </w:r>
      <w:hyperlink r:id="rId2" w:history="1">
        <w:r w:rsidRPr="00490125">
          <w:rPr>
            <w:rStyle w:val="Hyperlink"/>
            <w:lang w:val="en-US"/>
          </w:rPr>
          <w:t>letter dated 5</w:t>
        </w:r>
        <w:r w:rsidRPr="00490125">
          <w:rPr>
            <w:rStyle w:val="Hyperlink"/>
            <w:vertAlign w:val="superscript"/>
            <w:lang w:val="en-US"/>
          </w:rPr>
          <w:t>th</w:t>
        </w:r>
        <w:r w:rsidRPr="00490125">
          <w:rPr>
            <w:rStyle w:val="Hyperlink"/>
            <w:lang w:val="en-US"/>
          </w:rPr>
          <w:t xml:space="preserve"> May 2010</w:t>
        </w:r>
      </w:hyperlink>
      <w:r>
        <w:rPr>
          <w:lang w:val="en-US"/>
        </w:rPr>
        <w:t xml:space="preserve"> from the Major Electricity Users’ Group to the then Minister for Climate Change Issues, Hon Dr Nick Smith.</w:t>
      </w:r>
    </w:p>
  </w:footnote>
  <w:footnote w:id="4">
    <w:p w14:paraId="76BB7A35" w14:textId="38A75DA6" w:rsidR="007A5A5E" w:rsidRPr="00D6133E" w:rsidRDefault="007A5A5E">
      <w:pPr>
        <w:pStyle w:val="FootnoteText"/>
        <w:rPr>
          <w:lang w:val="en-US"/>
        </w:rPr>
      </w:pPr>
      <w:r>
        <w:rPr>
          <w:rStyle w:val="FootnoteReference"/>
        </w:rPr>
        <w:footnoteRef/>
      </w:r>
      <w:r>
        <w:t xml:space="preserve"> </w:t>
      </w:r>
      <w:r>
        <w:rPr>
          <w:lang w:val="en-US"/>
        </w:rPr>
        <w:t>The unit is $ per tonne of CO</w:t>
      </w:r>
      <w:r>
        <w:rPr>
          <w:vertAlign w:val="subscript"/>
          <w:lang w:val="en-US"/>
        </w:rPr>
        <w:t>2</w:t>
      </w:r>
      <w:r>
        <w:rPr>
          <w:lang w:val="en-US"/>
        </w:rPr>
        <w:t>.</w:t>
      </w:r>
    </w:p>
  </w:footnote>
  <w:footnote w:id="5">
    <w:p w14:paraId="22D0B862" w14:textId="1EE6CBE6" w:rsidR="007A5A5E" w:rsidRPr="002E07F0" w:rsidRDefault="007A5A5E">
      <w:pPr>
        <w:pStyle w:val="FootnoteText"/>
      </w:pPr>
      <w:r>
        <w:rPr>
          <w:rStyle w:val="FootnoteReference"/>
        </w:rPr>
        <w:footnoteRef/>
      </w:r>
      <w:r>
        <w:t xml:space="preserve"> T</w:t>
      </w:r>
      <w:r w:rsidRPr="002E07F0">
        <w:t>he estimated price of a good or service for which no market price exist</w:t>
      </w:r>
      <w:r>
        <w:t>s, from dictionary.com.</w:t>
      </w:r>
    </w:p>
  </w:footnote>
  <w:footnote w:id="6">
    <w:p w14:paraId="3296990B" w14:textId="7AA24F0B" w:rsidR="007A5A5E" w:rsidRPr="00C10FB8" w:rsidRDefault="007A5A5E">
      <w:pPr>
        <w:pStyle w:val="FootnoteText"/>
        <w:rPr>
          <w:lang w:val="en-US"/>
        </w:rPr>
      </w:pPr>
      <w:r>
        <w:rPr>
          <w:rStyle w:val="FootnoteReference"/>
        </w:rPr>
        <w:footnoteRef/>
      </w:r>
      <w:r>
        <w:t xml:space="preserve"> </w:t>
      </w:r>
      <w:r>
        <w:rPr>
          <w:lang w:val="en-US"/>
        </w:rPr>
        <w:t>Generators are not required to become ETS participants, but those of any size have opted in so that they have the maximum degree of control over their carbon costs.</w:t>
      </w:r>
    </w:p>
  </w:footnote>
  <w:footnote w:id="7">
    <w:p w14:paraId="57EA84DE" w14:textId="5A00C75E" w:rsidR="007A5A5E" w:rsidRPr="00D233DF" w:rsidRDefault="007A5A5E">
      <w:pPr>
        <w:pStyle w:val="FootnoteText"/>
        <w:rPr>
          <w:lang w:val="en-US"/>
        </w:rPr>
      </w:pPr>
      <w:r>
        <w:rPr>
          <w:rStyle w:val="FootnoteReference"/>
        </w:rPr>
        <w:footnoteRef/>
      </w:r>
      <w:r>
        <w:t xml:space="preserve"> </w:t>
      </w:r>
      <w:r>
        <w:rPr>
          <w:lang w:val="en-US"/>
        </w:rPr>
        <w:t>For example, Huntly changing to a ‘dry year reserve’ plant.</w:t>
      </w:r>
    </w:p>
  </w:footnote>
  <w:footnote w:id="8">
    <w:p w14:paraId="7A3D58E4" w14:textId="688058B0" w:rsidR="007A5A5E" w:rsidRPr="00D6133E" w:rsidRDefault="007A5A5E">
      <w:pPr>
        <w:pStyle w:val="FootnoteText"/>
        <w:rPr>
          <w:lang w:val="en-US"/>
        </w:rPr>
      </w:pPr>
      <w:r>
        <w:rPr>
          <w:rStyle w:val="FootnoteReference"/>
        </w:rPr>
        <w:footnoteRef/>
      </w:r>
      <w:r>
        <w:t xml:space="preserve"> </w:t>
      </w:r>
      <w:r>
        <w:rPr>
          <w:lang w:val="en-US"/>
        </w:rPr>
        <w:t>An oligopoly market is one which is dominated by a small group of large suppliers, in this case the four largest gentailers.</w:t>
      </w:r>
    </w:p>
  </w:footnote>
  <w:footnote w:id="9">
    <w:p w14:paraId="0CCAEA44" w14:textId="37D0C1F5" w:rsidR="007A5A5E" w:rsidRPr="00CB6D79" w:rsidRDefault="007A5A5E">
      <w:pPr>
        <w:pStyle w:val="FootnoteText"/>
        <w:rPr>
          <w:lang w:val="en-US"/>
        </w:rPr>
      </w:pPr>
      <w:r>
        <w:rPr>
          <w:rStyle w:val="FootnoteReference"/>
        </w:rPr>
        <w:footnoteRef/>
      </w:r>
      <w:r>
        <w:t xml:space="preserve"> </w:t>
      </w:r>
      <w:r>
        <w:rPr>
          <w:lang w:val="en-US"/>
        </w:rPr>
        <w:t>vSPD is an implementation of the SPD dispatch and pricing model used in the electricity market to dispatch generation and calculate spot prices.</w:t>
      </w:r>
    </w:p>
  </w:footnote>
  <w:footnote w:id="10">
    <w:p w14:paraId="17C73467" w14:textId="0D28131C" w:rsidR="007A5A5E" w:rsidRPr="00CB6D79" w:rsidRDefault="007A5A5E" w:rsidP="00CB6D79">
      <w:pPr>
        <w:pStyle w:val="FootnoteText"/>
        <w:rPr>
          <w:lang w:val="en-US"/>
        </w:rPr>
      </w:pPr>
      <w:r>
        <w:rPr>
          <w:rStyle w:val="FootnoteReference"/>
        </w:rPr>
        <w:footnoteRef/>
      </w:r>
      <w:r>
        <w:t xml:space="preserve"> </w:t>
      </w:r>
      <w:r>
        <w:rPr>
          <w:lang w:val="en-US"/>
        </w:rPr>
        <w:t>In 2016 one NZU covered two tonnes of CO</w:t>
      </w:r>
      <w:r w:rsidRPr="00CB6D79">
        <w:rPr>
          <w:vertAlign w:val="subscript"/>
          <w:lang w:val="en-US"/>
        </w:rPr>
        <w:t>2</w:t>
      </w:r>
      <w:r>
        <w:rPr>
          <w:lang w:val="en-US"/>
        </w:rPr>
        <w:t xml:space="preserve"> emissions and in 2017 one NZU covered 1.5 tonnes of CO</w:t>
      </w:r>
      <w:r w:rsidRPr="00CB6D79">
        <w:rPr>
          <w:vertAlign w:val="subscript"/>
          <w:lang w:val="en-US"/>
        </w:rPr>
        <w:t>2</w:t>
      </w:r>
      <w:r>
        <w:rPr>
          <w:lang w:val="en-US"/>
        </w:rPr>
        <w:t xml:space="preserve"> emissions.</w:t>
      </w:r>
    </w:p>
  </w:footnote>
  <w:footnote w:id="11">
    <w:p w14:paraId="55EBCB1B" w14:textId="03DF8F4F" w:rsidR="007A5A5E" w:rsidRPr="005F686B" w:rsidRDefault="007A5A5E">
      <w:pPr>
        <w:pStyle w:val="FootnoteText"/>
        <w:rPr>
          <w:lang w:val="en-US"/>
        </w:rPr>
      </w:pPr>
      <w:r>
        <w:rPr>
          <w:rStyle w:val="FootnoteReference"/>
        </w:rPr>
        <w:footnoteRef/>
      </w:r>
      <w:r>
        <w:t xml:space="preserve"> </w:t>
      </w:r>
      <w:r>
        <w:rPr>
          <w:lang w:val="en-US"/>
        </w:rPr>
        <w:t>Higher water values would also result in excessive spill from hydro lakes during periods of higher inflows.</w:t>
      </w:r>
    </w:p>
  </w:footnote>
  <w:footnote w:id="12">
    <w:p w14:paraId="1E1D62DE" w14:textId="6B84E509" w:rsidR="007A5A5E" w:rsidRPr="0066350C" w:rsidRDefault="007A5A5E">
      <w:pPr>
        <w:pStyle w:val="FootnoteText"/>
        <w:rPr>
          <w:lang w:val="en-US"/>
        </w:rPr>
      </w:pPr>
      <w:r>
        <w:rPr>
          <w:rStyle w:val="FootnoteReference"/>
        </w:rPr>
        <w:footnoteRef/>
      </w:r>
      <w:r>
        <w:t xml:space="preserve"> </w:t>
      </w:r>
      <w:r>
        <w:rPr>
          <w:lang w:val="en-US"/>
        </w:rPr>
        <w:t>Generators tend to offer enough generation from their portfolio at SRMC, or adjusted SRMC, to cover their exposure to spot purchases (as a retailer) plus hedge contracts.  Quantities offered beyond the total required to cover retail plus hedges may be offered at prices higher than SRMC, for example in an attempt to also cover fixed costs.</w:t>
      </w:r>
    </w:p>
  </w:footnote>
  <w:footnote w:id="13">
    <w:p w14:paraId="343D6467" w14:textId="411F7DC8" w:rsidR="007A5A5E" w:rsidRPr="00E2388A" w:rsidRDefault="007A5A5E">
      <w:pPr>
        <w:pStyle w:val="FootnoteText"/>
        <w:rPr>
          <w:lang w:val="en-US"/>
        </w:rPr>
      </w:pPr>
      <w:r>
        <w:rPr>
          <w:rStyle w:val="FootnoteReference"/>
        </w:rPr>
        <w:footnoteRef/>
      </w:r>
      <w:r>
        <w:t xml:space="preserve"> </w:t>
      </w:r>
      <w:r>
        <w:rPr>
          <w:lang w:val="en-US"/>
        </w:rPr>
        <w:t>This structure also impacts on hydro offers due to constraints within each river chain, and the fact that the value of water reduces as it flows downstream and passes through generators in the chain.</w:t>
      </w:r>
    </w:p>
  </w:footnote>
  <w:footnote w:id="14">
    <w:p w14:paraId="687E866F" w14:textId="6A307F55" w:rsidR="007A5A5E" w:rsidRPr="009A7574" w:rsidRDefault="007A5A5E">
      <w:pPr>
        <w:pStyle w:val="FootnoteText"/>
        <w:rPr>
          <w:lang w:val="en-US"/>
        </w:rPr>
      </w:pPr>
      <w:r>
        <w:rPr>
          <w:rStyle w:val="FootnoteReference"/>
        </w:rPr>
        <w:footnoteRef/>
      </w:r>
      <w:r>
        <w:t xml:space="preserve"> D</w:t>
      </w:r>
      <w:r>
        <w:rPr>
          <w:lang w:val="en-US"/>
        </w:rPr>
        <w:t>ating back to April 1931.  One dataset extends back to 1928.</w:t>
      </w:r>
    </w:p>
  </w:footnote>
  <w:footnote w:id="15">
    <w:p w14:paraId="27437ACC" w14:textId="557CCEB0" w:rsidR="00A73C66" w:rsidRPr="00D6133E" w:rsidRDefault="00A73C66">
      <w:pPr>
        <w:pStyle w:val="FootnoteText"/>
        <w:rPr>
          <w:lang w:val="en-US"/>
        </w:rPr>
      </w:pPr>
      <w:r>
        <w:rPr>
          <w:rStyle w:val="FootnoteReference"/>
        </w:rPr>
        <w:footnoteRef/>
      </w:r>
      <w:r>
        <w:t xml:space="preserve"> </w:t>
      </w:r>
      <w:r>
        <w:rPr>
          <w:lang w:val="en-US"/>
        </w:rPr>
        <w:t>The ‘averaged EAF’ is the probability-weighted average over all scenarios in each future year.</w:t>
      </w:r>
    </w:p>
  </w:footnote>
  <w:footnote w:id="16">
    <w:p w14:paraId="472142E0" w14:textId="45E4EFA3" w:rsidR="007A5A5E" w:rsidRPr="00E25AB0" w:rsidRDefault="007A5A5E">
      <w:pPr>
        <w:pStyle w:val="FootnoteText"/>
        <w:rPr>
          <w:lang w:val="en-US"/>
        </w:rPr>
      </w:pPr>
      <w:r>
        <w:rPr>
          <w:rStyle w:val="FootnoteReference"/>
        </w:rPr>
        <w:footnoteRef/>
      </w:r>
      <w:r>
        <w:t xml:space="preserve"> The anchoring effect occurs </w:t>
      </w:r>
      <w:r w:rsidRPr="00E25AB0">
        <w:t>whe</w:t>
      </w:r>
      <w:r>
        <w:t>n</w:t>
      </w:r>
      <w:r w:rsidRPr="00E25AB0">
        <w:t xml:space="preserve"> initial piece</w:t>
      </w:r>
      <w:r>
        <w:t>s</w:t>
      </w:r>
      <w:r w:rsidRPr="00E25AB0">
        <w:t xml:space="preserve"> of information (</w:t>
      </w:r>
      <w:r>
        <w:t>the factual world in which we live</w:t>
      </w:r>
      <w:r w:rsidRPr="00E25AB0">
        <w:t xml:space="preserve">) </w:t>
      </w:r>
      <w:r>
        <w:t xml:space="preserve">is relied too heavily when </w:t>
      </w:r>
      <w:r w:rsidRPr="00E25AB0">
        <w:t>mak</w:t>
      </w:r>
      <w:r>
        <w:t>ing</w:t>
      </w:r>
      <w:r w:rsidRPr="00E25AB0">
        <w:t xml:space="preserve"> subsequent judgments</w:t>
      </w:r>
      <w:r>
        <w:t>, e.g. about the counterfactual world.</w:t>
      </w:r>
    </w:p>
  </w:footnote>
  <w:footnote w:id="17">
    <w:p w14:paraId="0D0A2CC6" w14:textId="7C6C7F87" w:rsidR="007A5A5E" w:rsidRPr="00E25AB0" w:rsidRDefault="007A5A5E">
      <w:pPr>
        <w:pStyle w:val="FootnoteText"/>
        <w:rPr>
          <w:lang w:val="en-US"/>
        </w:rPr>
      </w:pPr>
      <w:r>
        <w:rPr>
          <w:rStyle w:val="FootnoteReference"/>
        </w:rPr>
        <w:footnoteRef/>
      </w:r>
      <w:r>
        <w:t xml:space="preserve"> </w:t>
      </w:r>
      <w:r w:rsidRPr="00E25AB0">
        <w:t>Availability bias is a mental shortcut that relies on immediate examples that come to a given person's mind when evaluating a specific topic, concept, method or decision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CEAA" w14:textId="77777777" w:rsidR="007A5A5E" w:rsidRDefault="007A5A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12925" w14:textId="77777777" w:rsidR="007A5A5E" w:rsidRDefault="007A5A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AFA8" w14:textId="4E517C6E" w:rsidR="007A5A5E" w:rsidRDefault="007A5A5E" w:rsidP="007D1428">
    <w:pPr>
      <w:pStyle w:val="Header"/>
      <w:pBdr>
        <w:bottom w:val="single" w:sz="6" w:space="1" w:color="auto"/>
      </w:pBdr>
      <w:tabs>
        <w:tab w:val="right" w:pos="8505"/>
      </w:tabs>
      <w:rPr>
        <w:rStyle w:val="PageNumber"/>
        <w:rFonts w:ascii="Arial Narrow" w:hAnsi="Arial Narrow"/>
        <w:i/>
        <w:sz w:val="18"/>
      </w:rPr>
    </w:pPr>
    <w:r w:rsidRPr="007D1428">
      <w:rPr>
        <w:rStyle w:val="PageNumber"/>
        <w:rFonts w:ascii="Arial Narrow" w:hAnsi="Arial Narrow"/>
        <w:i/>
        <w:sz w:val="18"/>
      </w:rPr>
      <w:t>Electricity Allocation Factor</w:t>
    </w:r>
    <w:r>
      <w:rPr>
        <w:rStyle w:val="PageNumber"/>
        <w:rFonts w:ascii="Arial Narrow" w:hAnsi="Arial Narrow"/>
        <w:i/>
        <w:sz w:val="18"/>
      </w:rPr>
      <w:t xml:space="preserve"> </w:t>
    </w:r>
    <w:r w:rsidRPr="007D1428">
      <w:rPr>
        <w:rStyle w:val="PageNumber"/>
        <w:rFonts w:ascii="Arial Narrow" w:hAnsi="Arial Narrow"/>
        <w:i/>
        <w:sz w:val="18"/>
      </w:rPr>
      <w:t>Methodology Options</w:t>
    </w:r>
    <w:r>
      <w:rPr>
        <w:rStyle w:val="PageNumber"/>
        <w:rFonts w:ascii="Arial Narrow" w:hAnsi="Arial Narrow"/>
        <w:i/>
        <w:sz w:val="18"/>
      </w:rPr>
      <w:tab/>
    </w:r>
    <w:r>
      <w:rPr>
        <w:rStyle w:val="PageNumber"/>
        <w:rFonts w:ascii="Arial Narrow" w:hAnsi="Arial Narrow"/>
        <w:i/>
        <w:sz w:val="18"/>
      </w:rPr>
      <w:tab/>
    </w:r>
  </w:p>
  <w:p w14:paraId="7803B25E" w14:textId="77777777" w:rsidR="007A5A5E" w:rsidRDefault="007A5A5E">
    <w:pPr>
      <w:pStyle w:val="Header"/>
      <w:ind w:right="360"/>
      <w:rPr>
        <w:rFonts w:ascii="Arial" w:hAnsi="Arial"/>
        <w:i/>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2C5B" w14:textId="77777777" w:rsidR="007A5A5E" w:rsidRDefault="007A5A5E">
    <w:pPr>
      <w:pStyle w:val="Header"/>
      <w:tabs>
        <w:tab w:val="clear" w:pos="8306"/>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F1E94E4"/>
    <w:lvl w:ilvl="0">
      <w:start w:val="1"/>
      <w:numFmt w:val="decimal"/>
      <w:lvlText w:val="%1."/>
      <w:lvlJc w:val="left"/>
      <w:pPr>
        <w:ind w:left="360" w:hanging="360"/>
      </w:pPr>
      <w:rPr>
        <w:rFonts w:hint="default"/>
      </w:rPr>
    </w:lvl>
    <w:lvl w:ilvl="1">
      <w:start w:val="1"/>
      <w:numFmt w:val="decimal"/>
      <w:lvlText w:val="%1 %2"/>
      <w:lvlJc w:val="left"/>
      <w:pPr>
        <w:tabs>
          <w:tab w:val="num" w:pos="0"/>
        </w:tabs>
        <w:ind w:left="0" w:firstLine="0"/>
      </w:pPr>
      <w:rPr>
        <w:rFonts w:hint="default"/>
      </w:rPr>
    </w:lvl>
    <w:lvl w:ilvl="2">
      <w:start w:val="1"/>
      <w:numFmt w:val="decimal"/>
      <w:lvlText w:val="%1 %2.%3"/>
      <w:lvlJc w:val="left"/>
      <w:pPr>
        <w:tabs>
          <w:tab w:val="num" w:pos="0"/>
        </w:tabs>
        <w:ind w:left="0" w:firstLine="0"/>
      </w:pPr>
      <w:rPr>
        <w:rFonts w:hint="default"/>
      </w:rPr>
    </w:lvl>
    <w:lvl w:ilvl="3">
      <w:start w:val="1"/>
      <w:numFmt w:val="decimal"/>
      <w:lvlText w:val="%1 %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 w15:restartNumberingAfterBreak="0">
    <w:nsid w:val="08EF63E5"/>
    <w:multiLevelType w:val="hybridMultilevel"/>
    <w:tmpl w:val="3934EDA2"/>
    <w:lvl w:ilvl="0" w:tplc="E564E0DC">
      <w:start w:val="1"/>
      <w:numFmt w:val="bullet"/>
      <w:lvlRestart w:val="0"/>
      <w:lvlText w:val=""/>
      <w:lvlJc w:val="left"/>
      <w:pPr>
        <w:ind w:left="561"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1A53"/>
    <w:multiLevelType w:val="hybridMultilevel"/>
    <w:tmpl w:val="0E2AAABE"/>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167440"/>
    <w:multiLevelType w:val="hybridMultilevel"/>
    <w:tmpl w:val="1938E66E"/>
    <w:lvl w:ilvl="0" w:tplc="299CA994">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09460F"/>
    <w:multiLevelType w:val="hybridMultilevel"/>
    <w:tmpl w:val="BD5ABC00"/>
    <w:lvl w:ilvl="0" w:tplc="B950A5EE">
      <w:start w:val="1"/>
      <w:numFmt w:val="bullet"/>
      <w:lvlRestart w:val="0"/>
      <w:lvlText w:val=""/>
      <w:lvlJc w:val="left"/>
      <w:pPr>
        <w:ind w:left="561" w:firstLine="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84E97"/>
    <w:multiLevelType w:val="hybridMultilevel"/>
    <w:tmpl w:val="9A0E76CC"/>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57C6EF9"/>
    <w:multiLevelType w:val="hybridMultilevel"/>
    <w:tmpl w:val="322E5DBE"/>
    <w:lvl w:ilvl="0" w:tplc="DCCE436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8AA6482"/>
    <w:multiLevelType w:val="hybridMultilevel"/>
    <w:tmpl w:val="2FBC9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0603C9"/>
    <w:multiLevelType w:val="hybridMultilevel"/>
    <w:tmpl w:val="BA1EAA8C"/>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F73334"/>
    <w:multiLevelType w:val="hybridMultilevel"/>
    <w:tmpl w:val="0FD8449A"/>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F6B10C5"/>
    <w:multiLevelType w:val="hybridMultilevel"/>
    <w:tmpl w:val="14AECFE0"/>
    <w:lvl w:ilvl="0" w:tplc="E564E0DC">
      <w:start w:val="1"/>
      <w:numFmt w:val="bullet"/>
      <w:lvlRestart w:val="0"/>
      <w:lvlText w:val=""/>
      <w:lvlJc w:val="left"/>
      <w:pPr>
        <w:ind w:left="561"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32D5C"/>
    <w:multiLevelType w:val="hybridMultilevel"/>
    <w:tmpl w:val="BB1EFE52"/>
    <w:lvl w:ilvl="0" w:tplc="4ED0E2D2">
      <w:start w:val="1"/>
      <w:numFmt w:val="decimal"/>
      <w:lvlRestart w:val="0"/>
      <w:lvlText w:val="%1."/>
      <w:lvlJc w:val="left"/>
      <w:pPr>
        <w:ind w:left="567"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C757A"/>
    <w:multiLevelType w:val="hybridMultilevel"/>
    <w:tmpl w:val="247E46DE"/>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DD1473"/>
    <w:multiLevelType w:val="hybridMultilevel"/>
    <w:tmpl w:val="554CAFC6"/>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7B19D3"/>
    <w:multiLevelType w:val="hybridMultilevel"/>
    <w:tmpl w:val="B6A0852A"/>
    <w:lvl w:ilvl="0" w:tplc="FD4E49A2">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ABD579B"/>
    <w:multiLevelType w:val="hybridMultilevel"/>
    <w:tmpl w:val="BEB231A6"/>
    <w:lvl w:ilvl="0" w:tplc="29225618">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3A61690"/>
    <w:multiLevelType w:val="hybridMultilevel"/>
    <w:tmpl w:val="A9E64AC2"/>
    <w:lvl w:ilvl="0" w:tplc="50821E8E">
      <w:start w:val="1"/>
      <w:numFmt w:val="decimal"/>
      <w:lvlRestart w:val="0"/>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78B1F61"/>
    <w:multiLevelType w:val="hybridMultilevel"/>
    <w:tmpl w:val="11B8271A"/>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EC55C5B"/>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26E3231"/>
    <w:multiLevelType w:val="hybridMultilevel"/>
    <w:tmpl w:val="72520F18"/>
    <w:lvl w:ilvl="0" w:tplc="4328B5B0">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A8D48BF"/>
    <w:multiLevelType w:val="hybridMultilevel"/>
    <w:tmpl w:val="8E748AF2"/>
    <w:lvl w:ilvl="0" w:tplc="4328B5B0">
      <w:start w:val="1"/>
      <w:numFmt w:val="decimal"/>
      <w:lvlRestart w:val="0"/>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F065053"/>
    <w:multiLevelType w:val="hybridMultilevel"/>
    <w:tmpl w:val="770EB464"/>
    <w:lvl w:ilvl="0" w:tplc="E564E0DC">
      <w:start w:val="1"/>
      <w:numFmt w:val="bullet"/>
      <w:lvlRestart w:val="0"/>
      <w:lvlText w:val=""/>
      <w:lvlJc w:val="left"/>
      <w:pPr>
        <w:ind w:left="561"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B79B4"/>
    <w:multiLevelType w:val="hybridMultilevel"/>
    <w:tmpl w:val="88BE5A2C"/>
    <w:lvl w:ilvl="0" w:tplc="308001E2">
      <w:start w:val="1"/>
      <w:numFmt w:val="decimal"/>
      <w:lvlText w:val="Step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EA35C5A"/>
    <w:multiLevelType w:val="hybridMultilevel"/>
    <w:tmpl w:val="70F60292"/>
    <w:lvl w:ilvl="0" w:tplc="B838C86E">
      <w:start w:val="1"/>
      <w:numFmt w:val="bullet"/>
      <w:lvlRestart w:val="0"/>
      <w:lvlText w:val=""/>
      <w:lvlJc w:val="left"/>
      <w:pPr>
        <w:ind w:left="360" w:firstLine="0"/>
      </w:pPr>
      <w:rPr>
        <w:rFonts w:ascii="Symbol" w:hAnsi="Symbol" w:hint="default"/>
      </w:rPr>
    </w:lvl>
    <w:lvl w:ilvl="1" w:tplc="14090003" w:tentative="1">
      <w:start w:val="1"/>
      <w:numFmt w:val="bullet"/>
      <w:lvlText w:val="o"/>
      <w:lvlJc w:val="left"/>
      <w:pPr>
        <w:ind w:left="1239" w:hanging="360"/>
      </w:pPr>
      <w:rPr>
        <w:rFonts w:ascii="Courier New" w:hAnsi="Courier New" w:cs="Courier New" w:hint="default"/>
      </w:rPr>
    </w:lvl>
    <w:lvl w:ilvl="2" w:tplc="14090005" w:tentative="1">
      <w:start w:val="1"/>
      <w:numFmt w:val="bullet"/>
      <w:lvlText w:val=""/>
      <w:lvlJc w:val="left"/>
      <w:pPr>
        <w:ind w:left="1959" w:hanging="360"/>
      </w:pPr>
      <w:rPr>
        <w:rFonts w:ascii="Wingdings" w:hAnsi="Wingdings" w:hint="default"/>
      </w:rPr>
    </w:lvl>
    <w:lvl w:ilvl="3" w:tplc="14090001" w:tentative="1">
      <w:start w:val="1"/>
      <w:numFmt w:val="bullet"/>
      <w:lvlText w:val=""/>
      <w:lvlJc w:val="left"/>
      <w:pPr>
        <w:ind w:left="2679" w:hanging="360"/>
      </w:pPr>
      <w:rPr>
        <w:rFonts w:ascii="Symbol" w:hAnsi="Symbol" w:hint="default"/>
      </w:rPr>
    </w:lvl>
    <w:lvl w:ilvl="4" w:tplc="14090003" w:tentative="1">
      <w:start w:val="1"/>
      <w:numFmt w:val="bullet"/>
      <w:lvlText w:val="o"/>
      <w:lvlJc w:val="left"/>
      <w:pPr>
        <w:ind w:left="3399" w:hanging="360"/>
      </w:pPr>
      <w:rPr>
        <w:rFonts w:ascii="Courier New" w:hAnsi="Courier New" w:cs="Courier New" w:hint="default"/>
      </w:rPr>
    </w:lvl>
    <w:lvl w:ilvl="5" w:tplc="14090005" w:tentative="1">
      <w:start w:val="1"/>
      <w:numFmt w:val="bullet"/>
      <w:lvlText w:val=""/>
      <w:lvlJc w:val="left"/>
      <w:pPr>
        <w:ind w:left="4119" w:hanging="360"/>
      </w:pPr>
      <w:rPr>
        <w:rFonts w:ascii="Wingdings" w:hAnsi="Wingdings" w:hint="default"/>
      </w:rPr>
    </w:lvl>
    <w:lvl w:ilvl="6" w:tplc="14090001" w:tentative="1">
      <w:start w:val="1"/>
      <w:numFmt w:val="bullet"/>
      <w:lvlText w:val=""/>
      <w:lvlJc w:val="left"/>
      <w:pPr>
        <w:ind w:left="4839" w:hanging="360"/>
      </w:pPr>
      <w:rPr>
        <w:rFonts w:ascii="Symbol" w:hAnsi="Symbol" w:hint="default"/>
      </w:rPr>
    </w:lvl>
    <w:lvl w:ilvl="7" w:tplc="14090003" w:tentative="1">
      <w:start w:val="1"/>
      <w:numFmt w:val="bullet"/>
      <w:lvlText w:val="o"/>
      <w:lvlJc w:val="left"/>
      <w:pPr>
        <w:ind w:left="5559" w:hanging="360"/>
      </w:pPr>
      <w:rPr>
        <w:rFonts w:ascii="Courier New" w:hAnsi="Courier New" w:cs="Courier New" w:hint="default"/>
      </w:rPr>
    </w:lvl>
    <w:lvl w:ilvl="8" w:tplc="14090005" w:tentative="1">
      <w:start w:val="1"/>
      <w:numFmt w:val="bullet"/>
      <w:lvlText w:val=""/>
      <w:lvlJc w:val="left"/>
      <w:pPr>
        <w:ind w:left="6279" w:hanging="360"/>
      </w:pPr>
      <w:rPr>
        <w:rFonts w:ascii="Wingdings" w:hAnsi="Wingdings" w:hint="default"/>
      </w:rPr>
    </w:lvl>
  </w:abstractNum>
  <w:abstractNum w:abstractNumId="24" w15:restartNumberingAfterBreak="0">
    <w:nsid w:val="646306C3"/>
    <w:multiLevelType w:val="hybridMultilevel"/>
    <w:tmpl w:val="4FA4B0C6"/>
    <w:lvl w:ilvl="0" w:tplc="93E097A2">
      <w:start w:val="1"/>
      <w:numFmt w:val="bullet"/>
      <w:lvlRestart w:val="0"/>
      <w:lvlText w:val=""/>
      <w:lvlJc w:val="left"/>
      <w:pPr>
        <w:ind w:left="561"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80876"/>
    <w:multiLevelType w:val="hybridMultilevel"/>
    <w:tmpl w:val="7A360892"/>
    <w:lvl w:ilvl="0" w:tplc="93E097A2">
      <w:start w:val="1"/>
      <w:numFmt w:val="bullet"/>
      <w:lvlRestart w:val="0"/>
      <w:lvlText w:val=""/>
      <w:lvlJc w:val="left"/>
      <w:pPr>
        <w:ind w:left="561"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B4D0F"/>
    <w:multiLevelType w:val="hybridMultilevel"/>
    <w:tmpl w:val="FB3E211A"/>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0430375"/>
    <w:multiLevelType w:val="hybridMultilevel"/>
    <w:tmpl w:val="9AA42D46"/>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3862C01"/>
    <w:multiLevelType w:val="hybridMultilevel"/>
    <w:tmpl w:val="9D8476F4"/>
    <w:lvl w:ilvl="0" w:tplc="FD4E49A2">
      <w:start w:val="1"/>
      <w:numFmt w:val="decimal"/>
      <w:lvlRestart w:val="0"/>
      <w:lvlText w:val="%1."/>
      <w:lvlJc w:val="left"/>
      <w:pPr>
        <w:ind w:left="360" w:firstLine="0"/>
      </w:pPr>
    </w:lvl>
    <w:lvl w:ilvl="1" w:tplc="14090019" w:tentative="1">
      <w:start w:val="1"/>
      <w:numFmt w:val="lowerLetter"/>
      <w:lvlText w:val="%2."/>
      <w:lvlJc w:val="left"/>
      <w:pPr>
        <w:ind w:left="1233" w:hanging="360"/>
      </w:pPr>
    </w:lvl>
    <w:lvl w:ilvl="2" w:tplc="1409001B" w:tentative="1">
      <w:start w:val="1"/>
      <w:numFmt w:val="lowerRoman"/>
      <w:lvlText w:val="%3."/>
      <w:lvlJc w:val="right"/>
      <w:pPr>
        <w:ind w:left="1953" w:hanging="180"/>
      </w:pPr>
    </w:lvl>
    <w:lvl w:ilvl="3" w:tplc="1409000F" w:tentative="1">
      <w:start w:val="1"/>
      <w:numFmt w:val="decimal"/>
      <w:lvlText w:val="%4."/>
      <w:lvlJc w:val="left"/>
      <w:pPr>
        <w:ind w:left="2673" w:hanging="360"/>
      </w:pPr>
    </w:lvl>
    <w:lvl w:ilvl="4" w:tplc="14090019" w:tentative="1">
      <w:start w:val="1"/>
      <w:numFmt w:val="lowerLetter"/>
      <w:lvlText w:val="%5."/>
      <w:lvlJc w:val="left"/>
      <w:pPr>
        <w:ind w:left="3393" w:hanging="360"/>
      </w:pPr>
    </w:lvl>
    <w:lvl w:ilvl="5" w:tplc="1409001B" w:tentative="1">
      <w:start w:val="1"/>
      <w:numFmt w:val="lowerRoman"/>
      <w:lvlText w:val="%6."/>
      <w:lvlJc w:val="right"/>
      <w:pPr>
        <w:ind w:left="4113" w:hanging="180"/>
      </w:pPr>
    </w:lvl>
    <w:lvl w:ilvl="6" w:tplc="1409000F" w:tentative="1">
      <w:start w:val="1"/>
      <w:numFmt w:val="decimal"/>
      <w:lvlText w:val="%7."/>
      <w:lvlJc w:val="left"/>
      <w:pPr>
        <w:ind w:left="4833" w:hanging="360"/>
      </w:pPr>
    </w:lvl>
    <w:lvl w:ilvl="7" w:tplc="14090019" w:tentative="1">
      <w:start w:val="1"/>
      <w:numFmt w:val="lowerLetter"/>
      <w:lvlText w:val="%8."/>
      <w:lvlJc w:val="left"/>
      <w:pPr>
        <w:ind w:left="5553" w:hanging="360"/>
      </w:pPr>
    </w:lvl>
    <w:lvl w:ilvl="8" w:tplc="1409001B" w:tentative="1">
      <w:start w:val="1"/>
      <w:numFmt w:val="lowerRoman"/>
      <w:lvlText w:val="%9."/>
      <w:lvlJc w:val="right"/>
      <w:pPr>
        <w:ind w:left="6273" w:hanging="180"/>
      </w:pPr>
    </w:lvl>
  </w:abstractNum>
  <w:abstractNum w:abstractNumId="29" w15:restartNumberingAfterBreak="0">
    <w:nsid w:val="7B6E74BC"/>
    <w:multiLevelType w:val="hybridMultilevel"/>
    <w:tmpl w:val="2A80C14A"/>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D0C0D0A"/>
    <w:multiLevelType w:val="hybridMultilevel"/>
    <w:tmpl w:val="E27A13F0"/>
    <w:lvl w:ilvl="0" w:tplc="0AB4F386">
      <w:start w:val="1"/>
      <w:numFmt w:val="bullet"/>
      <w:lvlRestart w:val="0"/>
      <w:lvlText w:val=""/>
      <w:lvlJc w:val="left"/>
      <w:pPr>
        <w:ind w:left="561" w:firstLine="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7C268C"/>
    <w:multiLevelType w:val="hybridMultilevel"/>
    <w:tmpl w:val="1792B90E"/>
    <w:lvl w:ilvl="0" w:tplc="4328B5B0">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F2760D8"/>
    <w:multiLevelType w:val="hybridMultilevel"/>
    <w:tmpl w:val="0A62BFFC"/>
    <w:lvl w:ilvl="0" w:tplc="CBBC8C98">
      <w:start w:val="1"/>
      <w:numFmt w:val="decimal"/>
      <w:lvlRestart w:val="0"/>
      <w:lvlText w:val="%1."/>
      <w:lvlJc w:val="left"/>
      <w:pPr>
        <w:ind w:left="567" w:firstLine="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5"/>
  </w:num>
  <w:num w:numId="5">
    <w:abstractNumId w:val="15"/>
  </w:num>
  <w:num w:numId="6">
    <w:abstractNumId w:val="6"/>
  </w:num>
  <w:num w:numId="7">
    <w:abstractNumId w:val="15"/>
  </w:num>
  <w:num w:numId="8">
    <w:abstractNumId w:val="15"/>
  </w:num>
  <w:num w:numId="9">
    <w:abstractNumId w:val="18"/>
  </w:num>
  <w:num w:numId="10">
    <w:abstractNumId w:val="5"/>
  </w:num>
  <w:num w:numId="11">
    <w:abstractNumId w:val="17"/>
  </w:num>
  <w:num w:numId="12">
    <w:abstractNumId w:val="9"/>
  </w:num>
  <w:num w:numId="13">
    <w:abstractNumId w:val="12"/>
  </w:num>
  <w:num w:numId="14">
    <w:abstractNumId w:val="2"/>
  </w:num>
  <w:num w:numId="15">
    <w:abstractNumId w:val="32"/>
  </w:num>
  <w:num w:numId="16">
    <w:abstractNumId w:val="27"/>
  </w:num>
  <w:num w:numId="17">
    <w:abstractNumId w:val="13"/>
  </w:num>
  <w:num w:numId="18">
    <w:abstractNumId w:val="26"/>
  </w:num>
  <w:num w:numId="19">
    <w:abstractNumId w:val="8"/>
  </w:num>
  <w:num w:numId="20">
    <w:abstractNumId w:val="29"/>
  </w:num>
  <w:num w:numId="21">
    <w:abstractNumId w:val="14"/>
  </w:num>
  <w:num w:numId="22">
    <w:abstractNumId w:val="7"/>
  </w:num>
  <w:num w:numId="23">
    <w:abstractNumId w:val="28"/>
  </w:num>
  <w:num w:numId="24">
    <w:abstractNumId w:val="23"/>
  </w:num>
  <w:num w:numId="25">
    <w:abstractNumId w:val="30"/>
  </w:num>
  <w:num w:numId="26">
    <w:abstractNumId w:val="22"/>
  </w:num>
  <w:num w:numId="27">
    <w:abstractNumId w:val="16"/>
  </w:num>
  <w:num w:numId="28">
    <w:abstractNumId w:val="20"/>
  </w:num>
  <w:num w:numId="29">
    <w:abstractNumId w:val="31"/>
  </w:num>
  <w:num w:numId="30">
    <w:abstractNumId w:val="4"/>
  </w:num>
  <w:num w:numId="31">
    <w:abstractNumId w:val="19"/>
  </w:num>
  <w:num w:numId="32">
    <w:abstractNumId w:val="3"/>
  </w:num>
  <w:num w:numId="33">
    <w:abstractNumId w:val="1"/>
  </w:num>
  <w:num w:numId="34">
    <w:abstractNumId w:val="21"/>
  </w:num>
  <w:num w:numId="35">
    <w:abstractNumId w:val="10"/>
  </w:num>
  <w:num w:numId="36">
    <w:abstractNumId w:val="1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A8"/>
    <w:rsid w:val="00004209"/>
    <w:rsid w:val="000058EB"/>
    <w:rsid w:val="000145C7"/>
    <w:rsid w:val="00014731"/>
    <w:rsid w:val="00020474"/>
    <w:rsid w:val="00026649"/>
    <w:rsid w:val="00030BA1"/>
    <w:rsid w:val="00035EF6"/>
    <w:rsid w:val="0003712A"/>
    <w:rsid w:val="0005049A"/>
    <w:rsid w:val="00050560"/>
    <w:rsid w:val="0005385C"/>
    <w:rsid w:val="000558F7"/>
    <w:rsid w:val="000614A8"/>
    <w:rsid w:val="0006270D"/>
    <w:rsid w:val="00064D21"/>
    <w:rsid w:val="000706DE"/>
    <w:rsid w:val="000725B5"/>
    <w:rsid w:val="00073882"/>
    <w:rsid w:val="000759D6"/>
    <w:rsid w:val="00076662"/>
    <w:rsid w:val="00083F59"/>
    <w:rsid w:val="00084FAF"/>
    <w:rsid w:val="00085A69"/>
    <w:rsid w:val="00086427"/>
    <w:rsid w:val="00087AC1"/>
    <w:rsid w:val="00090221"/>
    <w:rsid w:val="00090EF9"/>
    <w:rsid w:val="00092491"/>
    <w:rsid w:val="0009277F"/>
    <w:rsid w:val="000957BE"/>
    <w:rsid w:val="000A1849"/>
    <w:rsid w:val="000A3439"/>
    <w:rsid w:val="000A35D8"/>
    <w:rsid w:val="000B1890"/>
    <w:rsid w:val="000B66CF"/>
    <w:rsid w:val="000C2EF8"/>
    <w:rsid w:val="000C46D0"/>
    <w:rsid w:val="000C7A0D"/>
    <w:rsid w:val="000C7A80"/>
    <w:rsid w:val="000C7EB2"/>
    <w:rsid w:val="000D3E7E"/>
    <w:rsid w:val="000D674E"/>
    <w:rsid w:val="000D78C4"/>
    <w:rsid w:val="000D7F46"/>
    <w:rsid w:val="000E49D6"/>
    <w:rsid w:val="000E603A"/>
    <w:rsid w:val="000F0530"/>
    <w:rsid w:val="000F64C5"/>
    <w:rsid w:val="000F655C"/>
    <w:rsid w:val="001020DB"/>
    <w:rsid w:val="0010591E"/>
    <w:rsid w:val="00113B6A"/>
    <w:rsid w:val="0012101F"/>
    <w:rsid w:val="0012303E"/>
    <w:rsid w:val="00123716"/>
    <w:rsid w:val="001240D1"/>
    <w:rsid w:val="00124BDE"/>
    <w:rsid w:val="001265E3"/>
    <w:rsid w:val="00130259"/>
    <w:rsid w:val="001311D9"/>
    <w:rsid w:val="001433BA"/>
    <w:rsid w:val="001443F3"/>
    <w:rsid w:val="00150A2D"/>
    <w:rsid w:val="00151CB0"/>
    <w:rsid w:val="00153931"/>
    <w:rsid w:val="0016072E"/>
    <w:rsid w:val="00162B2B"/>
    <w:rsid w:val="00162DEF"/>
    <w:rsid w:val="00163B74"/>
    <w:rsid w:val="00167FB0"/>
    <w:rsid w:val="00170116"/>
    <w:rsid w:val="0017045B"/>
    <w:rsid w:val="00183A1D"/>
    <w:rsid w:val="00184EF6"/>
    <w:rsid w:val="001851A4"/>
    <w:rsid w:val="001935A2"/>
    <w:rsid w:val="00193E02"/>
    <w:rsid w:val="001A3B24"/>
    <w:rsid w:val="001A67CB"/>
    <w:rsid w:val="001A7358"/>
    <w:rsid w:val="001A75AB"/>
    <w:rsid w:val="001B05C7"/>
    <w:rsid w:val="001B06AE"/>
    <w:rsid w:val="001B18CE"/>
    <w:rsid w:val="001B1C5F"/>
    <w:rsid w:val="001B1EAE"/>
    <w:rsid w:val="001B2AB2"/>
    <w:rsid w:val="001B601D"/>
    <w:rsid w:val="001C56B7"/>
    <w:rsid w:val="001C78A5"/>
    <w:rsid w:val="001D373F"/>
    <w:rsid w:val="001D71BE"/>
    <w:rsid w:val="001D7B88"/>
    <w:rsid w:val="001E2621"/>
    <w:rsid w:val="001F01A9"/>
    <w:rsid w:val="00205E77"/>
    <w:rsid w:val="00206624"/>
    <w:rsid w:val="00207120"/>
    <w:rsid w:val="00207242"/>
    <w:rsid w:val="00207AD6"/>
    <w:rsid w:val="00212DBF"/>
    <w:rsid w:val="0021765B"/>
    <w:rsid w:val="00220DDE"/>
    <w:rsid w:val="00221C7A"/>
    <w:rsid w:val="00226AF9"/>
    <w:rsid w:val="00230129"/>
    <w:rsid w:val="00230F76"/>
    <w:rsid w:val="0023187F"/>
    <w:rsid w:val="00232F70"/>
    <w:rsid w:val="0023453B"/>
    <w:rsid w:val="00234A97"/>
    <w:rsid w:val="00234B81"/>
    <w:rsid w:val="002363FC"/>
    <w:rsid w:val="00236ED3"/>
    <w:rsid w:val="00240027"/>
    <w:rsid w:val="002414B0"/>
    <w:rsid w:val="0024454A"/>
    <w:rsid w:val="00244D91"/>
    <w:rsid w:val="00245BCC"/>
    <w:rsid w:val="00246C20"/>
    <w:rsid w:val="00252787"/>
    <w:rsid w:val="00254271"/>
    <w:rsid w:val="002555A1"/>
    <w:rsid w:val="002575E2"/>
    <w:rsid w:val="00260791"/>
    <w:rsid w:val="00261924"/>
    <w:rsid w:val="00262AB1"/>
    <w:rsid w:val="002634FE"/>
    <w:rsid w:val="0026651B"/>
    <w:rsid w:val="00274F6C"/>
    <w:rsid w:val="00276786"/>
    <w:rsid w:val="00276D9F"/>
    <w:rsid w:val="00277EB1"/>
    <w:rsid w:val="002807C8"/>
    <w:rsid w:val="00281FF0"/>
    <w:rsid w:val="002821A3"/>
    <w:rsid w:val="00283DBD"/>
    <w:rsid w:val="00292E82"/>
    <w:rsid w:val="002A1B5A"/>
    <w:rsid w:val="002A5C75"/>
    <w:rsid w:val="002A62E9"/>
    <w:rsid w:val="002A763A"/>
    <w:rsid w:val="002A76C9"/>
    <w:rsid w:val="002B4171"/>
    <w:rsid w:val="002C07FC"/>
    <w:rsid w:val="002C2D72"/>
    <w:rsid w:val="002C556E"/>
    <w:rsid w:val="002D22E9"/>
    <w:rsid w:val="002D56BF"/>
    <w:rsid w:val="002D5A0C"/>
    <w:rsid w:val="002D5D80"/>
    <w:rsid w:val="002D73B8"/>
    <w:rsid w:val="002E07F0"/>
    <w:rsid w:val="002E1E50"/>
    <w:rsid w:val="002E32D5"/>
    <w:rsid w:val="002E3E58"/>
    <w:rsid w:val="002F40A8"/>
    <w:rsid w:val="002F67B5"/>
    <w:rsid w:val="00302CA5"/>
    <w:rsid w:val="00304624"/>
    <w:rsid w:val="0030750B"/>
    <w:rsid w:val="003075CC"/>
    <w:rsid w:val="00312AF2"/>
    <w:rsid w:val="00312E01"/>
    <w:rsid w:val="00313A3B"/>
    <w:rsid w:val="00313E38"/>
    <w:rsid w:val="00313F09"/>
    <w:rsid w:val="00315E0C"/>
    <w:rsid w:val="0032713F"/>
    <w:rsid w:val="003321B5"/>
    <w:rsid w:val="00333805"/>
    <w:rsid w:val="00335A24"/>
    <w:rsid w:val="0033608D"/>
    <w:rsid w:val="00341EBE"/>
    <w:rsid w:val="0034534B"/>
    <w:rsid w:val="00346F16"/>
    <w:rsid w:val="00352339"/>
    <w:rsid w:val="00352530"/>
    <w:rsid w:val="00355CDB"/>
    <w:rsid w:val="0036487A"/>
    <w:rsid w:val="0036716B"/>
    <w:rsid w:val="0037195C"/>
    <w:rsid w:val="003727C5"/>
    <w:rsid w:val="00374F09"/>
    <w:rsid w:val="0037757C"/>
    <w:rsid w:val="00377C53"/>
    <w:rsid w:val="003828C9"/>
    <w:rsid w:val="00382FAB"/>
    <w:rsid w:val="003877A6"/>
    <w:rsid w:val="003970AA"/>
    <w:rsid w:val="003A3CD4"/>
    <w:rsid w:val="003A60D7"/>
    <w:rsid w:val="003B1C69"/>
    <w:rsid w:val="003B1D76"/>
    <w:rsid w:val="003B46DD"/>
    <w:rsid w:val="003B489E"/>
    <w:rsid w:val="003B4D2D"/>
    <w:rsid w:val="003B618E"/>
    <w:rsid w:val="003B73EC"/>
    <w:rsid w:val="003C566E"/>
    <w:rsid w:val="003C61D1"/>
    <w:rsid w:val="003C6386"/>
    <w:rsid w:val="003C7B10"/>
    <w:rsid w:val="003D5D07"/>
    <w:rsid w:val="003D630C"/>
    <w:rsid w:val="003D6A07"/>
    <w:rsid w:val="003D7E15"/>
    <w:rsid w:val="003E40D9"/>
    <w:rsid w:val="003E54F5"/>
    <w:rsid w:val="003F3352"/>
    <w:rsid w:val="00400639"/>
    <w:rsid w:val="0040261F"/>
    <w:rsid w:val="00406D39"/>
    <w:rsid w:val="00406FF4"/>
    <w:rsid w:val="004150B0"/>
    <w:rsid w:val="00417177"/>
    <w:rsid w:val="00417722"/>
    <w:rsid w:val="004216EE"/>
    <w:rsid w:val="00427EEA"/>
    <w:rsid w:val="004319C8"/>
    <w:rsid w:val="0043515C"/>
    <w:rsid w:val="00435832"/>
    <w:rsid w:val="0043612B"/>
    <w:rsid w:val="0043748F"/>
    <w:rsid w:val="00440EF6"/>
    <w:rsid w:val="0045189D"/>
    <w:rsid w:val="004520EF"/>
    <w:rsid w:val="00452189"/>
    <w:rsid w:val="00461CF8"/>
    <w:rsid w:val="00463E33"/>
    <w:rsid w:val="00475F3E"/>
    <w:rsid w:val="004804E6"/>
    <w:rsid w:val="00481D5E"/>
    <w:rsid w:val="00482A37"/>
    <w:rsid w:val="00490125"/>
    <w:rsid w:val="004923F4"/>
    <w:rsid w:val="00495BFD"/>
    <w:rsid w:val="00497560"/>
    <w:rsid w:val="004A1522"/>
    <w:rsid w:val="004B0814"/>
    <w:rsid w:val="004B16FB"/>
    <w:rsid w:val="004B213E"/>
    <w:rsid w:val="004B47E0"/>
    <w:rsid w:val="004B773C"/>
    <w:rsid w:val="004C06B1"/>
    <w:rsid w:val="004C19A5"/>
    <w:rsid w:val="004C65D5"/>
    <w:rsid w:val="004E0B53"/>
    <w:rsid w:val="004F3BC4"/>
    <w:rsid w:val="004F5916"/>
    <w:rsid w:val="004F7D38"/>
    <w:rsid w:val="00503496"/>
    <w:rsid w:val="00504E03"/>
    <w:rsid w:val="00510629"/>
    <w:rsid w:val="0051249E"/>
    <w:rsid w:val="00516F7D"/>
    <w:rsid w:val="005177A6"/>
    <w:rsid w:val="0052047C"/>
    <w:rsid w:val="005207F1"/>
    <w:rsid w:val="00523CDD"/>
    <w:rsid w:val="00524EC9"/>
    <w:rsid w:val="005257F3"/>
    <w:rsid w:val="0053534F"/>
    <w:rsid w:val="00541935"/>
    <w:rsid w:val="00545551"/>
    <w:rsid w:val="00550947"/>
    <w:rsid w:val="00551D44"/>
    <w:rsid w:val="00554408"/>
    <w:rsid w:val="005561D0"/>
    <w:rsid w:val="005574BB"/>
    <w:rsid w:val="00557E17"/>
    <w:rsid w:val="005606FE"/>
    <w:rsid w:val="005613B7"/>
    <w:rsid w:val="00563CE9"/>
    <w:rsid w:val="0056460A"/>
    <w:rsid w:val="0057098D"/>
    <w:rsid w:val="0057106C"/>
    <w:rsid w:val="00572C88"/>
    <w:rsid w:val="0058587C"/>
    <w:rsid w:val="00586B7D"/>
    <w:rsid w:val="00587817"/>
    <w:rsid w:val="00587EA9"/>
    <w:rsid w:val="00587F3D"/>
    <w:rsid w:val="00591172"/>
    <w:rsid w:val="00597C3D"/>
    <w:rsid w:val="005A06BA"/>
    <w:rsid w:val="005A39D4"/>
    <w:rsid w:val="005A555C"/>
    <w:rsid w:val="005A5E26"/>
    <w:rsid w:val="005A7B28"/>
    <w:rsid w:val="005B01D9"/>
    <w:rsid w:val="005B0893"/>
    <w:rsid w:val="005B3A6A"/>
    <w:rsid w:val="005B5951"/>
    <w:rsid w:val="005B666F"/>
    <w:rsid w:val="005B75CC"/>
    <w:rsid w:val="005C392A"/>
    <w:rsid w:val="005C5876"/>
    <w:rsid w:val="005D0280"/>
    <w:rsid w:val="005D56FE"/>
    <w:rsid w:val="005D728E"/>
    <w:rsid w:val="005E07FA"/>
    <w:rsid w:val="005E121F"/>
    <w:rsid w:val="005E3D25"/>
    <w:rsid w:val="005E4F8E"/>
    <w:rsid w:val="005E5D87"/>
    <w:rsid w:val="005E6996"/>
    <w:rsid w:val="005F2593"/>
    <w:rsid w:val="005F2599"/>
    <w:rsid w:val="005F3444"/>
    <w:rsid w:val="005F686B"/>
    <w:rsid w:val="005F7F81"/>
    <w:rsid w:val="00606C40"/>
    <w:rsid w:val="00612AAE"/>
    <w:rsid w:val="00613CC7"/>
    <w:rsid w:val="006238CA"/>
    <w:rsid w:val="00624F72"/>
    <w:rsid w:val="006301A0"/>
    <w:rsid w:val="0063154C"/>
    <w:rsid w:val="0063196C"/>
    <w:rsid w:val="00635109"/>
    <w:rsid w:val="00635A31"/>
    <w:rsid w:val="006400D7"/>
    <w:rsid w:val="00642475"/>
    <w:rsid w:val="00645692"/>
    <w:rsid w:val="00646773"/>
    <w:rsid w:val="0065110B"/>
    <w:rsid w:val="00655E20"/>
    <w:rsid w:val="00656EEF"/>
    <w:rsid w:val="00661E4F"/>
    <w:rsid w:val="0066350C"/>
    <w:rsid w:val="0067050B"/>
    <w:rsid w:val="00670E5B"/>
    <w:rsid w:val="00671839"/>
    <w:rsid w:val="006736FB"/>
    <w:rsid w:val="006740A1"/>
    <w:rsid w:val="006751A9"/>
    <w:rsid w:val="00683DCD"/>
    <w:rsid w:val="006850D1"/>
    <w:rsid w:val="00694CE3"/>
    <w:rsid w:val="00697059"/>
    <w:rsid w:val="00697378"/>
    <w:rsid w:val="006A2826"/>
    <w:rsid w:val="006A4359"/>
    <w:rsid w:val="006A6182"/>
    <w:rsid w:val="006A67A7"/>
    <w:rsid w:val="006B038A"/>
    <w:rsid w:val="006B0C75"/>
    <w:rsid w:val="006B25A7"/>
    <w:rsid w:val="006B6A60"/>
    <w:rsid w:val="006C1F83"/>
    <w:rsid w:val="006C2539"/>
    <w:rsid w:val="006C4236"/>
    <w:rsid w:val="006C4E8B"/>
    <w:rsid w:val="006D5673"/>
    <w:rsid w:val="006E0BD7"/>
    <w:rsid w:val="006E1902"/>
    <w:rsid w:val="006E3DC6"/>
    <w:rsid w:val="006E6645"/>
    <w:rsid w:val="006E748F"/>
    <w:rsid w:val="006F2946"/>
    <w:rsid w:val="006F37D0"/>
    <w:rsid w:val="006F76A6"/>
    <w:rsid w:val="007017A2"/>
    <w:rsid w:val="00703BB7"/>
    <w:rsid w:val="0070631E"/>
    <w:rsid w:val="00721976"/>
    <w:rsid w:val="00722428"/>
    <w:rsid w:val="0072341E"/>
    <w:rsid w:val="00726469"/>
    <w:rsid w:val="00726CE0"/>
    <w:rsid w:val="00732151"/>
    <w:rsid w:val="00732456"/>
    <w:rsid w:val="007354F9"/>
    <w:rsid w:val="0073649A"/>
    <w:rsid w:val="007378CE"/>
    <w:rsid w:val="00747AFE"/>
    <w:rsid w:val="00747E18"/>
    <w:rsid w:val="00751FEC"/>
    <w:rsid w:val="00752E9E"/>
    <w:rsid w:val="00762E2E"/>
    <w:rsid w:val="00767ECE"/>
    <w:rsid w:val="00774121"/>
    <w:rsid w:val="00774520"/>
    <w:rsid w:val="00785EE8"/>
    <w:rsid w:val="007923A8"/>
    <w:rsid w:val="00797122"/>
    <w:rsid w:val="007A0C00"/>
    <w:rsid w:val="007A41D3"/>
    <w:rsid w:val="007A44C8"/>
    <w:rsid w:val="007A5A5E"/>
    <w:rsid w:val="007A5F4C"/>
    <w:rsid w:val="007B0435"/>
    <w:rsid w:val="007B3D4D"/>
    <w:rsid w:val="007B5CAD"/>
    <w:rsid w:val="007C06C5"/>
    <w:rsid w:val="007C12E8"/>
    <w:rsid w:val="007C4C27"/>
    <w:rsid w:val="007C4FF0"/>
    <w:rsid w:val="007C69A0"/>
    <w:rsid w:val="007C7B83"/>
    <w:rsid w:val="007D1428"/>
    <w:rsid w:val="007D4161"/>
    <w:rsid w:val="007D50C9"/>
    <w:rsid w:val="007D6B3A"/>
    <w:rsid w:val="007D7281"/>
    <w:rsid w:val="007E3171"/>
    <w:rsid w:val="007E3DDB"/>
    <w:rsid w:val="007E6E9A"/>
    <w:rsid w:val="007F403F"/>
    <w:rsid w:val="007F5AF7"/>
    <w:rsid w:val="007F6054"/>
    <w:rsid w:val="007F6DB0"/>
    <w:rsid w:val="008008D5"/>
    <w:rsid w:val="00803217"/>
    <w:rsid w:val="008040D4"/>
    <w:rsid w:val="008049A3"/>
    <w:rsid w:val="00810F37"/>
    <w:rsid w:val="008114D1"/>
    <w:rsid w:val="00814FB5"/>
    <w:rsid w:val="008256E3"/>
    <w:rsid w:val="00826D56"/>
    <w:rsid w:val="008416C0"/>
    <w:rsid w:val="00842131"/>
    <w:rsid w:val="008424C1"/>
    <w:rsid w:val="008444DF"/>
    <w:rsid w:val="008469BF"/>
    <w:rsid w:val="0084725D"/>
    <w:rsid w:val="008477C6"/>
    <w:rsid w:val="00857B76"/>
    <w:rsid w:val="008621BF"/>
    <w:rsid w:val="00873E8C"/>
    <w:rsid w:val="00876265"/>
    <w:rsid w:val="0087640B"/>
    <w:rsid w:val="008767A8"/>
    <w:rsid w:val="00877C90"/>
    <w:rsid w:val="00884CB1"/>
    <w:rsid w:val="008856F4"/>
    <w:rsid w:val="00890462"/>
    <w:rsid w:val="00893CAF"/>
    <w:rsid w:val="00895EA3"/>
    <w:rsid w:val="008A426D"/>
    <w:rsid w:val="008A55C0"/>
    <w:rsid w:val="008A7810"/>
    <w:rsid w:val="008B2ABB"/>
    <w:rsid w:val="008B3708"/>
    <w:rsid w:val="008B40E3"/>
    <w:rsid w:val="008B51A1"/>
    <w:rsid w:val="008B5755"/>
    <w:rsid w:val="008B5D0C"/>
    <w:rsid w:val="008B6697"/>
    <w:rsid w:val="008C06FF"/>
    <w:rsid w:val="008C7D97"/>
    <w:rsid w:val="008D6884"/>
    <w:rsid w:val="008E2F95"/>
    <w:rsid w:val="008E3D9B"/>
    <w:rsid w:val="008E5249"/>
    <w:rsid w:val="008E5926"/>
    <w:rsid w:val="008E5BE7"/>
    <w:rsid w:val="008F167D"/>
    <w:rsid w:val="008F1941"/>
    <w:rsid w:val="008F4EAB"/>
    <w:rsid w:val="008F5CC7"/>
    <w:rsid w:val="008F715F"/>
    <w:rsid w:val="008F7B01"/>
    <w:rsid w:val="0090495F"/>
    <w:rsid w:val="009054D6"/>
    <w:rsid w:val="0091215F"/>
    <w:rsid w:val="00912815"/>
    <w:rsid w:val="00916F7E"/>
    <w:rsid w:val="009218FD"/>
    <w:rsid w:val="00923CFB"/>
    <w:rsid w:val="0092404E"/>
    <w:rsid w:val="0092520D"/>
    <w:rsid w:val="00930A66"/>
    <w:rsid w:val="00931D2B"/>
    <w:rsid w:val="009346E0"/>
    <w:rsid w:val="00940B8A"/>
    <w:rsid w:val="00940FE8"/>
    <w:rsid w:val="00941447"/>
    <w:rsid w:val="009448FD"/>
    <w:rsid w:val="00944E43"/>
    <w:rsid w:val="00947B56"/>
    <w:rsid w:val="009540BE"/>
    <w:rsid w:val="009603E6"/>
    <w:rsid w:val="00967D2C"/>
    <w:rsid w:val="009744AB"/>
    <w:rsid w:val="00980523"/>
    <w:rsid w:val="009807D8"/>
    <w:rsid w:val="0098687A"/>
    <w:rsid w:val="00987060"/>
    <w:rsid w:val="00987149"/>
    <w:rsid w:val="00987A03"/>
    <w:rsid w:val="00994376"/>
    <w:rsid w:val="009951F6"/>
    <w:rsid w:val="00995A76"/>
    <w:rsid w:val="009A05F9"/>
    <w:rsid w:val="009A0613"/>
    <w:rsid w:val="009A4D5D"/>
    <w:rsid w:val="009A643D"/>
    <w:rsid w:val="009A7574"/>
    <w:rsid w:val="009B25CD"/>
    <w:rsid w:val="009B6157"/>
    <w:rsid w:val="009B6550"/>
    <w:rsid w:val="009C09A1"/>
    <w:rsid w:val="009C1275"/>
    <w:rsid w:val="009C1FB0"/>
    <w:rsid w:val="009D1222"/>
    <w:rsid w:val="009D449F"/>
    <w:rsid w:val="009E04B8"/>
    <w:rsid w:val="009E2FE3"/>
    <w:rsid w:val="009E6AC7"/>
    <w:rsid w:val="009E797F"/>
    <w:rsid w:val="009F397F"/>
    <w:rsid w:val="009F39B7"/>
    <w:rsid w:val="009F46DE"/>
    <w:rsid w:val="009F55F8"/>
    <w:rsid w:val="009F7FB3"/>
    <w:rsid w:val="00A0121E"/>
    <w:rsid w:val="00A01E65"/>
    <w:rsid w:val="00A04BDC"/>
    <w:rsid w:val="00A209E7"/>
    <w:rsid w:val="00A23F25"/>
    <w:rsid w:val="00A26D86"/>
    <w:rsid w:val="00A304F2"/>
    <w:rsid w:val="00A32D57"/>
    <w:rsid w:val="00A33B10"/>
    <w:rsid w:val="00A37393"/>
    <w:rsid w:val="00A37D9A"/>
    <w:rsid w:val="00A40D6B"/>
    <w:rsid w:val="00A41A7A"/>
    <w:rsid w:val="00A4417E"/>
    <w:rsid w:val="00A4604B"/>
    <w:rsid w:val="00A46386"/>
    <w:rsid w:val="00A470A2"/>
    <w:rsid w:val="00A51025"/>
    <w:rsid w:val="00A52EC0"/>
    <w:rsid w:val="00A53086"/>
    <w:rsid w:val="00A5360B"/>
    <w:rsid w:val="00A570CC"/>
    <w:rsid w:val="00A64E7D"/>
    <w:rsid w:val="00A6576C"/>
    <w:rsid w:val="00A66865"/>
    <w:rsid w:val="00A6763D"/>
    <w:rsid w:val="00A714A7"/>
    <w:rsid w:val="00A72518"/>
    <w:rsid w:val="00A73C66"/>
    <w:rsid w:val="00A7413B"/>
    <w:rsid w:val="00A75A67"/>
    <w:rsid w:val="00A80472"/>
    <w:rsid w:val="00A87329"/>
    <w:rsid w:val="00A87743"/>
    <w:rsid w:val="00A90BC9"/>
    <w:rsid w:val="00A91861"/>
    <w:rsid w:val="00A94FE1"/>
    <w:rsid w:val="00A9680B"/>
    <w:rsid w:val="00AA103D"/>
    <w:rsid w:val="00AA5A33"/>
    <w:rsid w:val="00AB08F4"/>
    <w:rsid w:val="00AB2B32"/>
    <w:rsid w:val="00AB56C0"/>
    <w:rsid w:val="00AC0CF3"/>
    <w:rsid w:val="00AC4A54"/>
    <w:rsid w:val="00AD24B3"/>
    <w:rsid w:val="00AD2D5D"/>
    <w:rsid w:val="00AD66A8"/>
    <w:rsid w:val="00AD75BD"/>
    <w:rsid w:val="00AE02FC"/>
    <w:rsid w:val="00AE3C91"/>
    <w:rsid w:val="00AE3EB9"/>
    <w:rsid w:val="00AE7C2C"/>
    <w:rsid w:val="00AF2DF9"/>
    <w:rsid w:val="00AF4CD1"/>
    <w:rsid w:val="00AF6840"/>
    <w:rsid w:val="00B01939"/>
    <w:rsid w:val="00B01EF0"/>
    <w:rsid w:val="00B02757"/>
    <w:rsid w:val="00B06B92"/>
    <w:rsid w:val="00B10751"/>
    <w:rsid w:val="00B15C46"/>
    <w:rsid w:val="00B20D8C"/>
    <w:rsid w:val="00B22417"/>
    <w:rsid w:val="00B279F5"/>
    <w:rsid w:val="00B302C3"/>
    <w:rsid w:val="00B31BB0"/>
    <w:rsid w:val="00B36617"/>
    <w:rsid w:val="00B36CE1"/>
    <w:rsid w:val="00B37B93"/>
    <w:rsid w:val="00B4394C"/>
    <w:rsid w:val="00B46676"/>
    <w:rsid w:val="00B46FA1"/>
    <w:rsid w:val="00B47090"/>
    <w:rsid w:val="00B52508"/>
    <w:rsid w:val="00B53A8C"/>
    <w:rsid w:val="00B5492B"/>
    <w:rsid w:val="00B55E15"/>
    <w:rsid w:val="00B56343"/>
    <w:rsid w:val="00B626F4"/>
    <w:rsid w:val="00B67409"/>
    <w:rsid w:val="00B7311E"/>
    <w:rsid w:val="00B758BC"/>
    <w:rsid w:val="00B77425"/>
    <w:rsid w:val="00B83653"/>
    <w:rsid w:val="00B8733E"/>
    <w:rsid w:val="00B925BC"/>
    <w:rsid w:val="00BA2349"/>
    <w:rsid w:val="00BA5A16"/>
    <w:rsid w:val="00BA7DB4"/>
    <w:rsid w:val="00BB0196"/>
    <w:rsid w:val="00BB3964"/>
    <w:rsid w:val="00BB6483"/>
    <w:rsid w:val="00BB74EC"/>
    <w:rsid w:val="00BB750A"/>
    <w:rsid w:val="00BC0BCA"/>
    <w:rsid w:val="00BC11F0"/>
    <w:rsid w:val="00BC1DCC"/>
    <w:rsid w:val="00BC2737"/>
    <w:rsid w:val="00BC5256"/>
    <w:rsid w:val="00BC6A51"/>
    <w:rsid w:val="00BD3B85"/>
    <w:rsid w:val="00BD6417"/>
    <w:rsid w:val="00BE5462"/>
    <w:rsid w:val="00BE58D7"/>
    <w:rsid w:val="00BF0CC6"/>
    <w:rsid w:val="00BF382E"/>
    <w:rsid w:val="00BF3ABB"/>
    <w:rsid w:val="00BF5A86"/>
    <w:rsid w:val="00C02107"/>
    <w:rsid w:val="00C03768"/>
    <w:rsid w:val="00C049DB"/>
    <w:rsid w:val="00C049F5"/>
    <w:rsid w:val="00C10FB8"/>
    <w:rsid w:val="00C151B8"/>
    <w:rsid w:val="00C16D2C"/>
    <w:rsid w:val="00C207E5"/>
    <w:rsid w:val="00C20AA8"/>
    <w:rsid w:val="00C32191"/>
    <w:rsid w:val="00C32239"/>
    <w:rsid w:val="00C355B2"/>
    <w:rsid w:val="00C36092"/>
    <w:rsid w:val="00C37D75"/>
    <w:rsid w:val="00C4716D"/>
    <w:rsid w:val="00C527BA"/>
    <w:rsid w:val="00C53A52"/>
    <w:rsid w:val="00C62E2A"/>
    <w:rsid w:val="00C64AAA"/>
    <w:rsid w:val="00C70262"/>
    <w:rsid w:val="00C74CFC"/>
    <w:rsid w:val="00C76F17"/>
    <w:rsid w:val="00C817CB"/>
    <w:rsid w:val="00C835E9"/>
    <w:rsid w:val="00C85B4C"/>
    <w:rsid w:val="00C90C32"/>
    <w:rsid w:val="00CA0552"/>
    <w:rsid w:val="00CA2384"/>
    <w:rsid w:val="00CB58AF"/>
    <w:rsid w:val="00CB6D79"/>
    <w:rsid w:val="00CC0539"/>
    <w:rsid w:val="00CC281E"/>
    <w:rsid w:val="00CC3133"/>
    <w:rsid w:val="00CC3321"/>
    <w:rsid w:val="00CC538A"/>
    <w:rsid w:val="00CC6A96"/>
    <w:rsid w:val="00CD2A6F"/>
    <w:rsid w:val="00CD3642"/>
    <w:rsid w:val="00CD6F6A"/>
    <w:rsid w:val="00CD7690"/>
    <w:rsid w:val="00CE1435"/>
    <w:rsid w:val="00CE1AB2"/>
    <w:rsid w:val="00CE214F"/>
    <w:rsid w:val="00CF7102"/>
    <w:rsid w:val="00CF7917"/>
    <w:rsid w:val="00CF7956"/>
    <w:rsid w:val="00D002FD"/>
    <w:rsid w:val="00D025BE"/>
    <w:rsid w:val="00D027F8"/>
    <w:rsid w:val="00D04DC6"/>
    <w:rsid w:val="00D13A9B"/>
    <w:rsid w:val="00D13AF1"/>
    <w:rsid w:val="00D21D0A"/>
    <w:rsid w:val="00D227B8"/>
    <w:rsid w:val="00D233C9"/>
    <w:rsid w:val="00D233DF"/>
    <w:rsid w:val="00D2410B"/>
    <w:rsid w:val="00D2593C"/>
    <w:rsid w:val="00D270AF"/>
    <w:rsid w:val="00D3045F"/>
    <w:rsid w:val="00D331AA"/>
    <w:rsid w:val="00D33E81"/>
    <w:rsid w:val="00D3461A"/>
    <w:rsid w:val="00D42796"/>
    <w:rsid w:val="00D42C27"/>
    <w:rsid w:val="00D43D34"/>
    <w:rsid w:val="00D5367D"/>
    <w:rsid w:val="00D5500F"/>
    <w:rsid w:val="00D551D5"/>
    <w:rsid w:val="00D6133E"/>
    <w:rsid w:val="00D61635"/>
    <w:rsid w:val="00D623AE"/>
    <w:rsid w:val="00D6401A"/>
    <w:rsid w:val="00D701A6"/>
    <w:rsid w:val="00D71AB5"/>
    <w:rsid w:val="00D72498"/>
    <w:rsid w:val="00D738F7"/>
    <w:rsid w:val="00D741AF"/>
    <w:rsid w:val="00D770FC"/>
    <w:rsid w:val="00D7763D"/>
    <w:rsid w:val="00D77A44"/>
    <w:rsid w:val="00D77C59"/>
    <w:rsid w:val="00D802B9"/>
    <w:rsid w:val="00D804D2"/>
    <w:rsid w:val="00D86875"/>
    <w:rsid w:val="00D86E6E"/>
    <w:rsid w:val="00D8705F"/>
    <w:rsid w:val="00D873D4"/>
    <w:rsid w:val="00D922B8"/>
    <w:rsid w:val="00D94AFE"/>
    <w:rsid w:val="00DA1E25"/>
    <w:rsid w:val="00DB07C7"/>
    <w:rsid w:val="00DC0A56"/>
    <w:rsid w:val="00DC1E5D"/>
    <w:rsid w:val="00DC2AB3"/>
    <w:rsid w:val="00DC5304"/>
    <w:rsid w:val="00DC795F"/>
    <w:rsid w:val="00DD2BE9"/>
    <w:rsid w:val="00DD2C70"/>
    <w:rsid w:val="00DD5586"/>
    <w:rsid w:val="00DD632F"/>
    <w:rsid w:val="00DD6D24"/>
    <w:rsid w:val="00DE21EB"/>
    <w:rsid w:val="00DE2597"/>
    <w:rsid w:val="00DE299A"/>
    <w:rsid w:val="00DE488A"/>
    <w:rsid w:val="00DE75A0"/>
    <w:rsid w:val="00DF72ED"/>
    <w:rsid w:val="00E01936"/>
    <w:rsid w:val="00E0453D"/>
    <w:rsid w:val="00E05BCE"/>
    <w:rsid w:val="00E07837"/>
    <w:rsid w:val="00E127F4"/>
    <w:rsid w:val="00E149D8"/>
    <w:rsid w:val="00E14EEB"/>
    <w:rsid w:val="00E21D13"/>
    <w:rsid w:val="00E2388A"/>
    <w:rsid w:val="00E245F7"/>
    <w:rsid w:val="00E25AB0"/>
    <w:rsid w:val="00E3004A"/>
    <w:rsid w:val="00E336A2"/>
    <w:rsid w:val="00E346EA"/>
    <w:rsid w:val="00E37CF8"/>
    <w:rsid w:val="00E4056F"/>
    <w:rsid w:val="00E430E0"/>
    <w:rsid w:val="00E437CE"/>
    <w:rsid w:val="00E43B00"/>
    <w:rsid w:val="00E43BB3"/>
    <w:rsid w:val="00E43EEF"/>
    <w:rsid w:val="00E4653B"/>
    <w:rsid w:val="00E47FBB"/>
    <w:rsid w:val="00E56F27"/>
    <w:rsid w:val="00E57C14"/>
    <w:rsid w:val="00E66E3A"/>
    <w:rsid w:val="00E74EB3"/>
    <w:rsid w:val="00E7750C"/>
    <w:rsid w:val="00E81826"/>
    <w:rsid w:val="00E838E7"/>
    <w:rsid w:val="00E849C8"/>
    <w:rsid w:val="00E85F1A"/>
    <w:rsid w:val="00E900F2"/>
    <w:rsid w:val="00E920D4"/>
    <w:rsid w:val="00E928DB"/>
    <w:rsid w:val="00E92A3D"/>
    <w:rsid w:val="00E966F5"/>
    <w:rsid w:val="00EA0509"/>
    <w:rsid w:val="00EB128A"/>
    <w:rsid w:val="00EB14CA"/>
    <w:rsid w:val="00EB1792"/>
    <w:rsid w:val="00EB29C7"/>
    <w:rsid w:val="00EC06B5"/>
    <w:rsid w:val="00EC0BAB"/>
    <w:rsid w:val="00EC0ED2"/>
    <w:rsid w:val="00EC4474"/>
    <w:rsid w:val="00EC4D2A"/>
    <w:rsid w:val="00EC6008"/>
    <w:rsid w:val="00EC670D"/>
    <w:rsid w:val="00ED609D"/>
    <w:rsid w:val="00ED6DD4"/>
    <w:rsid w:val="00EE0067"/>
    <w:rsid w:val="00EE0135"/>
    <w:rsid w:val="00EE031C"/>
    <w:rsid w:val="00EE102C"/>
    <w:rsid w:val="00EE2ACF"/>
    <w:rsid w:val="00EE3A02"/>
    <w:rsid w:val="00EE6C1C"/>
    <w:rsid w:val="00EF66EF"/>
    <w:rsid w:val="00F02D42"/>
    <w:rsid w:val="00F04DA8"/>
    <w:rsid w:val="00F0772A"/>
    <w:rsid w:val="00F1130C"/>
    <w:rsid w:val="00F1154B"/>
    <w:rsid w:val="00F11BCB"/>
    <w:rsid w:val="00F1784E"/>
    <w:rsid w:val="00F17B6A"/>
    <w:rsid w:val="00F17D66"/>
    <w:rsid w:val="00F24A98"/>
    <w:rsid w:val="00F27AD7"/>
    <w:rsid w:val="00F30B45"/>
    <w:rsid w:val="00F345EC"/>
    <w:rsid w:val="00F41120"/>
    <w:rsid w:val="00F42255"/>
    <w:rsid w:val="00F468C2"/>
    <w:rsid w:val="00F51351"/>
    <w:rsid w:val="00F51539"/>
    <w:rsid w:val="00F51AA1"/>
    <w:rsid w:val="00F5520D"/>
    <w:rsid w:val="00F57C6A"/>
    <w:rsid w:val="00F62EFB"/>
    <w:rsid w:val="00F6329B"/>
    <w:rsid w:val="00F70B7A"/>
    <w:rsid w:val="00F72C87"/>
    <w:rsid w:val="00F827A1"/>
    <w:rsid w:val="00F8440F"/>
    <w:rsid w:val="00F8571A"/>
    <w:rsid w:val="00F91E0E"/>
    <w:rsid w:val="00F92DA1"/>
    <w:rsid w:val="00F931C7"/>
    <w:rsid w:val="00FA4694"/>
    <w:rsid w:val="00FB54DD"/>
    <w:rsid w:val="00FD094E"/>
    <w:rsid w:val="00FD0C2D"/>
    <w:rsid w:val="00FD6390"/>
    <w:rsid w:val="00FE04D2"/>
    <w:rsid w:val="00FE204F"/>
    <w:rsid w:val="00FE284E"/>
    <w:rsid w:val="00FE43A8"/>
    <w:rsid w:val="00FE58A0"/>
    <w:rsid w:val="00FE79AE"/>
    <w:rsid w:val="00FF0057"/>
    <w:rsid w:val="00FF5D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A88B7D"/>
  <w15:chartTrackingRefBased/>
  <w15:docId w15:val="{77079C21-0100-4EA0-BE69-A8C67F65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E7D"/>
    <w:rPr>
      <w:rFonts w:ascii="Times New Roman" w:hAnsi="Times New Roman"/>
      <w:sz w:val="24"/>
      <w:szCs w:val="24"/>
      <w:lang w:eastAsia="en-US" w:bidi="en-US"/>
    </w:rPr>
  </w:style>
  <w:style w:type="paragraph" w:styleId="Heading1">
    <w:name w:val="heading 1"/>
    <w:basedOn w:val="Normal"/>
    <w:next w:val="Normal"/>
    <w:link w:val="Heading1Char"/>
    <w:uiPriority w:val="9"/>
    <w:qFormat/>
    <w:rsid w:val="00A470A2"/>
    <w:pPr>
      <w:keepNext/>
      <w:numPr>
        <w:numId w:val="9"/>
      </w:numPr>
      <w:spacing w:before="240" w:after="60"/>
      <w:outlineLvl w:val="0"/>
    </w:pPr>
    <w:rPr>
      <w:rFonts w:ascii="Arial Narrow" w:hAnsi="Arial Narrow"/>
      <w:b/>
      <w:bCs/>
      <w:kern w:val="32"/>
      <w:sz w:val="32"/>
      <w:szCs w:val="32"/>
    </w:rPr>
  </w:style>
  <w:style w:type="paragraph" w:styleId="Heading2">
    <w:name w:val="heading 2"/>
    <w:basedOn w:val="Normal"/>
    <w:next w:val="Normal"/>
    <w:link w:val="Heading2Char"/>
    <w:uiPriority w:val="9"/>
    <w:unhideWhenUsed/>
    <w:qFormat/>
    <w:rsid w:val="00A470A2"/>
    <w:pPr>
      <w:keepNext/>
      <w:numPr>
        <w:ilvl w:val="1"/>
        <w:numId w:val="9"/>
      </w:numPr>
      <w:spacing w:before="240" w:after="60"/>
      <w:ind w:left="578" w:hanging="578"/>
      <w:outlineLvl w:val="1"/>
    </w:pPr>
    <w:rPr>
      <w:rFonts w:ascii="Arial Narrow" w:hAnsi="Arial Narrow"/>
      <w:b/>
      <w:bCs/>
      <w:iCs/>
      <w:sz w:val="28"/>
      <w:szCs w:val="28"/>
    </w:rPr>
  </w:style>
  <w:style w:type="paragraph" w:styleId="Heading3">
    <w:name w:val="heading 3"/>
    <w:basedOn w:val="Normal"/>
    <w:next w:val="Normal"/>
    <w:uiPriority w:val="9"/>
    <w:unhideWhenUsed/>
    <w:qFormat/>
    <w:rsid w:val="00A470A2"/>
    <w:pPr>
      <w:keepNext/>
      <w:numPr>
        <w:ilvl w:val="2"/>
        <w:numId w:val="9"/>
      </w:numPr>
      <w:spacing w:before="240" w:after="60"/>
      <w:outlineLvl w:val="2"/>
    </w:pPr>
    <w:rPr>
      <w:rFonts w:ascii="Arial Narrow" w:hAnsi="Arial Narrow"/>
      <w:b/>
      <w:bCs/>
      <w:szCs w:val="26"/>
    </w:rPr>
  </w:style>
  <w:style w:type="paragraph" w:styleId="Heading4">
    <w:name w:val="heading 4"/>
    <w:basedOn w:val="Normal"/>
    <w:next w:val="Normal"/>
    <w:uiPriority w:val="9"/>
    <w:unhideWhenUsed/>
    <w:qFormat/>
    <w:rsid w:val="00A470A2"/>
    <w:pPr>
      <w:keepNext/>
      <w:numPr>
        <w:ilvl w:val="3"/>
        <w:numId w:val="9"/>
      </w:numPr>
      <w:spacing w:before="240" w:after="60"/>
      <w:outlineLvl w:val="3"/>
    </w:pPr>
    <w:rPr>
      <w:b/>
      <w:bCs/>
      <w:szCs w:val="28"/>
    </w:rPr>
  </w:style>
  <w:style w:type="paragraph" w:styleId="Heading5">
    <w:name w:val="heading 5"/>
    <w:basedOn w:val="Normal"/>
    <w:next w:val="Normal"/>
    <w:uiPriority w:val="9"/>
    <w:unhideWhenUsed/>
    <w:qFormat/>
    <w:rsid w:val="00A64E7D"/>
    <w:pPr>
      <w:numPr>
        <w:ilvl w:val="4"/>
        <w:numId w:val="9"/>
      </w:numPr>
      <w:spacing w:before="240" w:after="60"/>
      <w:outlineLvl w:val="4"/>
    </w:pPr>
    <w:rPr>
      <w:rFonts w:cs="Arial"/>
      <w:b/>
      <w:bCs/>
      <w:i/>
      <w:iCs/>
      <w:sz w:val="26"/>
      <w:szCs w:val="26"/>
    </w:rPr>
  </w:style>
  <w:style w:type="paragraph" w:styleId="Heading6">
    <w:name w:val="heading 6"/>
    <w:basedOn w:val="Normal"/>
    <w:next w:val="Normal"/>
    <w:uiPriority w:val="9"/>
    <w:unhideWhenUsed/>
    <w:qFormat/>
    <w:rsid w:val="00A64E7D"/>
    <w:pPr>
      <w:numPr>
        <w:ilvl w:val="5"/>
        <w:numId w:val="9"/>
      </w:numPr>
      <w:spacing w:before="240" w:after="60"/>
      <w:outlineLvl w:val="5"/>
    </w:pPr>
    <w:rPr>
      <w:b/>
      <w:bCs/>
      <w:sz w:val="22"/>
      <w:szCs w:val="22"/>
    </w:rPr>
  </w:style>
  <w:style w:type="paragraph" w:styleId="Heading7">
    <w:name w:val="heading 7"/>
    <w:basedOn w:val="Normal"/>
    <w:next w:val="Normal"/>
    <w:uiPriority w:val="9"/>
    <w:unhideWhenUsed/>
    <w:qFormat/>
    <w:rsid w:val="00A64E7D"/>
    <w:pPr>
      <w:numPr>
        <w:ilvl w:val="6"/>
        <w:numId w:val="9"/>
      </w:numPr>
      <w:spacing w:before="240" w:after="60"/>
      <w:outlineLvl w:val="6"/>
    </w:pPr>
  </w:style>
  <w:style w:type="paragraph" w:styleId="Heading8">
    <w:name w:val="heading 8"/>
    <w:basedOn w:val="Normal"/>
    <w:next w:val="Normal"/>
    <w:uiPriority w:val="9"/>
    <w:unhideWhenUsed/>
    <w:qFormat/>
    <w:rsid w:val="00A64E7D"/>
    <w:pPr>
      <w:numPr>
        <w:ilvl w:val="7"/>
        <w:numId w:val="9"/>
      </w:numPr>
      <w:spacing w:before="240" w:after="60"/>
      <w:outlineLvl w:val="7"/>
    </w:pPr>
    <w:rPr>
      <w:i/>
      <w:iCs/>
    </w:rPr>
  </w:style>
  <w:style w:type="paragraph" w:styleId="Heading9">
    <w:name w:val="heading 9"/>
    <w:basedOn w:val="Normal"/>
    <w:next w:val="Normal"/>
    <w:uiPriority w:val="9"/>
    <w:unhideWhenUsed/>
    <w:qFormat/>
    <w:rsid w:val="00A64E7D"/>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A64E7D"/>
    <w:pPr>
      <w:tabs>
        <w:tab w:val="left" w:pos="709"/>
        <w:tab w:val="right" w:pos="8505"/>
      </w:tabs>
      <w:spacing w:before="120"/>
    </w:pPr>
    <w:rPr>
      <w:rFonts w:ascii="Arial Narrow" w:hAnsi="Arial Narrow" w:cs="Arial"/>
      <w:b/>
      <w:bCs/>
      <w:smallCaps/>
      <w:szCs w:val="28"/>
    </w:rPr>
  </w:style>
  <w:style w:type="paragraph" w:styleId="TOC2">
    <w:name w:val="toc 2"/>
    <w:basedOn w:val="Normal"/>
    <w:next w:val="Normal"/>
    <w:uiPriority w:val="39"/>
    <w:rsid w:val="00A64E7D"/>
    <w:pPr>
      <w:tabs>
        <w:tab w:val="left" w:pos="851"/>
        <w:tab w:val="right" w:leader="dot" w:pos="8505"/>
      </w:tabs>
    </w:pPr>
    <w:rPr>
      <w:b/>
      <w:bCs/>
      <w:smallCaps/>
      <w:sz w:val="20"/>
      <w:szCs w:val="20"/>
    </w:rPr>
  </w:style>
  <w:style w:type="paragraph" w:styleId="TOC9">
    <w:name w:val="toc 9"/>
    <w:basedOn w:val="TOC1"/>
    <w:next w:val="TOC1"/>
    <w:semiHidden/>
    <w:rsid w:val="00A64E7D"/>
    <w:pPr>
      <w:spacing w:before="0"/>
      <w:ind w:left="567"/>
    </w:pPr>
    <w:rPr>
      <w:b w:val="0"/>
      <w:bCs w:val="0"/>
      <w:caps/>
      <w:noProof/>
    </w:rPr>
  </w:style>
  <w:style w:type="paragraph" w:styleId="Header">
    <w:name w:val="header"/>
    <w:basedOn w:val="Normal"/>
    <w:rsid w:val="00A64E7D"/>
    <w:pPr>
      <w:tabs>
        <w:tab w:val="center" w:pos="4153"/>
        <w:tab w:val="right" w:pos="8306"/>
      </w:tabs>
    </w:pPr>
  </w:style>
  <w:style w:type="paragraph" w:styleId="Footer">
    <w:name w:val="footer"/>
    <w:basedOn w:val="Normal"/>
    <w:rsid w:val="00A64E7D"/>
    <w:pPr>
      <w:tabs>
        <w:tab w:val="center" w:pos="4153"/>
        <w:tab w:val="right" w:pos="8306"/>
      </w:tabs>
    </w:pPr>
  </w:style>
  <w:style w:type="character" w:styleId="PageNumber">
    <w:name w:val="page number"/>
    <w:basedOn w:val="DefaultParagraphFont"/>
    <w:rsid w:val="00A64E7D"/>
  </w:style>
  <w:style w:type="paragraph" w:styleId="TOC3">
    <w:name w:val="toc 3"/>
    <w:basedOn w:val="Normal"/>
    <w:next w:val="Normal"/>
    <w:uiPriority w:val="39"/>
    <w:rsid w:val="00A64E7D"/>
    <w:pPr>
      <w:tabs>
        <w:tab w:val="left" w:pos="992"/>
        <w:tab w:val="right" w:leader="dot" w:pos="8505"/>
      </w:tabs>
    </w:pPr>
    <w:rPr>
      <w:sz w:val="20"/>
      <w:szCs w:val="20"/>
    </w:rPr>
  </w:style>
  <w:style w:type="paragraph" w:styleId="TOC4">
    <w:name w:val="toc 4"/>
    <w:basedOn w:val="Normal"/>
    <w:next w:val="Normal"/>
    <w:uiPriority w:val="39"/>
    <w:rsid w:val="00A64E7D"/>
    <w:pPr>
      <w:tabs>
        <w:tab w:val="left" w:pos="1134"/>
        <w:tab w:val="right" w:leader="dot" w:pos="8505"/>
      </w:tabs>
    </w:pPr>
    <w:rPr>
      <w:sz w:val="20"/>
    </w:rPr>
  </w:style>
  <w:style w:type="paragraph" w:styleId="TOC5">
    <w:name w:val="toc 5"/>
    <w:basedOn w:val="Normal"/>
    <w:next w:val="Normal"/>
    <w:semiHidden/>
    <w:rsid w:val="00A64E7D"/>
    <w:pPr>
      <w:tabs>
        <w:tab w:val="right" w:leader="dot" w:pos="8505"/>
      </w:tabs>
      <w:ind w:left="960"/>
    </w:pPr>
  </w:style>
  <w:style w:type="paragraph" w:styleId="TOC6">
    <w:name w:val="toc 6"/>
    <w:basedOn w:val="Normal"/>
    <w:next w:val="Normal"/>
    <w:semiHidden/>
    <w:rsid w:val="00A64E7D"/>
    <w:pPr>
      <w:tabs>
        <w:tab w:val="right" w:leader="dot" w:pos="8505"/>
      </w:tabs>
      <w:ind w:left="1200"/>
    </w:pPr>
  </w:style>
  <w:style w:type="paragraph" w:styleId="TOC7">
    <w:name w:val="toc 7"/>
    <w:basedOn w:val="Normal"/>
    <w:next w:val="Normal"/>
    <w:semiHidden/>
    <w:rsid w:val="00A64E7D"/>
    <w:pPr>
      <w:tabs>
        <w:tab w:val="right" w:leader="dot" w:pos="8505"/>
      </w:tabs>
      <w:spacing w:before="120" w:after="120"/>
    </w:pPr>
    <w:rPr>
      <w:b/>
      <w:bCs/>
      <w:caps/>
      <w:noProof/>
      <w:sz w:val="20"/>
      <w:szCs w:val="20"/>
    </w:rPr>
  </w:style>
  <w:style w:type="paragraph" w:styleId="TOC8">
    <w:name w:val="toc 8"/>
    <w:basedOn w:val="Normal"/>
    <w:next w:val="Normal"/>
    <w:semiHidden/>
    <w:rsid w:val="00A64E7D"/>
    <w:pPr>
      <w:tabs>
        <w:tab w:val="right" w:leader="dot" w:pos="8505"/>
      </w:tabs>
      <w:ind w:left="284"/>
    </w:pPr>
    <w:rPr>
      <w:caps/>
      <w:noProof/>
      <w:sz w:val="20"/>
      <w:szCs w:val="20"/>
    </w:rPr>
  </w:style>
  <w:style w:type="paragraph" w:styleId="Caption">
    <w:name w:val="caption"/>
    <w:basedOn w:val="Normal"/>
    <w:next w:val="Normal"/>
    <w:qFormat/>
    <w:rsid w:val="00A64E7D"/>
    <w:pPr>
      <w:keepNext/>
      <w:spacing w:before="360" w:after="120"/>
    </w:pPr>
    <w:rPr>
      <w:b/>
      <w:bCs/>
    </w:rPr>
  </w:style>
  <w:style w:type="character" w:customStyle="1" w:styleId="Heading1Char">
    <w:name w:val="Heading 1 Char"/>
    <w:link w:val="Heading1"/>
    <w:uiPriority w:val="9"/>
    <w:rsid w:val="00A470A2"/>
    <w:rPr>
      <w:rFonts w:ascii="Arial Narrow" w:hAnsi="Arial Narrow"/>
      <w:b/>
      <w:bCs/>
      <w:kern w:val="32"/>
      <w:sz w:val="32"/>
      <w:szCs w:val="32"/>
      <w:lang w:val="en-US" w:eastAsia="en-US" w:bidi="en-US"/>
    </w:rPr>
  </w:style>
  <w:style w:type="paragraph" w:styleId="FootnoteText">
    <w:name w:val="footnote text"/>
    <w:basedOn w:val="Normal"/>
    <w:link w:val="FootnoteTextChar"/>
    <w:rsid w:val="00A64E7D"/>
    <w:rPr>
      <w:sz w:val="20"/>
      <w:szCs w:val="20"/>
    </w:rPr>
  </w:style>
  <w:style w:type="character" w:customStyle="1" w:styleId="FootnoteTextChar">
    <w:name w:val="Footnote Text Char"/>
    <w:link w:val="FootnoteText"/>
    <w:rsid w:val="00A64E7D"/>
    <w:rPr>
      <w:rFonts w:ascii="Times New Roman" w:hAnsi="Times New Roman"/>
      <w:lang w:val="en-US" w:eastAsia="en-US" w:bidi="en-US"/>
    </w:rPr>
  </w:style>
  <w:style w:type="character" w:styleId="FootnoteReference">
    <w:name w:val="footnote reference"/>
    <w:rsid w:val="00A64E7D"/>
    <w:rPr>
      <w:vertAlign w:val="superscript"/>
    </w:rPr>
  </w:style>
  <w:style w:type="paragraph" w:styleId="Title">
    <w:name w:val="Title"/>
    <w:basedOn w:val="Normal"/>
    <w:next w:val="Normal"/>
    <w:link w:val="TitleChar"/>
    <w:uiPriority w:val="10"/>
    <w:qFormat/>
    <w:rsid w:val="00A64E7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64E7D"/>
    <w:rPr>
      <w:rFonts w:ascii="Cambria" w:hAnsi="Cambria"/>
      <w:b/>
      <w:bCs/>
      <w:kern w:val="28"/>
      <w:sz w:val="32"/>
      <w:szCs w:val="32"/>
      <w:lang w:val="en-US" w:eastAsia="en-US" w:bidi="en-US"/>
    </w:rPr>
  </w:style>
  <w:style w:type="paragraph" w:styleId="Subtitle">
    <w:name w:val="Subtitle"/>
    <w:basedOn w:val="Normal"/>
    <w:next w:val="Normal"/>
    <w:link w:val="SubtitleChar"/>
    <w:uiPriority w:val="11"/>
    <w:qFormat/>
    <w:rsid w:val="00A64E7D"/>
    <w:pPr>
      <w:spacing w:after="60"/>
      <w:jc w:val="center"/>
      <w:outlineLvl w:val="1"/>
    </w:pPr>
    <w:rPr>
      <w:rFonts w:ascii="Cambria" w:hAnsi="Cambria"/>
    </w:rPr>
  </w:style>
  <w:style w:type="character" w:customStyle="1" w:styleId="SubtitleChar">
    <w:name w:val="Subtitle Char"/>
    <w:link w:val="Subtitle"/>
    <w:uiPriority w:val="11"/>
    <w:rsid w:val="00A64E7D"/>
    <w:rPr>
      <w:rFonts w:ascii="Cambria" w:hAnsi="Cambria"/>
      <w:sz w:val="24"/>
      <w:szCs w:val="24"/>
      <w:lang w:val="en-US" w:eastAsia="en-US" w:bidi="en-US"/>
    </w:rPr>
  </w:style>
  <w:style w:type="character" w:styleId="Strong">
    <w:name w:val="Strong"/>
    <w:uiPriority w:val="22"/>
    <w:qFormat/>
    <w:rsid w:val="00A64E7D"/>
    <w:rPr>
      <w:b/>
      <w:bCs/>
    </w:rPr>
  </w:style>
  <w:style w:type="character" w:styleId="Emphasis">
    <w:name w:val="Emphasis"/>
    <w:uiPriority w:val="20"/>
    <w:qFormat/>
    <w:rsid w:val="00A64E7D"/>
    <w:rPr>
      <w:rFonts w:ascii="Calibri" w:hAnsi="Calibri"/>
      <w:b/>
      <w:i/>
      <w:iCs/>
    </w:rPr>
  </w:style>
  <w:style w:type="paragraph" w:styleId="NoSpacing">
    <w:name w:val="No Spacing"/>
    <w:basedOn w:val="Normal"/>
    <w:uiPriority w:val="1"/>
    <w:qFormat/>
    <w:rsid w:val="00A64E7D"/>
    <w:rPr>
      <w:szCs w:val="32"/>
    </w:rPr>
  </w:style>
  <w:style w:type="paragraph" w:styleId="ListParagraph">
    <w:name w:val="List Paragraph"/>
    <w:basedOn w:val="Normal"/>
    <w:uiPriority w:val="34"/>
    <w:qFormat/>
    <w:rsid w:val="00313F09"/>
    <w:pPr>
      <w:ind w:left="720"/>
    </w:pPr>
  </w:style>
  <w:style w:type="paragraph" w:styleId="Quote">
    <w:name w:val="Quote"/>
    <w:basedOn w:val="Normal"/>
    <w:next w:val="Normal"/>
    <w:link w:val="QuoteChar"/>
    <w:uiPriority w:val="29"/>
    <w:qFormat/>
    <w:rsid w:val="00A64E7D"/>
    <w:rPr>
      <w:i/>
    </w:rPr>
  </w:style>
  <w:style w:type="character" w:customStyle="1" w:styleId="QuoteChar">
    <w:name w:val="Quote Char"/>
    <w:link w:val="Quote"/>
    <w:uiPriority w:val="29"/>
    <w:rsid w:val="00A64E7D"/>
    <w:rPr>
      <w:rFonts w:ascii="Times New Roman" w:hAnsi="Times New Roman"/>
      <w:i/>
      <w:sz w:val="24"/>
      <w:szCs w:val="24"/>
      <w:lang w:val="en-US" w:eastAsia="en-US" w:bidi="en-US"/>
    </w:rPr>
  </w:style>
  <w:style w:type="paragraph" w:styleId="IntenseQuote">
    <w:name w:val="Intense Quote"/>
    <w:basedOn w:val="Normal"/>
    <w:next w:val="Normal"/>
    <w:link w:val="IntenseQuoteChar"/>
    <w:uiPriority w:val="30"/>
    <w:qFormat/>
    <w:rsid w:val="00A64E7D"/>
    <w:pPr>
      <w:ind w:left="720" w:right="720"/>
    </w:pPr>
    <w:rPr>
      <w:b/>
      <w:i/>
      <w:szCs w:val="22"/>
    </w:rPr>
  </w:style>
  <w:style w:type="character" w:customStyle="1" w:styleId="IntenseQuoteChar">
    <w:name w:val="Intense Quote Char"/>
    <w:link w:val="IntenseQuote"/>
    <w:uiPriority w:val="30"/>
    <w:rsid w:val="00A64E7D"/>
    <w:rPr>
      <w:rFonts w:ascii="Times New Roman" w:hAnsi="Times New Roman"/>
      <w:b/>
      <w:i/>
      <w:sz w:val="24"/>
      <w:szCs w:val="22"/>
      <w:lang w:val="en-US" w:eastAsia="en-US" w:bidi="en-US"/>
    </w:rPr>
  </w:style>
  <w:style w:type="character" w:styleId="SubtleEmphasis">
    <w:name w:val="Subtle Emphasis"/>
    <w:uiPriority w:val="19"/>
    <w:qFormat/>
    <w:rsid w:val="00A64E7D"/>
    <w:rPr>
      <w:i/>
      <w:color w:val="5A5A5A"/>
    </w:rPr>
  </w:style>
  <w:style w:type="character" w:styleId="IntenseEmphasis">
    <w:name w:val="Intense Emphasis"/>
    <w:uiPriority w:val="21"/>
    <w:qFormat/>
    <w:rsid w:val="00A64E7D"/>
    <w:rPr>
      <w:b/>
      <w:i/>
      <w:sz w:val="24"/>
      <w:szCs w:val="24"/>
      <w:u w:val="single"/>
    </w:rPr>
  </w:style>
  <w:style w:type="character" w:styleId="SubtleReference">
    <w:name w:val="Subtle Reference"/>
    <w:uiPriority w:val="31"/>
    <w:qFormat/>
    <w:rsid w:val="00A64E7D"/>
    <w:rPr>
      <w:sz w:val="24"/>
      <w:szCs w:val="24"/>
      <w:u w:val="single"/>
    </w:rPr>
  </w:style>
  <w:style w:type="character" w:styleId="IntenseReference">
    <w:name w:val="Intense Reference"/>
    <w:uiPriority w:val="32"/>
    <w:qFormat/>
    <w:rsid w:val="00A64E7D"/>
    <w:rPr>
      <w:b/>
      <w:sz w:val="24"/>
      <w:u w:val="single"/>
    </w:rPr>
  </w:style>
  <w:style w:type="character" w:styleId="BookTitle">
    <w:name w:val="Book Title"/>
    <w:uiPriority w:val="33"/>
    <w:qFormat/>
    <w:rsid w:val="00A64E7D"/>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64E7D"/>
    <w:pPr>
      <w:numPr>
        <w:numId w:val="0"/>
      </w:numPr>
      <w:outlineLvl w:val="9"/>
    </w:pPr>
  </w:style>
  <w:style w:type="character" w:customStyle="1" w:styleId="Heading2Char">
    <w:name w:val="Heading 2 Char"/>
    <w:link w:val="Heading2"/>
    <w:uiPriority w:val="9"/>
    <w:rsid w:val="00A470A2"/>
    <w:rPr>
      <w:rFonts w:ascii="Arial Narrow" w:hAnsi="Arial Narrow"/>
      <w:b/>
      <w:bCs/>
      <w:iCs/>
      <w:sz w:val="28"/>
      <w:szCs w:val="28"/>
      <w:lang w:val="en-US" w:eastAsia="en-US" w:bidi="en-US"/>
    </w:rPr>
  </w:style>
  <w:style w:type="character" w:styleId="Hyperlink">
    <w:name w:val="Hyperlink"/>
    <w:rsid w:val="00A64E7D"/>
    <w:rPr>
      <w:color w:val="0000FF"/>
      <w:u w:val="single"/>
    </w:rPr>
  </w:style>
  <w:style w:type="character" w:customStyle="1" w:styleId="UnresolvedMention1">
    <w:name w:val="Unresolved Mention1"/>
    <w:basedOn w:val="DefaultParagraphFont"/>
    <w:uiPriority w:val="99"/>
    <w:semiHidden/>
    <w:unhideWhenUsed/>
    <w:rsid w:val="006740A1"/>
    <w:rPr>
      <w:color w:val="605E5C"/>
      <w:shd w:val="clear" w:color="auto" w:fill="E1DFDD"/>
    </w:rPr>
  </w:style>
  <w:style w:type="character" w:styleId="FollowedHyperlink">
    <w:name w:val="FollowedHyperlink"/>
    <w:basedOn w:val="DefaultParagraphFont"/>
    <w:rsid w:val="002D56BF"/>
    <w:rPr>
      <w:color w:val="954F72" w:themeColor="followedHyperlink"/>
      <w:u w:val="single"/>
    </w:rPr>
  </w:style>
  <w:style w:type="paragraph" w:styleId="Bibliography">
    <w:name w:val="Bibliography"/>
    <w:basedOn w:val="Normal"/>
    <w:next w:val="Normal"/>
    <w:uiPriority w:val="37"/>
    <w:unhideWhenUsed/>
    <w:rsid w:val="00B925BC"/>
  </w:style>
  <w:style w:type="paragraph" w:customStyle="1" w:styleId="StyleBibliographyLeft0cmHanging127cm">
    <w:name w:val="Style Bibliography + Left:  0 cm Hanging:  1.27 cm"/>
    <w:basedOn w:val="Bibliography"/>
    <w:rsid w:val="0056460A"/>
    <w:pPr>
      <w:spacing w:before="240"/>
      <w:ind w:left="720" w:hanging="720"/>
    </w:pPr>
    <w:rPr>
      <w:szCs w:val="20"/>
    </w:rPr>
  </w:style>
  <w:style w:type="table" w:styleId="TableGrid">
    <w:name w:val="Table Grid"/>
    <w:basedOn w:val="TableNormal"/>
    <w:rsid w:val="0063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4694"/>
    <w:rPr>
      <w:sz w:val="16"/>
      <w:szCs w:val="16"/>
    </w:rPr>
  </w:style>
  <w:style w:type="paragraph" w:styleId="CommentText">
    <w:name w:val="annotation text"/>
    <w:basedOn w:val="Normal"/>
    <w:link w:val="CommentTextChar"/>
    <w:rsid w:val="00FA4694"/>
    <w:rPr>
      <w:sz w:val="20"/>
      <w:szCs w:val="20"/>
    </w:rPr>
  </w:style>
  <w:style w:type="character" w:customStyle="1" w:styleId="CommentTextChar">
    <w:name w:val="Comment Text Char"/>
    <w:basedOn w:val="DefaultParagraphFont"/>
    <w:link w:val="CommentText"/>
    <w:rsid w:val="00FA4694"/>
    <w:rPr>
      <w:rFonts w:ascii="Times New Roman" w:hAnsi="Times New Roman"/>
      <w:lang w:val="en-US" w:eastAsia="en-US" w:bidi="en-US"/>
    </w:rPr>
  </w:style>
  <w:style w:type="paragraph" w:styleId="CommentSubject">
    <w:name w:val="annotation subject"/>
    <w:basedOn w:val="CommentText"/>
    <w:next w:val="CommentText"/>
    <w:link w:val="CommentSubjectChar"/>
    <w:semiHidden/>
    <w:unhideWhenUsed/>
    <w:rsid w:val="00FA4694"/>
    <w:rPr>
      <w:b/>
      <w:bCs/>
    </w:rPr>
  </w:style>
  <w:style w:type="character" w:customStyle="1" w:styleId="CommentSubjectChar">
    <w:name w:val="Comment Subject Char"/>
    <w:basedOn w:val="CommentTextChar"/>
    <w:link w:val="CommentSubject"/>
    <w:semiHidden/>
    <w:rsid w:val="00FA4694"/>
    <w:rPr>
      <w:rFonts w:ascii="Times New Roman" w:hAnsi="Times New Roman"/>
      <w:b/>
      <w:bCs/>
      <w:lang w:val="en-US" w:eastAsia="en-US" w:bidi="en-US"/>
    </w:rPr>
  </w:style>
  <w:style w:type="paragraph" w:styleId="BalloonText">
    <w:name w:val="Balloon Text"/>
    <w:basedOn w:val="Normal"/>
    <w:link w:val="BalloonTextChar"/>
    <w:semiHidden/>
    <w:unhideWhenUsed/>
    <w:rsid w:val="00FA4694"/>
    <w:rPr>
      <w:rFonts w:ascii="Segoe UI" w:hAnsi="Segoe UI" w:cs="Segoe UI"/>
      <w:sz w:val="18"/>
      <w:szCs w:val="18"/>
    </w:rPr>
  </w:style>
  <w:style w:type="character" w:customStyle="1" w:styleId="BalloonTextChar">
    <w:name w:val="Balloon Text Char"/>
    <w:basedOn w:val="DefaultParagraphFont"/>
    <w:link w:val="BalloonText"/>
    <w:semiHidden/>
    <w:rsid w:val="00FA4694"/>
    <w:rPr>
      <w:rFonts w:ascii="Segoe UI" w:hAnsi="Segoe UI" w:cs="Segoe UI"/>
      <w:sz w:val="18"/>
      <w:szCs w:val="18"/>
      <w:lang w:val="en-US" w:eastAsia="en-US" w:bidi="en-US"/>
    </w:rPr>
  </w:style>
  <w:style w:type="character" w:customStyle="1" w:styleId="UnresolvedMention2">
    <w:name w:val="Unresolved Mention2"/>
    <w:basedOn w:val="DefaultParagraphFont"/>
    <w:uiPriority w:val="99"/>
    <w:semiHidden/>
    <w:unhideWhenUsed/>
    <w:rsid w:val="00490125"/>
    <w:rPr>
      <w:color w:val="605E5C"/>
      <w:shd w:val="clear" w:color="auto" w:fill="E1DFDD"/>
    </w:rPr>
  </w:style>
  <w:style w:type="paragraph" w:customStyle="1" w:styleId="StyleBibliographyLeft0mmHanging127mm">
    <w:name w:val="Style Bibliography + Left:  0 mm Hanging:  12.7 mm"/>
    <w:basedOn w:val="Bibliography"/>
    <w:rsid w:val="002821A3"/>
    <w:pPr>
      <w:spacing w:after="240"/>
      <w:ind w:left="720" w:hanging="720"/>
    </w:pPr>
    <w:rPr>
      <w:szCs w:val="20"/>
    </w:rPr>
  </w:style>
  <w:style w:type="paragraph" w:customStyle="1" w:styleId="StyleBibliographyLeft0mmHanging127mm1">
    <w:name w:val="Style Bibliography + Left:  0 mm Hanging:  12.7 mm1"/>
    <w:basedOn w:val="Bibliography"/>
    <w:rsid w:val="002821A3"/>
    <w:pPr>
      <w:spacing w:after="240"/>
      <w:ind w:left="720" w:hanging="720"/>
    </w:pPr>
    <w:rPr>
      <w:szCs w:val="20"/>
    </w:rPr>
  </w:style>
  <w:style w:type="paragraph" w:customStyle="1" w:styleId="StyleBibliographyLeft0mmHanging127mm2">
    <w:name w:val="Style Bibliography + Left:  0 mm Hanging:  12.7 mm2"/>
    <w:basedOn w:val="Bibliography"/>
    <w:rsid w:val="00113B6A"/>
    <w:pPr>
      <w:spacing w:line="360" w:lineRule="auto"/>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595">
      <w:bodyDiv w:val="1"/>
      <w:marLeft w:val="0"/>
      <w:marRight w:val="0"/>
      <w:marTop w:val="0"/>
      <w:marBottom w:val="0"/>
      <w:divBdr>
        <w:top w:val="none" w:sz="0" w:space="0" w:color="auto"/>
        <w:left w:val="none" w:sz="0" w:space="0" w:color="auto"/>
        <w:bottom w:val="none" w:sz="0" w:space="0" w:color="auto"/>
        <w:right w:val="none" w:sz="0" w:space="0" w:color="auto"/>
      </w:divBdr>
    </w:div>
    <w:div w:id="24252676">
      <w:bodyDiv w:val="1"/>
      <w:marLeft w:val="0"/>
      <w:marRight w:val="0"/>
      <w:marTop w:val="0"/>
      <w:marBottom w:val="0"/>
      <w:divBdr>
        <w:top w:val="none" w:sz="0" w:space="0" w:color="auto"/>
        <w:left w:val="none" w:sz="0" w:space="0" w:color="auto"/>
        <w:bottom w:val="none" w:sz="0" w:space="0" w:color="auto"/>
        <w:right w:val="none" w:sz="0" w:space="0" w:color="auto"/>
      </w:divBdr>
    </w:div>
    <w:div w:id="24992110">
      <w:bodyDiv w:val="1"/>
      <w:marLeft w:val="0"/>
      <w:marRight w:val="0"/>
      <w:marTop w:val="0"/>
      <w:marBottom w:val="0"/>
      <w:divBdr>
        <w:top w:val="none" w:sz="0" w:space="0" w:color="auto"/>
        <w:left w:val="none" w:sz="0" w:space="0" w:color="auto"/>
        <w:bottom w:val="none" w:sz="0" w:space="0" w:color="auto"/>
        <w:right w:val="none" w:sz="0" w:space="0" w:color="auto"/>
      </w:divBdr>
    </w:div>
    <w:div w:id="38674303">
      <w:bodyDiv w:val="1"/>
      <w:marLeft w:val="0"/>
      <w:marRight w:val="0"/>
      <w:marTop w:val="0"/>
      <w:marBottom w:val="0"/>
      <w:divBdr>
        <w:top w:val="none" w:sz="0" w:space="0" w:color="auto"/>
        <w:left w:val="none" w:sz="0" w:space="0" w:color="auto"/>
        <w:bottom w:val="none" w:sz="0" w:space="0" w:color="auto"/>
        <w:right w:val="none" w:sz="0" w:space="0" w:color="auto"/>
      </w:divBdr>
    </w:div>
    <w:div w:id="90316428">
      <w:bodyDiv w:val="1"/>
      <w:marLeft w:val="0"/>
      <w:marRight w:val="0"/>
      <w:marTop w:val="0"/>
      <w:marBottom w:val="0"/>
      <w:divBdr>
        <w:top w:val="none" w:sz="0" w:space="0" w:color="auto"/>
        <w:left w:val="none" w:sz="0" w:space="0" w:color="auto"/>
        <w:bottom w:val="none" w:sz="0" w:space="0" w:color="auto"/>
        <w:right w:val="none" w:sz="0" w:space="0" w:color="auto"/>
      </w:divBdr>
    </w:div>
    <w:div w:id="90316820">
      <w:bodyDiv w:val="1"/>
      <w:marLeft w:val="0"/>
      <w:marRight w:val="0"/>
      <w:marTop w:val="0"/>
      <w:marBottom w:val="0"/>
      <w:divBdr>
        <w:top w:val="none" w:sz="0" w:space="0" w:color="auto"/>
        <w:left w:val="none" w:sz="0" w:space="0" w:color="auto"/>
        <w:bottom w:val="none" w:sz="0" w:space="0" w:color="auto"/>
        <w:right w:val="none" w:sz="0" w:space="0" w:color="auto"/>
      </w:divBdr>
    </w:div>
    <w:div w:id="100414101">
      <w:bodyDiv w:val="1"/>
      <w:marLeft w:val="0"/>
      <w:marRight w:val="0"/>
      <w:marTop w:val="0"/>
      <w:marBottom w:val="0"/>
      <w:divBdr>
        <w:top w:val="none" w:sz="0" w:space="0" w:color="auto"/>
        <w:left w:val="none" w:sz="0" w:space="0" w:color="auto"/>
        <w:bottom w:val="none" w:sz="0" w:space="0" w:color="auto"/>
        <w:right w:val="none" w:sz="0" w:space="0" w:color="auto"/>
      </w:divBdr>
    </w:div>
    <w:div w:id="123933823">
      <w:bodyDiv w:val="1"/>
      <w:marLeft w:val="0"/>
      <w:marRight w:val="0"/>
      <w:marTop w:val="0"/>
      <w:marBottom w:val="0"/>
      <w:divBdr>
        <w:top w:val="none" w:sz="0" w:space="0" w:color="auto"/>
        <w:left w:val="none" w:sz="0" w:space="0" w:color="auto"/>
        <w:bottom w:val="none" w:sz="0" w:space="0" w:color="auto"/>
        <w:right w:val="none" w:sz="0" w:space="0" w:color="auto"/>
      </w:divBdr>
    </w:div>
    <w:div w:id="143205852">
      <w:bodyDiv w:val="1"/>
      <w:marLeft w:val="0"/>
      <w:marRight w:val="0"/>
      <w:marTop w:val="0"/>
      <w:marBottom w:val="0"/>
      <w:divBdr>
        <w:top w:val="none" w:sz="0" w:space="0" w:color="auto"/>
        <w:left w:val="none" w:sz="0" w:space="0" w:color="auto"/>
        <w:bottom w:val="none" w:sz="0" w:space="0" w:color="auto"/>
        <w:right w:val="none" w:sz="0" w:space="0" w:color="auto"/>
      </w:divBdr>
    </w:div>
    <w:div w:id="185605546">
      <w:bodyDiv w:val="1"/>
      <w:marLeft w:val="0"/>
      <w:marRight w:val="0"/>
      <w:marTop w:val="0"/>
      <w:marBottom w:val="0"/>
      <w:divBdr>
        <w:top w:val="none" w:sz="0" w:space="0" w:color="auto"/>
        <w:left w:val="none" w:sz="0" w:space="0" w:color="auto"/>
        <w:bottom w:val="none" w:sz="0" w:space="0" w:color="auto"/>
        <w:right w:val="none" w:sz="0" w:space="0" w:color="auto"/>
      </w:divBdr>
    </w:div>
    <w:div w:id="186791626">
      <w:bodyDiv w:val="1"/>
      <w:marLeft w:val="0"/>
      <w:marRight w:val="0"/>
      <w:marTop w:val="0"/>
      <w:marBottom w:val="0"/>
      <w:divBdr>
        <w:top w:val="none" w:sz="0" w:space="0" w:color="auto"/>
        <w:left w:val="none" w:sz="0" w:space="0" w:color="auto"/>
        <w:bottom w:val="none" w:sz="0" w:space="0" w:color="auto"/>
        <w:right w:val="none" w:sz="0" w:space="0" w:color="auto"/>
      </w:divBdr>
    </w:div>
    <w:div w:id="187916796">
      <w:bodyDiv w:val="1"/>
      <w:marLeft w:val="0"/>
      <w:marRight w:val="0"/>
      <w:marTop w:val="0"/>
      <w:marBottom w:val="0"/>
      <w:divBdr>
        <w:top w:val="none" w:sz="0" w:space="0" w:color="auto"/>
        <w:left w:val="none" w:sz="0" w:space="0" w:color="auto"/>
        <w:bottom w:val="none" w:sz="0" w:space="0" w:color="auto"/>
        <w:right w:val="none" w:sz="0" w:space="0" w:color="auto"/>
      </w:divBdr>
    </w:div>
    <w:div w:id="196967554">
      <w:bodyDiv w:val="1"/>
      <w:marLeft w:val="0"/>
      <w:marRight w:val="0"/>
      <w:marTop w:val="0"/>
      <w:marBottom w:val="0"/>
      <w:divBdr>
        <w:top w:val="none" w:sz="0" w:space="0" w:color="auto"/>
        <w:left w:val="none" w:sz="0" w:space="0" w:color="auto"/>
        <w:bottom w:val="none" w:sz="0" w:space="0" w:color="auto"/>
        <w:right w:val="none" w:sz="0" w:space="0" w:color="auto"/>
      </w:divBdr>
    </w:div>
    <w:div w:id="216211415">
      <w:bodyDiv w:val="1"/>
      <w:marLeft w:val="0"/>
      <w:marRight w:val="0"/>
      <w:marTop w:val="0"/>
      <w:marBottom w:val="0"/>
      <w:divBdr>
        <w:top w:val="none" w:sz="0" w:space="0" w:color="auto"/>
        <w:left w:val="none" w:sz="0" w:space="0" w:color="auto"/>
        <w:bottom w:val="none" w:sz="0" w:space="0" w:color="auto"/>
        <w:right w:val="none" w:sz="0" w:space="0" w:color="auto"/>
      </w:divBdr>
    </w:div>
    <w:div w:id="225189560">
      <w:bodyDiv w:val="1"/>
      <w:marLeft w:val="0"/>
      <w:marRight w:val="0"/>
      <w:marTop w:val="0"/>
      <w:marBottom w:val="0"/>
      <w:divBdr>
        <w:top w:val="none" w:sz="0" w:space="0" w:color="auto"/>
        <w:left w:val="none" w:sz="0" w:space="0" w:color="auto"/>
        <w:bottom w:val="none" w:sz="0" w:space="0" w:color="auto"/>
        <w:right w:val="none" w:sz="0" w:space="0" w:color="auto"/>
      </w:divBdr>
    </w:div>
    <w:div w:id="227107365">
      <w:bodyDiv w:val="1"/>
      <w:marLeft w:val="0"/>
      <w:marRight w:val="0"/>
      <w:marTop w:val="0"/>
      <w:marBottom w:val="0"/>
      <w:divBdr>
        <w:top w:val="none" w:sz="0" w:space="0" w:color="auto"/>
        <w:left w:val="none" w:sz="0" w:space="0" w:color="auto"/>
        <w:bottom w:val="none" w:sz="0" w:space="0" w:color="auto"/>
        <w:right w:val="none" w:sz="0" w:space="0" w:color="auto"/>
      </w:divBdr>
    </w:div>
    <w:div w:id="234437045">
      <w:bodyDiv w:val="1"/>
      <w:marLeft w:val="0"/>
      <w:marRight w:val="0"/>
      <w:marTop w:val="0"/>
      <w:marBottom w:val="0"/>
      <w:divBdr>
        <w:top w:val="none" w:sz="0" w:space="0" w:color="auto"/>
        <w:left w:val="none" w:sz="0" w:space="0" w:color="auto"/>
        <w:bottom w:val="none" w:sz="0" w:space="0" w:color="auto"/>
        <w:right w:val="none" w:sz="0" w:space="0" w:color="auto"/>
      </w:divBdr>
    </w:div>
    <w:div w:id="249584964">
      <w:bodyDiv w:val="1"/>
      <w:marLeft w:val="0"/>
      <w:marRight w:val="0"/>
      <w:marTop w:val="0"/>
      <w:marBottom w:val="0"/>
      <w:divBdr>
        <w:top w:val="none" w:sz="0" w:space="0" w:color="auto"/>
        <w:left w:val="none" w:sz="0" w:space="0" w:color="auto"/>
        <w:bottom w:val="none" w:sz="0" w:space="0" w:color="auto"/>
        <w:right w:val="none" w:sz="0" w:space="0" w:color="auto"/>
      </w:divBdr>
    </w:div>
    <w:div w:id="253051825">
      <w:bodyDiv w:val="1"/>
      <w:marLeft w:val="0"/>
      <w:marRight w:val="0"/>
      <w:marTop w:val="0"/>
      <w:marBottom w:val="0"/>
      <w:divBdr>
        <w:top w:val="none" w:sz="0" w:space="0" w:color="auto"/>
        <w:left w:val="none" w:sz="0" w:space="0" w:color="auto"/>
        <w:bottom w:val="none" w:sz="0" w:space="0" w:color="auto"/>
        <w:right w:val="none" w:sz="0" w:space="0" w:color="auto"/>
      </w:divBdr>
    </w:div>
    <w:div w:id="260384285">
      <w:bodyDiv w:val="1"/>
      <w:marLeft w:val="0"/>
      <w:marRight w:val="0"/>
      <w:marTop w:val="0"/>
      <w:marBottom w:val="0"/>
      <w:divBdr>
        <w:top w:val="none" w:sz="0" w:space="0" w:color="auto"/>
        <w:left w:val="none" w:sz="0" w:space="0" w:color="auto"/>
        <w:bottom w:val="none" w:sz="0" w:space="0" w:color="auto"/>
        <w:right w:val="none" w:sz="0" w:space="0" w:color="auto"/>
      </w:divBdr>
    </w:div>
    <w:div w:id="276060936">
      <w:bodyDiv w:val="1"/>
      <w:marLeft w:val="0"/>
      <w:marRight w:val="0"/>
      <w:marTop w:val="0"/>
      <w:marBottom w:val="0"/>
      <w:divBdr>
        <w:top w:val="none" w:sz="0" w:space="0" w:color="auto"/>
        <w:left w:val="none" w:sz="0" w:space="0" w:color="auto"/>
        <w:bottom w:val="none" w:sz="0" w:space="0" w:color="auto"/>
        <w:right w:val="none" w:sz="0" w:space="0" w:color="auto"/>
      </w:divBdr>
    </w:div>
    <w:div w:id="286006747">
      <w:bodyDiv w:val="1"/>
      <w:marLeft w:val="0"/>
      <w:marRight w:val="0"/>
      <w:marTop w:val="0"/>
      <w:marBottom w:val="0"/>
      <w:divBdr>
        <w:top w:val="none" w:sz="0" w:space="0" w:color="auto"/>
        <w:left w:val="none" w:sz="0" w:space="0" w:color="auto"/>
        <w:bottom w:val="none" w:sz="0" w:space="0" w:color="auto"/>
        <w:right w:val="none" w:sz="0" w:space="0" w:color="auto"/>
      </w:divBdr>
    </w:div>
    <w:div w:id="293759919">
      <w:bodyDiv w:val="1"/>
      <w:marLeft w:val="0"/>
      <w:marRight w:val="0"/>
      <w:marTop w:val="0"/>
      <w:marBottom w:val="0"/>
      <w:divBdr>
        <w:top w:val="none" w:sz="0" w:space="0" w:color="auto"/>
        <w:left w:val="none" w:sz="0" w:space="0" w:color="auto"/>
        <w:bottom w:val="none" w:sz="0" w:space="0" w:color="auto"/>
        <w:right w:val="none" w:sz="0" w:space="0" w:color="auto"/>
      </w:divBdr>
    </w:div>
    <w:div w:id="296035333">
      <w:bodyDiv w:val="1"/>
      <w:marLeft w:val="0"/>
      <w:marRight w:val="0"/>
      <w:marTop w:val="0"/>
      <w:marBottom w:val="0"/>
      <w:divBdr>
        <w:top w:val="none" w:sz="0" w:space="0" w:color="auto"/>
        <w:left w:val="none" w:sz="0" w:space="0" w:color="auto"/>
        <w:bottom w:val="none" w:sz="0" w:space="0" w:color="auto"/>
        <w:right w:val="none" w:sz="0" w:space="0" w:color="auto"/>
      </w:divBdr>
    </w:div>
    <w:div w:id="297338899">
      <w:bodyDiv w:val="1"/>
      <w:marLeft w:val="0"/>
      <w:marRight w:val="0"/>
      <w:marTop w:val="0"/>
      <w:marBottom w:val="0"/>
      <w:divBdr>
        <w:top w:val="none" w:sz="0" w:space="0" w:color="auto"/>
        <w:left w:val="none" w:sz="0" w:space="0" w:color="auto"/>
        <w:bottom w:val="none" w:sz="0" w:space="0" w:color="auto"/>
        <w:right w:val="none" w:sz="0" w:space="0" w:color="auto"/>
      </w:divBdr>
    </w:div>
    <w:div w:id="304628357">
      <w:bodyDiv w:val="1"/>
      <w:marLeft w:val="0"/>
      <w:marRight w:val="0"/>
      <w:marTop w:val="0"/>
      <w:marBottom w:val="0"/>
      <w:divBdr>
        <w:top w:val="none" w:sz="0" w:space="0" w:color="auto"/>
        <w:left w:val="none" w:sz="0" w:space="0" w:color="auto"/>
        <w:bottom w:val="none" w:sz="0" w:space="0" w:color="auto"/>
        <w:right w:val="none" w:sz="0" w:space="0" w:color="auto"/>
      </w:divBdr>
    </w:div>
    <w:div w:id="304698701">
      <w:bodyDiv w:val="1"/>
      <w:marLeft w:val="0"/>
      <w:marRight w:val="0"/>
      <w:marTop w:val="0"/>
      <w:marBottom w:val="0"/>
      <w:divBdr>
        <w:top w:val="none" w:sz="0" w:space="0" w:color="auto"/>
        <w:left w:val="none" w:sz="0" w:space="0" w:color="auto"/>
        <w:bottom w:val="none" w:sz="0" w:space="0" w:color="auto"/>
        <w:right w:val="none" w:sz="0" w:space="0" w:color="auto"/>
      </w:divBdr>
    </w:div>
    <w:div w:id="316805919">
      <w:bodyDiv w:val="1"/>
      <w:marLeft w:val="0"/>
      <w:marRight w:val="0"/>
      <w:marTop w:val="0"/>
      <w:marBottom w:val="0"/>
      <w:divBdr>
        <w:top w:val="none" w:sz="0" w:space="0" w:color="auto"/>
        <w:left w:val="none" w:sz="0" w:space="0" w:color="auto"/>
        <w:bottom w:val="none" w:sz="0" w:space="0" w:color="auto"/>
        <w:right w:val="none" w:sz="0" w:space="0" w:color="auto"/>
      </w:divBdr>
    </w:div>
    <w:div w:id="317342535">
      <w:bodyDiv w:val="1"/>
      <w:marLeft w:val="0"/>
      <w:marRight w:val="0"/>
      <w:marTop w:val="0"/>
      <w:marBottom w:val="0"/>
      <w:divBdr>
        <w:top w:val="none" w:sz="0" w:space="0" w:color="auto"/>
        <w:left w:val="none" w:sz="0" w:space="0" w:color="auto"/>
        <w:bottom w:val="none" w:sz="0" w:space="0" w:color="auto"/>
        <w:right w:val="none" w:sz="0" w:space="0" w:color="auto"/>
      </w:divBdr>
    </w:div>
    <w:div w:id="318777466">
      <w:bodyDiv w:val="1"/>
      <w:marLeft w:val="0"/>
      <w:marRight w:val="0"/>
      <w:marTop w:val="0"/>
      <w:marBottom w:val="0"/>
      <w:divBdr>
        <w:top w:val="none" w:sz="0" w:space="0" w:color="auto"/>
        <w:left w:val="none" w:sz="0" w:space="0" w:color="auto"/>
        <w:bottom w:val="none" w:sz="0" w:space="0" w:color="auto"/>
        <w:right w:val="none" w:sz="0" w:space="0" w:color="auto"/>
      </w:divBdr>
    </w:div>
    <w:div w:id="319621741">
      <w:bodyDiv w:val="1"/>
      <w:marLeft w:val="0"/>
      <w:marRight w:val="0"/>
      <w:marTop w:val="0"/>
      <w:marBottom w:val="0"/>
      <w:divBdr>
        <w:top w:val="none" w:sz="0" w:space="0" w:color="auto"/>
        <w:left w:val="none" w:sz="0" w:space="0" w:color="auto"/>
        <w:bottom w:val="none" w:sz="0" w:space="0" w:color="auto"/>
        <w:right w:val="none" w:sz="0" w:space="0" w:color="auto"/>
      </w:divBdr>
    </w:div>
    <w:div w:id="357582846">
      <w:bodyDiv w:val="1"/>
      <w:marLeft w:val="0"/>
      <w:marRight w:val="0"/>
      <w:marTop w:val="0"/>
      <w:marBottom w:val="0"/>
      <w:divBdr>
        <w:top w:val="none" w:sz="0" w:space="0" w:color="auto"/>
        <w:left w:val="none" w:sz="0" w:space="0" w:color="auto"/>
        <w:bottom w:val="none" w:sz="0" w:space="0" w:color="auto"/>
        <w:right w:val="none" w:sz="0" w:space="0" w:color="auto"/>
      </w:divBdr>
    </w:div>
    <w:div w:id="364796473">
      <w:bodyDiv w:val="1"/>
      <w:marLeft w:val="0"/>
      <w:marRight w:val="0"/>
      <w:marTop w:val="0"/>
      <w:marBottom w:val="0"/>
      <w:divBdr>
        <w:top w:val="none" w:sz="0" w:space="0" w:color="auto"/>
        <w:left w:val="none" w:sz="0" w:space="0" w:color="auto"/>
        <w:bottom w:val="none" w:sz="0" w:space="0" w:color="auto"/>
        <w:right w:val="none" w:sz="0" w:space="0" w:color="auto"/>
      </w:divBdr>
    </w:div>
    <w:div w:id="384452037">
      <w:bodyDiv w:val="1"/>
      <w:marLeft w:val="0"/>
      <w:marRight w:val="0"/>
      <w:marTop w:val="0"/>
      <w:marBottom w:val="0"/>
      <w:divBdr>
        <w:top w:val="none" w:sz="0" w:space="0" w:color="auto"/>
        <w:left w:val="none" w:sz="0" w:space="0" w:color="auto"/>
        <w:bottom w:val="none" w:sz="0" w:space="0" w:color="auto"/>
        <w:right w:val="none" w:sz="0" w:space="0" w:color="auto"/>
      </w:divBdr>
    </w:div>
    <w:div w:id="396901597">
      <w:bodyDiv w:val="1"/>
      <w:marLeft w:val="0"/>
      <w:marRight w:val="0"/>
      <w:marTop w:val="0"/>
      <w:marBottom w:val="0"/>
      <w:divBdr>
        <w:top w:val="none" w:sz="0" w:space="0" w:color="auto"/>
        <w:left w:val="none" w:sz="0" w:space="0" w:color="auto"/>
        <w:bottom w:val="none" w:sz="0" w:space="0" w:color="auto"/>
        <w:right w:val="none" w:sz="0" w:space="0" w:color="auto"/>
      </w:divBdr>
    </w:div>
    <w:div w:id="430590550">
      <w:bodyDiv w:val="1"/>
      <w:marLeft w:val="0"/>
      <w:marRight w:val="0"/>
      <w:marTop w:val="0"/>
      <w:marBottom w:val="0"/>
      <w:divBdr>
        <w:top w:val="none" w:sz="0" w:space="0" w:color="auto"/>
        <w:left w:val="none" w:sz="0" w:space="0" w:color="auto"/>
        <w:bottom w:val="none" w:sz="0" w:space="0" w:color="auto"/>
        <w:right w:val="none" w:sz="0" w:space="0" w:color="auto"/>
      </w:divBdr>
    </w:div>
    <w:div w:id="484856490">
      <w:bodyDiv w:val="1"/>
      <w:marLeft w:val="0"/>
      <w:marRight w:val="0"/>
      <w:marTop w:val="0"/>
      <w:marBottom w:val="0"/>
      <w:divBdr>
        <w:top w:val="none" w:sz="0" w:space="0" w:color="auto"/>
        <w:left w:val="none" w:sz="0" w:space="0" w:color="auto"/>
        <w:bottom w:val="none" w:sz="0" w:space="0" w:color="auto"/>
        <w:right w:val="none" w:sz="0" w:space="0" w:color="auto"/>
      </w:divBdr>
    </w:div>
    <w:div w:id="485168405">
      <w:bodyDiv w:val="1"/>
      <w:marLeft w:val="0"/>
      <w:marRight w:val="0"/>
      <w:marTop w:val="0"/>
      <w:marBottom w:val="0"/>
      <w:divBdr>
        <w:top w:val="none" w:sz="0" w:space="0" w:color="auto"/>
        <w:left w:val="none" w:sz="0" w:space="0" w:color="auto"/>
        <w:bottom w:val="none" w:sz="0" w:space="0" w:color="auto"/>
        <w:right w:val="none" w:sz="0" w:space="0" w:color="auto"/>
      </w:divBdr>
    </w:div>
    <w:div w:id="500464400">
      <w:bodyDiv w:val="1"/>
      <w:marLeft w:val="0"/>
      <w:marRight w:val="0"/>
      <w:marTop w:val="0"/>
      <w:marBottom w:val="0"/>
      <w:divBdr>
        <w:top w:val="none" w:sz="0" w:space="0" w:color="auto"/>
        <w:left w:val="none" w:sz="0" w:space="0" w:color="auto"/>
        <w:bottom w:val="none" w:sz="0" w:space="0" w:color="auto"/>
        <w:right w:val="none" w:sz="0" w:space="0" w:color="auto"/>
      </w:divBdr>
    </w:div>
    <w:div w:id="501744510">
      <w:bodyDiv w:val="1"/>
      <w:marLeft w:val="0"/>
      <w:marRight w:val="0"/>
      <w:marTop w:val="0"/>
      <w:marBottom w:val="0"/>
      <w:divBdr>
        <w:top w:val="none" w:sz="0" w:space="0" w:color="auto"/>
        <w:left w:val="none" w:sz="0" w:space="0" w:color="auto"/>
        <w:bottom w:val="none" w:sz="0" w:space="0" w:color="auto"/>
        <w:right w:val="none" w:sz="0" w:space="0" w:color="auto"/>
      </w:divBdr>
    </w:div>
    <w:div w:id="503782425">
      <w:bodyDiv w:val="1"/>
      <w:marLeft w:val="0"/>
      <w:marRight w:val="0"/>
      <w:marTop w:val="0"/>
      <w:marBottom w:val="0"/>
      <w:divBdr>
        <w:top w:val="none" w:sz="0" w:space="0" w:color="auto"/>
        <w:left w:val="none" w:sz="0" w:space="0" w:color="auto"/>
        <w:bottom w:val="none" w:sz="0" w:space="0" w:color="auto"/>
        <w:right w:val="none" w:sz="0" w:space="0" w:color="auto"/>
      </w:divBdr>
    </w:div>
    <w:div w:id="514923828">
      <w:bodyDiv w:val="1"/>
      <w:marLeft w:val="0"/>
      <w:marRight w:val="0"/>
      <w:marTop w:val="0"/>
      <w:marBottom w:val="0"/>
      <w:divBdr>
        <w:top w:val="none" w:sz="0" w:space="0" w:color="auto"/>
        <w:left w:val="none" w:sz="0" w:space="0" w:color="auto"/>
        <w:bottom w:val="none" w:sz="0" w:space="0" w:color="auto"/>
        <w:right w:val="none" w:sz="0" w:space="0" w:color="auto"/>
      </w:divBdr>
    </w:div>
    <w:div w:id="517738318">
      <w:bodyDiv w:val="1"/>
      <w:marLeft w:val="0"/>
      <w:marRight w:val="0"/>
      <w:marTop w:val="0"/>
      <w:marBottom w:val="0"/>
      <w:divBdr>
        <w:top w:val="none" w:sz="0" w:space="0" w:color="auto"/>
        <w:left w:val="none" w:sz="0" w:space="0" w:color="auto"/>
        <w:bottom w:val="none" w:sz="0" w:space="0" w:color="auto"/>
        <w:right w:val="none" w:sz="0" w:space="0" w:color="auto"/>
      </w:divBdr>
    </w:div>
    <w:div w:id="532961303">
      <w:bodyDiv w:val="1"/>
      <w:marLeft w:val="0"/>
      <w:marRight w:val="0"/>
      <w:marTop w:val="0"/>
      <w:marBottom w:val="0"/>
      <w:divBdr>
        <w:top w:val="none" w:sz="0" w:space="0" w:color="auto"/>
        <w:left w:val="none" w:sz="0" w:space="0" w:color="auto"/>
        <w:bottom w:val="none" w:sz="0" w:space="0" w:color="auto"/>
        <w:right w:val="none" w:sz="0" w:space="0" w:color="auto"/>
      </w:divBdr>
    </w:div>
    <w:div w:id="537624284">
      <w:bodyDiv w:val="1"/>
      <w:marLeft w:val="0"/>
      <w:marRight w:val="0"/>
      <w:marTop w:val="0"/>
      <w:marBottom w:val="0"/>
      <w:divBdr>
        <w:top w:val="none" w:sz="0" w:space="0" w:color="auto"/>
        <w:left w:val="none" w:sz="0" w:space="0" w:color="auto"/>
        <w:bottom w:val="none" w:sz="0" w:space="0" w:color="auto"/>
        <w:right w:val="none" w:sz="0" w:space="0" w:color="auto"/>
      </w:divBdr>
    </w:div>
    <w:div w:id="544950953">
      <w:bodyDiv w:val="1"/>
      <w:marLeft w:val="0"/>
      <w:marRight w:val="0"/>
      <w:marTop w:val="0"/>
      <w:marBottom w:val="0"/>
      <w:divBdr>
        <w:top w:val="none" w:sz="0" w:space="0" w:color="auto"/>
        <w:left w:val="none" w:sz="0" w:space="0" w:color="auto"/>
        <w:bottom w:val="none" w:sz="0" w:space="0" w:color="auto"/>
        <w:right w:val="none" w:sz="0" w:space="0" w:color="auto"/>
      </w:divBdr>
    </w:div>
    <w:div w:id="549264758">
      <w:bodyDiv w:val="1"/>
      <w:marLeft w:val="0"/>
      <w:marRight w:val="0"/>
      <w:marTop w:val="0"/>
      <w:marBottom w:val="0"/>
      <w:divBdr>
        <w:top w:val="none" w:sz="0" w:space="0" w:color="auto"/>
        <w:left w:val="none" w:sz="0" w:space="0" w:color="auto"/>
        <w:bottom w:val="none" w:sz="0" w:space="0" w:color="auto"/>
        <w:right w:val="none" w:sz="0" w:space="0" w:color="auto"/>
      </w:divBdr>
    </w:div>
    <w:div w:id="565335491">
      <w:bodyDiv w:val="1"/>
      <w:marLeft w:val="0"/>
      <w:marRight w:val="0"/>
      <w:marTop w:val="0"/>
      <w:marBottom w:val="0"/>
      <w:divBdr>
        <w:top w:val="none" w:sz="0" w:space="0" w:color="auto"/>
        <w:left w:val="none" w:sz="0" w:space="0" w:color="auto"/>
        <w:bottom w:val="none" w:sz="0" w:space="0" w:color="auto"/>
        <w:right w:val="none" w:sz="0" w:space="0" w:color="auto"/>
      </w:divBdr>
    </w:div>
    <w:div w:id="566847032">
      <w:bodyDiv w:val="1"/>
      <w:marLeft w:val="0"/>
      <w:marRight w:val="0"/>
      <w:marTop w:val="0"/>
      <w:marBottom w:val="0"/>
      <w:divBdr>
        <w:top w:val="none" w:sz="0" w:space="0" w:color="auto"/>
        <w:left w:val="none" w:sz="0" w:space="0" w:color="auto"/>
        <w:bottom w:val="none" w:sz="0" w:space="0" w:color="auto"/>
        <w:right w:val="none" w:sz="0" w:space="0" w:color="auto"/>
      </w:divBdr>
    </w:div>
    <w:div w:id="581767372">
      <w:bodyDiv w:val="1"/>
      <w:marLeft w:val="0"/>
      <w:marRight w:val="0"/>
      <w:marTop w:val="0"/>
      <w:marBottom w:val="0"/>
      <w:divBdr>
        <w:top w:val="none" w:sz="0" w:space="0" w:color="auto"/>
        <w:left w:val="none" w:sz="0" w:space="0" w:color="auto"/>
        <w:bottom w:val="none" w:sz="0" w:space="0" w:color="auto"/>
        <w:right w:val="none" w:sz="0" w:space="0" w:color="auto"/>
      </w:divBdr>
    </w:div>
    <w:div w:id="582683668">
      <w:bodyDiv w:val="1"/>
      <w:marLeft w:val="0"/>
      <w:marRight w:val="0"/>
      <w:marTop w:val="0"/>
      <w:marBottom w:val="0"/>
      <w:divBdr>
        <w:top w:val="none" w:sz="0" w:space="0" w:color="auto"/>
        <w:left w:val="none" w:sz="0" w:space="0" w:color="auto"/>
        <w:bottom w:val="none" w:sz="0" w:space="0" w:color="auto"/>
        <w:right w:val="none" w:sz="0" w:space="0" w:color="auto"/>
      </w:divBdr>
    </w:div>
    <w:div w:id="584651737">
      <w:bodyDiv w:val="1"/>
      <w:marLeft w:val="0"/>
      <w:marRight w:val="0"/>
      <w:marTop w:val="0"/>
      <w:marBottom w:val="0"/>
      <w:divBdr>
        <w:top w:val="none" w:sz="0" w:space="0" w:color="auto"/>
        <w:left w:val="none" w:sz="0" w:space="0" w:color="auto"/>
        <w:bottom w:val="none" w:sz="0" w:space="0" w:color="auto"/>
        <w:right w:val="none" w:sz="0" w:space="0" w:color="auto"/>
      </w:divBdr>
    </w:div>
    <w:div w:id="585311320">
      <w:bodyDiv w:val="1"/>
      <w:marLeft w:val="0"/>
      <w:marRight w:val="0"/>
      <w:marTop w:val="0"/>
      <w:marBottom w:val="0"/>
      <w:divBdr>
        <w:top w:val="none" w:sz="0" w:space="0" w:color="auto"/>
        <w:left w:val="none" w:sz="0" w:space="0" w:color="auto"/>
        <w:bottom w:val="none" w:sz="0" w:space="0" w:color="auto"/>
        <w:right w:val="none" w:sz="0" w:space="0" w:color="auto"/>
      </w:divBdr>
    </w:div>
    <w:div w:id="590167608">
      <w:bodyDiv w:val="1"/>
      <w:marLeft w:val="0"/>
      <w:marRight w:val="0"/>
      <w:marTop w:val="0"/>
      <w:marBottom w:val="0"/>
      <w:divBdr>
        <w:top w:val="none" w:sz="0" w:space="0" w:color="auto"/>
        <w:left w:val="none" w:sz="0" w:space="0" w:color="auto"/>
        <w:bottom w:val="none" w:sz="0" w:space="0" w:color="auto"/>
        <w:right w:val="none" w:sz="0" w:space="0" w:color="auto"/>
      </w:divBdr>
    </w:div>
    <w:div w:id="623731919">
      <w:bodyDiv w:val="1"/>
      <w:marLeft w:val="0"/>
      <w:marRight w:val="0"/>
      <w:marTop w:val="0"/>
      <w:marBottom w:val="0"/>
      <w:divBdr>
        <w:top w:val="none" w:sz="0" w:space="0" w:color="auto"/>
        <w:left w:val="none" w:sz="0" w:space="0" w:color="auto"/>
        <w:bottom w:val="none" w:sz="0" w:space="0" w:color="auto"/>
        <w:right w:val="none" w:sz="0" w:space="0" w:color="auto"/>
      </w:divBdr>
    </w:div>
    <w:div w:id="633683701">
      <w:bodyDiv w:val="1"/>
      <w:marLeft w:val="0"/>
      <w:marRight w:val="0"/>
      <w:marTop w:val="0"/>
      <w:marBottom w:val="0"/>
      <w:divBdr>
        <w:top w:val="none" w:sz="0" w:space="0" w:color="auto"/>
        <w:left w:val="none" w:sz="0" w:space="0" w:color="auto"/>
        <w:bottom w:val="none" w:sz="0" w:space="0" w:color="auto"/>
        <w:right w:val="none" w:sz="0" w:space="0" w:color="auto"/>
      </w:divBdr>
    </w:div>
    <w:div w:id="642806637">
      <w:bodyDiv w:val="1"/>
      <w:marLeft w:val="0"/>
      <w:marRight w:val="0"/>
      <w:marTop w:val="0"/>
      <w:marBottom w:val="0"/>
      <w:divBdr>
        <w:top w:val="none" w:sz="0" w:space="0" w:color="auto"/>
        <w:left w:val="none" w:sz="0" w:space="0" w:color="auto"/>
        <w:bottom w:val="none" w:sz="0" w:space="0" w:color="auto"/>
        <w:right w:val="none" w:sz="0" w:space="0" w:color="auto"/>
      </w:divBdr>
    </w:div>
    <w:div w:id="660427611">
      <w:bodyDiv w:val="1"/>
      <w:marLeft w:val="0"/>
      <w:marRight w:val="0"/>
      <w:marTop w:val="0"/>
      <w:marBottom w:val="0"/>
      <w:divBdr>
        <w:top w:val="none" w:sz="0" w:space="0" w:color="auto"/>
        <w:left w:val="none" w:sz="0" w:space="0" w:color="auto"/>
        <w:bottom w:val="none" w:sz="0" w:space="0" w:color="auto"/>
        <w:right w:val="none" w:sz="0" w:space="0" w:color="auto"/>
      </w:divBdr>
    </w:div>
    <w:div w:id="662318527">
      <w:bodyDiv w:val="1"/>
      <w:marLeft w:val="0"/>
      <w:marRight w:val="0"/>
      <w:marTop w:val="0"/>
      <w:marBottom w:val="0"/>
      <w:divBdr>
        <w:top w:val="none" w:sz="0" w:space="0" w:color="auto"/>
        <w:left w:val="none" w:sz="0" w:space="0" w:color="auto"/>
        <w:bottom w:val="none" w:sz="0" w:space="0" w:color="auto"/>
        <w:right w:val="none" w:sz="0" w:space="0" w:color="auto"/>
      </w:divBdr>
    </w:div>
    <w:div w:id="662464522">
      <w:bodyDiv w:val="1"/>
      <w:marLeft w:val="0"/>
      <w:marRight w:val="0"/>
      <w:marTop w:val="0"/>
      <w:marBottom w:val="0"/>
      <w:divBdr>
        <w:top w:val="none" w:sz="0" w:space="0" w:color="auto"/>
        <w:left w:val="none" w:sz="0" w:space="0" w:color="auto"/>
        <w:bottom w:val="none" w:sz="0" w:space="0" w:color="auto"/>
        <w:right w:val="none" w:sz="0" w:space="0" w:color="auto"/>
      </w:divBdr>
    </w:div>
    <w:div w:id="672755494">
      <w:bodyDiv w:val="1"/>
      <w:marLeft w:val="0"/>
      <w:marRight w:val="0"/>
      <w:marTop w:val="0"/>
      <w:marBottom w:val="0"/>
      <w:divBdr>
        <w:top w:val="none" w:sz="0" w:space="0" w:color="auto"/>
        <w:left w:val="none" w:sz="0" w:space="0" w:color="auto"/>
        <w:bottom w:val="none" w:sz="0" w:space="0" w:color="auto"/>
        <w:right w:val="none" w:sz="0" w:space="0" w:color="auto"/>
      </w:divBdr>
    </w:div>
    <w:div w:id="673923020">
      <w:bodyDiv w:val="1"/>
      <w:marLeft w:val="0"/>
      <w:marRight w:val="0"/>
      <w:marTop w:val="0"/>
      <w:marBottom w:val="0"/>
      <w:divBdr>
        <w:top w:val="none" w:sz="0" w:space="0" w:color="auto"/>
        <w:left w:val="none" w:sz="0" w:space="0" w:color="auto"/>
        <w:bottom w:val="none" w:sz="0" w:space="0" w:color="auto"/>
        <w:right w:val="none" w:sz="0" w:space="0" w:color="auto"/>
      </w:divBdr>
    </w:div>
    <w:div w:id="695078669">
      <w:bodyDiv w:val="1"/>
      <w:marLeft w:val="0"/>
      <w:marRight w:val="0"/>
      <w:marTop w:val="0"/>
      <w:marBottom w:val="0"/>
      <w:divBdr>
        <w:top w:val="none" w:sz="0" w:space="0" w:color="auto"/>
        <w:left w:val="none" w:sz="0" w:space="0" w:color="auto"/>
        <w:bottom w:val="none" w:sz="0" w:space="0" w:color="auto"/>
        <w:right w:val="none" w:sz="0" w:space="0" w:color="auto"/>
      </w:divBdr>
    </w:div>
    <w:div w:id="711423183">
      <w:bodyDiv w:val="1"/>
      <w:marLeft w:val="0"/>
      <w:marRight w:val="0"/>
      <w:marTop w:val="0"/>
      <w:marBottom w:val="0"/>
      <w:divBdr>
        <w:top w:val="none" w:sz="0" w:space="0" w:color="auto"/>
        <w:left w:val="none" w:sz="0" w:space="0" w:color="auto"/>
        <w:bottom w:val="none" w:sz="0" w:space="0" w:color="auto"/>
        <w:right w:val="none" w:sz="0" w:space="0" w:color="auto"/>
      </w:divBdr>
    </w:div>
    <w:div w:id="721443387">
      <w:bodyDiv w:val="1"/>
      <w:marLeft w:val="0"/>
      <w:marRight w:val="0"/>
      <w:marTop w:val="0"/>
      <w:marBottom w:val="0"/>
      <w:divBdr>
        <w:top w:val="none" w:sz="0" w:space="0" w:color="auto"/>
        <w:left w:val="none" w:sz="0" w:space="0" w:color="auto"/>
        <w:bottom w:val="none" w:sz="0" w:space="0" w:color="auto"/>
        <w:right w:val="none" w:sz="0" w:space="0" w:color="auto"/>
      </w:divBdr>
    </w:div>
    <w:div w:id="724137265">
      <w:bodyDiv w:val="1"/>
      <w:marLeft w:val="0"/>
      <w:marRight w:val="0"/>
      <w:marTop w:val="0"/>
      <w:marBottom w:val="0"/>
      <w:divBdr>
        <w:top w:val="none" w:sz="0" w:space="0" w:color="auto"/>
        <w:left w:val="none" w:sz="0" w:space="0" w:color="auto"/>
        <w:bottom w:val="none" w:sz="0" w:space="0" w:color="auto"/>
        <w:right w:val="none" w:sz="0" w:space="0" w:color="auto"/>
      </w:divBdr>
    </w:div>
    <w:div w:id="757168508">
      <w:bodyDiv w:val="1"/>
      <w:marLeft w:val="0"/>
      <w:marRight w:val="0"/>
      <w:marTop w:val="0"/>
      <w:marBottom w:val="0"/>
      <w:divBdr>
        <w:top w:val="none" w:sz="0" w:space="0" w:color="auto"/>
        <w:left w:val="none" w:sz="0" w:space="0" w:color="auto"/>
        <w:bottom w:val="none" w:sz="0" w:space="0" w:color="auto"/>
        <w:right w:val="none" w:sz="0" w:space="0" w:color="auto"/>
      </w:divBdr>
    </w:div>
    <w:div w:id="770396479">
      <w:bodyDiv w:val="1"/>
      <w:marLeft w:val="0"/>
      <w:marRight w:val="0"/>
      <w:marTop w:val="0"/>
      <w:marBottom w:val="0"/>
      <w:divBdr>
        <w:top w:val="none" w:sz="0" w:space="0" w:color="auto"/>
        <w:left w:val="none" w:sz="0" w:space="0" w:color="auto"/>
        <w:bottom w:val="none" w:sz="0" w:space="0" w:color="auto"/>
        <w:right w:val="none" w:sz="0" w:space="0" w:color="auto"/>
      </w:divBdr>
    </w:div>
    <w:div w:id="773549953">
      <w:bodyDiv w:val="1"/>
      <w:marLeft w:val="0"/>
      <w:marRight w:val="0"/>
      <w:marTop w:val="0"/>
      <w:marBottom w:val="0"/>
      <w:divBdr>
        <w:top w:val="none" w:sz="0" w:space="0" w:color="auto"/>
        <w:left w:val="none" w:sz="0" w:space="0" w:color="auto"/>
        <w:bottom w:val="none" w:sz="0" w:space="0" w:color="auto"/>
        <w:right w:val="none" w:sz="0" w:space="0" w:color="auto"/>
      </w:divBdr>
    </w:div>
    <w:div w:id="773867981">
      <w:bodyDiv w:val="1"/>
      <w:marLeft w:val="0"/>
      <w:marRight w:val="0"/>
      <w:marTop w:val="0"/>
      <w:marBottom w:val="0"/>
      <w:divBdr>
        <w:top w:val="none" w:sz="0" w:space="0" w:color="auto"/>
        <w:left w:val="none" w:sz="0" w:space="0" w:color="auto"/>
        <w:bottom w:val="none" w:sz="0" w:space="0" w:color="auto"/>
        <w:right w:val="none" w:sz="0" w:space="0" w:color="auto"/>
      </w:divBdr>
    </w:div>
    <w:div w:id="775715040">
      <w:bodyDiv w:val="1"/>
      <w:marLeft w:val="0"/>
      <w:marRight w:val="0"/>
      <w:marTop w:val="0"/>
      <w:marBottom w:val="0"/>
      <w:divBdr>
        <w:top w:val="none" w:sz="0" w:space="0" w:color="auto"/>
        <w:left w:val="none" w:sz="0" w:space="0" w:color="auto"/>
        <w:bottom w:val="none" w:sz="0" w:space="0" w:color="auto"/>
        <w:right w:val="none" w:sz="0" w:space="0" w:color="auto"/>
      </w:divBdr>
    </w:div>
    <w:div w:id="795175519">
      <w:bodyDiv w:val="1"/>
      <w:marLeft w:val="0"/>
      <w:marRight w:val="0"/>
      <w:marTop w:val="0"/>
      <w:marBottom w:val="0"/>
      <w:divBdr>
        <w:top w:val="none" w:sz="0" w:space="0" w:color="auto"/>
        <w:left w:val="none" w:sz="0" w:space="0" w:color="auto"/>
        <w:bottom w:val="none" w:sz="0" w:space="0" w:color="auto"/>
        <w:right w:val="none" w:sz="0" w:space="0" w:color="auto"/>
      </w:divBdr>
    </w:div>
    <w:div w:id="800072447">
      <w:bodyDiv w:val="1"/>
      <w:marLeft w:val="0"/>
      <w:marRight w:val="0"/>
      <w:marTop w:val="0"/>
      <w:marBottom w:val="0"/>
      <w:divBdr>
        <w:top w:val="none" w:sz="0" w:space="0" w:color="auto"/>
        <w:left w:val="none" w:sz="0" w:space="0" w:color="auto"/>
        <w:bottom w:val="none" w:sz="0" w:space="0" w:color="auto"/>
        <w:right w:val="none" w:sz="0" w:space="0" w:color="auto"/>
      </w:divBdr>
    </w:div>
    <w:div w:id="803692976">
      <w:bodyDiv w:val="1"/>
      <w:marLeft w:val="0"/>
      <w:marRight w:val="0"/>
      <w:marTop w:val="0"/>
      <w:marBottom w:val="0"/>
      <w:divBdr>
        <w:top w:val="none" w:sz="0" w:space="0" w:color="auto"/>
        <w:left w:val="none" w:sz="0" w:space="0" w:color="auto"/>
        <w:bottom w:val="none" w:sz="0" w:space="0" w:color="auto"/>
        <w:right w:val="none" w:sz="0" w:space="0" w:color="auto"/>
      </w:divBdr>
    </w:div>
    <w:div w:id="811751431">
      <w:bodyDiv w:val="1"/>
      <w:marLeft w:val="0"/>
      <w:marRight w:val="0"/>
      <w:marTop w:val="0"/>
      <w:marBottom w:val="0"/>
      <w:divBdr>
        <w:top w:val="none" w:sz="0" w:space="0" w:color="auto"/>
        <w:left w:val="none" w:sz="0" w:space="0" w:color="auto"/>
        <w:bottom w:val="none" w:sz="0" w:space="0" w:color="auto"/>
        <w:right w:val="none" w:sz="0" w:space="0" w:color="auto"/>
      </w:divBdr>
    </w:div>
    <w:div w:id="811797388">
      <w:bodyDiv w:val="1"/>
      <w:marLeft w:val="0"/>
      <w:marRight w:val="0"/>
      <w:marTop w:val="0"/>
      <w:marBottom w:val="0"/>
      <w:divBdr>
        <w:top w:val="none" w:sz="0" w:space="0" w:color="auto"/>
        <w:left w:val="none" w:sz="0" w:space="0" w:color="auto"/>
        <w:bottom w:val="none" w:sz="0" w:space="0" w:color="auto"/>
        <w:right w:val="none" w:sz="0" w:space="0" w:color="auto"/>
      </w:divBdr>
    </w:div>
    <w:div w:id="815799353">
      <w:bodyDiv w:val="1"/>
      <w:marLeft w:val="0"/>
      <w:marRight w:val="0"/>
      <w:marTop w:val="0"/>
      <w:marBottom w:val="0"/>
      <w:divBdr>
        <w:top w:val="none" w:sz="0" w:space="0" w:color="auto"/>
        <w:left w:val="none" w:sz="0" w:space="0" w:color="auto"/>
        <w:bottom w:val="none" w:sz="0" w:space="0" w:color="auto"/>
        <w:right w:val="none" w:sz="0" w:space="0" w:color="auto"/>
      </w:divBdr>
    </w:div>
    <w:div w:id="820537876">
      <w:bodyDiv w:val="1"/>
      <w:marLeft w:val="0"/>
      <w:marRight w:val="0"/>
      <w:marTop w:val="0"/>
      <w:marBottom w:val="0"/>
      <w:divBdr>
        <w:top w:val="none" w:sz="0" w:space="0" w:color="auto"/>
        <w:left w:val="none" w:sz="0" w:space="0" w:color="auto"/>
        <w:bottom w:val="none" w:sz="0" w:space="0" w:color="auto"/>
        <w:right w:val="none" w:sz="0" w:space="0" w:color="auto"/>
      </w:divBdr>
    </w:div>
    <w:div w:id="821846220">
      <w:bodyDiv w:val="1"/>
      <w:marLeft w:val="0"/>
      <w:marRight w:val="0"/>
      <w:marTop w:val="0"/>
      <w:marBottom w:val="0"/>
      <w:divBdr>
        <w:top w:val="none" w:sz="0" w:space="0" w:color="auto"/>
        <w:left w:val="none" w:sz="0" w:space="0" w:color="auto"/>
        <w:bottom w:val="none" w:sz="0" w:space="0" w:color="auto"/>
        <w:right w:val="none" w:sz="0" w:space="0" w:color="auto"/>
      </w:divBdr>
    </w:div>
    <w:div w:id="831065913">
      <w:bodyDiv w:val="1"/>
      <w:marLeft w:val="0"/>
      <w:marRight w:val="0"/>
      <w:marTop w:val="0"/>
      <w:marBottom w:val="0"/>
      <w:divBdr>
        <w:top w:val="none" w:sz="0" w:space="0" w:color="auto"/>
        <w:left w:val="none" w:sz="0" w:space="0" w:color="auto"/>
        <w:bottom w:val="none" w:sz="0" w:space="0" w:color="auto"/>
        <w:right w:val="none" w:sz="0" w:space="0" w:color="auto"/>
      </w:divBdr>
    </w:div>
    <w:div w:id="843858520">
      <w:bodyDiv w:val="1"/>
      <w:marLeft w:val="0"/>
      <w:marRight w:val="0"/>
      <w:marTop w:val="0"/>
      <w:marBottom w:val="0"/>
      <w:divBdr>
        <w:top w:val="none" w:sz="0" w:space="0" w:color="auto"/>
        <w:left w:val="none" w:sz="0" w:space="0" w:color="auto"/>
        <w:bottom w:val="none" w:sz="0" w:space="0" w:color="auto"/>
        <w:right w:val="none" w:sz="0" w:space="0" w:color="auto"/>
      </w:divBdr>
    </w:div>
    <w:div w:id="844901333">
      <w:bodyDiv w:val="1"/>
      <w:marLeft w:val="0"/>
      <w:marRight w:val="0"/>
      <w:marTop w:val="0"/>
      <w:marBottom w:val="0"/>
      <w:divBdr>
        <w:top w:val="none" w:sz="0" w:space="0" w:color="auto"/>
        <w:left w:val="none" w:sz="0" w:space="0" w:color="auto"/>
        <w:bottom w:val="none" w:sz="0" w:space="0" w:color="auto"/>
        <w:right w:val="none" w:sz="0" w:space="0" w:color="auto"/>
      </w:divBdr>
    </w:div>
    <w:div w:id="853036926">
      <w:bodyDiv w:val="1"/>
      <w:marLeft w:val="0"/>
      <w:marRight w:val="0"/>
      <w:marTop w:val="0"/>
      <w:marBottom w:val="0"/>
      <w:divBdr>
        <w:top w:val="none" w:sz="0" w:space="0" w:color="auto"/>
        <w:left w:val="none" w:sz="0" w:space="0" w:color="auto"/>
        <w:bottom w:val="none" w:sz="0" w:space="0" w:color="auto"/>
        <w:right w:val="none" w:sz="0" w:space="0" w:color="auto"/>
      </w:divBdr>
    </w:div>
    <w:div w:id="862936008">
      <w:bodyDiv w:val="1"/>
      <w:marLeft w:val="0"/>
      <w:marRight w:val="0"/>
      <w:marTop w:val="0"/>
      <w:marBottom w:val="0"/>
      <w:divBdr>
        <w:top w:val="none" w:sz="0" w:space="0" w:color="auto"/>
        <w:left w:val="none" w:sz="0" w:space="0" w:color="auto"/>
        <w:bottom w:val="none" w:sz="0" w:space="0" w:color="auto"/>
        <w:right w:val="none" w:sz="0" w:space="0" w:color="auto"/>
      </w:divBdr>
    </w:div>
    <w:div w:id="863057821">
      <w:bodyDiv w:val="1"/>
      <w:marLeft w:val="0"/>
      <w:marRight w:val="0"/>
      <w:marTop w:val="0"/>
      <w:marBottom w:val="0"/>
      <w:divBdr>
        <w:top w:val="none" w:sz="0" w:space="0" w:color="auto"/>
        <w:left w:val="none" w:sz="0" w:space="0" w:color="auto"/>
        <w:bottom w:val="none" w:sz="0" w:space="0" w:color="auto"/>
        <w:right w:val="none" w:sz="0" w:space="0" w:color="auto"/>
      </w:divBdr>
    </w:div>
    <w:div w:id="873032112">
      <w:bodyDiv w:val="1"/>
      <w:marLeft w:val="0"/>
      <w:marRight w:val="0"/>
      <w:marTop w:val="0"/>
      <w:marBottom w:val="0"/>
      <w:divBdr>
        <w:top w:val="none" w:sz="0" w:space="0" w:color="auto"/>
        <w:left w:val="none" w:sz="0" w:space="0" w:color="auto"/>
        <w:bottom w:val="none" w:sz="0" w:space="0" w:color="auto"/>
        <w:right w:val="none" w:sz="0" w:space="0" w:color="auto"/>
      </w:divBdr>
    </w:div>
    <w:div w:id="903955464">
      <w:bodyDiv w:val="1"/>
      <w:marLeft w:val="0"/>
      <w:marRight w:val="0"/>
      <w:marTop w:val="0"/>
      <w:marBottom w:val="0"/>
      <w:divBdr>
        <w:top w:val="none" w:sz="0" w:space="0" w:color="auto"/>
        <w:left w:val="none" w:sz="0" w:space="0" w:color="auto"/>
        <w:bottom w:val="none" w:sz="0" w:space="0" w:color="auto"/>
        <w:right w:val="none" w:sz="0" w:space="0" w:color="auto"/>
      </w:divBdr>
    </w:div>
    <w:div w:id="911544623">
      <w:bodyDiv w:val="1"/>
      <w:marLeft w:val="0"/>
      <w:marRight w:val="0"/>
      <w:marTop w:val="0"/>
      <w:marBottom w:val="0"/>
      <w:divBdr>
        <w:top w:val="none" w:sz="0" w:space="0" w:color="auto"/>
        <w:left w:val="none" w:sz="0" w:space="0" w:color="auto"/>
        <w:bottom w:val="none" w:sz="0" w:space="0" w:color="auto"/>
        <w:right w:val="none" w:sz="0" w:space="0" w:color="auto"/>
      </w:divBdr>
    </w:div>
    <w:div w:id="913469740">
      <w:bodyDiv w:val="1"/>
      <w:marLeft w:val="0"/>
      <w:marRight w:val="0"/>
      <w:marTop w:val="0"/>
      <w:marBottom w:val="0"/>
      <w:divBdr>
        <w:top w:val="none" w:sz="0" w:space="0" w:color="auto"/>
        <w:left w:val="none" w:sz="0" w:space="0" w:color="auto"/>
        <w:bottom w:val="none" w:sz="0" w:space="0" w:color="auto"/>
        <w:right w:val="none" w:sz="0" w:space="0" w:color="auto"/>
      </w:divBdr>
    </w:div>
    <w:div w:id="921644672">
      <w:bodyDiv w:val="1"/>
      <w:marLeft w:val="0"/>
      <w:marRight w:val="0"/>
      <w:marTop w:val="0"/>
      <w:marBottom w:val="0"/>
      <w:divBdr>
        <w:top w:val="none" w:sz="0" w:space="0" w:color="auto"/>
        <w:left w:val="none" w:sz="0" w:space="0" w:color="auto"/>
        <w:bottom w:val="none" w:sz="0" w:space="0" w:color="auto"/>
        <w:right w:val="none" w:sz="0" w:space="0" w:color="auto"/>
      </w:divBdr>
    </w:div>
    <w:div w:id="928074575">
      <w:bodyDiv w:val="1"/>
      <w:marLeft w:val="0"/>
      <w:marRight w:val="0"/>
      <w:marTop w:val="0"/>
      <w:marBottom w:val="0"/>
      <w:divBdr>
        <w:top w:val="none" w:sz="0" w:space="0" w:color="auto"/>
        <w:left w:val="none" w:sz="0" w:space="0" w:color="auto"/>
        <w:bottom w:val="none" w:sz="0" w:space="0" w:color="auto"/>
        <w:right w:val="none" w:sz="0" w:space="0" w:color="auto"/>
      </w:divBdr>
    </w:div>
    <w:div w:id="933364642">
      <w:bodyDiv w:val="1"/>
      <w:marLeft w:val="0"/>
      <w:marRight w:val="0"/>
      <w:marTop w:val="0"/>
      <w:marBottom w:val="0"/>
      <w:divBdr>
        <w:top w:val="none" w:sz="0" w:space="0" w:color="auto"/>
        <w:left w:val="none" w:sz="0" w:space="0" w:color="auto"/>
        <w:bottom w:val="none" w:sz="0" w:space="0" w:color="auto"/>
        <w:right w:val="none" w:sz="0" w:space="0" w:color="auto"/>
      </w:divBdr>
    </w:div>
    <w:div w:id="949704736">
      <w:bodyDiv w:val="1"/>
      <w:marLeft w:val="0"/>
      <w:marRight w:val="0"/>
      <w:marTop w:val="0"/>
      <w:marBottom w:val="0"/>
      <w:divBdr>
        <w:top w:val="none" w:sz="0" w:space="0" w:color="auto"/>
        <w:left w:val="none" w:sz="0" w:space="0" w:color="auto"/>
        <w:bottom w:val="none" w:sz="0" w:space="0" w:color="auto"/>
        <w:right w:val="none" w:sz="0" w:space="0" w:color="auto"/>
      </w:divBdr>
    </w:div>
    <w:div w:id="959457303">
      <w:bodyDiv w:val="1"/>
      <w:marLeft w:val="0"/>
      <w:marRight w:val="0"/>
      <w:marTop w:val="0"/>
      <w:marBottom w:val="0"/>
      <w:divBdr>
        <w:top w:val="none" w:sz="0" w:space="0" w:color="auto"/>
        <w:left w:val="none" w:sz="0" w:space="0" w:color="auto"/>
        <w:bottom w:val="none" w:sz="0" w:space="0" w:color="auto"/>
        <w:right w:val="none" w:sz="0" w:space="0" w:color="auto"/>
      </w:divBdr>
    </w:div>
    <w:div w:id="969898018">
      <w:bodyDiv w:val="1"/>
      <w:marLeft w:val="0"/>
      <w:marRight w:val="0"/>
      <w:marTop w:val="0"/>
      <w:marBottom w:val="0"/>
      <w:divBdr>
        <w:top w:val="none" w:sz="0" w:space="0" w:color="auto"/>
        <w:left w:val="none" w:sz="0" w:space="0" w:color="auto"/>
        <w:bottom w:val="none" w:sz="0" w:space="0" w:color="auto"/>
        <w:right w:val="none" w:sz="0" w:space="0" w:color="auto"/>
      </w:divBdr>
    </w:div>
    <w:div w:id="971329920">
      <w:bodyDiv w:val="1"/>
      <w:marLeft w:val="0"/>
      <w:marRight w:val="0"/>
      <w:marTop w:val="0"/>
      <w:marBottom w:val="0"/>
      <w:divBdr>
        <w:top w:val="none" w:sz="0" w:space="0" w:color="auto"/>
        <w:left w:val="none" w:sz="0" w:space="0" w:color="auto"/>
        <w:bottom w:val="none" w:sz="0" w:space="0" w:color="auto"/>
        <w:right w:val="none" w:sz="0" w:space="0" w:color="auto"/>
      </w:divBdr>
    </w:div>
    <w:div w:id="994604754">
      <w:bodyDiv w:val="1"/>
      <w:marLeft w:val="0"/>
      <w:marRight w:val="0"/>
      <w:marTop w:val="0"/>
      <w:marBottom w:val="0"/>
      <w:divBdr>
        <w:top w:val="none" w:sz="0" w:space="0" w:color="auto"/>
        <w:left w:val="none" w:sz="0" w:space="0" w:color="auto"/>
        <w:bottom w:val="none" w:sz="0" w:space="0" w:color="auto"/>
        <w:right w:val="none" w:sz="0" w:space="0" w:color="auto"/>
      </w:divBdr>
    </w:div>
    <w:div w:id="1003363025">
      <w:bodyDiv w:val="1"/>
      <w:marLeft w:val="0"/>
      <w:marRight w:val="0"/>
      <w:marTop w:val="0"/>
      <w:marBottom w:val="0"/>
      <w:divBdr>
        <w:top w:val="none" w:sz="0" w:space="0" w:color="auto"/>
        <w:left w:val="none" w:sz="0" w:space="0" w:color="auto"/>
        <w:bottom w:val="none" w:sz="0" w:space="0" w:color="auto"/>
        <w:right w:val="none" w:sz="0" w:space="0" w:color="auto"/>
      </w:divBdr>
    </w:div>
    <w:div w:id="1005519126">
      <w:bodyDiv w:val="1"/>
      <w:marLeft w:val="0"/>
      <w:marRight w:val="0"/>
      <w:marTop w:val="0"/>
      <w:marBottom w:val="0"/>
      <w:divBdr>
        <w:top w:val="none" w:sz="0" w:space="0" w:color="auto"/>
        <w:left w:val="none" w:sz="0" w:space="0" w:color="auto"/>
        <w:bottom w:val="none" w:sz="0" w:space="0" w:color="auto"/>
        <w:right w:val="none" w:sz="0" w:space="0" w:color="auto"/>
      </w:divBdr>
    </w:div>
    <w:div w:id="1020811979">
      <w:bodyDiv w:val="1"/>
      <w:marLeft w:val="0"/>
      <w:marRight w:val="0"/>
      <w:marTop w:val="0"/>
      <w:marBottom w:val="0"/>
      <w:divBdr>
        <w:top w:val="none" w:sz="0" w:space="0" w:color="auto"/>
        <w:left w:val="none" w:sz="0" w:space="0" w:color="auto"/>
        <w:bottom w:val="none" w:sz="0" w:space="0" w:color="auto"/>
        <w:right w:val="none" w:sz="0" w:space="0" w:color="auto"/>
      </w:divBdr>
    </w:div>
    <w:div w:id="1028531828">
      <w:bodyDiv w:val="1"/>
      <w:marLeft w:val="0"/>
      <w:marRight w:val="0"/>
      <w:marTop w:val="0"/>
      <w:marBottom w:val="0"/>
      <w:divBdr>
        <w:top w:val="none" w:sz="0" w:space="0" w:color="auto"/>
        <w:left w:val="none" w:sz="0" w:space="0" w:color="auto"/>
        <w:bottom w:val="none" w:sz="0" w:space="0" w:color="auto"/>
        <w:right w:val="none" w:sz="0" w:space="0" w:color="auto"/>
      </w:divBdr>
    </w:div>
    <w:div w:id="1040209619">
      <w:bodyDiv w:val="1"/>
      <w:marLeft w:val="0"/>
      <w:marRight w:val="0"/>
      <w:marTop w:val="0"/>
      <w:marBottom w:val="0"/>
      <w:divBdr>
        <w:top w:val="none" w:sz="0" w:space="0" w:color="auto"/>
        <w:left w:val="none" w:sz="0" w:space="0" w:color="auto"/>
        <w:bottom w:val="none" w:sz="0" w:space="0" w:color="auto"/>
        <w:right w:val="none" w:sz="0" w:space="0" w:color="auto"/>
      </w:divBdr>
    </w:div>
    <w:div w:id="1044452671">
      <w:bodyDiv w:val="1"/>
      <w:marLeft w:val="0"/>
      <w:marRight w:val="0"/>
      <w:marTop w:val="0"/>
      <w:marBottom w:val="0"/>
      <w:divBdr>
        <w:top w:val="none" w:sz="0" w:space="0" w:color="auto"/>
        <w:left w:val="none" w:sz="0" w:space="0" w:color="auto"/>
        <w:bottom w:val="none" w:sz="0" w:space="0" w:color="auto"/>
        <w:right w:val="none" w:sz="0" w:space="0" w:color="auto"/>
      </w:divBdr>
    </w:div>
    <w:div w:id="1044870926">
      <w:bodyDiv w:val="1"/>
      <w:marLeft w:val="0"/>
      <w:marRight w:val="0"/>
      <w:marTop w:val="0"/>
      <w:marBottom w:val="0"/>
      <w:divBdr>
        <w:top w:val="none" w:sz="0" w:space="0" w:color="auto"/>
        <w:left w:val="none" w:sz="0" w:space="0" w:color="auto"/>
        <w:bottom w:val="none" w:sz="0" w:space="0" w:color="auto"/>
        <w:right w:val="none" w:sz="0" w:space="0" w:color="auto"/>
      </w:divBdr>
    </w:div>
    <w:div w:id="1052734569">
      <w:bodyDiv w:val="1"/>
      <w:marLeft w:val="0"/>
      <w:marRight w:val="0"/>
      <w:marTop w:val="0"/>
      <w:marBottom w:val="0"/>
      <w:divBdr>
        <w:top w:val="none" w:sz="0" w:space="0" w:color="auto"/>
        <w:left w:val="none" w:sz="0" w:space="0" w:color="auto"/>
        <w:bottom w:val="none" w:sz="0" w:space="0" w:color="auto"/>
        <w:right w:val="none" w:sz="0" w:space="0" w:color="auto"/>
      </w:divBdr>
    </w:div>
    <w:div w:id="1059747554">
      <w:bodyDiv w:val="1"/>
      <w:marLeft w:val="0"/>
      <w:marRight w:val="0"/>
      <w:marTop w:val="0"/>
      <w:marBottom w:val="0"/>
      <w:divBdr>
        <w:top w:val="none" w:sz="0" w:space="0" w:color="auto"/>
        <w:left w:val="none" w:sz="0" w:space="0" w:color="auto"/>
        <w:bottom w:val="none" w:sz="0" w:space="0" w:color="auto"/>
        <w:right w:val="none" w:sz="0" w:space="0" w:color="auto"/>
      </w:divBdr>
    </w:div>
    <w:div w:id="1122653979">
      <w:bodyDiv w:val="1"/>
      <w:marLeft w:val="0"/>
      <w:marRight w:val="0"/>
      <w:marTop w:val="0"/>
      <w:marBottom w:val="0"/>
      <w:divBdr>
        <w:top w:val="none" w:sz="0" w:space="0" w:color="auto"/>
        <w:left w:val="none" w:sz="0" w:space="0" w:color="auto"/>
        <w:bottom w:val="none" w:sz="0" w:space="0" w:color="auto"/>
        <w:right w:val="none" w:sz="0" w:space="0" w:color="auto"/>
      </w:divBdr>
    </w:div>
    <w:div w:id="1149908819">
      <w:bodyDiv w:val="1"/>
      <w:marLeft w:val="0"/>
      <w:marRight w:val="0"/>
      <w:marTop w:val="0"/>
      <w:marBottom w:val="0"/>
      <w:divBdr>
        <w:top w:val="none" w:sz="0" w:space="0" w:color="auto"/>
        <w:left w:val="none" w:sz="0" w:space="0" w:color="auto"/>
        <w:bottom w:val="none" w:sz="0" w:space="0" w:color="auto"/>
        <w:right w:val="none" w:sz="0" w:space="0" w:color="auto"/>
      </w:divBdr>
    </w:div>
    <w:div w:id="1150705780">
      <w:bodyDiv w:val="1"/>
      <w:marLeft w:val="0"/>
      <w:marRight w:val="0"/>
      <w:marTop w:val="0"/>
      <w:marBottom w:val="0"/>
      <w:divBdr>
        <w:top w:val="none" w:sz="0" w:space="0" w:color="auto"/>
        <w:left w:val="none" w:sz="0" w:space="0" w:color="auto"/>
        <w:bottom w:val="none" w:sz="0" w:space="0" w:color="auto"/>
        <w:right w:val="none" w:sz="0" w:space="0" w:color="auto"/>
      </w:divBdr>
    </w:div>
    <w:div w:id="1155686099">
      <w:bodyDiv w:val="1"/>
      <w:marLeft w:val="0"/>
      <w:marRight w:val="0"/>
      <w:marTop w:val="0"/>
      <w:marBottom w:val="0"/>
      <w:divBdr>
        <w:top w:val="none" w:sz="0" w:space="0" w:color="auto"/>
        <w:left w:val="none" w:sz="0" w:space="0" w:color="auto"/>
        <w:bottom w:val="none" w:sz="0" w:space="0" w:color="auto"/>
        <w:right w:val="none" w:sz="0" w:space="0" w:color="auto"/>
      </w:divBdr>
    </w:div>
    <w:div w:id="1158184051">
      <w:bodyDiv w:val="1"/>
      <w:marLeft w:val="0"/>
      <w:marRight w:val="0"/>
      <w:marTop w:val="0"/>
      <w:marBottom w:val="0"/>
      <w:divBdr>
        <w:top w:val="none" w:sz="0" w:space="0" w:color="auto"/>
        <w:left w:val="none" w:sz="0" w:space="0" w:color="auto"/>
        <w:bottom w:val="none" w:sz="0" w:space="0" w:color="auto"/>
        <w:right w:val="none" w:sz="0" w:space="0" w:color="auto"/>
      </w:divBdr>
    </w:div>
    <w:div w:id="1170633122">
      <w:bodyDiv w:val="1"/>
      <w:marLeft w:val="0"/>
      <w:marRight w:val="0"/>
      <w:marTop w:val="0"/>
      <w:marBottom w:val="0"/>
      <w:divBdr>
        <w:top w:val="none" w:sz="0" w:space="0" w:color="auto"/>
        <w:left w:val="none" w:sz="0" w:space="0" w:color="auto"/>
        <w:bottom w:val="none" w:sz="0" w:space="0" w:color="auto"/>
        <w:right w:val="none" w:sz="0" w:space="0" w:color="auto"/>
      </w:divBdr>
    </w:div>
    <w:div w:id="1172530979">
      <w:bodyDiv w:val="1"/>
      <w:marLeft w:val="0"/>
      <w:marRight w:val="0"/>
      <w:marTop w:val="0"/>
      <w:marBottom w:val="0"/>
      <w:divBdr>
        <w:top w:val="none" w:sz="0" w:space="0" w:color="auto"/>
        <w:left w:val="none" w:sz="0" w:space="0" w:color="auto"/>
        <w:bottom w:val="none" w:sz="0" w:space="0" w:color="auto"/>
        <w:right w:val="none" w:sz="0" w:space="0" w:color="auto"/>
      </w:divBdr>
    </w:div>
    <w:div w:id="1198084644">
      <w:bodyDiv w:val="1"/>
      <w:marLeft w:val="0"/>
      <w:marRight w:val="0"/>
      <w:marTop w:val="0"/>
      <w:marBottom w:val="0"/>
      <w:divBdr>
        <w:top w:val="none" w:sz="0" w:space="0" w:color="auto"/>
        <w:left w:val="none" w:sz="0" w:space="0" w:color="auto"/>
        <w:bottom w:val="none" w:sz="0" w:space="0" w:color="auto"/>
        <w:right w:val="none" w:sz="0" w:space="0" w:color="auto"/>
      </w:divBdr>
    </w:div>
    <w:div w:id="1212422196">
      <w:bodyDiv w:val="1"/>
      <w:marLeft w:val="0"/>
      <w:marRight w:val="0"/>
      <w:marTop w:val="0"/>
      <w:marBottom w:val="0"/>
      <w:divBdr>
        <w:top w:val="none" w:sz="0" w:space="0" w:color="auto"/>
        <w:left w:val="none" w:sz="0" w:space="0" w:color="auto"/>
        <w:bottom w:val="none" w:sz="0" w:space="0" w:color="auto"/>
        <w:right w:val="none" w:sz="0" w:space="0" w:color="auto"/>
      </w:divBdr>
    </w:div>
    <w:div w:id="1224172333">
      <w:bodyDiv w:val="1"/>
      <w:marLeft w:val="0"/>
      <w:marRight w:val="0"/>
      <w:marTop w:val="0"/>
      <w:marBottom w:val="0"/>
      <w:divBdr>
        <w:top w:val="none" w:sz="0" w:space="0" w:color="auto"/>
        <w:left w:val="none" w:sz="0" w:space="0" w:color="auto"/>
        <w:bottom w:val="none" w:sz="0" w:space="0" w:color="auto"/>
        <w:right w:val="none" w:sz="0" w:space="0" w:color="auto"/>
      </w:divBdr>
    </w:div>
    <w:div w:id="1237396682">
      <w:bodyDiv w:val="1"/>
      <w:marLeft w:val="0"/>
      <w:marRight w:val="0"/>
      <w:marTop w:val="0"/>
      <w:marBottom w:val="0"/>
      <w:divBdr>
        <w:top w:val="none" w:sz="0" w:space="0" w:color="auto"/>
        <w:left w:val="none" w:sz="0" w:space="0" w:color="auto"/>
        <w:bottom w:val="none" w:sz="0" w:space="0" w:color="auto"/>
        <w:right w:val="none" w:sz="0" w:space="0" w:color="auto"/>
      </w:divBdr>
    </w:div>
    <w:div w:id="1240747435">
      <w:bodyDiv w:val="1"/>
      <w:marLeft w:val="0"/>
      <w:marRight w:val="0"/>
      <w:marTop w:val="0"/>
      <w:marBottom w:val="0"/>
      <w:divBdr>
        <w:top w:val="none" w:sz="0" w:space="0" w:color="auto"/>
        <w:left w:val="none" w:sz="0" w:space="0" w:color="auto"/>
        <w:bottom w:val="none" w:sz="0" w:space="0" w:color="auto"/>
        <w:right w:val="none" w:sz="0" w:space="0" w:color="auto"/>
      </w:divBdr>
    </w:div>
    <w:div w:id="1241448474">
      <w:bodyDiv w:val="1"/>
      <w:marLeft w:val="0"/>
      <w:marRight w:val="0"/>
      <w:marTop w:val="0"/>
      <w:marBottom w:val="0"/>
      <w:divBdr>
        <w:top w:val="none" w:sz="0" w:space="0" w:color="auto"/>
        <w:left w:val="none" w:sz="0" w:space="0" w:color="auto"/>
        <w:bottom w:val="none" w:sz="0" w:space="0" w:color="auto"/>
        <w:right w:val="none" w:sz="0" w:space="0" w:color="auto"/>
      </w:divBdr>
    </w:div>
    <w:div w:id="1242906952">
      <w:bodyDiv w:val="1"/>
      <w:marLeft w:val="0"/>
      <w:marRight w:val="0"/>
      <w:marTop w:val="0"/>
      <w:marBottom w:val="0"/>
      <w:divBdr>
        <w:top w:val="none" w:sz="0" w:space="0" w:color="auto"/>
        <w:left w:val="none" w:sz="0" w:space="0" w:color="auto"/>
        <w:bottom w:val="none" w:sz="0" w:space="0" w:color="auto"/>
        <w:right w:val="none" w:sz="0" w:space="0" w:color="auto"/>
      </w:divBdr>
    </w:div>
    <w:div w:id="1265646474">
      <w:bodyDiv w:val="1"/>
      <w:marLeft w:val="0"/>
      <w:marRight w:val="0"/>
      <w:marTop w:val="0"/>
      <w:marBottom w:val="0"/>
      <w:divBdr>
        <w:top w:val="none" w:sz="0" w:space="0" w:color="auto"/>
        <w:left w:val="none" w:sz="0" w:space="0" w:color="auto"/>
        <w:bottom w:val="none" w:sz="0" w:space="0" w:color="auto"/>
        <w:right w:val="none" w:sz="0" w:space="0" w:color="auto"/>
      </w:divBdr>
    </w:div>
    <w:div w:id="1267732958">
      <w:bodyDiv w:val="1"/>
      <w:marLeft w:val="0"/>
      <w:marRight w:val="0"/>
      <w:marTop w:val="0"/>
      <w:marBottom w:val="0"/>
      <w:divBdr>
        <w:top w:val="none" w:sz="0" w:space="0" w:color="auto"/>
        <w:left w:val="none" w:sz="0" w:space="0" w:color="auto"/>
        <w:bottom w:val="none" w:sz="0" w:space="0" w:color="auto"/>
        <w:right w:val="none" w:sz="0" w:space="0" w:color="auto"/>
      </w:divBdr>
    </w:div>
    <w:div w:id="1270115375">
      <w:bodyDiv w:val="1"/>
      <w:marLeft w:val="0"/>
      <w:marRight w:val="0"/>
      <w:marTop w:val="0"/>
      <w:marBottom w:val="0"/>
      <w:divBdr>
        <w:top w:val="none" w:sz="0" w:space="0" w:color="auto"/>
        <w:left w:val="none" w:sz="0" w:space="0" w:color="auto"/>
        <w:bottom w:val="none" w:sz="0" w:space="0" w:color="auto"/>
        <w:right w:val="none" w:sz="0" w:space="0" w:color="auto"/>
      </w:divBdr>
    </w:div>
    <w:div w:id="1300964696">
      <w:bodyDiv w:val="1"/>
      <w:marLeft w:val="0"/>
      <w:marRight w:val="0"/>
      <w:marTop w:val="0"/>
      <w:marBottom w:val="0"/>
      <w:divBdr>
        <w:top w:val="none" w:sz="0" w:space="0" w:color="auto"/>
        <w:left w:val="none" w:sz="0" w:space="0" w:color="auto"/>
        <w:bottom w:val="none" w:sz="0" w:space="0" w:color="auto"/>
        <w:right w:val="none" w:sz="0" w:space="0" w:color="auto"/>
      </w:divBdr>
    </w:div>
    <w:div w:id="1307977826">
      <w:bodyDiv w:val="1"/>
      <w:marLeft w:val="0"/>
      <w:marRight w:val="0"/>
      <w:marTop w:val="0"/>
      <w:marBottom w:val="0"/>
      <w:divBdr>
        <w:top w:val="none" w:sz="0" w:space="0" w:color="auto"/>
        <w:left w:val="none" w:sz="0" w:space="0" w:color="auto"/>
        <w:bottom w:val="none" w:sz="0" w:space="0" w:color="auto"/>
        <w:right w:val="none" w:sz="0" w:space="0" w:color="auto"/>
      </w:divBdr>
    </w:div>
    <w:div w:id="1316954456">
      <w:bodyDiv w:val="1"/>
      <w:marLeft w:val="0"/>
      <w:marRight w:val="0"/>
      <w:marTop w:val="0"/>
      <w:marBottom w:val="0"/>
      <w:divBdr>
        <w:top w:val="none" w:sz="0" w:space="0" w:color="auto"/>
        <w:left w:val="none" w:sz="0" w:space="0" w:color="auto"/>
        <w:bottom w:val="none" w:sz="0" w:space="0" w:color="auto"/>
        <w:right w:val="none" w:sz="0" w:space="0" w:color="auto"/>
      </w:divBdr>
    </w:div>
    <w:div w:id="1320502046">
      <w:bodyDiv w:val="1"/>
      <w:marLeft w:val="0"/>
      <w:marRight w:val="0"/>
      <w:marTop w:val="0"/>
      <w:marBottom w:val="0"/>
      <w:divBdr>
        <w:top w:val="none" w:sz="0" w:space="0" w:color="auto"/>
        <w:left w:val="none" w:sz="0" w:space="0" w:color="auto"/>
        <w:bottom w:val="none" w:sz="0" w:space="0" w:color="auto"/>
        <w:right w:val="none" w:sz="0" w:space="0" w:color="auto"/>
      </w:divBdr>
    </w:div>
    <w:div w:id="1322657511">
      <w:bodyDiv w:val="1"/>
      <w:marLeft w:val="0"/>
      <w:marRight w:val="0"/>
      <w:marTop w:val="0"/>
      <w:marBottom w:val="0"/>
      <w:divBdr>
        <w:top w:val="none" w:sz="0" w:space="0" w:color="auto"/>
        <w:left w:val="none" w:sz="0" w:space="0" w:color="auto"/>
        <w:bottom w:val="none" w:sz="0" w:space="0" w:color="auto"/>
        <w:right w:val="none" w:sz="0" w:space="0" w:color="auto"/>
      </w:divBdr>
    </w:div>
    <w:div w:id="1330019415">
      <w:bodyDiv w:val="1"/>
      <w:marLeft w:val="0"/>
      <w:marRight w:val="0"/>
      <w:marTop w:val="0"/>
      <w:marBottom w:val="0"/>
      <w:divBdr>
        <w:top w:val="none" w:sz="0" w:space="0" w:color="auto"/>
        <w:left w:val="none" w:sz="0" w:space="0" w:color="auto"/>
        <w:bottom w:val="none" w:sz="0" w:space="0" w:color="auto"/>
        <w:right w:val="none" w:sz="0" w:space="0" w:color="auto"/>
      </w:divBdr>
    </w:div>
    <w:div w:id="1336956998">
      <w:bodyDiv w:val="1"/>
      <w:marLeft w:val="0"/>
      <w:marRight w:val="0"/>
      <w:marTop w:val="0"/>
      <w:marBottom w:val="0"/>
      <w:divBdr>
        <w:top w:val="none" w:sz="0" w:space="0" w:color="auto"/>
        <w:left w:val="none" w:sz="0" w:space="0" w:color="auto"/>
        <w:bottom w:val="none" w:sz="0" w:space="0" w:color="auto"/>
        <w:right w:val="none" w:sz="0" w:space="0" w:color="auto"/>
      </w:divBdr>
    </w:div>
    <w:div w:id="1368678913">
      <w:bodyDiv w:val="1"/>
      <w:marLeft w:val="0"/>
      <w:marRight w:val="0"/>
      <w:marTop w:val="0"/>
      <w:marBottom w:val="0"/>
      <w:divBdr>
        <w:top w:val="none" w:sz="0" w:space="0" w:color="auto"/>
        <w:left w:val="none" w:sz="0" w:space="0" w:color="auto"/>
        <w:bottom w:val="none" w:sz="0" w:space="0" w:color="auto"/>
        <w:right w:val="none" w:sz="0" w:space="0" w:color="auto"/>
      </w:divBdr>
    </w:div>
    <w:div w:id="1391347496">
      <w:bodyDiv w:val="1"/>
      <w:marLeft w:val="0"/>
      <w:marRight w:val="0"/>
      <w:marTop w:val="0"/>
      <w:marBottom w:val="0"/>
      <w:divBdr>
        <w:top w:val="none" w:sz="0" w:space="0" w:color="auto"/>
        <w:left w:val="none" w:sz="0" w:space="0" w:color="auto"/>
        <w:bottom w:val="none" w:sz="0" w:space="0" w:color="auto"/>
        <w:right w:val="none" w:sz="0" w:space="0" w:color="auto"/>
      </w:divBdr>
    </w:div>
    <w:div w:id="1393889235">
      <w:bodyDiv w:val="1"/>
      <w:marLeft w:val="0"/>
      <w:marRight w:val="0"/>
      <w:marTop w:val="0"/>
      <w:marBottom w:val="0"/>
      <w:divBdr>
        <w:top w:val="none" w:sz="0" w:space="0" w:color="auto"/>
        <w:left w:val="none" w:sz="0" w:space="0" w:color="auto"/>
        <w:bottom w:val="none" w:sz="0" w:space="0" w:color="auto"/>
        <w:right w:val="none" w:sz="0" w:space="0" w:color="auto"/>
      </w:divBdr>
    </w:div>
    <w:div w:id="1406799149">
      <w:bodyDiv w:val="1"/>
      <w:marLeft w:val="0"/>
      <w:marRight w:val="0"/>
      <w:marTop w:val="0"/>
      <w:marBottom w:val="0"/>
      <w:divBdr>
        <w:top w:val="none" w:sz="0" w:space="0" w:color="auto"/>
        <w:left w:val="none" w:sz="0" w:space="0" w:color="auto"/>
        <w:bottom w:val="none" w:sz="0" w:space="0" w:color="auto"/>
        <w:right w:val="none" w:sz="0" w:space="0" w:color="auto"/>
      </w:divBdr>
    </w:div>
    <w:div w:id="1484271486">
      <w:bodyDiv w:val="1"/>
      <w:marLeft w:val="0"/>
      <w:marRight w:val="0"/>
      <w:marTop w:val="0"/>
      <w:marBottom w:val="0"/>
      <w:divBdr>
        <w:top w:val="none" w:sz="0" w:space="0" w:color="auto"/>
        <w:left w:val="none" w:sz="0" w:space="0" w:color="auto"/>
        <w:bottom w:val="none" w:sz="0" w:space="0" w:color="auto"/>
        <w:right w:val="none" w:sz="0" w:space="0" w:color="auto"/>
      </w:divBdr>
    </w:div>
    <w:div w:id="1508860172">
      <w:bodyDiv w:val="1"/>
      <w:marLeft w:val="0"/>
      <w:marRight w:val="0"/>
      <w:marTop w:val="0"/>
      <w:marBottom w:val="0"/>
      <w:divBdr>
        <w:top w:val="none" w:sz="0" w:space="0" w:color="auto"/>
        <w:left w:val="none" w:sz="0" w:space="0" w:color="auto"/>
        <w:bottom w:val="none" w:sz="0" w:space="0" w:color="auto"/>
        <w:right w:val="none" w:sz="0" w:space="0" w:color="auto"/>
      </w:divBdr>
    </w:div>
    <w:div w:id="1516504322">
      <w:bodyDiv w:val="1"/>
      <w:marLeft w:val="0"/>
      <w:marRight w:val="0"/>
      <w:marTop w:val="0"/>
      <w:marBottom w:val="0"/>
      <w:divBdr>
        <w:top w:val="none" w:sz="0" w:space="0" w:color="auto"/>
        <w:left w:val="none" w:sz="0" w:space="0" w:color="auto"/>
        <w:bottom w:val="none" w:sz="0" w:space="0" w:color="auto"/>
        <w:right w:val="none" w:sz="0" w:space="0" w:color="auto"/>
      </w:divBdr>
    </w:div>
    <w:div w:id="1523469296">
      <w:bodyDiv w:val="1"/>
      <w:marLeft w:val="0"/>
      <w:marRight w:val="0"/>
      <w:marTop w:val="0"/>
      <w:marBottom w:val="0"/>
      <w:divBdr>
        <w:top w:val="none" w:sz="0" w:space="0" w:color="auto"/>
        <w:left w:val="none" w:sz="0" w:space="0" w:color="auto"/>
        <w:bottom w:val="none" w:sz="0" w:space="0" w:color="auto"/>
        <w:right w:val="none" w:sz="0" w:space="0" w:color="auto"/>
      </w:divBdr>
    </w:div>
    <w:div w:id="1529178196">
      <w:bodyDiv w:val="1"/>
      <w:marLeft w:val="0"/>
      <w:marRight w:val="0"/>
      <w:marTop w:val="0"/>
      <w:marBottom w:val="0"/>
      <w:divBdr>
        <w:top w:val="none" w:sz="0" w:space="0" w:color="auto"/>
        <w:left w:val="none" w:sz="0" w:space="0" w:color="auto"/>
        <w:bottom w:val="none" w:sz="0" w:space="0" w:color="auto"/>
        <w:right w:val="none" w:sz="0" w:space="0" w:color="auto"/>
      </w:divBdr>
    </w:div>
    <w:div w:id="1549220349">
      <w:bodyDiv w:val="1"/>
      <w:marLeft w:val="0"/>
      <w:marRight w:val="0"/>
      <w:marTop w:val="0"/>
      <w:marBottom w:val="0"/>
      <w:divBdr>
        <w:top w:val="none" w:sz="0" w:space="0" w:color="auto"/>
        <w:left w:val="none" w:sz="0" w:space="0" w:color="auto"/>
        <w:bottom w:val="none" w:sz="0" w:space="0" w:color="auto"/>
        <w:right w:val="none" w:sz="0" w:space="0" w:color="auto"/>
      </w:divBdr>
    </w:div>
    <w:div w:id="1560482568">
      <w:bodyDiv w:val="1"/>
      <w:marLeft w:val="0"/>
      <w:marRight w:val="0"/>
      <w:marTop w:val="0"/>
      <w:marBottom w:val="0"/>
      <w:divBdr>
        <w:top w:val="none" w:sz="0" w:space="0" w:color="auto"/>
        <w:left w:val="none" w:sz="0" w:space="0" w:color="auto"/>
        <w:bottom w:val="none" w:sz="0" w:space="0" w:color="auto"/>
        <w:right w:val="none" w:sz="0" w:space="0" w:color="auto"/>
      </w:divBdr>
    </w:div>
    <w:div w:id="1579973706">
      <w:bodyDiv w:val="1"/>
      <w:marLeft w:val="0"/>
      <w:marRight w:val="0"/>
      <w:marTop w:val="0"/>
      <w:marBottom w:val="0"/>
      <w:divBdr>
        <w:top w:val="none" w:sz="0" w:space="0" w:color="auto"/>
        <w:left w:val="none" w:sz="0" w:space="0" w:color="auto"/>
        <w:bottom w:val="none" w:sz="0" w:space="0" w:color="auto"/>
        <w:right w:val="none" w:sz="0" w:space="0" w:color="auto"/>
      </w:divBdr>
    </w:div>
    <w:div w:id="1606037174">
      <w:bodyDiv w:val="1"/>
      <w:marLeft w:val="0"/>
      <w:marRight w:val="0"/>
      <w:marTop w:val="0"/>
      <w:marBottom w:val="0"/>
      <w:divBdr>
        <w:top w:val="none" w:sz="0" w:space="0" w:color="auto"/>
        <w:left w:val="none" w:sz="0" w:space="0" w:color="auto"/>
        <w:bottom w:val="none" w:sz="0" w:space="0" w:color="auto"/>
        <w:right w:val="none" w:sz="0" w:space="0" w:color="auto"/>
      </w:divBdr>
    </w:div>
    <w:div w:id="1612279401">
      <w:bodyDiv w:val="1"/>
      <w:marLeft w:val="0"/>
      <w:marRight w:val="0"/>
      <w:marTop w:val="0"/>
      <w:marBottom w:val="0"/>
      <w:divBdr>
        <w:top w:val="none" w:sz="0" w:space="0" w:color="auto"/>
        <w:left w:val="none" w:sz="0" w:space="0" w:color="auto"/>
        <w:bottom w:val="none" w:sz="0" w:space="0" w:color="auto"/>
        <w:right w:val="none" w:sz="0" w:space="0" w:color="auto"/>
      </w:divBdr>
    </w:div>
    <w:div w:id="1621691719">
      <w:bodyDiv w:val="1"/>
      <w:marLeft w:val="0"/>
      <w:marRight w:val="0"/>
      <w:marTop w:val="0"/>
      <w:marBottom w:val="0"/>
      <w:divBdr>
        <w:top w:val="none" w:sz="0" w:space="0" w:color="auto"/>
        <w:left w:val="none" w:sz="0" w:space="0" w:color="auto"/>
        <w:bottom w:val="none" w:sz="0" w:space="0" w:color="auto"/>
        <w:right w:val="none" w:sz="0" w:space="0" w:color="auto"/>
      </w:divBdr>
    </w:div>
    <w:div w:id="1637569555">
      <w:bodyDiv w:val="1"/>
      <w:marLeft w:val="0"/>
      <w:marRight w:val="0"/>
      <w:marTop w:val="0"/>
      <w:marBottom w:val="0"/>
      <w:divBdr>
        <w:top w:val="none" w:sz="0" w:space="0" w:color="auto"/>
        <w:left w:val="none" w:sz="0" w:space="0" w:color="auto"/>
        <w:bottom w:val="none" w:sz="0" w:space="0" w:color="auto"/>
        <w:right w:val="none" w:sz="0" w:space="0" w:color="auto"/>
      </w:divBdr>
    </w:div>
    <w:div w:id="1644311845">
      <w:bodyDiv w:val="1"/>
      <w:marLeft w:val="0"/>
      <w:marRight w:val="0"/>
      <w:marTop w:val="0"/>
      <w:marBottom w:val="0"/>
      <w:divBdr>
        <w:top w:val="none" w:sz="0" w:space="0" w:color="auto"/>
        <w:left w:val="none" w:sz="0" w:space="0" w:color="auto"/>
        <w:bottom w:val="none" w:sz="0" w:space="0" w:color="auto"/>
        <w:right w:val="none" w:sz="0" w:space="0" w:color="auto"/>
      </w:divBdr>
    </w:div>
    <w:div w:id="1649165843">
      <w:bodyDiv w:val="1"/>
      <w:marLeft w:val="0"/>
      <w:marRight w:val="0"/>
      <w:marTop w:val="0"/>
      <w:marBottom w:val="0"/>
      <w:divBdr>
        <w:top w:val="none" w:sz="0" w:space="0" w:color="auto"/>
        <w:left w:val="none" w:sz="0" w:space="0" w:color="auto"/>
        <w:bottom w:val="none" w:sz="0" w:space="0" w:color="auto"/>
        <w:right w:val="none" w:sz="0" w:space="0" w:color="auto"/>
      </w:divBdr>
    </w:div>
    <w:div w:id="1653440262">
      <w:bodyDiv w:val="1"/>
      <w:marLeft w:val="0"/>
      <w:marRight w:val="0"/>
      <w:marTop w:val="0"/>
      <w:marBottom w:val="0"/>
      <w:divBdr>
        <w:top w:val="none" w:sz="0" w:space="0" w:color="auto"/>
        <w:left w:val="none" w:sz="0" w:space="0" w:color="auto"/>
        <w:bottom w:val="none" w:sz="0" w:space="0" w:color="auto"/>
        <w:right w:val="none" w:sz="0" w:space="0" w:color="auto"/>
      </w:divBdr>
    </w:div>
    <w:div w:id="1662393987">
      <w:bodyDiv w:val="1"/>
      <w:marLeft w:val="0"/>
      <w:marRight w:val="0"/>
      <w:marTop w:val="0"/>
      <w:marBottom w:val="0"/>
      <w:divBdr>
        <w:top w:val="none" w:sz="0" w:space="0" w:color="auto"/>
        <w:left w:val="none" w:sz="0" w:space="0" w:color="auto"/>
        <w:bottom w:val="none" w:sz="0" w:space="0" w:color="auto"/>
        <w:right w:val="none" w:sz="0" w:space="0" w:color="auto"/>
      </w:divBdr>
    </w:div>
    <w:div w:id="1673143740">
      <w:bodyDiv w:val="1"/>
      <w:marLeft w:val="0"/>
      <w:marRight w:val="0"/>
      <w:marTop w:val="0"/>
      <w:marBottom w:val="0"/>
      <w:divBdr>
        <w:top w:val="none" w:sz="0" w:space="0" w:color="auto"/>
        <w:left w:val="none" w:sz="0" w:space="0" w:color="auto"/>
        <w:bottom w:val="none" w:sz="0" w:space="0" w:color="auto"/>
        <w:right w:val="none" w:sz="0" w:space="0" w:color="auto"/>
      </w:divBdr>
    </w:div>
    <w:div w:id="1676610381">
      <w:bodyDiv w:val="1"/>
      <w:marLeft w:val="0"/>
      <w:marRight w:val="0"/>
      <w:marTop w:val="0"/>
      <w:marBottom w:val="0"/>
      <w:divBdr>
        <w:top w:val="none" w:sz="0" w:space="0" w:color="auto"/>
        <w:left w:val="none" w:sz="0" w:space="0" w:color="auto"/>
        <w:bottom w:val="none" w:sz="0" w:space="0" w:color="auto"/>
        <w:right w:val="none" w:sz="0" w:space="0" w:color="auto"/>
      </w:divBdr>
    </w:div>
    <w:div w:id="1683782778">
      <w:bodyDiv w:val="1"/>
      <w:marLeft w:val="0"/>
      <w:marRight w:val="0"/>
      <w:marTop w:val="0"/>
      <w:marBottom w:val="0"/>
      <w:divBdr>
        <w:top w:val="none" w:sz="0" w:space="0" w:color="auto"/>
        <w:left w:val="none" w:sz="0" w:space="0" w:color="auto"/>
        <w:bottom w:val="none" w:sz="0" w:space="0" w:color="auto"/>
        <w:right w:val="none" w:sz="0" w:space="0" w:color="auto"/>
      </w:divBdr>
    </w:div>
    <w:div w:id="1746801943">
      <w:bodyDiv w:val="1"/>
      <w:marLeft w:val="0"/>
      <w:marRight w:val="0"/>
      <w:marTop w:val="0"/>
      <w:marBottom w:val="0"/>
      <w:divBdr>
        <w:top w:val="none" w:sz="0" w:space="0" w:color="auto"/>
        <w:left w:val="none" w:sz="0" w:space="0" w:color="auto"/>
        <w:bottom w:val="none" w:sz="0" w:space="0" w:color="auto"/>
        <w:right w:val="none" w:sz="0" w:space="0" w:color="auto"/>
      </w:divBdr>
    </w:div>
    <w:div w:id="1754158640">
      <w:bodyDiv w:val="1"/>
      <w:marLeft w:val="0"/>
      <w:marRight w:val="0"/>
      <w:marTop w:val="0"/>
      <w:marBottom w:val="0"/>
      <w:divBdr>
        <w:top w:val="none" w:sz="0" w:space="0" w:color="auto"/>
        <w:left w:val="none" w:sz="0" w:space="0" w:color="auto"/>
        <w:bottom w:val="none" w:sz="0" w:space="0" w:color="auto"/>
        <w:right w:val="none" w:sz="0" w:space="0" w:color="auto"/>
      </w:divBdr>
    </w:div>
    <w:div w:id="1770656334">
      <w:bodyDiv w:val="1"/>
      <w:marLeft w:val="0"/>
      <w:marRight w:val="0"/>
      <w:marTop w:val="0"/>
      <w:marBottom w:val="0"/>
      <w:divBdr>
        <w:top w:val="none" w:sz="0" w:space="0" w:color="auto"/>
        <w:left w:val="none" w:sz="0" w:space="0" w:color="auto"/>
        <w:bottom w:val="none" w:sz="0" w:space="0" w:color="auto"/>
        <w:right w:val="none" w:sz="0" w:space="0" w:color="auto"/>
      </w:divBdr>
    </w:div>
    <w:div w:id="1773015490">
      <w:bodyDiv w:val="1"/>
      <w:marLeft w:val="0"/>
      <w:marRight w:val="0"/>
      <w:marTop w:val="0"/>
      <w:marBottom w:val="0"/>
      <w:divBdr>
        <w:top w:val="none" w:sz="0" w:space="0" w:color="auto"/>
        <w:left w:val="none" w:sz="0" w:space="0" w:color="auto"/>
        <w:bottom w:val="none" w:sz="0" w:space="0" w:color="auto"/>
        <w:right w:val="none" w:sz="0" w:space="0" w:color="auto"/>
      </w:divBdr>
    </w:div>
    <w:div w:id="1791969617">
      <w:bodyDiv w:val="1"/>
      <w:marLeft w:val="0"/>
      <w:marRight w:val="0"/>
      <w:marTop w:val="0"/>
      <w:marBottom w:val="0"/>
      <w:divBdr>
        <w:top w:val="none" w:sz="0" w:space="0" w:color="auto"/>
        <w:left w:val="none" w:sz="0" w:space="0" w:color="auto"/>
        <w:bottom w:val="none" w:sz="0" w:space="0" w:color="auto"/>
        <w:right w:val="none" w:sz="0" w:space="0" w:color="auto"/>
      </w:divBdr>
    </w:div>
    <w:div w:id="1804498761">
      <w:bodyDiv w:val="1"/>
      <w:marLeft w:val="0"/>
      <w:marRight w:val="0"/>
      <w:marTop w:val="0"/>
      <w:marBottom w:val="0"/>
      <w:divBdr>
        <w:top w:val="none" w:sz="0" w:space="0" w:color="auto"/>
        <w:left w:val="none" w:sz="0" w:space="0" w:color="auto"/>
        <w:bottom w:val="none" w:sz="0" w:space="0" w:color="auto"/>
        <w:right w:val="none" w:sz="0" w:space="0" w:color="auto"/>
      </w:divBdr>
    </w:div>
    <w:div w:id="1808938222">
      <w:bodyDiv w:val="1"/>
      <w:marLeft w:val="0"/>
      <w:marRight w:val="0"/>
      <w:marTop w:val="0"/>
      <w:marBottom w:val="0"/>
      <w:divBdr>
        <w:top w:val="none" w:sz="0" w:space="0" w:color="auto"/>
        <w:left w:val="none" w:sz="0" w:space="0" w:color="auto"/>
        <w:bottom w:val="none" w:sz="0" w:space="0" w:color="auto"/>
        <w:right w:val="none" w:sz="0" w:space="0" w:color="auto"/>
      </w:divBdr>
    </w:div>
    <w:div w:id="1812478376">
      <w:bodyDiv w:val="1"/>
      <w:marLeft w:val="0"/>
      <w:marRight w:val="0"/>
      <w:marTop w:val="0"/>
      <w:marBottom w:val="0"/>
      <w:divBdr>
        <w:top w:val="none" w:sz="0" w:space="0" w:color="auto"/>
        <w:left w:val="none" w:sz="0" w:space="0" w:color="auto"/>
        <w:bottom w:val="none" w:sz="0" w:space="0" w:color="auto"/>
        <w:right w:val="none" w:sz="0" w:space="0" w:color="auto"/>
      </w:divBdr>
    </w:div>
    <w:div w:id="1817647076">
      <w:bodyDiv w:val="1"/>
      <w:marLeft w:val="0"/>
      <w:marRight w:val="0"/>
      <w:marTop w:val="0"/>
      <w:marBottom w:val="0"/>
      <w:divBdr>
        <w:top w:val="none" w:sz="0" w:space="0" w:color="auto"/>
        <w:left w:val="none" w:sz="0" w:space="0" w:color="auto"/>
        <w:bottom w:val="none" w:sz="0" w:space="0" w:color="auto"/>
        <w:right w:val="none" w:sz="0" w:space="0" w:color="auto"/>
      </w:divBdr>
    </w:div>
    <w:div w:id="1818957584">
      <w:bodyDiv w:val="1"/>
      <w:marLeft w:val="0"/>
      <w:marRight w:val="0"/>
      <w:marTop w:val="0"/>
      <w:marBottom w:val="0"/>
      <w:divBdr>
        <w:top w:val="none" w:sz="0" w:space="0" w:color="auto"/>
        <w:left w:val="none" w:sz="0" w:space="0" w:color="auto"/>
        <w:bottom w:val="none" w:sz="0" w:space="0" w:color="auto"/>
        <w:right w:val="none" w:sz="0" w:space="0" w:color="auto"/>
      </w:divBdr>
    </w:div>
    <w:div w:id="1834493255">
      <w:bodyDiv w:val="1"/>
      <w:marLeft w:val="0"/>
      <w:marRight w:val="0"/>
      <w:marTop w:val="0"/>
      <w:marBottom w:val="0"/>
      <w:divBdr>
        <w:top w:val="none" w:sz="0" w:space="0" w:color="auto"/>
        <w:left w:val="none" w:sz="0" w:space="0" w:color="auto"/>
        <w:bottom w:val="none" w:sz="0" w:space="0" w:color="auto"/>
        <w:right w:val="none" w:sz="0" w:space="0" w:color="auto"/>
      </w:divBdr>
    </w:div>
    <w:div w:id="1847943413">
      <w:bodyDiv w:val="1"/>
      <w:marLeft w:val="0"/>
      <w:marRight w:val="0"/>
      <w:marTop w:val="0"/>
      <w:marBottom w:val="0"/>
      <w:divBdr>
        <w:top w:val="none" w:sz="0" w:space="0" w:color="auto"/>
        <w:left w:val="none" w:sz="0" w:space="0" w:color="auto"/>
        <w:bottom w:val="none" w:sz="0" w:space="0" w:color="auto"/>
        <w:right w:val="none" w:sz="0" w:space="0" w:color="auto"/>
      </w:divBdr>
    </w:div>
    <w:div w:id="1865092701">
      <w:bodyDiv w:val="1"/>
      <w:marLeft w:val="0"/>
      <w:marRight w:val="0"/>
      <w:marTop w:val="0"/>
      <w:marBottom w:val="0"/>
      <w:divBdr>
        <w:top w:val="none" w:sz="0" w:space="0" w:color="auto"/>
        <w:left w:val="none" w:sz="0" w:space="0" w:color="auto"/>
        <w:bottom w:val="none" w:sz="0" w:space="0" w:color="auto"/>
        <w:right w:val="none" w:sz="0" w:space="0" w:color="auto"/>
      </w:divBdr>
    </w:div>
    <w:div w:id="1874490303">
      <w:bodyDiv w:val="1"/>
      <w:marLeft w:val="0"/>
      <w:marRight w:val="0"/>
      <w:marTop w:val="0"/>
      <w:marBottom w:val="0"/>
      <w:divBdr>
        <w:top w:val="none" w:sz="0" w:space="0" w:color="auto"/>
        <w:left w:val="none" w:sz="0" w:space="0" w:color="auto"/>
        <w:bottom w:val="none" w:sz="0" w:space="0" w:color="auto"/>
        <w:right w:val="none" w:sz="0" w:space="0" w:color="auto"/>
      </w:divBdr>
    </w:div>
    <w:div w:id="1878160220">
      <w:bodyDiv w:val="1"/>
      <w:marLeft w:val="0"/>
      <w:marRight w:val="0"/>
      <w:marTop w:val="0"/>
      <w:marBottom w:val="0"/>
      <w:divBdr>
        <w:top w:val="none" w:sz="0" w:space="0" w:color="auto"/>
        <w:left w:val="none" w:sz="0" w:space="0" w:color="auto"/>
        <w:bottom w:val="none" w:sz="0" w:space="0" w:color="auto"/>
        <w:right w:val="none" w:sz="0" w:space="0" w:color="auto"/>
      </w:divBdr>
    </w:div>
    <w:div w:id="1879971102">
      <w:bodyDiv w:val="1"/>
      <w:marLeft w:val="0"/>
      <w:marRight w:val="0"/>
      <w:marTop w:val="0"/>
      <w:marBottom w:val="0"/>
      <w:divBdr>
        <w:top w:val="none" w:sz="0" w:space="0" w:color="auto"/>
        <w:left w:val="none" w:sz="0" w:space="0" w:color="auto"/>
        <w:bottom w:val="none" w:sz="0" w:space="0" w:color="auto"/>
        <w:right w:val="none" w:sz="0" w:space="0" w:color="auto"/>
      </w:divBdr>
    </w:div>
    <w:div w:id="1884755367">
      <w:bodyDiv w:val="1"/>
      <w:marLeft w:val="0"/>
      <w:marRight w:val="0"/>
      <w:marTop w:val="0"/>
      <w:marBottom w:val="0"/>
      <w:divBdr>
        <w:top w:val="none" w:sz="0" w:space="0" w:color="auto"/>
        <w:left w:val="none" w:sz="0" w:space="0" w:color="auto"/>
        <w:bottom w:val="none" w:sz="0" w:space="0" w:color="auto"/>
        <w:right w:val="none" w:sz="0" w:space="0" w:color="auto"/>
      </w:divBdr>
    </w:div>
    <w:div w:id="1890260726">
      <w:bodyDiv w:val="1"/>
      <w:marLeft w:val="0"/>
      <w:marRight w:val="0"/>
      <w:marTop w:val="0"/>
      <w:marBottom w:val="0"/>
      <w:divBdr>
        <w:top w:val="none" w:sz="0" w:space="0" w:color="auto"/>
        <w:left w:val="none" w:sz="0" w:space="0" w:color="auto"/>
        <w:bottom w:val="none" w:sz="0" w:space="0" w:color="auto"/>
        <w:right w:val="none" w:sz="0" w:space="0" w:color="auto"/>
      </w:divBdr>
    </w:div>
    <w:div w:id="1893618539">
      <w:bodyDiv w:val="1"/>
      <w:marLeft w:val="0"/>
      <w:marRight w:val="0"/>
      <w:marTop w:val="0"/>
      <w:marBottom w:val="0"/>
      <w:divBdr>
        <w:top w:val="none" w:sz="0" w:space="0" w:color="auto"/>
        <w:left w:val="none" w:sz="0" w:space="0" w:color="auto"/>
        <w:bottom w:val="none" w:sz="0" w:space="0" w:color="auto"/>
        <w:right w:val="none" w:sz="0" w:space="0" w:color="auto"/>
      </w:divBdr>
    </w:div>
    <w:div w:id="1894929004">
      <w:bodyDiv w:val="1"/>
      <w:marLeft w:val="0"/>
      <w:marRight w:val="0"/>
      <w:marTop w:val="0"/>
      <w:marBottom w:val="0"/>
      <w:divBdr>
        <w:top w:val="none" w:sz="0" w:space="0" w:color="auto"/>
        <w:left w:val="none" w:sz="0" w:space="0" w:color="auto"/>
        <w:bottom w:val="none" w:sz="0" w:space="0" w:color="auto"/>
        <w:right w:val="none" w:sz="0" w:space="0" w:color="auto"/>
      </w:divBdr>
    </w:div>
    <w:div w:id="1917938970">
      <w:bodyDiv w:val="1"/>
      <w:marLeft w:val="0"/>
      <w:marRight w:val="0"/>
      <w:marTop w:val="0"/>
      <w:marBottom w:val="0"/>
      <w:divBdr>
        <w:top w:val="none" w:sz="0" w:space="0" w:color="auto"/>
        <w:left w:val="none" w:sz="0" w:space="0" w:color="auto"/>
        <w:bottom w:val="none" w:sz="0" w:space="0" w:color="auto"/>
        <w:right w:val="none" w:sz="0" w:space="0" w:color="auto"/>
      </w:divBdr>
    </w:div>
    <w:div w:id="1918981746">
      <w:bodyDiv w:val="1"/>
      <w:marLeft w:val="0"/>
      <w:marRight w:val="0"/>
      <w:marTop w:val="0"/>
      <w:marBottom w:val="0"/>
      <w:divBdr>
        <w:top w:val="none" w:sz="0" w:space="0" w:color="auto"/>
        <w:left w:val="none" w:sz="0" w:space="0" w:color="auto"/>
        <w:bottom w:val="none" w:sz="0" w:space="0" w:color="auto"/>
        <w:right w:val="none" w:sz="0" w:space="0" w:color="auto"/>
      </w:divBdr>
    </w:div>
    <w:div w:id="1923103010">
      <w:bodyDiv w:val="1"/>
      <w:marLeft w:val="0"/>
      <w:marRight w:val="0"/>
      <w:marTop w:val="0"/>
      <w:marBottom w:val="0"/>
      <w:divBdr>
        <w:top w:val="none" w:sz="0" w:space="0" w:color="auto"/>
        <w:left w:val="none" w:sz="0" w:space="0" w:color="auto"/>
        <w:bottom w:val="none" w:sz="0" w:space="0" w:color="auto"/>
        <w:right w:val="none" w:sz="0" w:space="0" w:color="auto"/>
      </w:divBdr>
    </w:div>
    <w:div w:id="1946379792">
      <w:bodyDiv w:val="1"/>
      <w:marLeft w:val="0"/>
      <w:marRight w:val="0"/>
      <w:marTop w:val="0"/>
      <w:marBottom w:val="0"/>
      <w:divBdr>
        <w:top w:val="none" w:sz="0" w:space="0" w:color="auto"/>
        <w:left w:val="none" w:sz="0" w:space="0" w:color="auto"/>
        <w:bottom w:val="none" w:sz="0" w:space="0" w:color="auto"/>
        <w:right w:val="none" w:sz="0" w:space="0" w:color="auto"/>
      </w:divBdr>
    </w:div>
    <w:div w:id="1953130807">
      <w:bodyDiv w:val="1"/>
      <w:marLeft w:val="0"/>
      <w:marRight w:val="0"/>
      <w:marTop w:val="0"/>
      <w:marBottom w:val="0"/>
      <w:divBdr>
        <w:top w:val="none" w:sz="0" w:space="0" w:color="auto"/>
        <w:left w:val="none" w:sz="0" w:space="0" w:color="auto"/>
        <w:bottom w:val="none" w:sz="0" w:space="0" w:color="auto"/>
        <w:right w:val="none" w:sz="0" w:space="0" w:color="auto"/>
      </w:divBdr>
    </w:div>
    <w:div w:id="1956475406">
      <w:bodyDiv w:val="1"/>
      <w:marLeft w:val="0"/>
      <w:marRight w:val="0"/>
      <w:marTop w:val="0"/>
      <w:marBottom w:val="0"/>
      <w:divBdr>
        <w:top w:val="none" w:sz="0" w:space="0" w:color="auto"/>
        <w:left w:val="none" w:sz="0" w:space="0" w:color="auto"/>
        <w:bottom w:val="none" w:sz="0" w:space="0" w:color="auto"/>
        <w:right w:val="none" w:sz="0" w:space="0" w:color="auto"/>
      </w:divBdr>
    </w:div>
    <w:div w:id="1959483886">
      <w:bodyDiv w:val="1"/>
      <w:marLeft w:val="0"/>
      <w:marRight w:val="0"/>
      <w:marTop w:val="0"/>
      <w:marBottom w:val="0"/>
      <w:divBdr>
        <w:top w:val="none" w:sz="0" w:space="0" w:color="auto"/>
        <w:left w:val="none" w:sz="0" w:space="0" w:color="auto"/>
        <w:bottom w:val="none" w:sz="0" w:space="0" w:color="auto"/>
        <w:right w:val="none" w:sz="0" w:space="0" w:color="auto"/>
      </w:divBdr>
    </w:div>
    <w:div w:id="1965305792">
      <w:bodyDiv w:val="1"/>
      <w:marLeft w:val="0"/>
      <w:marRight w:val="0"/>
      <w:marTop w:val="0"/>
      <w:marBottom w:val="0"/>
      <w:divBdr>
        <w:top w:val="none" w:sz="0" w:space="0" w:color="auto"/>
        <w:left w:val="none" w:sz="0" w:space="0" w:color="auto"/>
        <w:bottom w:val="none" w:sz="0" w:space="0" w:color="auto"/>
        <w:right w:val="none" w:sz="0" w:space="0" w:color="auto"/>
      </w:divBdr>
    </w:div>
    <w:div w:id="1967153944">
      <w:bodyDiv w:val="1"/>
      <w:marLeft w:val="0"/>
      <w:marRight w:val="0"/>
      <w:marTop w:val="0"/>
      <w:marBottom w:val="0"/>
      <w:divBdr>
        <w:top w:val="none" w:sz="0" w:space="0" w:color="auto"/>
        <w:left w:val="none" w:sz="0" w:space="0" w:color="auto"/>
        <w:bottom w:val="none" w:sz="0" w:space="0" w:color="auto"/>
        <w:right w:val="none" w:sz="0" w:space="0" w:color="auto"/>
      </w:divBdr>
    </w:div>
    <w:div w:id="1999337040">
      <w:bodyDiv w:val="1"/>
      <w:marLeft w:val="0"/>
      <w:marRight w:val="0"/>
      <w:marTop w:val="0"/>
      <w:marBottom w:val="0"/>
      <w:divBdr>
        <w:top w:val="none" w:sz="0" w:space="0" w:color="auto"/>
        <w:left w:val="none" w:sz="0" w:space="0" w:color="auto"/>
        <w:bottom w:val="none" w:sz="0" w:space="0" w:color="auto"/>
        <w:right w:val="none" w:sz="0" w:space="0" w:color="auto"/>
      </w:divBdr>
    </w:div>
    <w:div w:id="2000301013">
      <w:bodyDiv w:val="1"/>
      <w:marLeft w:val="0"/>
      <w:marRight w:val="0"/>
      <w:marTop w:val="0"/>
      <w:marBottom w:val="0"/>
      <w:divBdr>
        <w:top w:val="none" w:sz="0" w:space="0" w:color="auto"/>
        <w:left w:val="none" w:sz="0" w:space="0" w:color="auto"/>
        <w:bottom w:val="none" w:sz="0" w:space="0" w:color="auto"/>
        <w:right w:val="none" w:sz="0" w:space="0" w:color="auto"/>
      </w:divBdr>
    </w:div>
    <w:div w:id="2046635274">
      <w:bodyDiv w:val="1"/>
      <w:marLeft w:val="0"/>
      <w:marRight w:val="0"/>
      <w:marTop w:val="0"/>
      <w:marBottom w:val="0"/>
      <w:divBdr>
        <w:top w:val="none" w:sz="0" w:space="0" w:color="auto"/>
        <w:left w:val="none" w:sz="0" w:space="0" w:color="auto"/>
        <w:bottom w:val="none" w:sz="0" w:space="0" w:color="auto"/>
        <w:right w:val="none" w:sz="0" w:space="0" w:color="auto"/>
      </w:divBdr>
    </w:div>
    <w:div w:id="2058119155">
      <w:bodyDiv w:val="1"/>
      <w:marLeft w:val="0"/>
      <w:marRight w:val="0"/>
      <w:marTop w:val="0"/>
      <w:marBottom w:val="0"/>
      <w:divBdr>
        <w:top w:val="none" w:sz="0" w:space="0" w:color="auto"/>
        <w:left w:val="none" w:sz="0" w:space="0" w:color="auto"/>
        <w:bottom w:val="none" w:sz="0" w:space="0" w:color="auto"/>
        <w:right w:val="none" w:sz="0" w:space="0" w:color="auto"/>
      </w:divBdr>
    </w:div>
    <w:div w:id="2062558504">
      <w:bodyDiv w:val="1"/>
      <w:marLeft w:val="0"/>
      <w:marRight w:val="0"/>
      <w:marTop w:val="0"/>
      <w:marBottom w:val="0"/>
      <w:divBdr>
        <w:top w:val="none" w:sz="0" w:space="0" w:color="auto"/>
        <w:left w:val="none" w:sz="0" w:space="0" w:color="auto"/>
        <w:bottom w:val="none" w:sz="0" w:space="0" w:color="auto"/>
        <w:right w:val="none" w:sz="0" w:space="0" w:color="auto"/>
      </w:divBdr>
    </w:div>
    <w:div w:id="2065833709">
      <w:bodyDiv w:val="1"/>
      <w:marLeft w:val="0"/>
      <w:marRight w:val="0"/>
      <w:marTop w:val="0"/>
      <w:marBottom w:val="0"/>
      <w:divBdr>
        <w:top w:val="none" w:sz="0" w:space="0" w:color="auto"/>
        <w:left w:val="none" w:sz="0" w:space="0" w:color="auto"/>
        <w:bottom w:val="none" w:sz="0" w:space="0" w:color="auto"/>
        <w:right w:val="none" w:sz="0" w:space="0" w:color="auto"/>
      </w:divBdr>
    </w:div>
    <w:div w:id="2066097673">
      <w:bodyDiv w:val="1"/>
      <w:marLeft w:val="0"/>
      <w:marRight w:val="0"/>
      <w:marTop w:val="0"/>
      <w:marBottom w:val="0"/>
      <w:divBdr>
        <w:top w:val="none" w:sz="0" w:space="0" w:color="auto"/>
        <w:left w:val="none" w:sz="0" w:space="0" w:color="auto"/>
        <w:bottom w:val="none" w:sz="0" w:space="0" w:color="auto"/>
        <w:right w:val="none" w:sz="0" w:space="0" w:color="auto"/>
      </w:divBdr>
    </w:div>
    <w:div w:id="2067098393">
      <w:bodyDiv w:val="1"/>
      <w:marLeft w:val="0"/>
      <w:marRight w:val="0"/>
      <w:marTop w:val="0"/>
      <w:marBottom w:val="0"/>
      <w:divBdr>
        <w:top w:val="none" w:sz="0" w:space="0" w:color="auto"/>
        <w:left w:val="none" w:sz="0" w:space="0" w:color="auto"/>
        <w:bottom w:val="none" w:sz="0" w:space="0" w:color="auto"/>
        <w:right w:val="none" w:sz="0" w:space="0" w:color="auto"/>
      </w:divBdr>
    </w:div>
    <w:div w:id="2090804987">
      <w:bodyDiv w:val="1"/>
      <w:marLeft w:val="0"/>
      <w:marRight w:val="0"/>
      <w:marTop w:val="0"/>
      <w:marBottom w:val="0"/>
      <w:divBdr>
        <w:top w:val="none" w:sz="0" w:space="0" w:color="auto"/>
        <w:left w:val="none" w:sz="0" w:space="0" w:color="auto"/>
        <w:bottom w:val="none" w:sz="0" w:space="0" w:color="auto"/>
        <w:right w:val="none" w:sz="0" w:space="0" w:color="auto"/>
      </w:divBdr>
    </w:div>
    <w:div w:id="2100758318">
      <w:bodyDiv w:val="1"/>
      <w:marLeft w:val="0"/>
      <w:marRight w:val="0"/>
      <w:marTop w:val="0"/>
      <w:marBottom w:val="0"/>
      <w:divBdr>
        <w:top w:val="none" w:sz="0" w:space="0" w:color="auto"/>
        <w:left w:val="none" w:sz="0" w:space="0" w:color="auto"/>
        <w:bottom w:val="none" w:sz="0" w:space="0" w:color="auto"/>
        <w:right w:val="none" w:sz="0" w:space="0" w:color="auto"/>
      </w:divBdr>
    </w:div>
    <w:div w:id="2131044281">
      <w:bodyDiv w:val="1"/>
      <w:marLeft w:val="0"/>
      <w:marRight w:val="0"/>
      <w:marTop w:val="0"/>
      <w:marBottom w:val="0"/>
      <w:divBdr>
        <w:top w:val="none" w:sz="0" w:space="0" w:color="auto"/>
        <w:left w:val="none" w:sz="0" w:space="0" w:color="auto"/>
        <w:bottom w:val="none" w:sz="0" w:space="0" w:color="auto"/>
        <w:right w:val="none" w:sz="0" w:space="0" w:color="auto"/>
      </w:divBdr>
    </w:div>
    <w:div w:id="2139029749">
      <w:bodyDiv w:val="1"/>
      <w:marLeft w:val="0"/>
      <w:marRight w:val="0"/>
      <w:marTop w:val="0"/>
      <w:marBottom w:val="0"/>
      <w:divBdr>
        <w:top w:val="none" w:sz="0" w:space="0" w:color="auto"/>
        <w:left w:val="none" w:sz="0" w:space="0" w:color="auto"/>
        <w:bottom w:val="none" w:sz="0" w:space="0" w:color="auto"/>
        <w:right w:val="none" w:sz="0" w:space="0" w:color="auto"/>
      </w:divBdr>
    </w:div>
    <w:div w:id="21391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meug.co.nz/system/files_force/2010-12%20MEUG%20to%20Hon%20Dr%20Nick%20Smith%20on%20EAF%2005-May-10.pdf?download=1" TargetMode="External"/><Relationship Id="rId1" Type="http://schemas.openxmlformats.org/officeDocument/2006/relationships/hyperlink" Target="https://www.mfe.govt.nz/publications/climate/electricity-emissions-factor-repor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EAF12</b:Tag>
    <b:SourceType>Report</b:SourceType>
    <b:Guid>{62A753D3-F56F-4E9C-9245-679B6ADC1AF3}</b:Guid>
    <b:Author>
      <b:Author>
        <b:Corporate>EAF Contact Group</b:Corporate>
      </b:Author>
    </b:Author>
    <b:Title>Development of an Electricity Allocation Factor Recommendation for 2013 Onwards</b:Title>
    <b:Year>2012</b:Year>
    <b:City>Wellington</b:City>
    <b:Publisher>Ministry for the Environment</b:Publisher>
    <b:RefOrder>4</b:RefOrder>
  </b:Source>
  <b:Source>
    <b:Tag>Dea15</b:Tag>
    <b:SourceType>Misc</b:SourceType>
    <b:Guid>{A300595F-75FA-45E1-892A-E145D72695EF}</b:Guid>
    <b:Title>Estimating an Electricity Allocation Factor</b:Title>
    <b:Year>2015</b:Year>
    <b:Publisher>NZIER</b:Publisher>
    <b:City>Wellington</b:City>
    <b:Author>
      <b:Author>
        <b:Corporate>NZIER</b:Corporate>
      </b:Author>
    </b:Author>
    <b:Month>May</b:Month>
    <b:Day>26</b:Day>
    <b:RefOrder>5</b:RefOrder>
  </b:Source>
  <b:Source>
    <b:Tag>Sci18</b:Tag>
    <b:SourceType>Report</b:SourceType>
    <b:Guid>{123F46BD-C5F6-4152-BC97-0E862F52AEAB}</b:Guid>
    <b:Author>
      <b:Author>
        <b:Corporate>Scientia Consulting</b:Corporate>
      </b:Author>
    </b:Author>
    <b:Title>Electricity Allocation Factor Estimates for 2016/17</b:Title>
    <b:Year>2018</b:Year>
    <b:City>Wellington</b:City>
    <b:RefOrder>6</b:RefOrder>
  </b:Source>
  <b:Source>
    <b:Tag>Coa11</b:Tag>
    <b:SourceType>Report</b:SourceType>
    <b:Guid>{5C121BAF-421A-4605-8DDA-BEF7818A8077}</b:Guid>
    <b:Author>
      <b:Author>
        <b:Corporate>Concept Consulting</b:Corporate>
      </b:Author>
    </b:Author>
    <b:Title>Developing a methodology to estimate an electricity allocation factor for 2013-2017</b:Title>
    <b:Year>2011</b:Year>
    <b:City>Wellington</b:City>
    <b:RefOrder>3</b:RefOrder>
  </b:Source>
  <b:Source>
    <b:Tag>Con19</b:Tag>
    <b:SourceType>Report</b:SourceType>
    <b:Guid>{D0193158-ECF0-4B19-9032-FB9897481F16}</b:Guid>
    <b:Author>
      <b:Author>
        <b:Corporate>Concept Consulting</b:Corporate>
      </b:Author>
    </b:Author>
    <b:Title>Electricity Allocation Factor Assumptions Review</b:Title>
    <b:Year>2019</b:Year>
    <b:City>Wellington</b:City>
    <b:RefOrder>7</b:RefOrder>
  </b:Source>
  <b:Source>
    <b:Tag>Con04</b:Tag>
    <b:SourceType>Report</b:SourceType>
    <b:Guid>{81FBB3BD-422F-4D47-8787-72F1E8EE33C2}</b:Guid>
    <b:Author>
      <b:Author>
        <b:Corporate>Concept Consulting</b:Corporate>
      </b:Author>
    </b:Author>
    <b:Title>Electricity EMission Factor Review</b:Title>
    <b:Year>2004</b:Year>
    <b:City>Wellington</b:City>
    <b:RefOrder>8</b:RefOrder>
  </b:Source>
  <b:Source>
    <b:Tag>Con15</b:Tag>
    <b:SourceType>Report</b:SourceType>
    <b:Guid>{90ADAB43-0060-42DE-A645-D89AA658CFDE}</b:Guid>
    <b:Author>
      <b:Author>
        <b:Corporate>Concept Consulting</b:Corporate>
      </b:Author>
    </b:Author>
    <b:Title>High-level review of approaches for estimating a standard electricity allocation factor (EAF)</b:Title>
    <b:Year>2015</b:Year>
    <b:Month>April</b:Month>
    <b:Day>20</b:Day>
    <b:City>Wellington</b:City>
    <b:RefOrder>9</b:RefOrder>
  </b:Source>
  <b:Source>
    <b:Tag>Ene19</b:Tag>
    <b:SourceType>Report</b:SourceType>
    <b:Guid>{765AB75A-297E-40B9-B179-160184970BFA}</b:Guid>
    <b:Author>
      <b:Author>
        <b:Corporate>Energy Link</b:Corporate>
      </b:Author>
    </b:Author>
    <b:Title>Electricity Allocation Factor Background Iformation</b:Title>
    <b:Year>2019</b:Year>
    <b:Publisher>Ministry for the Environment</b:Publisher>
    <b:City>Dunedin</b:City>
    <b:RefOrder>10</b:RefOrder>
  </b:Source>
  <b:Source>
    <b:Tag>Ene20</b:Tag>
    <b:SourceType>Report</b:SourceType>
    <b:Guid>{DF312342-0D0A-4DA8-BBF8-8393CE234F25}</b:Guid>
    <b:Author>
      <b:Author>
        <b:Corporate>Energy Link</b:Corporate>
      </b:Author>
    </b:Author>
    <b:Title>Electricity Allocation Factor Modelling 2020</b:Title>
    <b:Year>2020</b:Year>
    <b:Publisher>Ministry for the Environment</b:Publisher>
    <b:City>Wellington</b:City>
    <b:RefOrder>1</b:RefOrder>
  </b:Source>
  <b:Source>
    <b:Tag>Ene08</b:Tag>
    <b:SourceType>Report</b:SourceType>
    <b:Guid>{3CCA212F-4319-412C-A8F5-169CBCA29AC4}</b:Guid>
    <b:Author>
      <b:Author>
        <b:Corporate>Energy Modelling Consultants</b:Corporate>
      </b:Author>
    </b:Author>
    <b:Title>SDDP Modelling of Carbon Dioxide Emissoins from Electricity Generation</b:Title>
    <b:Year>2008</b:Year>
    <b:City>Wellington</b:City>
    <b:RefOrder>2</b:RefOrder>
  </b:Source>
  <b:Source>
    <b:Tag>Hal01</b:Tag>
    <b:SourceType>Report</b:SourceType>
    <b:Guid>{0F83AC76-B006-4905-9761-E8DFFAD82521}</b:Guid>
    <b:Title>Generation System Modelling for the 2013-2017 Electricity Allocation Factor</b:Title>
    <b:Year>2011</b:Year>
    <b:City>Wellington</b:City>
    <b:Author>
      <b:Author>
        <b:Corporate>Energy Modelling Consultants</b:Corporate>
      </b:Author>
    </b:Author>
    <b:RefOrder>11</b:RefOrder>
  </b:Source>
</b:Sources>
</file>

<file path=customXml/itemProps1.xml><?xml version="1.0" encoding="utf-8"?>
<ds:datastoreItem xmlns:ds="http://schemas.openxmlformats.org/officeDocument/2006/customXml" ds:itemID="{BF23540C-3B1E-497D-A9FD-A98FAA31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6817</Words>
  <Characters>37862</Characters>
  <Application>Microsoft Office Word</Application>
  <DocSecurity>4</DocSecurity>
  <Lines>315</Lines>
  <Paragraphs>89</Paragraphs>
  <ScaleCrop>false</ScaleCrop>
  <HeadingPairs>
    <vt:vector size="2" baseType="variant">
      <vt:variant>
        <vt:lpstr>Title</vt:lpstr>
      </vt:variant>
      <vt:variant>
        <vt:i4>1</vt:i4>
      </vt:variant>
    </vt:vector>
  </HeadingPairs>
  <TitlesOfParts>
    <vt:vector size="1" baseType="lpstr">
      <vt:lpstr>  </vt:lpstr>
    </vt:vector>
  </TitlesOfParts>
  <Company>ETSCo</Company>
  <LinksUpToDate>false</LinksUpToDate>
  <CharactersWithSpaces>44590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Energy Link Standard Report Template</dc:subject>
  <dc:creator>Greg Sise</dc:creator>
  <cp:keywords/>
  <dc:description/>
  <cp:lastModifiedBy>Dee Warring</cp:lastModifiedBy>
  <cp:revision>2</cp:revision>
  <cp:lastPrinted>1997-02-16T22:16:00Z</cp:lastPrinted>
  <dcterms:created xsi:type="dcterms:W3CDTF">2020-07-28T22:10:00Z</dcterms:created>
  <dcterms:modified xsi:type="dcterms:W3CDTF">2020-07-28T22:10:00Z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i4>311</vt:i4>
  </property>
</Properties>
</file>