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0BE8AB" w14:textId="60203F60" w:rsidR="00FA7049" w:rsidRPr="00580905" w:rsidRDefault="001C52F9" w:rsidP="003F05FB">
      <w:pPr>
        <w:pStyle w:val="BodyText"/>
      </w:pPr>
      <w:r>
        <w:rPr>
          <w:noProof/>
          <w:lang w:eastAsia="en-NZ"/>
        </w:rPr>
        <w:drawing>
          <wp:anchor distT="0" distB="0" distL="114300" distR="114300" simplePos="0" relativeHeight="251658240" behindDoc="1" locked="0" layoutInCell="1" allowOverlap="1" wp14:anchorId="78BCB5F3" wp14:editId="32BD649D">
            <wp:simplePos x="0" y="0"/>
            <wp:positionH relativeFrom="column">
              <wp:posOffset>-1250950</wp:posOffset>
            </wp:positionH>
            <wp:positionV relativeFrom="paragraph">
              <wp:posOffset>-720090</wp:posOffset>
            </wp:positionV>
            <wp:extent cx="7543800" cy="10677525"/>
            <wp:effectExtent l="0" t="0" r="0" b="9525"/>
            <wp:wrapTight wrapText="bothSides">
              <wp:wrapPolygon edited="0">
                <wp:start x="0" y="0"/>
                <wp:lineTo x="0" y="21581"/>
                <wp:lineTo x="21545" y="21581"/>
                <wp:lineTo x="2154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liance-report-cover.jpg"/>
                    <pic:cNvPicPr/>
                  </pic:nvPicPr>
                  <pic:blipFill>
                    <a:blip r:embed="rId9">
                      <a:extLst>
                        <a:ext uri="{28A0092B-C50C-407E-A947-70E740481C1C}">
                          <a14:useLocalDpi xmlns:a14="http://schemas.microsoft.com/office/drawing/2010/main" val="0"/>
                        </a:ext>
                      </a:extLst>
                    </a:blip>
                    <a:stretch>
                      <a:fillRect/>
                    </a:stretch>
                  </pic:blipFill>
                  <pic:spPr>
                    <a:xfrm>
                      <a:off x="0" y="0"/>
                      <a:ext cx="7543800" cy="10677525"/>
                    </a:xfrm>
                    <a:prstGeom prst="rect">
                      <a:avLst/>
                    </a:prstGeom>
                  </pic:spPr>
                </pic:pic>
              </a:graphicData>
            </a:graphic>
            <wp14:sizeRelH relativeFrom="page">
              <wp14:pctWidth>0</wp14:pctWidth>
            </wp14:sizeRelH>
            <wp14:sizeRelV relativeFrom="page">
              <wp14:pctHeight>0</wp14:pctHeight>
            </wp14:sizeRelV>
          </wp:anchor>
        </w:drawing>
      </w:r>
    </w:p>
    <w:p w14:paraId="22B6EC5A" w14:textId="77777777" w:rsidR="001C52F9" w:rsidRDefault="001C52F9" w:rsidP="0054656C">
      <w:pPr>
        <w:pStyle w:val="Imprint"/>
        <w:spacing w:after="120"/>
        <w:rPr>
          <w:b/>
        </w:rPr>
      </w:pPr>
      <w:bookmarkStart w:id="0" w:name="_Toc456343374"/>
    </w:p>
    <w:p w14:paraId="5E95FB3B" w14:textId="77777777" w:rsidR="001C52F9" w:rsidRDefault="001C52F9" w:rsidP="0054656C">
      <w:pPr>
        <w:pStyle w:val="Imprint"/>
        <w:spacing w:after="120"/>
        <w:rPr>
          <w:b/>
        </w:rPr>
      </w:pPr>
    </w:p>
    <w:p w14:paraId="3AD3EBAA" w14:textId="77777777" w:rsidR="001C52F9" w:rsidRDefault="001C52F9" w:rsidP="0054656C">
      <w:pPr>
        <w:pStyle w:val="Imprint"/>
        <w:spacing w:after="120"/>
        <w:rPr>
          <w:b/>
        </w:rPr>
      </w:pPr>
    </w:p>
    <w:p w14:paraId="17A3FCA3" w14:textId="77777777" w:rsidR="0054656C" w:rsidRPr="00580905" w:rsidRDefault="0054656C" w:rsidP="0054656C">
      <w:pPr>
        <w:pStyle w:val="Imprint"/>
        <w:spacing w:after="120"/>
        <w:rPr>
          <w:b/>
        </w:rPr>
      </w:pPr>
      <w:r w:rsidRPr="00580905">
        <w:rPr>
          <w:b/>
        </w:rPr>
        <w:t>Acknowledgements</w:t>
      </w:r>
    </w:p>
    <w:p w14:paraId="091FC5A5" w14:textId="24DE5F59" w:rsidR="0054656C" w:rsidRPr="00580905" w:rsidRDefault="00F27C91" w:rsidP="00F82CE8">
      <w:pPr>
        <w:pStyle w:val="Imprint"/>
      </w:pPr>
      <w:proofErr w:type="gramStart"/>
      <w:r w:rsidRPr="00580905">
        <w:t xml:space="preserve">Prepared with support from Hans Van </w:t>
      </w:r>
      <w:proofErr w:type="spellStart"/>
      <w:r w:rsidRPr="00580905">
        <w:t>Kregten</w:t>
      </w:r>
      <w:proofErr w:type="spellEnd"/>
      <w:r w:rsidRPr="00580905">
        <w:t xml:space="preserve"> and </w:t>
      </w:r>
      <w:proofErr w:type="spellStart"/>
      <w:r w:rsidRPr="00580905">
        <w:t>Kaha</w:t>
      </w:r>
      <w:proofErr w:type="spellEnd"/>
      <w:r w:rsidRPr="00580905">
        <w:t xml:space="preserve"> Consultancy.</w:t>
      </w:r>
      <w:proofErr w:type="gramEnd"/>
    </w:p>
    <w:p w14:paraId="01FCA2C4" w14:textId="65447ACE" w:rsidR="00F27C91" w:rsidRPr="00580905" w:rsidRDefault="00283D3F" w:rsidP="00F82CE8">
      <w:pPr>
        <w:pStyle w:val="Imprint"/>
      </w:pPr>
      <w:r>
        <w:t xml:space="preserve">The cover photo was </w:t>
      </w:r>
      <w:r w:rsidR="00F27C91" w:rsidRPr="00580905">
        <w:t>taken by Wendy Bell, Waikato Regional Council.</w:t>
      </w:r>
    </w:p>
    <w:p w14:paraId="7783A813" w14:textId="17E4B4F1" w:rsidR="0054656C" w:rsidRPr="00580905" w:rsidRDefault="00283D3F" w:rsidP="0054656C">
      <w:pPr>
        <w:pStyle w:val="Imprint"/>
      </w:pPr>
      <w:proofErr w:type="gramStart"/>
      <w:r>
        <w:t>Many thanks to the council, stakeholder and iwi representatives who assisted with this study.</w:t>
      </w:r>
      <w:proofErr w:type="gramEnd"/>
    </w:p>
    <w:p w14:paraId="10D3D8B7" w14:textId="77777777" w:rsidR="0054656C" w:rsidRPr="00580905" w:rsidRDefault="0054656C" w:rsidP="0054656C">
      <w:pPr>
        <w:pStyle w:val="Imprint"/>
      </w:pPr>
    </w:p>
    <w:p w14:paraId="2A2DA90B" w14:textId="77777777" w:rsidR="0054656C" w:rsidRPr="00580905" w:rsidRDefault="0054656C" w:rsidP="0054656C">
      <w:pPr>
        <w:pStyle w:val="Imprint"/>
      </w:pPr>
    </w:p>
    <w:p w14:paraId="4010C0D9" w14:textId="77777777" w:rsidR="0054656C" w:rsidRPr="00580905" w:rsidRDefault="0054656C" w:rsidP="0054656C">
      <w:pPr>
        <w:pStyle w:val="Imprint"/>
      </w:pPr>
    </w:p>
    <w:p w14:paraId="7DA27476" w14:textId="77777777" w:rsidR="00F27C91" w:rsidRPr="00580905" w:rsidRDefault="00F27C91" w:rsidP="0054656C">
      <w:pPr>
        <w:pStyle w:val="Imprint"/>
      </w:pPr>
    </w:p>
    <w:p w14:paraId="5DC32590" w14:textId="77777777" w:rsidR="0054656C" w:rsidRDefault="0054656C" w:rsidP="0054656C">
      <w:pPr>
        <w:pStyle w:val="Imprint"/>
      </w:pPr>
    </w:p>
    <w:p w14:paraId="554CC4F7" w14:textId="77777777" w:rsidR="000969E9" w:rsidRDefault="000969E9" w:rsidP="0054656C">
      <w:pPr>
        <w:pStyle w:val="Imprint"/>
      </w:pPr>
    </w:p>
    <w:p w14:paraId="7D2D0C19" w14:textId="77777777" w:rsidR="000969E9" w:rsidRDefault="000969E9" w:rsidP="0054656C">
      <w:pPr>
        <w:pStyle w:val="Imprint"/>
      </w:pPr>
    </w:p>
    <w:p w14:paraId="44360927" w14:textId="77777777" w:rsidR="000969E9" w:rsidRPr="00580905" w:rsidRDefault="000969E9" w:rsidP="0054656C">
      <w:pPr>
        <w:pStyle w:val="Imprint"/>
      </w:pPr>
    </w:p>
    <w:p w14:paraId="2284F243" w14:textId="77777777" w:rsidR="0054656C" w:rsidRPr="00580905" w:rsidRDefault="0054656C" w:rsidP="0054656C">
      <w:pPr>
        <w:pStyle w:val="Imprint"/>
      </w:pPr>
    </w:p>
    <w:p w14:paraId="23F73FEB" w14:textId="77777777" w:rsidR="00EC5DAC" w:rsidRPr="00580905" w:rsidRDefault="00EC5DAC" w:rsidP="0054656C">
      <w:pPr>
        <w:pStyle w:val="Imprint"/>
      </w:pPr>
    </w:p>
    <w:p w14:paraId="5F5BD4E3" w14:textId="77777777" w:rsidR="00EC5DAC" w:rsidRPr="00580905" w:rsidRDefault="00EC5DAC" w:rsidP="0054656C">
      <w:pPr>
        <w:pStyle w:val="Imprint"/>
      </w:pPr>
    </w:p>
    <w:p w14:paraId="2224079E" w14:textId="458FCA29" w:rsidR="0054656C" w:rsidRPr="00580905" w:rsidRDefault="0054656C" w:rsidP="0054656C">
      <w:pPr>
        <w:pStyle w:val="Imprint"/>
      </w:pPr>
      <w:r w:rsidRPr="00580905">
        <w:t xml:space="preserve">Published in </w:t>
      </w:r>
      <w:r w:rsidR="00530332">
        <w:t>November</w:t>
      </w:r>
      <w:r w:rsidR="00F27C91" w:rsidRPr="00580905">
        <w:t xml:space="preserve"> 2016</w:t>
      </w:r>
      <w:r w:rsidRPr="00580905">
        <w:t xml:space="preserve"> by the</w:t>
      </w:r>
      <w:r w:rsidRPr="00580905">
        <w:br/>
        <w:t xml:space="preserve">Ministry for the Environment </w:t>
      </w:r>
      <w:r w:rsidRPr="00580905">
        <w:br/>
      </w:r>
      <w:proofErr w:type="spellStart"/>
      <w:r w:rsidRPr="00580905">
        <w:t>Manatū</w:t>
      </w:r>
      <w:proofErr w:type="spellEnd"/>
      <w:r w:rsidRPr="00580905">
        <w:t xml:space="preserve"> </w:t>
      </w:r>
      <w:proofErr w:type="spellStart"/>
      <w:r w:rsidRPr="00580905">
        <w:t>Mō</w:t>
      </w:r>
      <w:proofErr w:type="spellEnd"/>
      <w:r w:rsidRPr="00580905">
        <w:t xml:space="preserve"> </w:t>
      </w:r>
      <w:proofErr w:type="spellStart"/>
      <w:r w:rsidRPr="00580905">
        <w:t>Te</w:t>
      </w:r>
      <w:proofErr w:type="spellEnd"/>
      <w:r w:rsidRPr="00580905">
        <w:t xml:space="preserve"> </w:t>
      </w:r>
      <w:proofErr w:type="spellStart"/>
      <w:r w:rsidRPr="00580905">
        <w:t>Taiao</w:t>
      </w:r>
      <w:proofErr w:type="spellEnd"/>
      <w:r w:rsidRPr="00580905">
        <w:br/>
        <w:t>PO Box 10362, Wellington 6143, New Zealand</w:t>
      </w:r>
    </w:p>
    <w:p w14:paraId="7F2DB5A1" w14:textId="662C873B" w:rsidR="0054656C" w:rsidRPr="00580905" w:rsidRDefault="00844871" w:rsidP="000969E9">
      <w:pPr>
        <w:pStyle w:val="Imprint"/>
        <w:spacing w:before="240"/>
      </w:pPr>
      <w:r w:rsidRPr="00580905">
        <w:t>ISBN:</w:t>
      </w:r>
      <w:r w:rsidRPr="00580905">
        <w:rPr>
          <w:szCs w:val="22"/>
        </w:rPr>
        <w:t xml:space="preserve"> </w:t>
      </w:r>
      <w:r w:rsidRPr="00580905">
        <w:rPr>
          <w:rFonts w:eastAsia="Arial"/>
          <w:color w:val="000000"/>
          <w:szCs w:val="22"/>
        </w:rPr>
        <w:t>978-0-908339-48-8</w:t>
      </w:r>
      <w:r w:rsidR="000969E9">
        <w:br/>
      </w:r>
      <w:r w:rsidR="0054656C" w:rsidRPr="00580905">
        <w:t xml:space="preserve">Publication number: ME </w:t>
      </w:r>
      <w:r w:rsidR="00990F57" w:rsidRPr="00580905">
        <w:t>1251</w:t>
      </w:r>
    </w:p>
    <w:p w14:paraId="179DD541" w14:textId="7E9A39A5" w:rsidR="0054656C" w:rsidRPr="00580905" w:rsidRDefault="0054656C" w:rsidP="0054656C">
      <w:pPr>
        <w:pStyle w:val="Imprint"/>
      </w:pPr>
      <w:r w:rsidRPr="00580905">
        <w:t xml:space="preserve">© Crown copyright New Zealand </w:t>
      </w:r>
      <w:r w:rsidR="00F27C91" w:rsidRPr="00580905">
        <w:t>2016</w:t>
      </w:r>
    </w:p>
    <w:p w14:paraId="1D0AEA85" w14:textId="46075ECC" w:rsidR="0054656C" w:rsidRPr="00580905" w:rsidRDefault="0054656C" w:rsidP="0054656C">
      <w:pPr>
        <w:pStyle w:val="Imprint"/>
        <w:spacing w:before="240"/>
      </w:pPr>
      <w:r w:rsidRPr="00580905">
        <w:t>This document is available on the Ministry for the Environment’s website:</w:t>
      </w:r>
      <w:r w:rsidR="00E87158" w:rsidRPr="00580905">
        <w:t xml:space="preserve"> </w:t>
      </w:r>
      <w:hyperlink r:id="rId10" w:history="1">
        <w:r w:rsidRPr="00580905">
          <w:rPr>
            <w:rStyle w:val="Hyperlink"/>
          </w:rPr>
          <w:t>www.mfe.govt.nz</w:t>
        </w:r>
      </w:hyperlink>
    </w:p>
    <w:p w14:paraId="75BCF01A" w14:textId="2C67EEFC" w:rsidR="0054656C" w:rsidRPr="00580905" w:rsidRDefault="0054656C" w:rsidP="0054656C">
      <w:r w:rsidRPr="00580905">
        <w:rPr>
          <w:noProof/>
          <w:lang w:eastAsia="en-NZ"/>
        </w:rPr>
        <w:drawing>
          <wp:inline distT="0" distB="0" distL="0" distR="0" wp14:anchorId="4042544A" wp14:editId="4BA87027">
            <wp:extent cx="1965325" cy="614045"/>
            <wp:effectExtent l="19050" t="0" r="0" b="0"/>
            <wp:docPr id="2" name="Picture 1" descr="BW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_Logo"/>
                    <pic:cNvPicPr>
                      <a:picLocks noChangeAspect="1" noChangeArrowheads="1"/>
                    </pic:cNvPicPr>
                  </pic:nvPicPr>
                  <pic:blipFill>
                    <a:blip r:embed="rId11" cstate="print"/>
                    <a:srcRect/>
                    <a:stretch>
                      <a:fillRect/>
                    </a:stretch>
                  </pic:blipFill>
                  <pic:spPr bwMode="auto">
                    <a:xfrm>
                      <a:off x="0" y="0"/>
                      <a:ext cx="1965325" cy="614045"/>
                    </a:xfrm>
                    <a:prstGeom prst="rect">
                      <a:avLst/>
                    </a:prstGeom>
                    <a:noFill/>
                    <a:ln w="9525">
                      <a:noFill/>
                      <a:miter lim="800000"/>
                      <a:headEnd/>
                      <a:tailEnd/>
                    </a:ln>
                  </pic:spPr>
                </pic:pic>
              </a:graphicData>
            </a:graphic>
          </wp:inline>
        </w:drawing>
      </w:r>
    </w:p>
    <w:p w14:paraId="194C6FBB" w14:textId="77777777" w:rsidR="00EC5DAC" w:rsidRPr="00580905" w:rsidRDefault="00EC5DAC" w:rsidP="0054656C">
      <w:pPr>
        <w:sectPr w:rsidR="00EC5DAC" w:rsidRPr="00580905" w:rsidSect="00E03E44">
          <w:footerReference w:type="default" r:id="rId12"/>
          <w:pgSz w:w="11906" w:h="16838" w:code="9"/>
          <w:pgMar w:top="1134" w:right="1418" w:bottom="1134" w:left="1418" w:header="567" w:footer="567" w:gutter="567"/>
          <w:cols w:space="708"/>
          <w:docGrid w:linePitch="360"/>
        </w:sectPr>
      </w:pPr>
    </w:p>
    <w:p w14:paraId="749902F6" w14:textId="5D969AC9" w:rsidR="00FA7049" w:rsidRPr="00580905" w:rsidRDefault="00FA7049" w:rsidP="00E87158">
      <w:pPr>
        <w:pStyle w:val="TOCHeading"/>
      </w:pPr>
      <w:r w:rsidRPr="00580905">
        <w:lastRenderedPageBreak/>
        <w:t>Contents</w:t>
      </w:r>
      <w:bookmarkEnd w:id="0"/>
    </w:p>
    <w:p w14:paraId="2340EB8A" w14:textId="77777777" w:rsidR="004371D7" w:rsidRDefault="0018011C">
      <w:pPr>
        <w:pStyle w:val="TOC1"/>
        <w:rPr>
          <w:rFonts w:eastAsiaTheme="minorEastAsia"/>
          <w:noProof/>
          <w:lang w:eastAsia="en-NZ"/>
        </w:rPr>
      </w:pPr>
      <w:r>
        <w:rPr>
          <w:rFonts w:eastAsiaTheme="minorEastAsia"/>
          <w:b/>
          <w:color w:val="1F497D" w:themeColor="text2"/>
          <w:sz w:val="32"/>
          <w:szCs w:val="28"/>
        </w:rPr>
        <w:fldChar w:fldCharType="begin"/>
      </w:r>
      <w:r>
        <w:rPr>
          <w:rFonts w:eastAsiaTheme="minorEastAsia"/>
          <w:b/>
          <w:color w:val="1F497D" w:themeColor="text2"/>
          <w:sz w:val="32"/>
          <w:szCs w:val="28"/>
        </w:rPr>
        <w:instrText xml:space="preserve"> TOC \o "2-2" \h \z \t "Heading 1,1" </w:instrText>
      </w:r>
      <w:r>
        <w:rPr>
          <w:rFonts w:eastAsiaTheme="minorEastAsia"/>
          <w:b/>
          <w:color w:val="1F497D" w:themeColor="text2"/>
          <w:sz w:val="32"/>
          <w:szCs w:val="28"/>
        </w:rPr>
        <w:fldChar w:fldCharType="separate"/>
      </w:r>
      <w:hyperlink w:anchor="_Toc458001903" w:history="1">
        <w:r w:rsidR="004371D7" w:rsidRPr="007E78D2">
          <w:rPr>
            <w:rStyle w:val="Hyperlink"/>
            <w:noProof/>
          </w:rPr>
          <w:t>Executive summary</w:t>
        </w:r>
        <w:r w:rsidR="004371D7">
          <w:rPr>
            <w:noProof/>
            <w:webHidden/>
          </w:rPr>
          <w:tab/>
        </w:r>
        <w:r w:rsidR="004371D7">
          <w:rPr>
            <w:noProof/>
            <w:webHidden/>
          </w:rPr>
          <w:fldChar w:fldCharType="begin"/>
        </w:r>
        <w:r w:rsidR="004371D7">
          <w:rPr>
            <w:noProof/>
            <w:webHidden/>
          </w:rPr>
          <w:instrText xml:space="preserve"> PAGEREF _Toc458001903 \h </w:instrText>
        </w:r>
        <w:r w:rsidR="004371D7">
          <w:rPr>
            <w:noProof/>
            <w:webHidden/>
          </w:rPr>
        </w:r>
        <w:r w:rsidR="004371D7">
          <w:rPr>
            <w:noProof/>
            <w:webHidden/>
          </w:rPr>
          <w:fldChar w:fldCharType="separate"/>
        </w:r>
        <w:r w:rsidR="00453BA8">
          <w:rPr>
            <w:noProof/>
            <w:webHidden/>
          </w:rPr>
          <w:t>5</w:t>
        </w:r>
        <w:r w:rsidR="004371D7">
          <w:rPr>
            <w:noProof/>
            <w:webHidden/>
          </w:rPr>
          <w:fldChar w:fldCharType="end"/>
        </w:r>
      </w:hyperlink>
    </w:p>
    <w:p w14:paraId="0C98D37E" w14:textId="77777777" w:rsidR="004371D7" w:rsidRDefault="00342376">
      <w:pPr>
        <w:pStyle w:val="TOC1"/>
        <w:rPr>
          <w:rFonts w:eastAsiaTheme="minorEastAsia"/>
          <w:noProof/>
          <w:lang w:eastAsia="en-NZ"/>
        </w:rPr>
      </w:pPr>
      <w:hyperlink w:anchor="_Toc458001904" w:history="1">
        <w:r w:rsidR="004371D7" w:rsidRPr="007E78D2">
          <w:rPr>
            <w:rStyle w:val="Hyperlink"/>
            <w:noProof/>
          </w:rPr>
          <w:t>Part 1: Introduction</w:t>
        </w:r>
        <w:r w:rsidR="004371D7">
          <w:rPr>
            <w:noProof/>
            <w:webHidden/>
          </w:rPr>
          <w:tab/>
        </w:r>
        <w:r w:rsidR="004371D7">
          <w:rPr>
            <w:noProof/>
            <w:webHidden/>
          </w:rPr>
          <w:fldChar w:fldCharType="begin"/>
        </w:r>
        <w:r w:rsidR="004371D7">
          <w:rPr>
            <w:noProof/>
            <w:webHidden/>
          </w:rPr>
          <w:instrText xml:space="preserve"> PAGEREF _Toc458001904 \h </w:instrText>
        </w:r>
        <w:r w:rsidR="004371D7">
          <w:rPr>
            <w:noProof/>
            <w:webHidden/>
          </w:rPr>
        </w:r>
        <w:r w:rsidR="004371D7">
          <w:rPr>
            <w:noProof/>
            <w:webHidden/>
          </w:rPr>
          <w:fldChar w:fldCharType="separate"/>
        </w:r>
        <w:r w:rsidR="00453BA8">
          <w:rPr>
            <w:noProof/>
            <w:webHidden/>
          </w:rPr>
          <w:t>7</w:t>
        </w:r>
        <w:r w:rsidR="004371D7">
          <w:rPr>
            <w:noProof/>
            <w:webHidden/>
          </w:rPr>
          <w:fldChar w:fldCharType="end"/>
        </w:r>
      </w:hyperlink>
    </w:p>
    <w:p w14:paraId="5DF651C1" w14:textId="77777777" w:rsidR="004371D7" w:rsidRDefault="00342376">
      <w:pPr>
        <w:pStyle w:val="TOC2"/>
        <w:rPr>
          <w:rFonts w:eastAsiaTheme="minorEastAsia"/>
          <w:lang w:eastAsia="en-NZ"/>
        </w:rPr>
      </w:pPr>
      <w:hyperlink w:anchor="_Toc458001905" w:history="1">
        <w:r w:rsidR="004371D7" w:rsidRPr="007E78D2">
          <w:rPr>
            <w:rStyle w:val="Hyperlink"/>
          </w:rPr>
          <w:t>1.1 Overview and purpose of report</w:t>
        </w:r>
        <w:r w:rsidR="004371D7">
          <w:rPr>
            <w:webHidden/>
          </w:rPr>
          <w:tab/>
        </w:r>
        <w:r w:rsidR="004371D7">
          <w:rPr>
            <w:webHidden/>
          </w:rPr>
          <w:fldChar w:fldCharType="begin"/>
        </w:r>
        <w:r w:rsidR="004371D7">
          <w:rPr>
            <w:webHidden/>
          </w:rPr>
          <w:instrText xml:space="preserve"> PAGEREF _Toc458001905 \h </w:instrText>
        </w:r>
        <w:r w:rsidR="004371D7">
          <w:rPr>
            <w:webHidden/>
          </w:rPr>
        </w:r>
        <w:r w:rsidR="004371D7">
          <w:rPr>
            <w:webHidden/>
          </w:rPr>
          <w:fldChar w:fldCharType="separate"/>
        </w:r>
        <w:r w:rsidR="00453BA8">
          <w:rPr>
            <w:webHidden/>
          </w:rPr>
          <w:t>7</w:t>
        </w:r>
        <w:r w:rsidR="004371D7">
          <w:rPr>
            <w:webHidden/>
          </w:rPr>
          <w:fldChar w:fldCharType="end"/>
        </w:r>
      </w:hyperlink>
    </w:p>
    <w:p w14:paraId="4DAB2FCE" w14:textId="77777777" w:rsidR="004371D7" w:rsidRDefault="00342376">
      <w:pPr>
        <w:pStyle w:val="TOC2"/>
        <w:rPr>
          <w:rFonts w:eastAsiaTheme="minorEastAsia"/>
          <w:lang w:eastAsia="en-NZ"/>
        </w:rPr>
      </w:pPr>
      <w:hyperlink w:anchor="_Toc458001906" w:history="1">
        <w:r w:rsidR="004371D7" w:rsidRPr="007E78D2">
          <w:rPr>
            <w:rStyle w:val="Hyperlink"/>
          </w:rPr>
          <w:t>1.2 Background to this research</w:t>
        </w:r>
        <w:r w:rsidR="004371D7">
          <w:rPr>
            <w:webHidden/>
          </w:rPr>
          <w:tab/>
        </w:r>
        <w:r w:rsidR="004371D7">
          <w:rPr>
            <w:webHidden/>
          </w:rPr>
          <w:fldChar w:fldCharType="begin"/>
        </w:r>
        <w:r w:rsidR="004371D7">
          <w:rPr>
            <w:webHidden/>
          </w:rPr>
          <w:instrText xml:space="preserve"> PAGEREF _Toc458001906 \h </w:instrText>
        </w:r>
        <w:r w:rsidR="004371D7">
          <w:rPr>
            <w:webHidden/>
          </w:rPr>
        </w:r>
        <w:r w:rsidR="004371D7">
          <w:rPr>
            <w:webHidden/>
          </w:rPr>
          <w:fldChar w:fldCharType="separate"/>
        </w:r>
        <w:r w:rsidR="00453BA8">
          <w:rPr>
            <w:webHidden/>
          </w:rPr>
          <w:t>8</w:t>
        </w:r>
        <w:r w:rsidR="004371D7">
          <w:rPr>
            <w:webHidden/>
          </w:rPr>
          <w:fldChar w:fldCharType="end"/>
        </w:r>
      </w:hyperlink>
    </w:p>
    <w:p w14:paraId="3B55D1BF" w14:textId="77777777" w:rsidR="004371D7" w:rsidRDefault="00342376">
      <w:pPr>
        <w:pStyle w:val="TOC2"/>
        <w:rPr>
          <w:rFonts w:eastAsiaTheme="minorEastAsia"/>
          <w:lang w:eastAsia="en-NZ"/>
        </w:rPr>
      </w:pPr>
      <w:hyperlink w:anchor="_Toc458001907" w:history="1">
        <w:r w:rsidR="004371D7" w:rsidRPr="007E78D2">
          <w:rPr>
            <w:rStyle w:val="Hyperlink"/>
          </w:rPr>
          <w:t>1.3 Methodology</w:t>
        </w:r>
        <w:r w:rsidR="004371D7">
          <w:rPr>
            <w:webHidden/>
          </w:rPr>
          <w:tab/>
        </w:r>
        <w:r w:rsidR="004371D7">
          <w:rPr>
            <w:webHidden/>
          </w:rPr>
          <w:fldChar w:fldCharType="begin"/>
        </w:r>
        <w:r w:rsidR="004371D7">
          <w:rPr>
            <w:webHidden/>
          </w:rPr>
          <w:instrText xml:space="preserve"> PAGEREF _Toc458001907 \h </w:instrText>
        </w:r>
        <w:r w:rsidR="004371D7">
          <w:rPr>
            <w:webHidden/>
          </w:rPr>
        </w:r>
        <w:r w:rsidR="004371D7">
          <w:rPr>
            <w:webHidden/>
          </w:rPr>
          <w:fldChar w:fldCharType="separate"/>
        </w:r>
        <w:r w:rsidR="00453BA8">
          <w:rPr>
            <w:webHidden/>
          </w:rPr>
          <w:t>9</w:t>
        </w:r>
        <w:r w:rsidR="004371D7">
          <w:rPr>
            <w:webHidden/>
          </w:rPr>
          <w:fldChar w:fldCharType="end"/>
        </w:r>
      </w:hyperlink>
    </w:p>
    <w:p w14:paraId="665C530B" w14:textId="77777777" w:rsidR="004371D7" w:rsidRDefault="00342376">
      <w:pPr>
        <w:pStyle w:val="TOC1"/>
        <w:rPr>
          <w:rFonts w:eastAsiaTheme="minorEastAsia"/>
          <w:noProof/>
          <w:lang w:eastAsia="en-NZ"/>
        </w:rPr>
      </w:pPr>
      <w:hyperlink w:anchor="_Toc458001908" w:history="1">
        <w:r w:rsidR="004371D7" w:rsidRPr="007E78D2">
          <w:rPr>
            <w:rStyle w:val="Hyperlink"/>
            <w:noProof/>
          </w:rPr>
          <w:t>Part 2: Compliance, monitoring and enforcement regulatory settings</w:t>
        </w:r>
        <w:r w:rsidR="004371D7">
          <w:rPr>
            <w:noProof/>
            <w:webHidden/>
          </w:rPr>
          <w:tab/>
        </w:r>
        <w:r w:rsidR="004371D7">
          <w:rPr>
            <w:noProof/>
            <w:webHidden/>
          </w:rPr>
          <w:fldChar w:fldCharType="begin"/>
        </w:r>
        <w:r w:rsidR="004371D7">
          <w:rPr>
            <w:noProof/>
            <w:webHidden/>
          </w:rPr>
          <w:instrText xml:space="preserve"> PAGEREF _Toc458001908 \h </w:instrText>
        </w:r>
        <w:r w:rsidR="004371D7">
          <w:rPr>
            <w:noProof/>
            <w:webHidden/>
          </w:rPr>
        </w:r>
        <w:r w:rsidR="004371D7">
          <w:rPr>
            <w:noProof/>
            <w:webHidden/>
          </w:rPr>
          <w:fldChar w:fldCharType="separate"/>
        </w:r>
        <w:r w:rsidR="00453BA8">
          <w:rPr>
            <w:noProof/>
            <w:webHidden/>
          </w:rPr>
          <w:t>12</w:t>
        </w:r>
        <w:r w:rsidR="004371D7">
          <w:rPr>
            <w:noProof/>
            <w:webHidden/>
          </w:rPr>
          <w:fldChar w:fldCharType="end"/>
        </w:r>
      </w:hyperlink>
    </w:p>
    <w:p w14:paraId="7EEAB1D9" w14:textId="77777777" w:rsidR="004371D7" w:rsidRDefault="00342376">
      <w:pPr>
        <w:pStyle w:val="TOC1"/>
        <w:rPr>
          <w:rFonts w:eastAsiaTheme="minorEastAsia"/>
          <w:noProof/>
          <w:lang w:eastAsia="en-NZ"/>
        </w:rPr>
      </w:pPr>
      <w:hyperlink w:anchor="_Toc458001909" w:history="1">
        <w:r w:rsidR="004371D7" w:rsidRPr="007E78D2">
          <w:rPr>
            <w:rStyle w:val="Hyperlink"/>
            <w:noProof/>
          </w:rPr>
          <w:t>Part 3: Compliance and enforcement trends and issues</w:t>
        </w:r>
        <w:r w:rsidR="004371D7">
          <w:rPr>
            <w:noProof/>
            <w:webHidden/>
          </w:rPr>
          <w:tab/>
        </w:r>
        <w:r w:rsidR="004371D7">
          <w:rPr>
            <w:noProof/>
            <w:webHidden/>
          </w:rPr>
          <w:fldChar w:fldCharType="begin"/>
        </w:r>
        <w:r w:rsidR="004371D7">
          <w:rPr>
            <w:noProof/>
            <w:webHidden/>
          </w:rPr>
          <w:instrText xml:space="preserve"> PAGEREF _Toc458001909 \h </w:instrText>
        </w:r>
        <w:r w:rsidR="004371D7">
          <w:rPr>
            <w:noProof/>
            <w:webHidden/>
          </w:rPr>
        </w:r>
        <w:r w:rsidR="004371D7">
          <w:rPr>
            <w:noProof/>
            <w:webHidden/>
          </w:rPr>
          <w:fldChar w:fldCharType="separate"/>
        </w:r>
        <w:r w:rsidR="00453BA8">
          <w:rPr>
            <w:noProof/>
            <w:webHidden/>
          </w:rPr>
          <w:t>17</w:t>
        </w:r>
        <w:r w:rsidR="004371D7">
          <w:rPr>
            <w:noProof/>
            <w:webHidden/>
          </w:rPr>
          <w:fldChar w:fldCharType="end"/>
        </w:r>
      </w:hyperlink>
    </w:p>
    <w:p w14:paraId="0CB5BE68" w14:textId="77777777" w:rsidR="004371D7" w:rsidRDefault="00342376">
      <w:pPr>
        <w:pStyle w:val="TOC2"/>
        <w:rPr>
          <w:rFonts w:eastAsiaTheme="minorEastAsia"/>
          <w:lang w:eastAsia="en-NZ"/>
        </w:rPr>
      </w:pPr>
      <w:hyperlink w:anchor="_Toc458001910" w:history="1">
        <w:r w:rsidR="004371D7" w:rsidRPr="007E78D2">
          <w:rPr>
            <w:rStyle w:val="Hyperlink"/>
          </w:rPr>
          <w:t>3.1 Variations in council approaches to compliance, monitoring and enforcement</w:t>
        </w:r>
        <w:r w:rsidR="004371D7">
          <w:rPr>
            <w:webHidden/>
          </w:rPr>
          <w:tab/>
        </w:r>
        <w:r w:rsidR="004371D7">
          <w:rPr>
            <w:webHidden/>
          </w:rPr>
          <w:fldChar w:fldCharType="begin"/>
        </w:r>
        <w:r w:rsidR="004371D7">
          <w:rPr>
            <w:webHidden/>
          </w:rPr>
          <w:instrText xml:space="preserve"> PAGEREF _Toc458001910 \h </w:instrText>
        </w:r>
        <w:r w:rsidR="004371D7">
          <w:rPr>
            <w:webHidden/>
          </w:rPr>
        </w:r>
        <w:r w:rsidR="004371D7">
          <w:rPr>
            <w:webHidden/>
          </w:rPr>
          <w:fldChar w:fldCharType="separate"/>
        </w:r>
        <w:r w:rsidR="00453BA8">
          <w:rPr>
            <w:webHidden/>
          </w:rPr>
          <w:t>17</w:t>
        </w:r>
        <w:r w:rsidR="004371D7">
          <w:rPr>
            <w:webHidden/>
          </w:rPr>
          <w:fldChar w:fldCharType="end"/>
        </w:r>
      </w:hyperlink>
    </w:p>
    <w:p w14:paraId="335656E7" w14:textId="77777777" w:rsidR="004371D7" w:rsidRDefault="00342376">
      <w:pPr>
        <w:pStyle w:val="TOC2"/>
        <w:rPr>
          <w:rFonts w:eastAsiaTheme="minorEastAsia"/>
          <w:lang w:eastAsia="en-NZ"/>
        </w:rPr>
      </w:pPr>
      <w:hyperlink w:anchor="_Toc458001911" w:history="1">
        <w:r w:rsidR="004371D7" w:rsidRPr="007E78D2">
          <w:rPr>
            <w:rStyle w:val="Hyperlink"/>
          </w:rPr>
          <w:t>3.2 Effectiveness of council compliance, monitoring and enforcement</w:t>
        </w:r>
        <w:r w:rsidR="004371D7">
          <w:rPr>
            <w:webHidden/>
          </w:rPr>
          <w:tab/>
        </w:r>
        <w:r w:rsidR="004371D7">
          <w:rPr>
            <w:webHidden/>
          </w:rPr>
          <w:fldChar w:fldCharType="begin"/>
        </w:r>
        <w:r w:rsidR="004371D7">
          <w:rPr>
            <w:webHidden/>
          </w:rPr>
          <w:instrText xml:space="preserve"> PAGEREF _Toc458001911 \h </w:instrText>
        </w:r>
        <w:r w:rsidR="004371D7">
          <w:rPr>
            <w:webHidden/>
          </w:rPr>
        </w:r>
        <w:r w:rsidR="004371D7">
          <w:rPr>
            <w:webHidden/>
          </w:rPr>
          <w:fldChar w:fldCharType="separate"/>
        </w:r>
        <w:r w:rsidR="00453BA8">
          <w:rPr>
            <w:webHidden/>
          </w:rPr>
          <w:t>32</w:t>
        </w:r>
        <w:r w:rsidR="004371D7">
          <w:rPr>
            <w:webHidden/>
          </w:rPr>
          <w:fldChar w:fldCharType="end"/>
        </w:r>
      </w:hyperlink>
    </w:p>
    <w:p w14:paraId="12509B76" w14:textId="77777777" w:rsidR="004371D7" w:rsidRDefault="00342376">
      <w:pPr>
        <w:pStyle w:val="TOC1"/>
        <w:rPr>
          <w:rFonts w:eastAsiaTheme="minorEastAsia"/>
          <w:noProof/>
          <w:lang w:eastAsia="en-NZ"/>
        </w:rPr>
      </w:pPr>
      <w:hyperlink w:anchor="_Toc458001912" w:history="1">
        <w:r w:rsidR="004371D7" w:rsidRPr="007E78D2">
          <w:rPr>
            <w:rStyle w:val="Hyperlink"/>
            <w:noProof/>
          </w:rPr>
          <w:t>Part 4: Looking forward – opportunities for improvement</w:t>
        </w:r>
        <w:r w:rsidR="004371D7">
          <w:rPr>
            <w:noProof/>
            <w:webHidden/>
          </w:rPr>
          <w:tab/>
        </w:r>
        <w:r w:rsidR="004371D7">
          <w:rPr>
            <w:noProof/>
            <w:webHidden/>
          </w:rPr>
          <w:fldChar w:fldCharType="begin"/>
        </w:r>
        <w:r w:rsidR="004371D7">
          <w:rPr>
            <w:noProof/>
            <w:webHidden/>
          </w:rPr>
          <w:instrText xml:space="preserve"> PAGEREF _Toc458001912 \h </w:instrText>
        </w:r>
        <w:r w:rsidR="004371D7">
          <w:rPr>
            <w:noProof/>
            <w:webHidden/>
          </w:rPr>
        </w:r>
        <w:r w:rsidR="004371D7">
          <w:rPr>
            <w:noProof/>
            <w:webHidden/>
          </w:rPr>
          <w:fldChar w:fldCharType="separate"/>
        </w:r>
        <w:r w:rsidR="00453BA8">
          <w:rPr>
            <w:noProof/>
            <w:webHidden/>
          </w:rPr>
          <w:t>38</w:t>
        </w:r>
        <w:r w:rsidR="004371D7">
          <w:rPr>
            <w:noProof/>
            <w:webHidden/>
          </w:rPr>
          <w:fldChar w:fldCharType="end"/>
        </w:r>
      </w:hyperlink>
    </w:p>
    <w:p w14:paraId="3968B28B" w14:textId="77777777" w:rsidR="004371D7" w:rsidRDefault="00342376">
      <w:pPr>
        <w:pStyle w:val="TOC2"/>
        <w:rPr>
          <w:rFonts w:eastAsiaTheme="minorEastAsia"/>
          <w:lang w:eastAsia="en-NZ"/>
        </w:rPr>
      </w:pPr>
      <w:hyperlink w:anchor="_Toc458001913" w:history="1">
        <w:r w:rsidR="004371D7" w:rsidRPr="007E78D2">
          <w:rPr>
            <w:rStyle w:val="Hyperlink"/>
          </w:rPr>
          <w:t>4.1 Coordination of compliance activities</w:t>
        </w:r>
        <w:r w:rsidR="004371D7">
          <w:rPr>
            <w:webHidden/>
          </w:rPr>
          <w:tab/>
        </w:r>
        <w:r w:rsidR="004371D7">
          <w:rPr>
            <w:webHidden/>
          </w:rPr>
          <w:fldChar w:fldCharType="begin"/>
        </w:r>
        <w:r w:rsidR="004371D7">
          <w:rPr>
            <w:webHidden/>
          </w:rPr>
          <w:instrText xml:space="preserve"> PAGEREF _Toc458001913 \h </w:instrText>
        </w:r>
        <w:r w:rsidR="004371D7">
          <w:rPr>
            <w:webHidden/>
          </w:rPr>
        </w:r>
        <w:r w:rsidR="004371D7">
          <w:rPr>
            <w:webHidden/>
          </w:rPr>
          <w:fldChar w:fldCharType="separate"/>
        </w:r>
        <w:r w:rsidR="00453BA8">
          <w:rPr>
            <w:webHidden/>
          </w:rPr>
          <w:t>38</w:t>
        </w:r>
        <w:r w:rsidR="004371D7">
          <w:rPr>
            <w:webHidden/>
          </w:rPr>
          <w:fldChar w:fldCharType="end"/>
        </w:r>
      </w:hyperlink>
    </w:p>
    <w:p w14:paraId="00964C93" w14:textId="77777777" w:rsidR="004371D7" w:rsidRDefault="00342376">
      <w:pPr>
        <w:pStyle w:val="TOC2"/>
        <w:rPr>
          <w:rFonts w:eastAsiaTheme="minorEastAsia"/>
          <w:lang w:eastAsia="en-NZ"/>
        </w:rPr>
      </w:pPr>
      <w:hyperlink w:anchor="_Toc458001914" w:history="1">
        <w:r w:rsidR="004371D7" w:rsidRPr="007E78D2">
          <w:rPr>
            <w:rStyle w:val="Hyperlink"/>
          </w:rPr>
          <w:t>4.2 Community and iwi involvement</w:t>
        </w:r>
        <w:r w:rsidR="004371D7">
          <w:rPr>
            <w:webHidden/>
          </w:rPr>
          <w:tab/>
        </w:r>
        <w:r w:rsidR="004371D7">
          <w:rPr>
            <w:webHidden/>
          </w:rPr>
          <w:fldChar w:fldCharType="begin"/>
        </w:r>
        <w:r w:rsidR="004371D7">
          <w:rPr>
            <w:webHidden/>
          </w:rPr>
          <w:instrText xml:space="preserve"> PAGEREF _Toc458001914 \h </w:instrText>
        </w:r>
        <w:r w:rsidR="004371D7">
          <w:rPr>
            <w:webHidden/>
          </w:rPr>
        </w:r>
        <w:r w:rsidR="004371D7">
          <w:rPr>
            <w:webHidden/>
          </w:rPr>
          <w:fldChar w:fldCharType="separate"/>
        </w:r>
        <w:r w:rsidR="00453BA8">
          <w:rPr>
            <w:webHidden/>
          </w:rPr>
          <w:t>38</w:t>
        </w:r>
        <w:r w:rsidR="004371D7">
          <w:rPr>
            <w:webHidden/>
          </w:rPr>
          <w:fldChar w:fldCharType="end"/>
        </w:r>
      </w:hyperlink>
    </w:p>
    <w:p w14:paraId="21046138" w14:textId="77777777" w:rsidR="004371D7" w:rsidRDefault="00342376">
      <w:pPr>
        <w:pStyle w:val="TOC2"/>
        <w:rPr>
          <w:rFonts w:eastAsiaTheme="minorEastAsia"/>
          <w:lang w:eastAsia="en-NZ"/>
        </w:rPr>
      </w:pPr>
      <w:hyperlink w:anchor="_Toc458001915" w:history="1">
        <w:r w:rsidR="004371D7" w:rsidRPr="007E78D2">
          <w:rPr>
            <w:rStyle w:val="Hyperlink"/>
          </w:rPr>
          <w:t>4.3 Role of central government</w:t>
        </w:r>
        <w:r w:rsidR="004371D7">
          <w:rPr>
            <w:webHidden/>
          </w:rPr>
          <w:tab/>
        </w:r>
        <w:r w:rsidR="004371D7">
          <w:rPr>
            <w:webHidden/>
          </w:rPr>
          <w:fldChar w:fldCharType="begin"/>
        </w:r>
        <w:r w:rsidR="004371D7">
          <w:rPr>
            <w:webHidden/>
          </w:rPr>
          <w:instrText xml:space="preserve"> PAGEREF _Toc458001915 \h </w:instrText>
        </w:r>
        <w:r w:rsidR="004371D7">
          <w:rPr>
            <w:webHidden/>
          </w:rPr>
        </w:r>
        <w:r w:rsidR="004371D7">
          <w:rPr>
            <w:webHidden/>
          </w:rPr>
          <w:fldChar w:fldCharType="separate"/>
        </w:r>
        <w:r w:rsidR="00453BA8">
          <w:rPr>
            <w:webHidden/>
          </w:rPr>
          <w:t>39</w:t>
        </w:r>
        <w:r w:rsidR="004371D7">
          <w:rPr>
            <w:webHidden/>
          </w:rPr>
          <w:fldChar w:fldCharType="end"/>
        </w:r>
      </w:hyperlink>
    </w:p>
    <w:p w14:paraId="40127591" w14:textId="77777777" w:rsidR="004371D7" w:rsidRDefault="00342376">
      <w:pPr>
        <w:pStyle w:val="TOC2"/>
        <w:rPr>
          <w:rFonts w:eastAsiaTheme="minorEastAsia"/>
          <w:lang w:eastAsia="en-NZ"/>
        </w:rPr>
      </w:pPr>
      <w:hyperlink w:anchor="_Toc458001916" w:history="1">
        <w:r w:rsidR="004371D7" w:rsidRPr="007E78D2">
          <w:rPr>
            <w:rStyle w:val="Hyperlink"/>
          </w:rPr>
          <w:t>4.4 Consequences of non-compliance</w:t>
        </w:r>
        <w:r w:rsidR="004371D7">
          <w:rPr>
            <w:webHidden/>
          </w:rPr>
          <w:tab/>
        </w:r>
        <w:r w:rsidR="004371D7">
          <w:rPr>
            <w:webHidden/>
          </w:rPr>
          <w:fldChar w:fldCharType="begin"/>
        </w:r>
        <w:r w:rsidR="004371D7">
          <w:rPr>
            <w:webHidden/>
          </w:rPr>
          <w:instrText xml:space="preserve"> PAGEREF _Toc458001916 \h </w:instrText>
        </w:r>
        <w:r w:rsidR="004371D7">
          <w:rPr>
            <w:webHidden/>
          </w:rPr>
        </w:r>
        <w:r w:rsidR="004371D7">
          <w:rPr>
            <w:webHidden/>
          </w:rPr>
          <w:fldChar w:fldCharType="separate"/>
        </w:r>
        <w:r w:rsidR="00453BA8">
          <w:rPr>
            <w:webHidden/>
          </w:rPr>
          <w:t>41</w:t>
        </w:r>
        <w:r w:rsidR="004371D7">
          <w:rPr>
            <w:webHidden/>
          </w:rPr>
          <w:fldChar w:fldCharType="end"/>
        </w:r>
      </w:hyperlink>
    </w:p>
    <w:p w14:paraId="1F3500F3" w14:textId="77777777" w:rsidR="004371D7" w:rsidRDefault="00342376">
      <w:pPr>
        <w:pStyle w:val="TOC2"/>
        <w:rPr>
          <w:rFonts w:eastAsiaTheme="minorEastAsia"/>
          <w:lang w:eastAsia="en-NZ"/>
        </w:rPr>
      </w:pPr>
      <w:hyperlink w:anchor="_Toc458001917" w:history="1">
        <w:r w:rsidR="004371D7" w:rsidRPr="007E78D2">
          <w:rPr>
            <w:rStyle w:val="Hyperlink"/>
          </w:rPr>
          <w:t>4.5 Monitoring approaches</w:t>
        </w:r>
        <w:r w:rsidR="004371D7">
          <w:rPr>
            <w:webHidden/>
          </w:rPr>
          <w:tab/>
        </w:r>
        <w:r w:rsidR="004371D7">
          <w:rPr>
            <w:webHidden/>
          </w:rPr>
          <w:fldChar w:fldCharType="begin"/>
        </w:r>
        <w:r w:rsidR="004371D7">
          <w:rPr>
            <w:webHidden/>
          </w:rPr>
          <w:instrText xml:space="preserve"> PAGEREF _Toc458001917 \h </w:instrText>
        </w:r>
        <w:r w:rsidR="004371D7">
          <w:rPr>
            <w:webHidden/>
          </w:rPr>
        </w:r>
        <w:r w:rsidR="004371D7">
          <w:rPr>
            <w:webHidden/>
          </w:rPr>
          <w:fldChar w:fldCharType="separate"/>
        </w:r>
        <w:r w:rsidR="00453BA8">
          <w:rPr>
            <w:webHidden/>
          </w:rPr>
          <w:t>43</w:t>
        </w:r>
        <w:r w:rsidR="004371D7">
          <w:rPr>
            <w:webHidden/>
          </w:rPr>
          <w:fldChar w:fldCharType="end"/>
        </w:r>
      </w:hyperlink>
    </w:p>
    <w:p w14:paraId="4F722E29" w14:textId="77777777" w:rsidR="004371D7" w:rsidRDefault="00342376">
      <w:pPr>
        <w:pStyle w:val="TOC1"/>
        <w:rPr>
          <w:rFonts w:eastAsiaTheme="minorEastAsia"/>
          <w:noProof/>
          <w:lang w:eastAsia="en-NZ"/>
        </w:rPr>
      </w:pPr>
      <w:hyperlink w:anchor="_Toc458001918" w:history="1">
        <w:r w:rsidR="004371D7" w:rsidRPr="007E78D2">
          <w:rPr>
            <w:rStyle w:val="Hyperlink"/>
            <w:noProof/>
          </w:rPr>
          <w:t>Part 5: Conclusions</w:t>
        </w:r>
        <w:r w:rsidR="004371D7">
          <w:rPr>
            <w:noProof/>
            <w:webHidden/>
          </w:rPr>
          <w:tab/>
        </w:r>
        <w:r w:rsidR="004371D7">
          <w:rPr>
            <w:noProof/>
            <w:webHidden/>
          </w:rPr>
          <w:fldChar w:fldCharType="begin"/>
        </w:r>
        <w:r w:rsidR="004371D7">
          <w:rPr>
            <w:noProof/>
            <w:webHidden/>
          </w:rPr>
          <w:instrText xml:space="preserve"> PAGEREF _Toc458001918 \h </w:instrText>
        </w:r>
        <w:r w:rsidR="004371D7">
          <w:rPr>
            <w:noProof/>
            <w:webHidden/>
          </w:rPr>
        </w:r>
        <w:r w:rsidR="004371D7">
          <w:rPr>
            <w:noProof/>
            <w:webHidden/>
          </w:rPr>
          <w:fldChar w:fldCharType="separate"/>
        </w:r>
        <w:r w:rsidR="00453BA8">
          <w:rPr>
            <w:noProof/>
            <w:webHidden/>
          </w:rPr>
          <w:t>44</w:t>
        </w:r>
        <w:r w:rsidR="004371D7">
          <w:rPr>
            <w:noProof/>
            <w:webHidden/>
          </w:rPr>
          <w:fldChar w:fldCharType="end"/>
        </w:r>
      </w:hyperlink>
    </w:p>
    <w:p w14:paraId="6A61CA76" w14:textId="77777777" w:rsidR="004371D7" w:rsidRDefault="00342376">
      <w:pPr>
        <w:pStyle w:val="TOC1"/>
        <w:rPr>
          <w:rFonts w:eastAsiaTheme="minorEastAsia"/>
          <w:noProof/>
          <w:lang w:eastAsia="en-NZ"/>
        </w:rPr>
      </w:pPr>
      <w:hyperlink w:anchor="_Toc458001919" w:history="1">
        <w:r w:rsidR="004371D7" w:rsidRPr="007E78D2">
          <w:rPr>
            <w:rStyle w:val="Hyperlink"/>
            <w:noProof/>
          </w:rPr>
          <w:t>References</w:t>
        </w:r>
        <w:r w:rsidR="004371D7">
          <w:rPr>
            <w:noProof/>
            <w:webHidden/>
          </w:rPr>
          <w:tab/>
        </w:r>
        <w:r w:rsidR="004371D7">
          <w:rPr>
            <w:noProof/>
            <w:webHidden/>
          </w:rPr>
          <w:fldChar w:fldCharType="begin"/>
        </w:r>
        <w:r w:rsidR="004371D7">
          <w:rPr>
            <w:noProof/>
            <w:webHidden/>
          </w:rPr>
          <w:instrText xml:space="preserve"> PAGEREF _Toc458001919 \h </w:instrText>
        </w:r>
        <w:r w:rsidR="004371D7">
          <w:rPr>
            <w:noProof/>
            <w:webHidden/>
          </w:rPr>
        </w:r>
        <w:r w:rsidR="004371D7">
          <w:rPr>
            <w:noProof/>
            <w:webHidden/>
          </w:rPr>
          <w:fldChar w:fldCharType="separate"/>
        </w:r>
        <w:r w:rsidR="00453BA8">
          <w:rPr>
            <w:noProof/>
            <w:webHidden/>
          </w:rPr>
          <w:t>46</w:t>
        </w:r>
        <w:r w:rsidR="004371D7">
          <w:rPr>
            <w:noProof/>
            <w:webHidden/>
          </w:rPr>
          <w:fldChar w:fldCharType="end"/>
        </w:r>
      </w:hyperlink>
    </w:p>
    <w:p w14:paraId="65668BD1" w14:textId="07E4B81D" w:rsidR="001D7D2A" w:rsidRPr="00580905" w:rsidRDefault="0018011C" w:rsidP="00EC5DAC">
      <w:r>
        <w:rPr>
          <w:rFonts w:eastAsiaTheme="minorEastAsia"/>
          <w:b/>
          <w:color w:val="1F497D" w:themeColor="text2"/>
          <w:sz w:val="32"/>
          <w:szCs w:val="28"/>
        </w:rPr>
        <w:fldChar w:fldCharType="end"/>
      </w:r>
    </w:p>
    <w:p w14:paraId="305E2C55" w14:textId="77777777" w:rsidR="0018011C" w:rsidRDefault="0018011C" w:rsidP="002874EF">
      <w:pPr>
        <w:pStyle w:val="BodyText"/>
      </w:pPr>
      <w:bookmarkStart w:id="1" w:name="_Toc456343375"/>
    </w:p>
    <w:p w14:paraId="1335D941" w14:textId="77777777" w:rsidR="0018011C" w:rsidRDefault="0018011C">
      <w:pPr>
        <w:rPr>
          <w:rFonts w:eastAsiaTheme="minorEastAsia"/>
          <w:lang w:eastAsia="en-NZ"/>
        </w:rPr>
      </w:pPr>
      <w:r>
        <w:br w:type="page"/>
      </w:r>
    </w:p>
    <w:p w14:paraId="13DC426C" w14:textId="30354B4B" w:rsidR="0018011C" w:rsidRDefault="0018011C" w:rsidP="0018011C">
      <w:pPr>
        <w:pStyle w:val="TOCHeading"/>
      </w:pPr>
      <w:r>
        <w:lastRenderedPageBreak/>
        <w:t>Tables</w:t>
      </w:r>
    </w:p>
    <w:p w14:paraId="1282A09A" w14:textId="77777777" w:rsidR="009D6E97" w:rsidRDefault="0018011C">
      <w:pPr>
        <w:pStyle w:val="TableofFigures"/>
        <w:tabs>
          <w:tab w:val="right" w:pos="8493"/>
        </w:tabs>
        <w:rPr>
          <w:rFonts w:eastAsiaTheme="minorEastAsia" w:cstheme="minorBidi"/>
          <w:noProof/>
          <w:sz w:val="22"/>
          <w:szCs w:val="22"/>
          <w:lang w:eastAsia="en-NZ"/>
        </w:rPr>
      </w:pPr>
      <w:r>
        <w:fldChar w:fldCharType="begin"/>
      </w:r>
      <w:r>
        <w:instrText xml:space="preserve"> TOC \h \z \t "Table heading" \c </w:instrText>
      </w:r>
      <w:r>
        <w:fldChar w:fldCharType="separate"/>
      </w:r>
      <w:hyperlink w:anchor="_Toc473795831" w:history="1">
        <w:r w:rsidR="009D6E97" w:rsidRPr="001916E0">
          <w:rPr>
            <w:rStyle w:val="Hyperlink"/>
            <w:noProof/>
          </w:rPr>
          <w:t>Table 1:</w:t>
        </w:r>
        <w:r w:rsidR="009D6E97">
          <w:rPr>
            <w:rFonts w:eastAsiaTheme="minorEastAsia" w:cstheme="minorBidi"/>
            <w:noProof/>
            <w:sz w:val="22"/>
            <w:szCs w:val="22"/>
            <w:lang w:eastAsia="en-NZ"/>
          </w:rPr>
          <w:tab/>
        </w:r>
        <w:r w:rsidR="009D6E97" w:rsidRPr="001916E0">
          <w:rPr>
            <w:rStyle w:val="Hyperlink"/>
            <w:noProof/>
          </w:rPr>
          <w:t>Demographics of, and issues faced by, councils included in this study</w:t>
        </w:r>
        <w:r w:rsidR="009D6E97">
          <w:rPr>
            <w:noProof/>
            <w:webHidden/>
          </w:rPr>
          <w:tab/>
        </w:r>
        <w:r w:rsidR="009D6E97">
          <w:rPr>
            <w:noProof/>
            <w:webHidden/>
          </w:rPr>
          <w:fldChar w:fldCharType="begin"/>
        </w:r>
        <w:r w:rsidR="009D6E97">
          <w:rPr>
            <w:noProof/>
            <w:webHidden/>
          </w:rPr>
          <w:instrText xml:space="preserve"> PAGEREF _Toc473795831 \h </w:instrText>
        </w:r>
        <w:r w:rsidR="009D6E97">
          <w:rPr>
            <w:noProof/>
            <w:webHidden/>
          </w:rPr>
        </w:r>
        <w:r w:rsidR="009D6E97">
          <w:rPr>
            <w:noProof/>
            <w:webHidden/>
          </w:rPr>
          <w:fldChar w:fldCharType="separate"/>
        </w:r>
        <w:r w:rsidR="00453BA8">
          <w:rPr>
            <w:noProof/>
            <w:webHidden/>
          </w:rPr>
          <w:t>10</w:t>
        </w:r>
        <w:r w:rsidR="009D6E97">
          <w:rPr>
            <w:noProof/>
            <w:webHidden/>
          </w:rPr>
          <w:fldChar w:fldCharType="end"/>
        </w:r>
      </w:hyperlink>
    </w:p>
    <w:p w14:paraId="3857EF70" w14:textId="77777777" w:rsidR="009D6E97" w:rsidRDefault="00342376">
      <w:pPr>
        <w:pStyle w:val="TableofFigures"/>
        <w:tabs>
          <w:tab w:val="right" w:pos="8493"/>
        </w:tabs>
        <w:rPr>
          <w:rFonts w:eastAsiaTheme="minorEastAsia" w:cstheme="minorBidi"/>
          <w:noProof/>
          <w:sz w:val="22"/>
          <w:szCs w:val="22"/>
          <w:lang w:eastAsia="en-NZ"/>
        </w:rPr>
      </w:pPr>
      <w:hyperlink w:anchor="_Toc473795832" w:history="1">
        <w:r w:rsidR="009D6E97" w:rsidRPr="001916E0">
          <w:rPr>
            <w:rStyle w:val="Hyperlink"/>
            <w:noProof/>
          </w:rPr>
          <w:t>Table 2:</w:t>
        </w:r>
        <w:r w:rsidR="009D6E97">
          <w:rPr>
            <w:rFonts w:eastAsiaTheme="minorEastAsia" w:cstheme="minorBidi"/>
            <w:noProof/>
            <w:sz w:val="22"/>
            <w:szCs w:val="22"/>
            <w:lang w:eastAsia="en-NZ"/>
          </w:rPr>
          <w:tab/>
        </w:r>
        <w:r w:rsidR="009D6E97" w:rsidRPr="001916E0">
          <w:rPr>
            <w:rStyle w:val="Hyperlink"/>
            <w:noProof/>
          </w:rPr>
          <w:t>Non-statutory and statutory enforcement actions</w:t>
        </w:r>
        <w:r w:rsidR="009D6E97">
          <w:rPr>
            <w:noProof/>
            <w:webHidden/>
          </w:rPr>
          <w:tab/>
        </w:r>
        <w:r w:rsidR="009D6E97">
          <w:rPr>
            <w:noProof/>
            <w:webHidden/>
          </w:rPr>
          <w:fldChar w:fldCharType="begin"/>
        </w:r>
        <w:r w:rsidR="009D6E97">
          <w:rPr>
            <w:noProof/>
            <w:webHidden/>
          </w:rPr>
          <w:instrText xml:space="preserve"> PAGEREF _Toc473795832 \h </w:instrText>
        </w:r>
        <w:r w:rsidR="009D6E97">
          <w:rPr>
            <w:noProof/>
            <w:webHidden/>
          </w:rPr>
        </w:r>
        <w:r w:rsidR="009D6E97">
          <w:rPr>
            <w:noProof/>
            <w:webHidden/>
          </w:rPr>
          <w:fldChar w:fldCharType="separate"/>
        </w:r>
        <w:r w:rsidR="00453BA8">
          <w:rPr>
            <w:noProof/>
            <w:webHidden/>
          </w:rPr>
          <w:t>14</w:t>
        </w:r>
        <w:r w:rsidR="009D6E97">
          <w:rPr>
            <w:noProof/>
            <w:webHidden/>
          </w:rPr>
          <w:fldChar w:fldCharType="end"/>
        </w:r>
      </w:hyperlink>
    </w:p>
    <w:p w14:paraId="20897E12" w14:textId="77777777" w:rsidR="009D6E97" w:rsidRDefault="00342376">
      <w:pPr>
        <w:pStyle w:val="TableofFigures"/>
        <w:tabs>
          <w:tab w:val="right" w:pos="8493"/>
        </w:tabs>
        <w:rPr>
          <w:rFonts w:eastAsiaTheme="minorEastAsia" w:cstheme="minorBidi"/>
          <w:noProof/>
          <w:sz w:val="22"/>
          <w:szCs w:val="22"/>
          <w:lang w:eastAsia="en-NZ"/>
        </w:rPr>
      </w:pPr>
      <w:hyperlink w:anchor="_Toc473795833" w:history="1">
        <w:r w:rsidR="009D6E97" w:rsidRPr="001916E0">
          <w:rPr>
            <w:rStyle w:val="Hyperlink"/>
            <w:noProof/>
          </w:rPr>
          <w:t xml:space="preserve">Table 3: </w:t>
        </w:r>
        <w:r w:rsidR="009D6E97">
          <w:rPr>
            <w:rFonts w:eastAsiaTheme="minorEastAsia" w:cstheme="minorBidi"/>
            <w:noProof/>
            <w:sz w:val="22"/>
            <w:szCs w:val="22"/>
            <w:lang w:eastAsia="en-NZ"/>
          </w:rPr>
          <w:tab/>
        </w:r>
        <w:r w:rsidR="009D6E97" w:rsidRPr="001916E0">
          <w:rPr>
            <w:rStyle w:val="Hyperlink"/>
            <w:noProof/>
          </w:rPr>
          <w:t>Numbers of compliance, monitoring, investigation and enforcement staff and resource consent processing staff per council type (2014/15)</w:t>
        </w:r>
        <w:r w:rsidR="009D6E97">
          <w:rPr>
            <w:noProof/>
            <w:webHidden/>
          </w:rPr>
          <w:tab/>
        </w:r>
        <w:r w:rsidR="009D6E97">
          <w:rPr>
            <w:noProof/>
            <w:webHidden/>
          </w:rPr>
          <w:fldChar w:fldCharType="begin"/>
        </w:r>
        <w:r w:rsidR="009D6E97">
          <w:rPr>
            <w:noProof/>
            <w:webHidden/>
          </w:rPr>
          <w:instrText xml:space="preserve"> PAGEREF _Toc473795833 \h </w:instrText>
        </w:r>
        <w:r w:rsidR="009D6E97">
          <w:rPr>
            <w:noProof/>
            <w:webHidden/>
          </w:rPr>
        </w:r>
        <w:r w:rsidR="009D6E97">
          <w:rPr>
            <w:noProof/>
            <w:webHidden/>
          </w:rPr>
          <w:fldChar w:fldCharType="separate"/>
        </w:r>
        <w:r w:rsidR="00453BA8">
          <w:rPr>
            <w:noProof/>
            <w:webHidden/>
          </w:rPr>
          <w:t>18</w:t>
        </w:r>
        <w:r w:rsidR="009D6E97">
          <w:rPr>
            <w:noProof/>
            <w:webHidden/>
          </w:rPr>
          <w:fldChar w:fldCharType="end"/>
        </w:r>
      </w:hyperlink>
    </w:p>
    <w:p w14:paraId="55B63EF8" w14:textId="77777777" w:rsidR="009D6E97" w:rsidRDefault="00342376">
      <w:pPr>
        <w:pStyle w:val="TableofFigures"/>
        <w:tabs>
          <w:tab w:val="right" w:pos="8493"/>
        </w:tabs>
        <w:rPr>
          <w:rFonts w:eastAsiaTheme="minorEastAsia" w:cstheme="minorBidi"/>
          <w:noProof/>
          <w:sz w:val="22"/>
          <w:szCs w:val="22"/>
          <w:lang w:eastAsia="en-NZ"/>
        </w:rPr>
      </w:pPr>
      <w:hyperlink w:anchor="_Toc473795834" w:history="1">
        <w:r w:rsidR="009D6E97" w:rsidRPr="001916E0">
          <w:rPr>
            <w:rStyle w:val="Hyperlink"/>
            <w:noProof/>
          </w:rPr>
          <w:t xml:space="preserve">Table 4: </w:t>
        </w:r>
        <w:r w:rsidR="009D6E97">
          <w:rPr>
            <w:rFonts w:eastAsiaTheme="minorEastAsia" w:cstheme="minorBidi"/>
            <w:noProof/>
            <w:sz w:val="22"/>
            <w:szCs w:val="22"/>
            <w:lang w:eastAsia="en-NZ"/>
          </w:rPr>
          <w:tab/>
        </w:r>
        <w:r w:rsidR="009D6E97" w:rsidRPr="001916E0">
          <w:rPr>
            <w:rStyle w:val="Hyperlink"/>
            <w:noProof/>
          </w:rPr>
          <w:t>Noise and other RMA complaints by council type</w:t>
        </w:r>
        <w:r w:rsidR="009D6E97">
          <w:rPr>
            <w:noProof/>
            <w:webHidden/>
          </w:rPr>
          <w:tab/>
        </w:r>
        <w:r w:rsidR="009D6E97">
          <w:rPr>
            <w:noProof/>
            <w:webHidden/>
          </w:rPr>
          <w:fldChar w:fldCharType="begin"/>
        </w:r>
        <w:r w:rsidR="009D6E97">
          <w:rPr>
            <w:noProof/>
            <w:webHidden/>
          </w:rPr>
          <w:instrText xml:space="preserve"> PAGEREF _Toc473795834 \h </w:instrText>
        </w:r>
        <w:r w:rsidR="009D6E97">
          <w:rPr>
            <w:noProof/>
            <w:webHidden/>
          </w:rPr>
        </w:r>
        <w:r w:rsidR="009D6E97">
          <w:rPr>
            <w:noProof/>
            <w:webHidden/>
          </w:rPr>
          <w:fldChar w:fldCharType="separate"/>
        </w:r>
        <w:r w:rsidR="00453BA8">
          <w:rPr>
            <w:noProof/>
            <w:webHidden/>
          </w:rPr>
          <w:t>22</w:t>
        </w:r>
        <w:r w:rsidR="009D6E97">
          <w:rPr>
            <w:noProof/>
            <w:webHidden/>
          </w:rPr>
          <w:fldChar w:fldCharType="end"/>
        </w:r>
      </w:hyperlink>
    </w:p>
    <w:p w14:paraId="4B9AA668" w14:textId="77777777" w:rsidR="009D6E97" w:rsidRDefault="00342376">
      <w:pPr>
        <w:pStyle w:val="TableofFigures"/>
        <w:tabs>
          <w:tab w:val="right" w:pos="8493"/>
        </w:tabs>
        <w:rPr>
          <w:rFonts w:eastAsiaTheme="minorEastAsia" w:cstheme="minorBidi"/>
          <w:noProof/>
          <w:sz w:val="22"/>
          <w:szCs w:val="22"/>
          <w:lang w:eastAsia="en-NZ"/>
        </w:rPr>
      </w:pPr>
      <w:hyperlink w:anchor="_Toc473795835" w:history="1">
        <w:r w:rsidR="009D6E97" w:rsidRPr="001916E0">
          <w:rPr>
            <w:rStyle w:val="Hyperlink"/>
            <w:noProof/>
          </w:rPr>
          <w:t xml:space="preserve">Table 5: </w:t>
        </w:r>
        <w:r w:rsidR="009D6E97">
          <w:rPr>
            <w:rFonts w:eastAsiaTheme="minorEastAsia" w:cstheme="minorBidi"/>
            <w:noProof/>
            <w:sz w:val="22"/>
            <w:szCs w:val="22"/>
            <w:lang w:eastAsia="en-NZ"/>
          </w:rPr>
          <w:tab/>
        </w:r>
        <w:r w:rsidR="009D6E97" w:rsidRPr="001916E0">
          <w:rPr>
            <w:rStyle w:val="Hyperlink"/>
            <w:noProof/>
          </w:rPr>
          <w:t>Resource consents requiring monitoring by council type (source: NMS 2014/15 data)</w:t>
        </w:r>
        <w:r w:rsidR="009D6E97">
          <w:rPr>
            <w:noProof/>
            <w:webHidden/>
          </w:rPr>
          <w:tab/>
        </w:r>
        <w:r w:rsidR="009D6E97">
          <w:rPr>
            <w:noProof/>
            <w:webHidden/>
          </w:rPr>
          <w:fldChar w:fldCharType="begin"/>
        </w:r>
        <w:r w:rsidR="009D6E97">
          <w:rPr>
            <w:noProof/>
            <w:webHidden/>
          </w:rPr>
          <w:instrText xml:space="preserve"> PAGEREF _Toc473795835 \h </w:instrText>
        </w:r>
        <w:r w:rsidR="009D6E97">
          <w:rPr>
            <w:noProof/>
            <w:webHidden/>
          </w:rPr>
        </w:r>
        <w:r w:rsidR="009D6E97">
          <w:rPr>
            <w:noProof/>
            <w:webHidden/>
          </w:rPr>
          <w:fldChar w:fldCharType="separate"/>
        </w:r>
        <w:r w:rsidR="00453BA8">
          <w:rPr>
            <w:noProof/>
            <w:webHidden/>
          </w:rPr>
          <w:t>23</w:t>
        </w:r>
        <w:r w:rsidR="009D6E97">
          <w:rPr>
            <w:noProof/>
            <w:webHidden/>
          </w:rPr>
          <w:fldChar w:fldCharType="end"/>
        </w:r>
      </w:hyperlink>
    </w:p>
    <w:p w14:paraId="06EEB65B" w14:textId="77777777" w:rsidR="009D6E97" w:rsidRDefault="00342376">
      <w:pPr>
        <w:pStyle w:val="TableofFigures"/>
        <w:tabs>
          <w:tab w:val="right" w:pos="8493"/>
        </w:tabs>
        <w:rPr>
          <w:rFonts w:eastAsiaTheme="minorEastAsia" w:cstheme="minorBidi"/>
          <w:noProof/>
          <w:sz w:val="22"/>
          <w:szCs w:val="22"/>
          <w:lang w:eastAsia="en-NZ"/>
        </w:rPr>
      </w:pPr>
      <w:hyperlink w:anchor="_Toc473795836" w:history="1">
        <w:r w:rsidR="009D6E97" w:rsidRPr="001916E0">
          <w:rPr>
            <w:rStyle w:val="Hyperlink"/>
            <w:noProof/>
          </w:rPr>
          <w:t xml:space="preserve">Table 6: </w:t>
        </w:r>
        <w:r w:rsidR="009D6E97">
          <w:rPr>
            <w:rFonts w:eastAsiaTheme="minorEastAsia" w:cstheme="minorBidi"/>
            <w:noProof/>
            <w:sz w:val="22"/>
            <w:szCs w:val="22"/>
            <w:lang w:eastAsia="en-NZ"/>
          </w:rPr>
          <w:tab/>
        </w:r>
        <w:r w:rsidR="009D6E97" w:rsidRPr="001916E0">
          <w:rPr>
            <w:rStyle w:val="Hyperlink"/>
            <w:noProof/>
          </w:rPr>
          <w:t>Number of formal enforcement actions by council type (source: NMS 2014/15 data)</w:t>
        </w:r>
        <w:r w:rsidR="009D6E97">
          <w:rPr>
            <w:noProof/>
            <w:webHidden/>
          </w:rPr>
          <w:tab/>
        </w:r>
        <w:r w:rsidR="009D6E97">
          <w:rPr>
            <w:noProof/>
            <w:webHidden/>
          </w:rPr>
          <w:fldChar w:fldCharType="begin"/>
        </w:r>
        <w:r w:rsidR="009D6E97">
          <w:rPr>
            <w:noProof/>
            <w:webHidden/>
          </w:rPr>
          <w:instrText xml:space="preserve"> PAGEREF _Toc473795836 \h </w:instrText>
        </w:r>
        <w:r w:rsidR="009D6E97">
          <w:rPr>
            <w:noProof/>
            <w:webHidden/>
          </w:rPr>
        </w:r>
        <w:r w:rsidR="009D6E97">
          <w:rPr>
            <w:noProof/>
            <w:webHidden/>
          </w:rPr>
          <w:fldChar w:fldCharType="separate"/>
        </w:r>
        <w:r w:rsidR="00453BA8">
          <w:rPr>
            <w:noProof/>
            <w:webHidden/>
          </w:rPr>
          <w:t>26</w:t>
        </w:r>
        <w:r w:rsidR="009D6E97">
          <w:rPr>
            <w:noProof/>
            <w:webHidden/>
          </w:rPr>
          <w:fldChar w:fldCharType="end"/>
        </w:r>
      </w:hyperlink>
    </w:p>
    <w:p w14:paraId="03ECD85E" w14:textId="77777777" w:rsidR="0018011C" w:rsidRDefault="0018011C" w:rsidP="002874EF">
      <w:pPr>
        <w:pStyle w:val="BodyText"/>
      </w:pPr>
      <w:r>
        <w:fldChar w:fldCharType="end"/>
      </w:r>
    </w:p>
    <w:p w14:paraId="22D0EDE2" w14:textId="77777777" w:rsidR="0018011C" w:rsidRDefault="0018011C" w:rsidP="002874EF">
      <w:pPr>
        <w:pStyle w:val="BodyText"/>
      </w:pPr>
    </w:p>
    <w:p w14:paraId="148BCDBB" w14:textId="5127048C" w:rsidR="00C242D1" w:rsidRDefault="00C242D1" w:rsidP="00C242D1">
      <w:pPr>
        <w:pStyle w:val="TOCHeading"/>
      </w:pPr>
      <w:r>
        <w:t>Figures</w:t>
      </w:r>
    </w:p>
    <w:p w14:paraId="782C91C4" w14:textId="250A0012" w:rsidR="007614D4" w:rsidRDefault="00C242D1">
      <w:pPr>
        <w:pStyle w:val="TableofFigures"/>
        <w:tabs>
          <w:tab w:val="right" w:pos="8493"/>
        </w:tabs>
        <w:rPr>
          <w:rFonts w:eastAsiaTheme="minorEastAsia" w:cstheme="minorBidi"/>
          <w:noProof/>
          <w:sz w:val="22"/>
          <w:szCs w:val="22"/>
          <w:lang w:eastAsia="en-NZ"/>
        </w:rPr>
      </w:pPr>
      <w:r>
        <w:fldChar w:fldCharType="begin"/>
      </w:r>
      <w:r>
        <w:instrText xml:space="preserve"> TOC \h \z \t "Figure heading" \c </w:instrText>
      </w:r>
      <w:r>
        <w:fldChar w:fldCharType="separate"/>
      </w:r>
      <w:hyperlink w:anchor="_Toc456691252" w:history="1">
        <w:r w:rsidR="007614D4" w:rsidRPr="00BB3E0E">
          <w:rPr>
            <w:rStyle w:val="Hyperlink"/>
            <w:rFonts w:eastAsiaTheme="minorEastAsia"/>
            <w:noProof/>
          </w:rPr>
          <w:t xml:space="preserve">Figure 1: </w:t>
        </w:r>
        <w:r w:rsidR="007614D4">
          <w:rPr>
            <w:rFonts w:eastAsiaTheme="minorEastAsia" w:cstheme="minorBidi"/>
            <w:noProof/>
            <w:sz w:val="22"/>
            <w:szCs w:val="22"/>
            <w:lang w:eastAsia="en-NZ"/>
          </w:rPr>
          <w:tab/>
        </w:r>
        <w:r w:rsidR="007614D4" w:rsidRPr="00BB3E0E">
          <w:rPr>
            <w:rStyle w:val="Hyperlink"/>
            <w:rFonts w:eastAsiaTheme="minorEastAsia"/>
            <w:noProof/>
          </w:rPr>
          <w:t>Braithwaite Compliance Triangle</w:t>
        </w:r>
        <w:r w:rsidR="007614D4">
          <w:rPr>
            <w:noProof/>
            <w:webHidden/>
          </w:rPr>
          <w:tab/>
        </w:r>
        <w:r w:rsidR="007614D4">
          <w:rPr>
            <w:noProof/>
            <w:webHidden/>
          </w:rPr>
          <w:fldChar w:fldCharType="begin"/>
        </w:r>
        <w:r w:rsidR="007614D4">
          <w:rPr>
            <w:noProof/>
            <w:webHidden/>
          </w:rPr>
          <w:instrText xml:space="preserve"> PAGEREF _Toc456691252 \h </w:instrText>
        </w:r>
        <w:r w:rsidR="007614D4">
          <w:rPr>
            <w:noProof/>
            <w:webHidden/>
          </w:rPr>
        </w:r>
        <w:r w:rsidR="007614D4">
          <w:rPr>
            <w:noProof/>
            <w:webHidden/>
          </w:rPr>
          <w:fldChar w:fldCharType="separate"/>
        </w:r>
        <w:r w:rsidR="00453BA8">
          <w:rPr>
            <w:noProof/>
            <w:webHidden/>
          </w:rPr>
          <w:t>13</w:t>
        </w:r>
        <w:r w:rsidR="007614D4">
          <w:rPr>
            <w:noProof/>
            <w:webHidden/>
          </w:rPr>
          <w:fldChar w:fldCharType="end"/>
        </w:r>
      </w:hyperlink>
    </w:p>
    <w:p w14:paraId="60E11026" w14:textId="0BB17B26" w:rsidR="007614D4" w:rsidRDefault="00342376">
      <w:pPr>
        <w:pStyle w:val="TableofFigures"/>
        <w:tabs>
          <w:tab w:val="right" w:pos="8493"/>
        </w:tabs>
        <w:rPr>
          <w:rFonts w:eastAsiaTheme="minorEastAsia" w:cstheme="minorBidi"/>
          <w:noProof/>
          <w:sz w:val="22"/>
          <w:szCs w:val="22"/>
          <w:lang w:eastAsia="en-NZ"/>
        </w:rPr>
      </w:pPr>
      <w:hyperlink w:anchor="_Toc456691253" w:history="1">
        <w:r w:rsidR="007614D4" w:rsidRPr="00BB3E0E">
          <w:rPr>
            <w:rStyle w:val="Hyperlink"/>
            <w:rFonts w:eastAsiaTheme="minorEastAsia"/>
            <w:noProof/>
          </w:rPr>
          <w:t xml:space="preserve">Figure 2: </w:t>
        </w:r>
        <w:r w:rsidR="007614D4">
          <w:rPr>
            <w:rFonts w:eastAsiaTheme="minorEastAsia" w:cstheme="minorBidi"/>
            <w:noProof/>
            <w:sz w:val="22"/>
            <w:szCs w:val="22"/>
            <w:lang w:eastAsia="en-NZ"/>
          </w:rPr>
          <w:tab/>
        </w:r>
        <w:r w:rsidR="007614D4" w:rsidRPr="00BB3E0E">
          <w:rPr>
            <w:rStyle w:val="Hyperlink"/>
            <w:rFonts w:eastAsiaTheme="minorEastAsia"/>
            <w:noProof/>
          </w:rPr>
          <w:t>Environmental Risk Matrix</w:t>
        </w:r>
        <w:r w:rsidR="007614D4">
          <w:rPr>
            <w:noProof/>
            <w:webHidden/>
          </w:rPr>
          <w:tab/>
        </w:r>
        <w:r w:rsidR="007614D4">
          <w:rPr>
            <w:noProof/>
            <w:webHidden/>
          </w:rPr>
          <w:fldChar w:fldCharType="begin"/>
        </w:r>
        <w:r w:rsidR="007614D4">
          <w:rPr>
            <w:noProof/>
            <w:webHidden/>
          </w:rPr>
          <w:instrText xml:space="preserve"> PAGEREF _Toc456691253 \h </w:instrText>
        </w:r>
        <w:r w:rsidR="007614D4">
          <w:rPr>
            <w:noProof/>
            <w:webHidden/>
          </w:rPr>
        </w:r>
        <w:r w:rsidR="007614D4">
          <w:rPr>
            <w:noProof/>
            <w:webHidden/>
          </w:rPr>
          <w:fldChar w:fldCharType="separate"/>
        </w:r>
        <w:r w:rsidR="00453BA8">
          <w:rPr>
            <w:noProof/>
            <w:webHidden/>
          </w:rPr>
          <w:t>20</w:t>
        </w:r>
        <w:r w:rsidR="007614D4">
          <w:rPr>
            <w:noProof/>
            <w:webHidden/>
          </w:rPr>
          <w:fldChar w:fldCharType="end"/>
        </w:r>
      </w:hyperlink>
    </w:p>
    <w:p w14:paraId="52603D93" w14:textId="77777777" w:rsidR="00C242D1" w:rsidRDefault="00C242D1" w:rsidP="002874EF">
      <w:pPr>
        <w:pStyle w:val="BodyText"/>
      </w:pPr>
      <w:r>
        <w:fldChar w:fldCharType="end"/>
      </w:r>
    </w:p>
    <w:p w14:paraId="02B691FD" w14:textId="27D78C80" w:rsidR="002874EF" w:rsidRPr="00580905" w:rsidRDefault="002874EF" w:rsidP="002874EF">
      <w:pPr>
        <w:pStyle w:val="BodyText"/>
      </w:pPr>
      <w:r w:rsidRPr="00580905">
        <w:br w:type="page"/>
      </w:r>
    </w:p>
    <w:p w14:paraId="179F43E3" w14:textId="44FB9602" w:rsidR="00347A58" w:rsidRPr="00580905" w:rsidRDefault="00347A58" w:rsidP="001E55D6">
      <w:pPr>
        <w:pStyle w:val="Heading1"/>
        <w:spacing w:after="480"/>
      </w:pPr>
      <w:bookmarkStart w:id="2" w:name="_Toc458001903"/>
      <w:r w:rsidRPr="00580905">
        <w:t xml:space="preserve">Executive </w:t>
      </w:r>
      <w:r w:rsidR="00034769" w:rsidRPr="00580905">
        <w:t>s</w:t>
      </w:r>
      <w:r w:rsidRPr="00580905">
        <w:t>ummary</w:t>
      </w:r>
      <w:bookmarkEnd w:id="1"/>
      <w:bookmarkEnd w:id="2"/>
    </w:p>
    <w:p w14:paraId="185BDF00" w14:textId="0B169DF9" w:rsidR="00681727" w:rsidRPr="00C451A2" w:rsidRDefault="00AF618B" w:rsidP="00A9444B">
      <w:pPr>
        <w:pStyle w:val="BodyText"/>
      </w:pPr>
      <w:r w:rsidRPr="00580905">
        <w:t>This report provides a summary of local government</w:t>
      </w:r>
      <w:r w:rsidR="00364A8C" w:rsidRPr="00580905">
        <w:t xml:space="preserve"> (council)</w:t>
      </w:r>
      <w:r w:rsidRPr="00580905">
        <w:t xml:space="preserve"> compliance, monitoring and </w:t>
      </w:r>
      <w:r w:rsidRPr="00C451A2">
        <w:t xml:space="preserve">enforcement </w:t>
      </w:r>
      <w:r w:rsidR="00364A8C" w:rsidRPr="00C451A2">
        <w:t xml:space="preserve">(CME) </w:t>
      </w:r>
      <w:r w:rsidRPr="00C451A2">
        <w:t>under th</w:t>
      </w:r>
      <w:r w:rsidR="00B43F25" w:rsidRPr="00C451A2">
        <w:t>e Resource Management Act 1991</w:t>
      </w:r>
      <w:r w:rsidR="008F791D" w:rsidRPr="00C451A2">
        <w:t xml:space="preserve"> </w:t>
      </w:r>
      <w:r w:rsidR="00F1265C" w:rsidRPr="00C451A2">
        <w:t xml:space="preserve">(RMA). </w:t>
      </w:r>
      <w:r w:rsidR="002336E5" w:rsidRPr="00C451A2">
        <w:t xml:space="preserve">The findings in this </w:t>
      </w:r>
      <w:r w:rsidR="00F1265C" w:rsidRPr="00C451A2">
        <w:t>report</w:t>
      </w:r>
      <w:r w:rsidR="00B43F25" w:rsidRPr="00C451A2">
        <w:t xml:space="preserve"> </w:t>
      </w:r>
      <w:r w:rsidR="002336E5" w:rsidRPr="00C451A2">
        <w:t>are</w:t>
      </w:r>
      <w:r w:rsidR="00F1265C" w:rsidRPr="00C451A2">
        <w:t xml:space="preserve"> </w:t>
      </w:r>
      <w:r w:rsidR="00B43F25" w:rsidRPr="00C451A2">
        <w:t xml:space="preserve">based on conversations with representatives from </w:t>
      </w:r>
      <w:r w:rsidR="00F1265C" w:rsidRPr="00C451A2">
        <w:t>13 councils</w:t>
      </w:r>
      <w:r w:rsidR="00364A8C" w:rsidRPr="00C451A2">
        <w:rPr>
          <w:rStyle w:val="FootnoteReference"/>
          <w:rFonts w:asciiTheme="minorHAnsi" w:hAnsiTheme="minorHAnsi"/>
        </w:rPr>
        <w:footnoteReference w:id="2"/>
      </w:r>
      <w:r w:rsidR="00F1265C" w:rsidRPr="00C451A2">
        <w:t xml:space="preserve"> and nine stakeholders</w:t>
      </w:r>
      <w:r w:rsidR="007154AB">
        <w:t xml:space="preserve"> and iwi</w:t>
      </w:r>
      <w:r w:rsidR="00DB55CF" w:rsidRPr="00C451A2">
        <w:t>,</w:t>
      </w:r>
      <w:r w:rsidR="00364A8C" w:rsidRPr="00C451A2">
        <w:rPr>
          <w:rStyle w:val="FootnoteReference"/>
          <w:rFonts w:asciiTheme="minorHAnsi" w:hAnsiTheme="minorHAnsi"/>
        </w:rPr>
        <w:footnoteReference w:id="3"/>
      </w:r>
      <w:r w:rsidR="008B171F">
        <w:t xml:space="preserve"> as well as</w:t>
      </w:r>
      <w:r w:rsidR="00DB55CF" w:rsidRPr="00C451A2">
        <w:t xml:space="preserve"> data collected by the Ministry for the Environment</w:t>
      </w:r>
      <w:r w:rsidR="008B171F">
        <w:t>.</w:t>
      </w:r>
    </w:p>
    <w:p w14:paraId="1FAA1BB4" w14:textId="26A17F68" w:rsidR="00C451A2" w:rsidRPr="00C451A2" w:rsidRDefault="00C451A2" w:rsidP="00C451A2">
      <w:pPr>
        <w:rPr>
          <w:rFonts w:cs="Arial"/>
        </w:rPr>
      </w:pPr>
      <w:r w:rsidRPr="00C451A2">
        <w:rPr>
          <w:rFonts w:cs="Arial"/>
        </w:rPr>
        <w:t xml:space="preserve">The report does not make recommendations – it is intended to inform further analysis by </w:t>
      </w:r>
      <w:r w:rsidR="00124823">
        <w:rPr>
          <w:rFonts w:cs="Arial"/>
        </w:rPr>
        <w:t xml:space="preserve">the Ministry on what </w:t>
      </w:r>
      <w:r w:rsidRPr="00C451A2">
        <w:rPr>
          <w:rFonts w:cs="Arial"/>
        </w:rPr>
        <w:t>changes (if any) are needed to improve CME.</w:t>
      </w:r>
      <w:r w:rsidR="00AE4766">
        <w:rPr>
          <w:rFonts w:cs="Arial"/>
        </w:rPr>
        <w:t xml:space="preserve"> T</w:t>
      </w:r>
      <w:r w:rsidR="00124823">
        <w:rPr>
          <w:rFonts w:cs="Arial"/>
        </w:rPr>
        <w:t xml:space="preserve">he report </w:t>
      </w:r>
      <w:r w:rsidR="00AE4766">
        <w:rPr>
          <w:rFonts w:cs="Arial"/>
        </w:rPr>
        <w:t xml:space="preserve">is also intended to </w:t>
      </w:r>
      <w:r w:rsidRPr="00C451A2">
        <w:rPr>
          <w:rFonts w:cs="Arial"/>
        </w:rPr>
        <w:t xml:space="preserve">inform councils’ CME activities, by providing examples of </w:t>
      </w:r>
      <w:r w:rsidR="00124823">
        <w:rPr>
          <w:rFonts w:cs="Arial"/>
        </w:rPr>
        <w:t xml:space="preserve">good CME practice by other councils. </w:t>
      </w:r>
    </w:p>
    <w:p w14:paraId="4372AA1C" w14:textId="757611A1" w:rsidR="00DB55CF" w:rsidRPr="00580905" w:rsidRDefault="002336E5" w:rsidP="00A9444B">
      <w:pPr>
        <w:pStyle w:val="BodyText"/>
      </w:pPr>
      <w:r w:rsidRPr="00580905">
        <w:t>Th</w:t>
      </w:r>
      <w:r w:rsidR="00BD7A7F" w:rsidRPr="00580905">
        <w:t>e</w:t>
      </w:r>
      <w:r w:rsidR="005D1601">
        <w:t xml:space="preserve"> report is divided into three substantive sections</w:t>
      </w:r>
      <w:r w:rsidR="00DB55CF" w:rsidRPr="00580905">
        <w:t>:</w:t>
      </w:r>
    </w:p>
    <w:p w14:paraId="20F4CE76" w14:textId="35280810" w:rsidR="00DB55CF" w:rsidRPr="00580905" w:rsidRDefault="005D1601" w:rsidP="00FB32C5">
      <w:pPr>
        <w:pStyle w:val="Bullet"/>
        <w:numPr>
          <w:ilvl w:val="0"/>
          <w:numId w:val="15"/>
        </w:numPr>
      </w:pPr>
      <w:r>
        <w:t xml:space="preserve">Part 2 explains </w:t>
      </w:r>
      <w:r w:rsidR="00DB55CF" w:rsidRPr="00580905">
        <w:t>the regulatory context behind CME</w:t>
      </w:r>
      <w:r w:rsidR="00354250" w:rsidRPr="00580905">
        <w:t>, including the key statuto</w:t>
      </w:r>
      <w:r w:rsidR="004D5516">
        <w:t xml:space="preserve">ry requirements and </w:t>
      </w:r>
      <w:r w:rsidR="00D774D6" w:rsidRPr="00580905">
        <w:t xml:space="preserve">enforcement options available for </w:t>
      </w:r>
      <w:r w:rsidR="00FD09ED">
        <w:t>penalis</w:t>
      </w:r>
      <w:r w:rsidR="00D774D6" w:rsidRPr="00580905">
        <w:t>ing/deterring non-compliance</w:t>
      </w:r>
    </w:p>
    <w:p w14:paraId="6AA159FC" w14:textId="5B6E56DF" w:rsidR="00DB55CF" w:rsidRPr="00580905" w:rsidRDefault="005D1601" w:rsidP="00FB32C5">
      <w:pPr>
        <w:pStyle w:val="Bullet"/>
        <w:numPr>
          <w:ilvl w:val="0"/>
          <w:numId w:val="15"/>
        </w:numPr>
      </w:pPr>
      <w:r>
        <w:t>Part 3 gives a</w:t>
      </w:r>
      <w:r w:rsidR="00DB55CF" w:rsidRPr="00580905">
        <w:t xml:space="preserve"> summary of </w:t>
      </w:r>
      <w:r w:rsidR="00CB7892" w:rsidRPr="00580905">
        <w:t xml:space="preserve">council </w:t>
      </w:r>
      <w:r w:rsidR="00D774D6" w:rsidRPr="00580905">
        <w:t xml:space="preserve">CME </w:t>
      </w:r>
      <w:r w:rsidR="00CB7892" w:rsidRPr="00580905">
        <w:t xml:space="preserve">activities </w:t>
      </w:r>
      <w:r w:rsidR="00DB55CF" w:rsidRPr="00580905">
        <w:t>and</w:t>
      </w:r>
      <w:r w:rsidR="008F791D">
        <w:t xml:space="preserve"> CME</w:t>
      </w:r>
      <w:r w:rsidR="00D774D6" w:rsidRPr="00580905">
        <w:t xml:space="preserve"> issues faced by councils </w:t>
      </w:r>
    </w:p>
    <w:p w14:paraId="15BC4119" w14:textId="63BE2EAC" w:rsidR="00354250" w:rsidRDefault="005D1601" w:rsidP="00FB32C5">
      <w:pPr>
        <w:pStyle w:val="Bullet"/>
        <w:numPr>
          <w:ilvl w:val="0"/>
          <w:numId w:val="15"/>
        </w:numPr>
      </w:pPr>
      <w:r>
        <w:t xml:space="preserve">Part 4 </w:t>
      </w:r>
      <w:r w:rsidR="008B171F">
        <w:t xml:space="preserve">sets out </w:t>
      </w:r>
      <w:r w:rsidR="00034769" w:rsidRPr="00580905">
        <w:t>o</w:t>
      </w:r>
      <w:r w:rsidR="00DB55CF" w:rsidRPr="00580905">
        <w:t>pportunit</w:t>
      </w:r>
      <w:r w:rsidR="00BD7A7F" w:rsidRPr="00580905">
        <w:t xml:space="preserve">ies for </w:t>
      </w:r>
      <w:r w:rsidR="008B171F">
        <w:t xml:space="preserve">improving </w:t>
      </w:r>
      <w:r w:rsidR="00BD7A7F" w:rsidRPr="00580905">
        <w:t>CME</w:t>
      </w:r>
      <w:r w:rsidR="008F791D">
        <w:t>,</w:t>
      </w:r>
      <w:r w:rsidR="00BD7A7F" w:rsidRPr="00580905">
        <w:t xml:space="preserve"> </w:t>
      </w:r>
      <w:r w:rsidR="00DB55CF" w:rsidRPr="00580905">
        <w:t>raise</w:t>
      </w:r>
      <w:r>
        <w:t>d by councils and stakeholders.</w:t>
      </w:r>
      <w:r w:rsidR="00AE4766">
        <w:t xml:space="preserve"> </w:t>
      </w:r>
    </w:p>
    <w:p w14:paraId="4220DE7A" w14:textId="2E3FE095" w:rsidR="004C1794" w:rsidRPr="004C1794" w:rsidRDefault="004C1794" w:rsidP="00A9444B">
      <w:pPr>
        <w:rPr>
          <w:rFonts w:cs="Arial"/>
        </w:rPr>
      </w:pPr>
      <w:r w:rsidRPr="004C1794">
        <w:rPr>
          <w:rFonts w:cs="Arial"/>
        </w:rPr>
        <w:t xml:space="preserve">The </w:t>
      </w:r>
      <w:r w:rsidR="005505D9">
        <w:rPr>
          <w:rFonts w:cs="Arial"/>
        </w:rPr>
        <w:t xml:space="preserve">report observes a number of </w:t>
      </w:r>
      <w:r w:rsidR="00F3004A">
        <w:rPr>
          <w:rFonts w:cs="Arial"/>
        </w:rPr>
        <w:t>key trends and issues</w:t>
      </w:r>
      <w:r w:rsidR="005505D9">
        <w:rPr>
          <w:rFonts w:cs="Arial"/>
        </w:rPr>
        <w:t xml:space="preserve">, </w:t>
      </w:r>
      <w:r w:rsidR="004D5516">
        <w:rPr>
          <w:rFonts w:cs="Arial"/>
        </w:rPr>
        <w:t>including</w:t>
      </w:r>
      <w:r w:rsidRPr="004C1794">
        <w:rPr>
          <w:rFonts w:cs="Arial"/>
          <w:bCs/>
        </w:rPr>
        <w:t>:</w:t>
      </w:r>
    </w:p>
    <w:p w14:paraId="4856BC62" w14:textId="77777777" w:rsidR="00FC0407" w:rsidRDefault="007B19E1" w:rsidP="00FB32C5">
      <w:pPr>
        <w:pStyle w:val="Bullet"/>
        <w:numPr>
          <w:ilvl w:val="0"/>
          <w:numId w:val="16"/>
        </w:numPr>
        <w:tabs>
          <w:tab w:val="left" w:pos="720"/>
        </w:tabs>
        <w:rPr>
          <w:rFonts w:cs="Arial"/>
        </w:rPr>
      </w:pPr>
      <w:r>
        <w:rPr>
          <w:rFonts w:cs="Arial"/>
        </w:rPr>
        <w:t>T</w:t>
      </w:r>
      <w:r w:rsidR="004C1794">
        <w:rPr>
          <w:rFonts w:cs="Arial"/>
        </w:rPr>
        <w:t xml:space="preserve">here is significant variation </w:t>
      </w:r>
      <w:r w:rsidR="004C1794" w:rsidRPr="004C1794">
        <w:rPr>
          <w:rFonts w:cs="Arial"/>
        </w:rPr>
        <w:t xml:space="preserve">in the way councils carry out CME. </w:t>
      </w:r>
      <w:r w:rsidR="00E75015">
        <w:rPr>
          <w:rFonts w:cs="Arial"/>
        </w:rPr>
        <w:t>C</w:t>
      </w:r>
      <w:r w:rsidR="004C1794" w:rsidRPr="004C1794">
        <w:rPr>
          <w:rFonts w:cs="Arial"/>
        </w:rPr>
        <w:t xml:space="preserve">ouncil approaches vary in </w:t>
      </w:r>
      <w:r w:rsidR="004C1794" w:rsidRPr="007C4374">
        <w:rPr>
          <w:rFonts w:cs="Arial"/>
        </w:rPr>
        <w:t xml:space="preserve">terms of the priorities and resources given to CME activities, monitoring and investigation practice, </w:t>
      </w:r>
      <w:r w:rsidR="00AB2F67" w:rsidRPr="007C4374">
        <w:rPr>
          <w:rFonts w:cs="Arial"/>
        </w:rPr>
        <w:t xml:space="preserve">enforcement decision-making processes </w:t>
      </w:r>
      <w:r w:rsidR="00FC0407">
        <w:rPr>
          <w:rFonts w:cs="Arial"/>
        </w:rPr>
        <w:t>and use of enforcement actions.</w:t>
      </w:r>
    </w:p>
    <w:p w14:paraId="288648FA" w14:textId="4285CC26" w:rsidR="007C4374" w:rsidRPr="00FC0407" w:rsidRDefault="007C4374" w:rsidP="00FB32C5">
      <w:pPr>
        <w:pStyle w:val="Bullet"/>
        <w:numPr>
          <w:ilvl w:val="0"/>
          <w:numId w:val="16"/>
        </w:numPr>
        <w:tabs>
          <w:tab w:val="left" w:pos="720"/>
        </w:tabs>
        <w:rPr>
          <w:rFonts w:cs="Arial"/>
        </w:rPr>
      </w:pPr>
      <w:r w:rsidRPr="00FC0407">
        <w:rPr>
          <w:rFonts w:cs="Arial"/>
        </w:rPr>
        <w:t xml:space="preserve">Resources for CME activities are very limited in some </w:t>
      </w:r>
      <w:proofErr w:type="gramStart"/>
      <w:r w:rsidRPr="00FC0407">
        <w:rPr>
          <w:rFonts w:cs="Arial"/>
        </w:rPr>
        <w:t>councils</w:t>
      </w:r>
      <w:proofErr w:type="gramEnd"/>
      <w:r w:rsidRPr="00FC0407">
        <w:rPr>
          <w:rFonts w:cs="Arial"/>
        </w:rPr>
        <w:t xml:space="preserve">. As a result, many activities which require monitoring are not able to be monitored. For example, most </w:t>
      </w:r>
      <w:proofErr w:type="gramStart"/>
      <w:r w:rsidRPr="00FC0407">
        <w:rPr>
          <w:rFonts w:cs="Arial"/>
        </w:rPr>
        <w:t>councils</w:t>
      </w:r>
      <w:proofErr w:type="gramEnd"/>
      <w:r w:rsidRPr="00FC0407">
        <w:rPr>
          <w:rFonts w:cs="Arial"/>
        </w:rPr>
        <w:t xml:space="preserve"> carry out very little or no monitoring of plan rules (permitted activities).</w:t>
      </w:r>
    </w:p>
    <w:p w14:paraId="2806A108" w14:textId="08843F54" w:rsidR="00BC4481" w:rsidRDefault="007B19E1" w:rsidP="00FB32C5">
      <w:pPr>
        <w:pStyle w:val="ListParagraph"/>
        <w:numPr>
          <w:ilvl w:val="0"/>
          <w:numId w:val="16"/>
        </w:numPr>
        <w:rPr>
          <w:rFonts w:cs="Arial"/>
        </w:rPr>
      </w:pPr>
      <w:r w:rsidRPr="007B19E1">
        <w:rPr>
          <w:rFonts w:cs="Arial"/>
        </w:rPr>
        <w:t>There is a lack of data on council CME practices. As a result, it is difficult to assess the effect of CME on environmental outcomes</w:t>
      </w:r>
      <w:r w:rsidR="00E75015">
        <w:rPr>
          <w:rFonts w:cs="Arial"/>
        </w:rPr>
        <w:t xml:space="preserve">. </w:t>
      </w:r>
    </w:p>
    <w:p w14:paraId="37DCD68A" w14:textId="257B19D4" w:rsidR="008F04F4" w:rsidRPr="008F04F4" w:rsidRDefault="008F04F4" w:rsidP="008F04F4">
      <w:pPr>
        <w:rPr>
          <w:rFonts w:cs="Arial"/>
        </w:rPr>
      </w:pPr>
      <w:r>
        <w:rPr>
          <w:rFonts w:cs="Arial"/>
        </w:rPr>
        <w:t>Vari</w:t>
      </w:r>
      <w:r w:rsidR="00421569">
        <w:rPr>
          <w:rFonts w:cs="Arial"/>
        </w:rPr>
        <w:t xml:space="preserve">ations in council practices are acceptable </w:t>
      </w:r>
      <w:r>
        <w:rPr>
          <w:rFonts w:cs="Arial"/>
        </w:rPr>
        <w:t xml:space="preserve">where they reflect </w:t>
      </w:r>
      <w:r w:rsidR="00421569">
        <w:rPr>
          <w:rFonts w:cs="Arial"/>
        </w:rPr>
        <w:t>genuine regional/local differences. However variable/</w:t>
      </w:r>
      <w:r>
        <w:rPr>
          <w:rFonts w:cs="Arial"/>
        </w:rPr>
        <w:t>low-levels of CME can</w:t>
      </w:r>
      <w:r w:rsidR="00421569">
        <w:rPr>
          <w:rFonts w:cs="Arial"/>
        </w:rPr>
        <w:t xml:space="preserve"> also</w:t>
      </w:r>
      <w:r>
        <w:rPr>
          <w:rFonts w:cs="Arial"/>
        </w:rPr>
        <w:t xml:space="preserve"> lead to a lack of equity and public certainty, and impact</w:t>
      </w:r>
      <w:r w:rsidR="00421569">
        <w:rPr>
          <w:rFonts w:cs="Arial"/>
        </w:rPr>
        <w:t xml:space="preserve"> negatively on environmental outcomes.</w:t>
      </w:r>
    </w:p>
    <w:p w14:paraId="6F7F5708" w14:textId="0D6BBD01" w:rsidR="00BC4481" w:rsidRDefault="0075718C" w:rsidP="00BE0A99">
      <w:pPr>
        <w:rPr>
          <w:rFonts w:cs="Arial"/>
        </w:rPr>
      </w:pPr>
      <w:r>
        <w:rPr>
          <w:rFonts w:cs="Arial"/>
        </w:rPr>
        <w:t>The report also observes examples of good CME practice</w:t>
      </w:r>
      <w:r w:rsidR="007C70A3">
        <w:rPr>
          <w:rFonts w:cs="Arial"/>
        </w:rPr>
        <w:t>, including</w:t>
      </w:r>
      <w:r w:rsidR="00BC4481">
        <w:rPr>
          <w:rFonts w:cs="Arial"/>
        </w:rPr>
        <w:t>:</w:t>
      </w:r>
    </w:p>
    <w:p w14:paraId="1F09431E" w14:textId="17530265" w:rsidR="00BC4481" w:rsidRDefault="00BE0A99" w:rsidP="00FB32C5">
      <w:pPr>
        <w:pStyle w:val="ListParagraph"/>
        <w:numPr>
          <w:ilvl w:val="0"/>
          <w:numId w:val="18"/>
        </w:numPr>
        <w:rPr>
          <w:rFonts w:cs="Arial"/>
        </w:rPr>
      </w:pPr>
      <w:r>
        <w:rPr>
          <w:rFonts w:cs="Arial"/>
        </w:rPr>
        <w:t xml:space="preserve">Most councils </w:t>
      </w:r>
      <w:r w:rsidR="00567C71">
        <w:rPr>
          <w:rFonts w:cs="Arial"/>
        </w:rPr>
        <w:t>take a risk-based approach to</w:t>
      </w:r>
      <w:r w:rsidR="007C70A3" w:rsidRPr="00BC4481">
        <w:rPr>
          <w:rFonts w:cs="Arial"/>
        </w:rPr>
        <w:t xml:space="preserve"> monitoring (see </w:t>
      </w:r>
      <w:r>
        <w:rPr>
          <w:rFonts w:cs="Arial"/>
        </w:rPr>
        <w:t>part 3.1.2)</w:t>
      </w:r>
      <w:r w:rsidR="001315E3">
        <w:rPr>
          <w:rFonts w:cs="Arial"/>
        </w:rPr>
        <w:t>, an approach which has been endorsed by</w:t>
      </w:r>
      <w:r w:rsidR="00D70C69">
        <w:rPr>
          <w:rFonts w:cs="Arial"/>
        </w:rPr>
        <w:t xml:space="preserve"> both</w:t>
      </w:r>
      <w:r w:rsidR="001315E3">
        <w:rPr>
          <w:rFonts w:cs="Arial"/>
        </w:rPr>
        <w:t xml:space="preserve"> Cabinet</w:t>
      </w:r>
      <w:r w:rsidR="00D70C69">
        <w:rPr>
          <w:rFonts w:cs="Arial"/>
        </w:rPr>
        <w:t xml:space="preserve"> and the Productivity Commission</w:t>
      </w:r>
      <w:r w:rsidR="00D70C69">
        <w:rPr>
          <w:rStyle w:val="FootnoteReference"/>
          <w:rFonts w:cs="Arial"/>
        </w:rPr>
        <w:footnoteReference w:id="4"/>
      </w:r>
    </w:p>
    <w:p w14:paraId="6114A15D" w14:textId="50B6D5AA" w:rsidR="00BC4481" w:rsidRPr="00A9444B" w:rsidRDefault="00BE0A99" w:rsidP="00FB32C5">
      <w:pPr>
        <w:pStyle w:val="ListParagraph"/>
        <w:numPr>
          <w:ilvl w:val="0"/>
          <w:numId w:val="18"/>
        </w:numPr>
        <w:rPr>
          <w:rFonts w:cs="Arial"/>
        </w:rPr>
      </w:pPr>
      <w:r>
        <w:rPr>
          <w:rFonts w:cs="Arial"/>
        </w:rPr>
        <w:t xml:space="preserve">There </w:t>
      </w:r>
      <w:r w:rsidR="00D94C48">
        <w:rPr>
          <w:rFonts w:cs="Arial"/>
        </w:rPr>
        <w:t>are</w:t>
      </w:r>
      <w:r w:rsidR="004D5516">
        <w:rPr>
          <w:rFonts w:cs="Arial"/>
        </w:rPr>
        <w:t xml:space="preserve"> a number of </w:t>
      </w:r>
      <w:r w:rsidR="00124700">
        <w:rPr>
          <w:rFonts w:cs="Arial"/>
        </w:rPr>
        <w:t xml:space="preserve">voluntary </w:t>
      </w:r>
      <w:r w:rsidR="004D5516">
        <w:rPr>
          <w:rFonts w:cs="Arial"/>
        </w:rPr>
        <w:t>industry</w:t>
      </w:r>
      <w:r w:rsidR="00B016FE">
        <w:rPr>
          <w:rFonts w:cs="Arial"/>
        </w:rPr>
        <w:t>, community</w:t>
      </w:r>
      <w:r w:rsidR="007C70A3" w:rsidRPr="00BC4481">
        <w:rPr>
          <w:rFonts w:cs="Arial"/>
        </w:rPr>
        <w:t xml:space="preserve"> and council</w:t>
      </w:r>
      <w:r w:rsidR="00B016FE">
        <w:rPr>
          <w:rFonts w:cs="Arial"/>
        </w:rPr>
        <w:t xml:space="preserve"> initiatives</w:t>
      </w:r>
      <w:r w:rsidR="00D70C69">
        <w:rPr>
          <w:rFonts w:cs="Arial"/>
        </w:rPr>
        <w:t xml:space="preserve"> which have been effective in lifting</w:t>
      </w:r>
      <w:r>
        <w:rPr>
          <w:rFonts w:cs="Arial"/>
        </w:rPr>
        <w:t xml:space="preserve"> </w:t>
      </w:r>
      <w:r w:rsidR="00A9444B">
        <w:rPr>
          <w:rFonts w:cs="Arial"/>
        </w:rPr>
        <w:t xml:space="preserve">compliance (see </w:t>
      </w:r>
      <w:r w:rsidR="00F569B0">
        <w:rPr>
          <w:rFonts w:cs="Arial"/>
        </w:rPr>
        <w:t xml:space="preserve">part </w:t>
      </w:r>
      <w:r w:rsidR="00A9444B">
        <w:rPr>
          <w:rFonts w:cs="Arial"/>
        </w:rPr>
        <w:t>3.2)</w:t>
      </w:r>
    </w:p>
    <w:p w14:paraId="3AD60654" w14:textId="074A9BB1" w:rsidR="0075718C" w:rsidRPr="001315E3" w:rsidRDefault="00030260" w:rsidP="00FB32C5">
      <w:pPr>
        <w:pStyle w:val="ListParagraph"/>
        <w:numPr>
          <w:ilvl w:val="0"/>
          <w:numId w:val="17"/>
        </w:numPr>
        <w:rPr>
          <w:rFonts w:cs="Arial"/>
        </w:rPr>
      </w:pPr>
      <w:r>
        <w:t>The Compliance and Enforcement Special Interest Group have developed t</w:t>
      </w:r>
      <w:r w:rsidR="00BC4481">
        <w:t xml:space="preserve">he </w:t>
      </w:r>
      <w:r w:rsidR="00BC4481" w:rsidRPr="00580905">
        <w:t>Regional Sector Strategic Compliance Framework 2016–18</w:t>
      </w:r>
      <w:r>
        <w:t>, which aims</w:t>
      </w:r>
      <w:r w:rsidR="00D94C48">
        <w:t xml:space="preserve"> to </w:t>
      </w:r>
      <w:r w:rsidR="00567C71">
        <w:t xml:space="preserve">improve consistency in </w:t>
      </w:r>
      <w:r w:rsidR="00D94C48">
        <w:t>councils</w:t>
      </w:r>
      <w:r>
        <w:t>’</w:t>
      </w:r>
      <w:r w:rsidR="00567C71">
        <w:t xml:space="preserve"> CME practices</w:t>
      </w:r>
      <w:r w:rsidR="00D94C48">
        <w:t>.</w:t>
      </w:r>
    </w:p>
    <w:p w14:paraId="4C4E4722" w14:textId="77777777" w:rsidR="00D93BC5" w:rsidRDefault="00D93BC5">
      <w:pPr>
        <w:rPr>
          <w:b/>
          <w:bCs/>
          <w:color w:val="005984"/>
          <w:sz w:val="36"/>
          <w:szCs w:val="36"/>
        </w:rPr>
      </w:pPr>
      <w:bookmarkStart w:id="3" w:name="_Toc456343376"/>
      <w:bookmarkStart w:id="4" w:name="_Toc458001904"/>
      <w:r>
        <w:br w:type="page"/>
      </w:r>
    </w:p>
    <w:p w14:paraId="3B7BD98F" w14:textId="3DE3194C" w:rsidR="00F57545" w:rsidRPr="00580905" w:rsidRDefault="00FA7049" w:rsidP="000F21D8">
      <w:pPr>
        <w:pStyle w:val="Heading1"/>
      </w:pPr>
      <w:r w:rsidRPr="00580905">
        <w:t xml:space="preserve">Part 1: </w:t>
      </w:r>
      <w:r w:rsidR="00A35A50" w:rsidRPr="00580905">
        <w:t>Intro</w:t>
      </w:r>
      <w:r w:rsidR="00105E91" w:rsidRPr="00580905">
        <w:t>duction</w:t>
      </w:r>
      <w:bookmarkEnd w:id="3"/>
      <w:bookmarkEnd w:id="4"/>
      <w:r w:rsidR="00020C8D" w:rsidRPr="00580905">
        <w:t xml:space="preserve"> </w:t>
      </w:r>
    </w:p>
    <w:p w14:paraId="1956294E" w14:textId="1F4E514D" w:rsidR="00384F40" w:rsidRPr="00580905" w:rsidRDefault="00FF0303" w:rsidP="00D16BBD">
      <w:pPr>
        <w:pStyle w:val="Heading2"/>
        <w:spacing w:before="240"/>
      </w:pPr>
      <w:bookmarkStart w:id="5" w:name="_Toc456343377"/>
      <w:bookmarkStart w:id="6" w:name="_Toc458001905"/>
      <w:r>
        <w:t xml:space="preserve">1.1 </w:t>
      </w:r>
      <w:r w:rsidR="000408DA" w:rsidRPr="00580905">
        <w:t>Overview</w:t>
      </w:r>
      <w:r w:rsidR="00B761B0" w:rsidRPr="00580905">
        <w:t xml:space="preserve"> and purpose</w:t>
      </w:r>
      <w:r w:rsidR="00384F40" w:rsidRPr="00580905">
        <w:t xml:space="preserve"> of report</w:t>
      </w:r>
      <w:bookmarkEnd w:id="5"/>
      <w:bookmarkEnd w:id="6"/>
    </w:p>
    <w:p w14:paraId="5ABF0CC3" w14:textId="445DBDEB" w:rsidR="002664E3" w:rsidRPr="00580905" w:rsidRDefault="003F2F90" w:rsidP="00D93BC5">
      <w:pPr>
        <w:pStyle w:val="BodyText"/>
      </w:pPr>
      <w:r w:rsidRPr="00580905">
        <w:t xml:space="preserve">This </w:t>
      </w:r>
      <w:r w:rsidR="001B4067" w:rsidRPr="00580905">
        <w:t>report provide</w:t>
      </w:r>
      <w:r w:rsidRPr="00580905">
        <w:t>s</w:t>
      </w:r>
      <w:r w:rsidR="001B4067" w:rsidRPr="00580905">
        <w:t xml:space="preserve"> an </w:t>
      </w:r>
      <w:r w:rsidR="00B761B0" w:rsidRPr="00580905">
        <w:t>overview of</w:t>
      </w:r>
      <w:r w:rsidR="006E6522" w:rsidRPr="00580905">
        <w:t xml:space="preserve"> research into</w:t>
      </w:r>
      <w:r w:rsidR="001B4067" w:rsidRPr="00580905">
        <w:t xml:space="preserve"> compliance</w:t>
      </w:r>
      <w:r w:rsidR="005D34F4" w:rsidRPr="00580905">
        <w:t>, monitoring</w:t>
      </w:r>
      <w:r w:rsidR="001B4067" w:rsidRPr="00580905">
        <w:t xml:space="preserve"> and enforcement </w:t>
      </w:r>
      <w:r w:rsidR="005D34F4" w:rsidRPr="00580905">
        <w:t>(</w:t>
      </w:r>
      <w:r w:rsidR="005D34F4" w:rsidRPr="001D417E">
        <w:rPr>
          <w:b/>
        </w:rPr>
        <w:t>CME</w:t>
      </w:r>
      <w:r w:rsidR="005D34F4" w:rsidRPr="00580905">
        <w:t xml:space="preserve">) </w:t>
      </w:r>
      <w:r w:rsidR="001B4067" w:rsidRPr="00580905">
        <w:t>activities</w:t>
      </w:r>
      <w:r w:rsidR="009D5A2F" w:rsidRPr="00580905">
        <w:t xml:space="preserve"> carr</w:t>
      </w:r>
      <w:r w:rsidR="0009450D" w:rsidRPr="00580905">
        <w:t>ied out by local authorities</w:t>
      </w:r>
      <w:r w:rsidR="001B4067" w:rsidRPr="00580905">
        <w:t xml:space="preserve"> </w:t>
      </w:r>
      <w:r w:rsidR="00873928" w:rsidRPr="00580905">
        <w:t>(councils</w:t>
      </w:r>
      <w:r w:rsidR="00DD2A47" w:rsidRPr="00580905">
        <w:t xml:space="preserve">) </w:t>
      </w:r>
      <w:r w:rsidR="0009450D" w:rsidRPr="00580905">
        <w:t xml:space="preserve">under the </w:t>
      </w:r>
      <w:r w:rsidR="001B4067" w:rsidRPr="00580905">
        <w:t>Resource Management Act 1991 (RMA)</w:t>
      </w:r>
      <w:r w:rsidR="00746340" w:rsidRPr="00580905">
        <w:t xml:space="preserve">. </w:t>
      </w:r>
      <w:r w:rsidR="00C30AAB" w:rsidRPr="00580905">
        <w:t xml:space="preserve">The report summarises key findings </w:t>
      </w:r>
      <w:r w:rsidR="00990D52" w:rsidRPr="00580905">
        <w:t xml:space="preserve">and insights </w:t>
      </w:r>
      <w:r w:rsidR="00C30AAB" w:rsidRPr="00580905">
        <w:t xml:space="preserve">from </w:t>
      </w:r>
      <w:r w:rsidR="00990D52" w:rsidRPr="00580905">
        <w:t>conversations with a range of regional, district, city and unitary councils throughout the country</w:t>
      </w:r>
      <w:r w:rsidR="00240B60" w:rsidRPr="00580905">
        <w:t xml:space="preserve">, as well as a range </w:t>
      </w:r>
      <w:r w:rsidR="009D5A2F" w:rsidRPr="00580905">
        <w:t xml:space="preserve">of </w:t>
      </w:r>
      <w:r w:rsidR="00240B60" w:rsidRPr="00580905">
        <w:t>stakeholders.</w:t>
      </w:r>
      <w:r w:rsidR="00F2234A" w:rsidRPr="00580905">
        <w:t xml:space="preserve"> </w:t>
      </w:r>
      <w:r w:rsidR="002664E3" w:rsidRPr="00580905">
        <w:t xml:space="preserve">The report </w:t>
      </w:r>
      <w:r w:rsidR="002664E3" w:rsidRPr="00124823">
        <w:t>does not</w:t>
      </w:r>
      <w:r w:rsidR="002664E3" w:rsidRPr="00580905">
        <w:t xml:space="preserve"> provide</w:t>
      </w:r>
      <w:r w:rsidR="002664E3">
        <w:t xml:space="preserve"> </w:t>
      </w:r>
      <w:r w:rsidR="002664E3" w:rsidRPr="00580905">
        <w:t>analysis of the details of proceedings of RMA cases in the District Court (or appellate courts) or sentencing outcomes.</w:t>
      </w:r>
      <w:r w:rsidR="002664E3" w:rsidRPr="00580905">
        <w:rPr>
          <w:rStyle w:val="FootnoteReference"/>
          <w:rFonts w:asciiTheme="minorHAnsi" w:hAnsiTheme="minorHAnsi" w:cs="Arial"/>
        </w:rPr>
        <w:footnoteReference w:id="5"/>
      </w:r>
      <w:r w:rsidR="002664E3" w:rsidRPr="00580905">
        <w:t xml:space="preserve"> </w:t>
      </w:r>
    </w:p>
    <w:p w14:paraId="2A575D38" w14:textId="1DA06A19" w:rsidR="00C30AAB" w:rsidRPr="00580905" w:rsidRDefault="00F2234A" w:rsidP="00573ACF">
      <w:pPr>
        <w:pStyle w:val="BodyText"/>
      </w:pPr>
      <w:r w:rsidRPr="00580905">
        <w:t xml:space="preserve">This </w:t>
      </w:r>
      <w:r w:rsidR="00C22180" w:rsidRPr="00580905">
        <w:t xml:space="preserve">report and </w:t>
      </w:r>
      <w:r w:rsidRPr="00580905">
        <w:t xml:space="preserve">the </w:t>
      </w:r>
      <w:r w:rsidR="00C22180" w:rsidRPr="00580905">
        <w:t>research that sits</w:t>
      </w:r>
      <w:r w:rsidRPr="00580905">
        <w:t xml:space="preserve"> behind it </w:t>
      </w:r>
      <w:proofErr w:type="gramStart"/>
      <w:r w:rsidRPr="00580905">
        <w:t>is</w:t>
      </w:r>
      <w:proofErr w:type="gramEnd"/>
      <w:r w:rsidRPr="00580905">
        <w:t xml:space="preserve"> intended to</w:t>
      </w:r>
      <w:r w:rsidR="00A90C93" w:rsidRPr="00580905">
        <w:t>:</w:t>
      </w:r>
    </w:p>
    <w:p w14:paraId="7A77D270" w14:textId="08D90345" w:rsidR="00B761B0" w:rsidRPr="00580905" w:rsidRDefault="001D0D4A" w:rsidP="00FB32C5">
      <w:pPr>
        <w:pStyle w:val="Bullet"/>
        <w:numPr>
          <w:ilvl w:val="0"/>
          <w:numId w:val="15"/>
        </w:numPr>
        <w:spacing w:after="100"/>
      </w:pPr>
      <w:r w:rsidRPr="00580905">
        <w:t>p</w:t>
      </w:r>
      <w:r w:rsidR="00697D6B" w:rsidRPr="00580905">
        <w:t>rovide a more comprehensive evidence base</w:t>
      </w:r>
      <w:r w:rsidR="00347A58" w:rsidRPr="00580905">
        <w:t xml:space="preserve"> to </w:t>
      </w:r>
      <w:r w:rsidR="003A64AE">
        <w:t xml:space="preserve">enable </w:t>
      </w:r>
      <w:r w:rsidR="00697D6B" w:rsidRPr="00580905">
        <w:t>the Ministry for the Environment (</w:t>
      </w:r>
      <w:r w:rsidRPr="00580905">
        <w:t xml:space="preserve">the </w:t>
      </w:r>
      <w:r w:rsidR="00697D6B" w:rsidRPr="00580905">
        <w:t>Ministry)</w:t>
      </w:r>
      <w:r w:rsidR="00347A58" w:rsidRPr="00580905">
        <w:t xml:space="preserve"> </w:t>
      </w:r>
      <w:r w:rsidR="003A64AE">
        <w:t xml:space="preserve">to assess </w:t>
      </w:r>
      <w:r w:rsidR="00827C0C" w:rsidRPr="00580905">
        <w:t>whether the policy settings</w:t>
      </w:r>
      <w:r w:rsidR="00285297" w:rsidRPr="00580905">
        <w:t xml:space="preserve"> behind CME </w:t>
      </w:r>
      <w:r w:rsidR="00827C0C" w:rsidRPr="00580905">
        <w:t>are fit for</w:t>
      </w:r>
      <w:r w:rsidR="00D16BBD">
        <w:t> </w:t>
      </w:r>
      <w:r w:rsidR="00827C0C" w:rsidRPr="00580905">
        <w:t>purpose</w:t>
      </w:r>
    </w:p>
    <w:p w14:paraId="61D1119D" w14:textId="53CD3036" w:rsidR="00827C0C" w:rsidRDefault="001D0D4A" w:rsidP="00FB32C5">
      <w:pPr>
        <w:pStyle w:val="Bullet"/>
        <w:numPr>
          <w:ilvl w:val="0"/>
          <w:numId w:val="15"/>
        </w:numPr>
        <w:spacing w:after="100"/>
      </w:pPr>
      <w:r w:rsidRPr="00580905">
        <w:t>i</w:t>
      </w:r>
      <w:r w:rsidR="009E2C67" w:rsidRPr="00580905">
        <w:t>nform council</w:t>
      </w:r>
      <w:r w:rsidR="00827C0C" w:rsidRPr="00580905">
        <w:t>s</w:t>
      </w:r>
      <w:r w:rsidR="009E2C67" w:rsidRPr="00580905">
        <w:t>’</w:t>
      </w:r>
      <w:r w:rsidR="00827C0C" w:rsidRPr="00580905">
        <w:t xml:space="preserve"> CME activities, by providing examples of other councils’ activities and </w:t>
      </w:r>
      <w:r w:rsidRPr="00580905">
        <w:t>outlining</w:t>
      </w:r>
      <w:r w:rsidR="00827C0C" w:rsidRPr="00580905">
        <w:t xml:space="preserve"> the strengths and weaknesses of certain approaches</w:t>
      </w:r>
    </w:p>
    <w:p w14:paraId="334ABD59" w14:textId="3BA17452" w:rsidR="001D417E" w:rsidRPr="00580905" w:rsidRDefault="003A64AE" w:rsidP="00FB32C5">
      <w:pPr>
        <w:pStyle w:val="Bullet"/>
        <w:numPr>
          <w:ilvl w:val="0"/>
          <w:numId w:val="15"/>
        </w:numPr>
        <w:spacing w:after="100"/>
      </w:pPr>
      <w:r>
        <w:t xml:space="preserve">help determine what data is requested from </w:t>
      </w:r>
      <w:r w:rsidR="001D417E">
        <w:t>all councils annually through the national monitoring system (NMS)</w:t>
      </w:r>
    </w:p>
    <w:p w14:paraId="6291AEFB" w14:textId="01BF7731" w:rsidR="00F66022" w:rsidRPr="00580905" w:rsidRDefault="001D0D4A" w:rsidP="00FB32C5">
      <w:pPr>
        <w:pStyle w:val="Bullet"/>
        <w:numPr>
          <w:ilvl w:val="0"/>
          <w:numId w:val="15"/>
        </w:numPr>
        <w:spacing w:after="100"/>
      </w:pPr>
      <w:proofErr w:type="gramStart"/>
      <w:r w:rsidRPr="00580905">
        <w:t>e</w:t>
      </w:r>
      <w:r w:rsidR="00060426" w:rsidRPr="00580905">
        <w:t>nable</w:t>
      </w:r>
      <w:proofErr w:type="gramEnd"/>
      <w:r w:rsidR="00060426" w:rsidRPr="00580905">
        <w:t xml:space="preserve"> the public to better understand how councils carry out CME.</w:t>
      </w:r>
    </w:p>
    <w:p w14:paraId="06F3AE3E" w14:textId="77777777" w:rsidR="00560445" w:rsidRPr="00580905" w:rsidRDefault="00560445" w:rsidP="00573ACF">
      <w:pPr>
        <w:pStyle w:val="BodyText"/>
      </w:pPr>
      <w:r w:rsidRPr="00580905">
        <w:t>For the purposes of this report, and unless the context otherwise implies:</w:t>
      </w:r>
    </w:p>
    <w:p w14:paraId="4D70222A" w14:textId="294C31AC" w:rsidR="00560445" w:rsidRPr="00580905" w:rsidRDefault="00AE3C8B" w:rsidP="00FB32C5">
      <w:pPr>
        <w:pStyle w:val="Bullet"/>
        <w:numPr>
          <w:ilvl w:val="0"/>
          <w:numId w:val="15"/>
        </w:numPr>
        <w:spacing w:after="100"/>
      </w:pPr>
      <w:r w:rsidRPr="00580905">
        <w:rPr>
          <w:b/>
        </w:rPr>
        <w:t>c</w:t>
      </w:r>
      <w:r w:rsidR="00560445" w:rsidRPr="00580905">
        <w:rPr>
          <w:b/>
        </w:rPr>
        <w:t xml:space="preserve">ompliance </w:t>
      </w:r>
      <w:r w:rsidR="00560445" w:rsidRPr="00580905">
        <w:t>means adherence to the RMA, including the rules established under regional and district plans and meeting resource consent conditions</w:t>
      </w:r>
    </w:p>
    <w:p w14:paraId="61DB9473" w14:textId="7A379178" w:rsidR="00560445" w:rsidRPr="00580905" w:rsidRDefault="00AE3C8B" w:rsidP="00FB32C5">
      <w:pPr>
        <w:pStyle w:val="Bullet"/>
        <w:numPr>
          <w:ilvl w:val="0"/>
          <w:numId w:val="15"/>
        </w:numPr>
        <w:spacing w:after="100"/>
      </w:pPr>
      <w:r w:rsidRPr="00580905">
        <w:rPr>
          <w:b/>
        </w:rPr>
        <w:t>m</w:t>
      </w:r>
      <w:r w:rsidR="00560445" w:rsidRPr="00580905">
        <w:rPr>
          <w:b/>
        </w:rPr>
        <w:t>onitoring</w:t>
      </w:r>
      <w:r w:rsidR="00560445" w:rsidRPr="00580905">
        <w:t xml:space="preserve"> means the activities carried out by councils to assess</w:t>
      </w:r>
      <w:r w:rsidR="00580905">
        <w:t xml:space="preserve"> </w:t>
      </w:r>
      <w:r w:rsidR="00560445" w:rsidRPr="00580905">
        <w:t>compliance with the RMA</w:t>
      </w:r>
      <w:r w:rsidRPr="00580905">
        <w:t>,</w:t>
      </w:r>
      <w:r w:rsidR="00560445" w:rsidRPr="00580905">
        <w:t xml:space="preserve"> and responding to complaints from the public about potential breaches</w:t>
      </w:r>
    </w:p>
    <w:p w14:paraId="5B3B6F7F" w14:textId="6EEF7CB0" w:rsidR="003A59D2" w:rsidRPr="00580905" w:rsidRDefault="00AE3C8B" w:rsidP="00FB32C5">
      <w:pPr>
        <w:pStyle w:val="Bullet"/>
        <w:numPr>
          <w:ilvl w:val="0"/>
          <w:numId w:val="15"/>
        </w:numPr>
        <w:spacing w:after="100"/>
      </w:pPr>
      <w:proofErr w:type="gramStart"/>
      <w:r w:rsidRPr="00580905">
        <w:rPr>
          <w:b/>
        </w:rPr>
        <w:t>e</w:t>
      </w:r>
      <w:r w:rsidR="00560445" w:rsidRPr="00580905">
        <w:rPr>
          <w:b/>
        </w:rPr>
        <w:t>nforcement</w:t>
      </w:r>
      <w:proofErr w:type="gramEnd"/>
      <w:r w:rsidR="00560445" w:rsidRPr="00580905">
        <w:t xml:space="preserve"> is defined as the actions taken by councils to respond to non-compliance with the RMA.</w:t>
      </w:r>
    </w:p>
    <w:p w14:paraId="5646DF61" w14:textId="57CD71CA" w:rsidR="00424FDD" w:rsidRPr="00AF74F8" w:rsidRDefault="00424FDD" w:rsidP="00342376">
      <w:pPr>
        <w:pStyle w:val="Heading4"/>
        <w:rPr>
          <w:i/>
        </w:rPr>
      </w:pPr>
      <w:bookmarkStart w:id="7" w:name="_Toc456343378"/>
      <w:r w:rsidRPr="00AF74F8">
        <w:rPr>
          <w:i/>
        </w:rPr>
        <w:t>Compliance, monitoring and enforcement are critical to effective implementation of the RMA</w:t>
      </w:r>
      <w:bookmarkEnd w:id="7"/>
    </w:p>
    <w:p w14:paraId="77F45E5B" w14:textId="35132999" w:rsidR="00C7305B" w:rsidRPr="00580905" w:rsidRDefault="00E13401" w:rsidP="00573ACF">
      <w:pPr>
        <w:pStyle w:val="BodyText"/>
      </w:pPr>
      <w:r w:rsidRPr="00580905">
        <w:t>C</w:t>
      </w:r>
      <w:r w:rsidR="00453418" w:rsidRPr="00580905">
        <w:t xml:space="preserve">ME </w:t>
      </w:r>
      <w:r w:rsidR="007154AB">
        <w:t>are</w:t>
      </w:r>
      <w:r w:rsidR="00A36515" w:rsidRPr="00580905">
        <w:t xml:space="preserve"> </w:t>
      </w:r>
      <w:r w:rsidRPr="00580905">
        <w:t xml:space="preserve">critical to </w:t>
      </w:r>
      <w:r w:rsidR="00F0247D" w:rsidRPr="00580905">
        <w:t xml:space="preserve">achieving the purpose of the </w:t>
      </w:r>
      <w:r w:rsidR="001C2F45" w:rsidRPr="00580905">
        <w:t>RMA</w:t>
      </w:r>
      <w:r w:rsidR="00645A2D" w:rsidRPr="00580905">
        <w:t xml:space="preserve"> </w:t>
      </w:r>
      <w:r w:rsidR="00F0247D" w:rsidRPr="00580905">
        <w:t xml:space="preserve">– </w:t>
      </w:r>
      <w:r w:rsidR="00DD08D3" w:rsidRPr="00580905">
        <w:t xml:space="preserve">the promotion of </w:t>
      </w:r>
      <w:r w:rsidR="00F0247D" w:rsidRPr="00580905">
        <w:t>sustainable management</w:t>
      </w:r>
      <w:r w:rsidR="00DD08D3" w:rsidRPr="00580905">
        <w:t xml:space="preserve"> of </w:t>
      </w:r>
      <w:r w:rsidR="007104F8" w:rsidRPr="00580905">
        <w:t>natu</w:t>
      </w:r>
      <w:r w:rsidR="00E0656D" w:rsidRPr="00580905">
        <w:t>r</w:t>
      </w:r>
      <w:r w:rsidR="007104F8" w:rsidRPr="00580905">
        <w:t xml:space="preserve">al and physical </w:t>
      </w:r>
      <w:r w:rsidR="00DD08D3" w:rsidRPr="00580905">
        <w:t>resources.</w:t>
      </w:r>
      <w:r w:rsidR="00165E7D" w:rsidRPr="00580905">
        <w:t xml:space="preserve"> </w:t>
      </w:r>
      <w:r w:rsidR="0098432D" w:rsidRPr="00580905">
        <w:t xml:space="preserve">Investment in good </w:t>
      </w:r>
      <w:r w:rsidR="00181400">
        <w:t xml:space="preserve">plan, </w:t>
      </w:r>
      <w:r w:rsidR="0098432D" w:rsidRPr="00580905">
        <w:t xml:space="preserve">policy-making </w:t>
      </w:r>
      <w:r w:rsidR="00181400">
        <w:t xml:space="preserve">and resource consenting </w:t>
      </w:r>
      <w:r w:rsidR="0098432D" w:rsidRPr="00580905">
        <w:t xml:space="preserve">processes can be undermined if </w:t>
      </w:r>
      <w:r w:rsidR="003A64AE">
        <w:t xml:space="preserve">CME </w:t>
      </w:r>
      <w:r w:rsidR="0098432D" w:rsidRPr="00580905">
        <w:t>are done poorly.</w:t>
      </w:r>
      <w:r w:rsidR="004A0648" w:rsidRPr="00580905">
        <w:rPr>
          <w:rStyle w:val="FootnoteReference"/>
        </w:rPr>
        <w:footnoteReference w:id="6"/>
      </w:r>
      <w:r w:rsidR="0098432D" w:rsidRPr="00580905">
        <w:t xml:space="preserve"> </w:t>
      </w:r>
      <w:r w:rsidR="00C7305B" w:rsidRPr="00580905">
        <w:t>CME</w:t>
      </w:r>
      <w:r w:rsidR="002603DE" w:rsidRPr="00580905">
        <w:t xml:space="preserve"> are important for</w:t>
      </w:r>
      <w:r w:rsidR="00C7305B" w:rsidRPr="00580905">
        <w:t xml:space="preserve">: </w:t>
      </w:r>
    </w:p>
    <w:p w14:paraId="74D4CC41" w14:textId="04CAC18E" w:rsidR="00196245" w:rsidRPr="00580905" w:rsidRDefault="00AE3C8B" w:rsidP="00FB32C5">
      <w:pPr>
        <w:pStyle w:val="Bullet"/>
        <w:numPr>
          <w:ilvl w:val="0"/>
          <w:numId w:val="15"/>
        </w:numPr>
        <w:spacing w:after="100"/>
      </w:pPr>
      <w:r w:rsidRPr="00580905">
        <w:t>d</w:t>
      </w:r>
      <w:r w:rsidR="00196245" w:rsidRPr="00580905">
        <w:t xml:space="preserve">emonstrating the consequences of non-compliance with the RMA and </w:t>
      </w:r>
      <w:r w:rsidR="003F6B9C" w:rsidRPr="00580905">
        <w:t xml:space="preserve">providing both general and specific </w:t>
      </w:r>
      <w:r w:rsidR="00196245" w:rsidRPr="00580905">
        <w:t>deterr</w:t>
      </w:r>
      <w:r w:rsidR="003F6B9C" w:rsidRPr="00580905">
        <w:t xml:space="preserve">ence to prevent </w:t>
      </w:r>
      <w:r w:rsidR="00C061D6" w:rsidRPr="00580905">
        <w:t xml:space="preserve">future </w:t>
      </w:r>
      <w:r w:rsidR="00196245" w:rsidRPr="00580905">
        <w:t>offending</w:t>
      </w:r>
    </w:p>
    <w:p w14:paraId="22ACDBEA" w14:textId="71700AF2" w:rsidR="00196245" w:rsidRPr="00580905" w:rsidRDefault="00AE3C8B" w:rsidP="00FB32C5">
      <w:pPr>
        <w:pStyle w:val="Bullet"/>
        <w:numPr>
          <w:ilvl w:val="0"/>
          <w:numId w:val="15"/>
        </w:numPr>
        <w:spacing w:after="100"/>
      </w:pPr>
      <w:r w:rsidRPr="00580905">
        <w:t>e</w:t>
      </w:r>
      <w:r w:rsidR="00196245" w:rsidRPr="00580905">
        <w:t>ducating the public about</w:t>
      </w:r>
      <w:r w:rsidR="00C00FD5" w:rsidRPr="00580905">
        <w:t xml:space="preserve"> </w:t>
      </w:r>
      <w:r w:rsidR="00C061D6" w:rsidRPr="00580905">
        <w:t xml:space="preserve">the </w:t>
      </w:r>
      <w:r w:rsidR="005F31F4" w:rsidRPr="00580905">
        <w:t xml:space="preserve">level of environmental management required under the RMA </w:t>
      </w:r>
      <w:r w:rsidR="00C00FD5" w:rsidRPr="00580905">
        <w:t>and</w:t>
      </w:r>
      <w:r w:rsidR="00373C26" w:rsidRPr="00580905">
        <w:t xml:space="preserve"> how to improve compliance, and giving assurance to the public that rules and policies are being upheld</w:t>
      </w:r>
    </w:p>
    <w:p w14:paraId="2C4C6383" w14:textId="3FBBDC28" w:rsidR="00624D6E" w:rsidRPr="00580905" w:rsidRDefault="00AE3C8B" w:rsidP="00FB32C5">
      <w:pPr>
        <w:pStyle w:val="Bullet"/>
        <w:numPr>
          <w:ilvl w:val="0"/>
          <w:numId w:val="15"/>
        </w:numPr>
        <w:spacing w:after="100"/>
      </w:pPr>
      <w:r w:rsidRPr="00580905">
        <w:t>i</w:t>
      </w:r>
      <w:r w:rsidR="00624D6E" w:rsidRPr="00580905">
        <w:t xml:space="preserve">nforming </w:t>
      </w:r>
      <w:r w:rsidR="00373C26" w:rsidRPr="00580905">
        <w:t xml:space="preserve">plan, </w:t>
      </w:r>
      <w:r w:rsidR="00624D6E" w:rsidRPr="00580905">
        <w:t>policy</w:t>
      </w:r>
      <w:r w:rsidR="00373C26" w:rsidRPr="00580905">
        <w:t xml:space="preserve"> and resource consent</w:t>
      </w:r>
      <w:r w:rsidR="00624D6E" w:rsidRPr="00580905">
        <w:t xml:space="preserve"> development processes so that </w:t>
      </w:r>
      <w:r w:rsidR="00C061D6" w:rsidRPr="00580905">
        <w:t>they are enforceable</w:t>
      </w:r>
      <w:r w:rsidR="0031076B">
        <w:t xml:space="preserve"> and enforced</w:t>
      </w:r>
      <w:r w:rsidRPr="00580905">
        <w:t>,</w:t>
      </w:r>
      <w:r w:rsidR="00C061D6" w:rsidRPr="00580905">
        <w:t xml:space="preserve"> and </w:t>
      </w:r>
      <w:r w:rsidR="00624D6E" w:rsidRPr="00580905">
        <w:t>effectively address relevant issues</w:t>
      </w:r>
    </w:p>
    <w:p w14:paraId="7B15E1C5" w14:textId="08A611F2" w:rsidR="00373C26" w:rsidRPr="00580905" w:rsidRDefault="00AE3C8B" w:rsidP="00FB32C5">
      <w:pPr>
        <w:pStyle w:val="Bullet"/>
        <w:numPr>
          <w:ilvl w:val="0"/>
          <w:numId w:val="15"/>
        </w:numPr>
        <w:spacing w:after="100"/>
      </w:pPr>
      <w:r w:rsidRPr="00580905">
        <w:t>u</w:t>
      </w:r>
      <w:r w:rsidR="00373C26" w:rsidRPr="00580905">
        <w:t>pholding Treaty of Waitangi obligations</w:t>
      </w:r>
    </w:p>
    <w:p w14:paraId="5B45AE9C" w14:textId="1B4879A8" w:rsidR="00BA5D1C" w:rsidRDefault="00BA5D1C" w:rsidP="00FB32C5">
      <w:pPr>
        <w:pStyle w:val="Bullet"/>
        <w:numPr>
          <w:ilvl w:val="0"/>
          <w:numId w:val="15"/>
        </w:numPr>
        <w:spacing w:after="100"/>
      </w:pPr>
      <w:r>
        <w:t>providing information on the state of the environment</w:t>
      </w:r>
    </w:p>
    <w:p w14:paraId="54992247" w14:textId="61CAA490" w:rsidR="00181400" w:rsidRDefault="00BA5D1C" w:rsidP="00FB32C5">
      <w:pPr>
        <w:pStyle w:val="Bullet"/>
        <w:numPr>
          <w:ilvl w:val="0"/>
          <w:numId w:val="15"/>
        </w:numPr>
        <w:spacing w:after="100"/>
      </w:pPr>
      <w:proofErr w:type="gramStart"/>
      <w:r>
        <w:t>providing</w:t>
      </w:r>
      <w:proofErr w:type="gramEnd"/>
      <w:r>
        <w:t xml:space="preserve"> for good environmental outcomes.</w:t>
      </w:r>
    </w:p>
    <w:p w14:paraId="3A8CD27D" w14:textId="77777777" w:rsidR="00773AC2" w:rsidRPr="00580905" w:rsidRDefault="00773AC2" w:rsidP="00831CDE">
      <w:pPr>
        <w:pStyle w:val="Bullet"/>
        <w:numPr>
          <w:ilvl w:val="0"/>
          <w:numId w:val="0"/>
        </w:numPr>
      </w:pPr>
      <w:r w:rsidRPr="00580905">
        <w:t>Th</w:t>
      </w:r>
      <w:r>
        <w:t>is</w:t>
      </w:r>
      <w:r w:rsidRPr="00580905">
        <w:t xml:space="preserve"> report focuses on activities where the </w:t>
      </w:r>
      <w:r>
        <w:t>environmental effects</w:t>
      </w:r>
      <w:r w:rsidRPr="00580905">
        <w:t xml:space="preserve"> of non-compliance are significant or potentially significant. </w:t>
      </w:r>
      <w:r>
        <w:t xml:space="preserve">The adverse environmental effects of non-compliance with noise standards, for example, are minor and only temporary. For that reason, non-compliance with noise standards, </w:t>
      </w:r>
      <w:r w:rsidRPr="00580905">
        <w:t>despite making up the majority of complaints under the RMA,</w:t>
      </w:r>
      <w:r w:rsidRPr="00580905">
        <w:rPr>
          <w:rStyle w:val="FootnoteReference"/>
          <w:rFonts w:cs="Arial"/>
        </w:rPr>
        <w:footnoteReference w:id="7"/>
      </w:r>
      <w:r w:rsidRPr="00580905">
        <w:t xml:space="preserve"> is not discussed in detail in this report.</w:t>
      </w:r>
    </w:p>
    <w:p w14:paraId="73EE64F6" w14:textId="1A91B3AB" w:rsidR="000D2065" w:rsidRPr="00580905" w:rsidRDefault="00FF0303" w:rsidP="001135C4">
      <w:pPr>
        <w:pStyle w:val="Heading2"/>
      </w:pPr>
      <w:bookmarkStart w:id="8" w:name="_Toc456343379"/>
      <w:bookmarkStart w:id="9" w:name="_Toc458001906"/>
      <w:r>
        <w:t xml:space="preserve">1.2 </w:t>
      </w:r>
      <w:r w:rsidR="004D0233" w:rsidRPr="00580905">
        <w:t xml:space="preserve">Background to </w:t>
      </w:r>
      <w:r w:rsidR="00EC0EA8" w:rsidRPr="00580905">
        <w:t>this research</w:t>
      </w:r>
      <w:bookmarkEnd w:id="8"/>
      <w:bookmarkEnd w:id="9"/>
    </w:p>
    <w:p w14:paraId="1BA41480" w14:textId="1A8064F1" w:rsidR="00EC0EA8" w:rsidRPr="00AF74F8" w:rsidRDefault="00DA37CD" w:rsidP="00342376">
      <w:pPr>
        <w:pStyle w:val="Heading4"/>
        <w:rPr>
          <w:i/>
        </w:rPr>
      </w:pPr>
      <w:bookmarkStart w:id="10" w:name="_Toc456343380"/>
      <w:r w:rsidRPr="00AF74F8">
        <w:rPr>
          <w:i/>
        </w:rPr>
        <w:t>The</w:t>
      </w:r>
      <w:r w:rsidR="00EC0EA8" w:rsidRPr="00AF74F8">
        <w:rPr>
          <w:i/>
        </w:rPr>
        <w:t xml:space="preserve"> Ministry’s evidence base on compliance</w:t>
      </w:r>
      <w:r w:rsidR="004D0233" w:rsidRPr="00AF74F8">
        <w:rPr>
          <w:i/>
        </w:rPr>
        <w:t>, monitoring</w:t>
      </w:r>
      <w:r w:rsidR="00EC0EA8" w:rsidRPr="00AF74F8">
        <w:rPr>
          <w:i/>
        </w:rPr>
        <w:t xml:space="preserve"> and</w:t>
      </w:r>
      <w:r w:rsidR="00446CEE" w:rsidRPr="00AF74F8">
        <w:rPr>
          <w:i/>
        </w:rPr>
        <w:t xml:space="preserve"> </w:t>
      </w:r>
      <w:r w:rsidR="00EC0EA8" w:rsidRPr="00AF74F8">
        <w:rPr>
          <w:i/>
        </w:rPr>
        <w:t>enforcement is limited</w:t>
      </w:r>
      <w:bookmarkEnd w:id="10"/>
    </w:p>
    <w:p w14:paraId="00B331F8" w14:textId="39598C10" w:rsidR="00546978" w:rsidRPr="00580905" w:rsidRDefault="00546978" w:rsidP="001135C4">
      <w:pPr>
        <w:pStyle w:val="BodyText"/>
      </w:pPr>
      <w:r w:rsidRPr="00580905">
        <w:t>The Ministry, acting on behalf of the Minister</w:t>
      </w:r>
      <w:r w:rsidR="00E94108" w:rsidRPr="00580905">
        <w:t xml:space="preserve"> for the Environment</w:t>
      </w:r>
      <w:r w:rsidRPr="00580905">
        <w:t xml:space="preserve">, has a duty under section 24(f) of the RMA to monitor the effect and implementation of the RMA, national policy statements and water conservation orders. The Ministry </w:t>
      </w:r>
      <w:r w:rsidR="00DA37CD" w:rsidRPr="00580905">
        <w:t xml:space="preserve">also </w:t>
      </w:r>
      <w:r w:rsidRPr="00580905">
        <w:t xml:space="preserve">has responsibility for ensuring the policy settings in the RMA are fit for purpose, and </w:t>
      </w:r>
      <w:r w:rsidR="004D0233" w:rsidRPr="00580905">
        <w:t xml:space="preserve">that </w:t>
      </w:r>
      <w:r w:rsidRPr="00580905">
        <w:t>any policy interventions are</w:t>
      </w:r>
      <w:r w:rsidR="00384F40" w:rsidRPr="00580905">
        <w:t xml:space="preserve"> supported by robust evidence.</w:t>
      </w:r>
      <w:r w:rsidR="00580905">
        <w:t xml:space="preserve"> </w:t>
      </w:r>
      <w:r w:rsidR="00384F40" w:rsidRPr="00580905">
        <w:t>As such, i</w:t>
      </w:r>
      <w:r w:rsidRPr="00580905">
        <w:t>t is important that the Ministry</w:t>
      </w:r>
      <w:r w:rsidR="00DA37CD" w:rsidRPr="00580905">
        <w:t xml:space="preserve"> has a good evidence base on CME</w:t>
      </w:r>
      <w:r w:rsidRPr="00580905">
        <w:t xml:space="preserve">, including on how councils approach their roles. </w:t>
      </w:r>
    </w:p>
    <w:p w14:paraId="169964E5" w14:textId="3A0BED8F" w:rsidR="004F2094" w:rsidRDefault="004171F3" w:rsidP="001135C4">
      <w:pPr>
        <w:pStyle w:val="BodyText"/>
      </w:pPr>
      <w:r w:rsidRPr="00580905">
        <w:t>There are gaps and limitations in the Ministry’s evidence base on</w:t>
      </w:r>
      <w:r w:rsidR="009E465B" w:rsidRPr="00580905">
        <w:t xml:space="preserve"> CME</w:t>
      </w:r>
      <w:r w:rsidRPr="00580905">
        <w:t xml:space="preserve">. </w:t>
      </w:r>
      <w:r w:rsidR="001963A6" w:rsidRPr="00580905">
        <w:t xml:space="preserve">The </w:t>
      </w:r>
      <w:r w:rsidR="00C72029" w:rsidRPr="00580905">
        <w:t>Ministry’s evidence on CME primarily consists of data from</w:t>
      </w:r>
      <w:r w:rsidR="00E46085" w:rsidRPr="00580905">
        <w:t xml:space="preserve"> the</w:t>
      </w:r>
      <w:r w:rsidR="009E465B" w:rsidRPr="00580905">
        <w:t xml:space="preserve"> </w:t>
      </w:r>
      <w:r w:rsidR="00E46085" w:rsidRPr="00580905">
        <w:t xml:space="preserve">RMA Survey of Local Authorities </w:t>
      </w:r>
      <w:r w:rsidR="0035401D" w:rsidRPr="00580905">
        <w:t xml:space="preserve">(until 2012/13), </w:t>
      </w:r>
      <w:r w:rsidR="00E46085" w:rsidRPr="00580905">
        <w:t>the</w:t>
      </w:r>
      <w:r w:rsidR="0014189D">
        <w:t xml:space="preserve"> NMS</w:t>
      </w:r>
      <w:r w:rsidR="001135C4" w:rsidRPr="00580905">
        <w:t>,</w:t>
      </w:r>
      <w:r w:rsidR="00546978" w:rsidRPr="00580905">
        <w:rPr>
          <w:rStyle w:val="FootnoteReference"/>
        </w:rPr>
        <w:footnoteReference w:id="8"/>
      </w:r>
      <w:r w:rsidR="001963A6" w:rsidRPr="00580905">
        <w:t xml:space="preserve"> </w:t>
      </w:r>
      <w:r w:rsidR="00E94108" w:rsidRPr="00580905">
        <w:t>four reports on RMA prosecutions</w:t>
      </w:r>
      <w:r w:rsidR="00C72029" w:rsidRPr="00580905">
        <w:t>,</w:t>
      </w:r>
      <w:r w:rsidR="00C72029" w:rsidRPr="00580905">
        <w:rPr>
          <w:rStyle w:val="FootnoteReference"/>
        </w:rPr>
        <w:footnoteReference w:id="9"/>
      </w:r>
      <w:r w:rsidR="00C72029" w:rsidRPr="00580905">
        <w:t xml:space="preserve"> and ad hoc data and reports from other agencies</w:t>
      </w:r>
      <w:r w:rsidR="0035401D" w:rsidRPr="00580905">
        <w:rPr>
          <w:rStyle w:val="FootnoteReference"/>
          <w:rFonts w:asciiTheme="minorHAnsi" w:hAnsiTheme="minorHAnsi"/>
        </w:rPr>
        <w:footnoteReference w:id="10"/>
      </w:r>
      <w:r w:rsidR="00C72029" w:rsidRPr="00580905">
        <w:t xml:space="preserve"> and councils</w:t>
      </w:r>
      <w:r w:rsidR="001963A6" w:rsidRPr="00580905">
        <w:t xml:space="preserve">. </w:t>
      </w:r>
      <w:r w:rsidR="00B71259" w:rsidRPr="00580905">
        <w:t>T</w:t>
      </w:r>
      <w:r w:rsidR="00E46085" w:rsidRPr="00580905">
        <w:t xml:space="preserve">his </w:t>
      </w:r>
      <w:r w:rsidR="002E3D1A" w:rsidRPr="00580905">
        <w:t>does not</w:t>
      </w:r>
      <w:r w:rsidR="00B71259" w:rsidRPr="00580905">
        <w:t>, however,</w:t>
      </w:r>
      <w:r w:rsidR="002E3D1A" w:rsidRPr="00580905">
        <w:t xml:space="preserve"> tell the full story o</w:t>
      </w:r>
      <w:r w:rsidR="00B71259" w:rsidRPr="00580905">
        <w:t>f</w:t>
      </w:r>
      <w:r w:rsidR="00B61477">
        <w:t xml:space="preserve"> how councils carry</w:t>
      </w:r>
      <w:r w:rsidR="002E3D1A" w:rsidRPr="00580905">
        <w:t xml:space="preserve"> out CME.</w:t>
      </w:r>
      <w:r w:rsidR="00675F72" w:rsidRPr="00580905">
        <w:t xml:space="preserve"> </w:t>
      </w:r>
    </w:p>
    <w:p w14:paraId="008F346F" w14:textId="4C8883FC" w:rsidR="000D63C7" w:rsidRDefault="004F2094" w:rsidP="001135C4">
      <w:pPr>
        <w:pStyle w:val="BodyText"/>
      </w:pPr>
      <w:r>
        <w:t>T</w:t>
      </w:r>
      <w:r w:rsidR="0035401D" w:rsidRPr="00580905">
        <w:t xml:space="preserve">he </w:t>
      </w:r>
      <w:r w:rsidR="004171F3" w:rsidRPr="00580905">
        <w:t>Ministry’s evidence base lacks inform</w:t>
      </w:r>
      <w:r w:rsidR="00A11B4E">
        <w:t>ation on council approaches to CME, including how monitoring is carried out, how enforcement decisions are made and the overall relationship between compliance promotion and enforcement.</w:t>
      </w:r>
      <w:r>
        <w:t xml:space="preserve"> In addition, t</w:t>
      </w:r>
      <w:r w:rsidR="009927FC">
        <w:t xml:space="preserve">he previous data collected </w:t>
      </w:r>
      <w:r w:rsidR="000D63C7">
        <w:t>has the following limitations:</w:t>
      </w:r>
    </w:p>
    <w:p w14:paraId="55133082" w14:textId="33CFB62F" w:rsidR="000D63C7" w:rsidRDefault="000D63C7" w:rsidP="00FB32C5">
      <w:pPr>
        <w:pStyle w:val="Bullet"/>
        <w:numPr>
          <w:ilvl w:val="0"/>
          <w:numId w:val="15"/>
        </w:numPr>
        <w:spacing w:after="100"/>
      </w:pPr>
      <w:r>
        <w:t>the information collected by the RMA Su</w:t>
      </w:r>
      <w:r w:rsidR="00EE1931">
        <w:t>rvey of Local Authorities varied</w:t>
      </w:r>
      <w:r>
        <w:t xml:space="preserve"> from year</w:t>
      </w:r>
      <w:r w:rsidR="004F2094">
        <w:t xml:space="preserve">-to-year </w:t>
      </w:r>
      <w:r w:rsidR="00EE1931">
        <w:t xml:space="preserve">and is different to the NMS </w:t>
      </w:r>
      <w:r w:rsidR="004F2094">
        <w:t>and as such, it is difficult to see temporal trends</w:t>
      </w:r>
    </w:p>
    <w:p w14:paraId="7590A4CC" w14:textId="50EF9B0E" w:rsidR="004171F3" w:rsidRPr="00580905" w:rsidRDefault="000D63C7" w:rsidP="00FB32C5">
      <w:pPr>
        <w:pStyle w:val="Bullet"/>
        <w:numPr>
          <w:ilvl w:val="0"/>
          <w:numId w:val="15"/>
        </w:numPr>
        <w:spacing w:after="100"/>
      </w:pPr>
      <w:proofErr w:type="gramStart"/>
      <w:r>
        <w:t>the</w:t>
      </w:r>
      <w:proofErr w:type="gramEnd"/>
      <w:r w:rsidR="00B61477">
        <w:t xml:space="preserve"> NMS</w:t>
      </w:r>
      <w:r>
        <w:t xml:space="preserve"> data focusses</w:t>
      </w:r>
      <w:r w:rsidR="009927FC">
        <w:t xml:space="preserve"> on </w:t>
      </w:r>
      <w:r w:rsidR="00EE1931">
        <w:t xml:space="preserve">the effectiveness of </w:t>
      </w:r>
      <w:r w:rsidR="009927FC">
        <w:t xml:space="preserve">RMA processes (such as compliance with statutory timeframes for processing resource consents), </w:t>
      </w:r>
      <w:r w:rsidR="00EE1931">
        <w:t xml:space="preserve">but </w:t>
      </w:r>
      <w:r w:rsidR="00B61477">
        <w:t xml:space="preserve">there is more limited data on the </w:t>
      </w:r>
      <w:r w:rsidR="00E170B9">
        <w:t>impact of these processes on the environment.</w:t>
      </w:r>
    </w:p>
    <w:p w14:paraId="2B3B85CE" w14:textId="762B94DC" w:rsidR="00EC0EA8" w:rsidRPr="00580905" w:rsidRDefault="004171F3" w:rsidP="00C60D68">
      <w:pPr>
        <w:pStyle w:val="BodyText"/>
      </w:pPr>
      <w:r w:rsidRPr="00580905">
        <w:t xml:space="preserve">Addressing these </w:t>
      </w:r>
      <w:r w:rsidR="009C1083" w:rsidRPr="00580905">
        <w:t>information</w:t>
      </w:r>
      <w:r w:rsidRPr="00580905">
        <w:t xml:space="preserve"> gaps and limitations </w:t>
      </w:r>
      <w:r w:rsidR="00546978" w:rsidRPr="00580905">
        <w:t xml:space="preserve">is necessary to </w:t>
      </w:r>
      <w:r w:rsidRPr="00580905">
        <w:t xml:space="preserve">provide a more complete understanding of how councils are carrying out </w:t>
      </w:r>
      <w:r w:rsidR="00772037" w:rsidRPr="00580905">
        <w:t>CME</w:t>
      </w:r>
      <w:r w:rsidR="00D1577B" w:rsidRPr="00580905">
        <w:t>, and implementing the RMA</w:t>
      </w:r>
      <w:r w:rsidRPr="00580905">
        <w:t xml:space="preserve">. </w:t>
      </w:r>
      <w:r w:rsidR="004F2094">
        <w:t>The NMS will address</w:t>
      </w:r>
      <w:r w:rsidR="00B61477">
        <w:t xml:space="preserve">, in time, </w:t>
      </w:r>
      <w:r w:rsidR="004F2094">
        <w:t>a number of these limitations (such as temporal consistency).</w:t>
      </w:r>
    </w:p>
    <w:p w14:paraId="2588EACE" w14:textId="47986B2A" w:rsidR="004171F3" w:rsidRPr="00580905" w:rsidRDefault="006E3C6F" w:rsidP="00C60D68">
      <w:pPr>
        <w:pStyle w:val="BodyText"/>
      </w:pPr>
      <w:r w:rsidRPr="00580905">
        <w:t>S</w:t>
      </w:r>
      <w:r w:rsidR="00EC0EA8" w:rsidRPr="00580905">
        <w:t>takeholders</w:t>
      </w:r>
      <w:r w:rsidR="00ED3FCC" w:rsidRPr="00580905">
        <w:t>, through reports and commentary in</w:t>
      </w:r>
      <w:r w:rsidRPr="00580905">
        <w:t xml:space="preserve"> the media, </w:t>
      </w:r>
      <w:r w:rsidR="00D1577B" w:rsidRPr="00580905">
        <w:t>have</w:t>
      </w:r>
      <w:r w:rsidR="009E2C67" w:rsidRPr="00580905">
        <w:t xml:space="preserve"> </w:t>
      </w:r>
      <w:r w:rsidRPr="00580905">
        <w:t xml:space="preserve">provided </w:t>
      </w:r>
      <w:r w:rsidR="00ED3FCC" w:rsidRPr="00580905">
        <w:t>insights into</w:t>
      </w:r>
      <w:r w:rsidRPr="00580905">
        <w:t xml:space="preserve"> </w:t>
      </w:r>
      <w:r w:rsidR="00D1577B" w:rsidRPr="00580905">
        <w:t>council approaches to CME</w:t>
      </w:r>
      <w:r w:rsidRPr="00580905">
        <w:t xml:space="preserve">, highlighting weaknesses </w:t>
      </w:r>
      <w:r w:rsidR="00ED3FCC" w:rsidRPr="00580905">
        <w:t>in some cases</w:t>
      </w:r>
      <w:r w:rsidR="00D1577B" w:rsidRPr="00580905">
        <w:t>.</w:t>
      </w:r>
      <w:r w:rsidR="00580905">
        <w:t xml:space="preserve"> </w:t>
      </w:r>
      <w:r w:rsidR="00EC0EA8" w:rsidRPr="00580905">
        <w:t xml:space="preserve">For example, the </w:t>
      </w:r>
      <w:r w:rsidR="00772037" w:rsidRPr="00580905">
        <w:t xml:space="preserve">report </w:t>
      </w:r>
      <w:r w:rsidR="00772037" w:rsidRPr="00580905">
        <w:rPr>
          <w:i/>
        </w:rPr>
        <w:t>Towards Better Local Regulation</w:t>
      </w:r>
      <w:r w:rsidR="009F418E" w:rsidRPr="00580905">
        <w:rPr>
          <w:i/>
        </w:rPr>
        <w:t xml:space="preserve"> </w:t>
      </w:r>
      <w:r w:rsidR="009F418E" w:rsidRPr="00580905">
        <w:t>(Productivity Commission, 2013)</w:t>
      </w:r>
      <w:r w:rsidR="004171F3" w:rsidRPr="00580905">
        <w:t xml:space="preserve"> </w:t>
      </w:r>
      <w:r w:rsidR="00C725F1" w:rsidRPr="00580905">
        <w:t xml:space="preserve">identified </w:t>
      </w:r>
      <w:r w:rsidR="004171F3" w:rsidRPr="00580905">
        <w:t>the following issues:</w:t>
      </w:r>
    </w:p>
    <w:p w14:paraId="10A4B8CE" w14:textId="6FAFBBD2" w:rsidR="004171F3" w:rsidRPr="00580905" w:rsidRDefault="008542FA" w:rsidP="00FB32C5">
      <w:pPr>
        <w:pStyle w:val="Bullet"/>
        <w:numPr>
          <w:ilvl w:val="0"/>
          <w:numId w:val="15"/>
        </w:numPr>
        <w:spacing w:after="100"/>
      </w:pPr>
      <w:r w:rsidRPr="00580905">
        <w:t>i</w:t>
      </w:r>
      <w:r w:rsidR="004171F3" w:rsidRPr="00580905">
        <w:t>nsufficient monitoring of RMA compliance by councils</w:t>
      </w:r>
    </w:p>
    <w:p w14:paraId="1A5273C1" w14:textId="0365C976" w:rsidR="004171F3" w:rsidRPr="00580905" w:rsidRDefault="008542FA" w:rsidP="00FB32C5">
      <w:pPr>
        <w:pStyle w:val="Bullet"/>
        <w:numPr>
          <w:ilvl w:val="0"/>
          <w:numId w:val="15"/>
        </w:numPr>
        <w:spacing w:after="100"/>
      </w:pPr>
      <w:r w:rsidRPr="00580905">
        <w:t>l</w:t>
      </w:r>
      <w:r w:rsidR="004171F3" w:rsidRPr="00580905">
        <w:t>ack of council focus of monitoring and enforcement resources on high-risk activities</w:t>
      </w:r>
    </w:p>
    <w:p w14:paraId="682F8070" w14:textId="3E0B17A2" w:rsidR="004171F3" w:rsidRPr="00580905" w:rsidRDefault="008542FA" w:rsidP="00FB32C5">
      <w:pPr>
        <w:pStyle w:val="Bullet"/>
        <w:numPr>
          <w:ilvl w:val="0"/>
          <w:numId w:val="15"/>
        </w:numPr>
        <w:spacing w:after="100"/>
      </w:pPr>
      <w:r w:rsidRPr="00580905">
        <w:t>i</w:t>
      </w:r>
      <w:r w:rsidR="004171F3" w:rsidRPr="00580905">
        <w:t>nsufficiency of penalties for deterring non-compliance</w:t>
      </w:r>
    </w:p>
    <w:p w14:paraId="015F33EA" w14:textId="0AC63EF5" w:rsidR="004171F3" w:rsidRPr="00580905" w:rsidRDefault="008542FA" w:rsidP="00FB32C5">
      <w:pPr>
        <w:pStyle w:val="Bullet"/>
        <w:numPr>
          <w:ilvl w:val="0"/>
          <w:numId w:val="15"/>
        </w:numPr>
        <w:spacing w:after="100"/>
      </w:pPr>
      <w:proofErr w:type="gramStart"/>
      <w:r w:rsidRPr="00580905">
        <w:t>a</w:t>
      </w:r>
      <w:r w:rsidR="004171F3" w:rsidRPr="00580905">
        <w:t>bsence</w:t>
      </w:r>
      <w:proofErr w:type="gramEnd"/>
      <w:r w:rsidR="004171F3" w:rsidRPr="00580905">
        <w:t xml:space="preserve"> of cost-recovery mechanisms to fund monitoring and enforcement activities.</w:t>
      </w:r>
    </w:p>
    <w:p w14:paraId="7B8D4A80" w14:textId="0DBAD023" w:rsidR="00F506C8" w:rsidRPr="00580905" w:rsidRDefault="004171F3" w:rsidP="00C60D68">
      <w:pPr>
        <w:pStyle w:val="BodyText"/>
      </w:pPr>
      <w:r w:rsidRPr="00580905">
        <w:t>Local Government New Zealand</w:t>
      </w:r>
      <w:r w:rsidR="0021472C" w:rsidRPr="00580905">
        <w:t xml:space="preserve"> (LGNZ)</w:t>
      </w:r>
      <w:r w:rsidRPr="00580905">
        <w:t xml:space="preserve">, in a </w:t>
      </w:r>
      <w:r w:rsidR="00FF4275" w:rsidRPr="00580905">
        <w:t xml:space="preserve">draft 2015 </w:t>
      </w:r>
      <w:r w:rsidRPr="00580905">
        <w:t>position paper,</w:t>
      </w:r>
      <w:r w:rsidR="00502495" w:rsidRPr="00580905">
        <w:rPr>
          <w:rStyle w:val="FootnoteReference"/>
          <w:rFonts w:asciiTheme="minorHAnsi" w:hAnsiTheme="minorHAnsi"/>
        </w:rPr>
        <w:footnoteReference w:id="11"/>
      </w:r>
      <w:r w:rsidRPr="00580905">
        <w:t xml:space="preserve"> </w:t>
      </w:r>
      <w:r w:rsidR="00DC4D68" w:rsidRPr="00580905">
        <w:t xml:space="preserve">also </w:t>
      </w:r>
      <w:r w:rsidR="000E36F4" w:rsidRPr="00580905">
        <w:t>highlighted a number of aspects of the RMA that are creating difficu</w:t>
      </w:r>
      <w:r w:rsidR="00CB113E" w:rsidRPr="00580905">
        <w:t xml:space="preserve">lties for CME staff in councils, such as </w:t>
      </w:r>
      <w:r w:rsidR="00B70794" w:rsidRPr="00580905">
        <w:t>the lack of cost recovery mecha</w:t>
      </w:r>
      <w:r w:rsidR="009927FC">
        <w:t>nisms for monitoring activities, especially permitted activities.</w:t>
      </w:r>
    </w:p>
    <w:p w14:paraId="76701ABD" w14:textId="62A65F8A" w:rsidR="00EF0FDF" w:rsidRPr="00580905" w:rsidRDefault="00FF0303" w:rsidP="00C15F91">
      <w:pPr>
        <w:pStyle w:val="Heading2"/>
      </w:pPr>
      <w:bookmarkStart w:id="11" w:name="_Toc456343381"/>
      <w:bookmarkStart w:id="12" w:name="_Toc458001907"/>
      <w:r>
        <w:t xml:space="preserve">1.3 </w:t>
      </w:r>
      <w:r w:rsidR="00EF0FDF" w:rsidRPr="00580905">
        <w:t>Methodology</w:t>
      </w:r>
      <w:bookmarkEnd w:id="11"/>
      <w:bookmarkEnd w:id="12"/>
    </w:p>
    <w:p w14:paraId="45BEC9CF" w14:textId="77777777" w:rsidR="00B301E3" w:rsidRPr="00580905" w:rsidRDefault="00363B03" w:rsidP="009425E0">
      <w:pPr>
        <w:pStyle w:val="BodyText"/>
        <w:keepNext/>
      </w:pPr>
      <w:r w:rsidRPr="00580905">
        <w:t>This report is based on:</w:t>
      </w:r>
    </w:p>
    <w:p w14:paraId="4350DB7F" w14:textId="2FF871FF" w:rsidR="00B301E3" w:rsidRPr="00580905" w:rsidRDefault="004534DE" w:rsidP="00FB32C5">
      <w:pPr>
        <w:pStyle w:val="Bullet"/>
        <w:numPr>
          <w:ilvl w:val="0"/>
          <w:numId w:val="15"/>
        </w:numPr>
        <w:spacing w:after="100"/>
      </w:pPr>
      <w:r w:rsidRPr="00580905">
        <w:t>p</w:t>
      </w:r>
      <w:r w:rsidR="00E47B1E" w:rsidRPr="00580905">
        <w:t>ublicly available information,</w:t>
      </w:r>
      <w:r w:rsidR="00E07DBF">
        <w:t xml:space="preserve"> and other documents </w:t>
      </w:r>
      <w:r w:rsidR="00424ED7" w:rsidRPr="00580905">
        <w:t>provided by councils, stakeholders and the Ministry</w:t>
      </w:r>
    </w:p>
    <w:p w14:paraId="1001740D" w14:textId="7994A810" w:rsidR="00424ED7" w:rsidRPr="00580905" w:rsidRDefault="004534DE" w:rsidP="00FB32C5">
      <w:pPr>
        <w:pStyle w:val="Bullet"/>
        <w:numPr>
          <w:ilvl w:val="0"/>
          <w:numId w:val="15"/>
        </w:numPr>
        <w:spacing w:after="100"/>
      </w:pPr>
      <w:r w:rsidRPr="00580905">
        <w:t>d</w:t>
      </w:r>
      <w:r w:rsidR="00B301E3" w:rsidRPr="00580905">
        <w:t>ata collected through the</w:t>
      </w:r>
      <w:r w:rsidR="00363B03" w:rsidRPr="00580905">
        <w:t xml:space="preserve"> Ministry’s</w:t>
      </w:r>
      <w:r w:rsidR="005B0887" w:rsidRPr="00580905">
        <w:t xml:space="preserve"> </w:t>
      </w:r>
      <w:r w:rsidR="000C6671" w:rsidRPr="00580905">
        <w:t>N</w:t>
      </w:r>
      <w:r w:rsidR="00F506C8" w:rsidRPr="00580905">
        <w:t xml:space="preserve">MS </w:t>
      </w:r>
      <w:r w:rsidR="00B301E3" w:rsidRPr="00580905">
        <w:t>and the RMA Survey of Local Authorities</w:t>
      </w:r>
    </w:p>
    <w:p w14:paraId="22CDD331" w14:textId="63B7D5D4" w:rsidR="00F506C8" w:rsidRPr="00580905" w:rsidRDefault="004534DE" w:rsidP="00FB32C5">
      <w:pPr>
        <w:pStyle w:val="Bullet"/>
        <w:numPr>
          <w:ilvl w:val="0"/>
          <w:numId w:val="15"/>
        </w:numPr>
        <w:spacing w:after="100"/>
      </w:pPr>
      <w:r w:rsidRPr="00580905">
        <w:t>d</w:t>
      </w:r>
      <w:r w:rsidR="00F506C8" w:rsidRPr="00580905">
        <w:t xml:space="preserve">iscussions with </w:t>
      </w:r>
      <w:r w:rsidR="00B628F2">
        <w:t xml:space="preserve">27 </w:t>
      </w:r>
      <w:r w:rsidR="002C5A17">
        <w:t xml:space="preserve">representatives </w:t>
      </w:r>
      <w:r w:rsidR="00B628F2">
        <w:t>(</w:t>
      </w:r>
      <w:r w:rsidR="00B628F2" w:rsidRPr="00580905">
        <w:t>executive man</w:t>
      </w:r>
      <w:r w:rsidR="00B628F2">
        <w:t xml:space="preserve">agers, </w:t>
      </w:r>
      <w:r w:rsidR="00B628F2" w:rsidRPr="00580905">
        <w:t xml:space="preserve">compliance managers </w:t>
      </w:r>
      <w:r w:rsidR="00B628F2">
        <w:t xml:space="preserve">and compliance staff) </w:t>
      </w:r>
      <w:r w:rsidR="003F39FB" w:rsidRPr="00580905">
        <w:t>from</w:t>
      </w:r>
      <w:r w:rsidR="00F506C8" w:rsidRPr="00580905">
        <w:t xml:space="preserve"> </w:t>
      </w:r>
      <w:r w:rsidRPr="00580905">
        <w:t>13</w:t>
      </w:r>
      <w:r w:rsidR="00F506C8" w:rsidRPr="00580905">
        <w:t xml:space="preserve"> territorial</w:t>
      </w:r>
      <w:r w:rsidR="002C5A17">
        <w:t xml:space="preserve"> authorities</w:t>
      </w:r>
      <w:r w:rsidR="00F506C8" w:rsidRPr="00580905">
        <w:t xml:space="preserve">, unitary </w:t>
      </w:r>
      <w:r w:rsidR="002C5A17">
        <w:t xml:space="preserve">authorities </w:t>
      </w:r>
      <w:r w:rsidR="00F506C8" w:rsidRPr="00580905">
        <w:t>and regional councils</w:t>
      </w:r>
      <w:r w:rsidR="00B628F2">
        <w:t xml:space="preserve"> (s</w:t>
      </w:r>
      <w:r w:rsidR="00B628F2" w:rsidRPr="00580905">
        <w:t>ee Table 1 for a full list of councils)</w:t>
      </w:r>
    </w:p>
    <w:p w14:paraId="1987C335" w14:textId="3DED44D1" w:rsidR="006424B5" w:rsidRPr="00580905" w:rsidRDefault="00B65B23" w:rsidP="00FB32C5">
      <w:pPr>
        <w:pStyle w:val="Bullet"/>
        <w:numPr>
          <w:ilvl w:val="0"/>
          <w:numId w:val="15"/>
        </w:numPr>
        <w:spacing w:after="100"/>
      </w:pPr>
      <w:proofErr w:type="gramStart"/>
      <w:r>
        <w:t>d</w:t>
      </w:r>
      <w:r w:rsidR="00363B03" w:rsidRPr="00580905">
        <w:t>iscussions</w:t>
      </w:r>
      <w:proofErr w:type="gramEnd"/>
      <w:r>
        <w:t xml:space="preserve"> with</w:t>
      </w:r>
      <w:r w:rsidR="00363B03" w:rsidRPr="00580905">
        <w:t xml:space="preserve"> </w:t>
      </w:r>
      <w:r w:rsidR="00A96C47">
        <w:t>14 representatives from nine stakeholder</w:t>
      </w:r>
      <w:r w:rsidR="00363B03" w:rsidRPr="00580905">
        <w:t xml:space="preserve"> </w:t>
      </w:r>
      <w:r w:rsidR="002C5A17">
        <w:t>and iwi</w:t>
      </w:r>
      <w:r w:rsidR="00A96C47">
        <w:t xml:space="preserve"> organisations</w:t>
      </w:r>
      <w:r w:rsidR="002C5A17">
        <w:t>.</w:t>
      </w:r>
    </w:p>
    <w:p w14:paraId="61F89EED" w14:textId="77777777" w:rsidR="00E229E6" w:rsidRPr="00580905" w:rsidRDefault="00E229E6" w:rsidP="00C15F91">
      <w:pPr>
        <w:pStyle w:val="BodyText"/>
      </w:pPr>
      <w:r w:rsidRPr="00580905">
        <w:t>Councils were selected for this research based on</w:t>
      </w:r>
      <w:r w:rsidR="00C16A43" w:rsidRPr="00580905">
        <w:t xml:space="preserve"> the</w:t>
      </w:r>
      <w:r w:rsidRPr="00580905">
        <w:t>:</w:t>
      </w:r>
    </w:p>
    <w:p w14:paraId="19F5DB9E" w14:textId="7F496D32" w:rsidR="00E229E6" w:rsidRPr="00580905" w:rsidRDefault="00E229E6" w:rsidP="00FB32C5">
      <w:pPr>
        <w:pStyle w:val="Bullet"/>
        <w:numPr>
          <w:ilvl w:val="0"/>
          <w:numId w:val="15"/>
        </w:numPr>
        <w:spacing w:after="100"/>
      </w:pPr>
      <w:r w:rsidRPr="00580905">
        <w:t xml:space="preserve">size of the council </w:t>
      </w:r>
      <w:r w:rsidR="00040583" w:rsidRPr="00580905">
        <w:t>–</w:t>
      </w:r>
      <w:r w:rsidRPr="00580905">
        <w:t xml:space="preserve"> </w:t>
      </w:r>
      <w:r w:rsidR="00040583" w:rsidRPr="00580905">
        <w:t xml:space="preserve">the research sought views from staff representing a </w:t>
      </w:r>
      <w:r w:rsidRPr="00580905">
        <w:t>range of small, medium and large councils</w:t>
      </w:r>
      <w:r w:rsidR="00C16A43" w:rsidRPr="00580905">
        <w:t>, and t</w:t>
      </w:r>
      <w:r w:rsidR="00757F22" w:rsidRPr="00580905">
        <w:t>he</w:t>
      </w:r>
      <w:r w:rsidRPr="00580905">
        <w:t xml:space="preserve"> population of council areas ranged between 8,500 and 1.4 million</w:t>
      </w:r>
    </w:p>
    <w:p w14:paraId="07F6F6FF" w14:textId="1884C383" w:rsidR="00E229E6" w:rsidRPr="00580905" w:rsidRDefault="00E229E6" w:rsidP="00FB32C5">
      <w:pPr>
        <w:pStyle w:val="Bullet"/>
        <w:numPr>
          <w:ilvl w:val="0"/>
          <w:numId w:val="15"/>
        </w:numPr>
        <w:spacing w:after="100"/>
      </w:pPr>
      <w:r w:rsidRPr="00580905">
        <w:t>nature of the activiti</w:t>
      </w:r>
      <w:r w:rsidR="00757F22" w:rsidRPr="00580905">
        <w:t>es addressed by</w:t>
      </w:r>
      <w:r w:rsidR="00040583" w:rsidRPr="00580905">
        <w:t xml:space="preserve"> the</w:t>
      </w:r>
      <w:r w:rsidR="00757F22" w:rsidRPr="00580905">
        <w:t xml:space="preserve"> council – the research focused on activities that have significant environmental impacts, such as dairying, forestry and freshwater management</w:t>
      </w:r>
    </w:p>
    <w:p w14:paraId="39B7D85A" w14:textId="384D434B" w:rsidR="00D60E40" w:rsidRPr="00580905" w:rsidRDefault="00040583" w:rsidP="00FB32C5">
      <w:pPr>
        <w:pStyle w:val="Bullet"/>
        <w:numPr>
          <w:ilvl w:val="0"/>
          <w:numId w:val="15"/>
        </w:numPr>
        <w:spacing w:after="100"/>
        <w:rPr>
          <w:b/>
        </w:rPr>
      </w:pPr>
      <w:proofErr w:type="gramStart"/>
      <w:r w:rsidRPr="00580905">
        <w:t>d</w:t>
      </w:r>
      <w:r w:rsidR="00757F22" w:rsidRPr="00580905">
        <w:t>egree</w:t>
      </w:r>
      <w:proofErr w:type="gramEnd"/>
      <w:r w:rsidR="00757F22" w:rsidRPr="00580905">
        <w:t xml:space="preserve"> of growth</w:t>
      </w:r>
      <w:r w:rsidR="00D56984" w:rsidRPr="00580905">
        <w:t xml:space="preserve"> in the city/district/region </w:t>
      </w:r>
      <w:r w:rsidRPr="00580905">
        <w:t xml:space="preserve">– </w:t>
      </w:r>
      <w:r w:rsidR="001C0976" w:rsidRPr="00580905">
        <w:t>councils experiencing high</w:t>
      </w:r>
      <w:r w:rsidRPr="00580905">
        <w:t xml:space="preserve">, medium and low growth were spoken to, as well as areas with declining populations. </w:t>
      </w:r>
    </w:p>
    <w:p w14:paraId="4667395C" w14:textId="0CB441F5" w:rsidR="00E03D34" w:rsidRPr="00580905" w:rsidRDefault="005366A9" w:rsidP="00C15F91">
      <w:pPr>
        <w:pStyle w:val="BodyText"/>
      </w:pPr>
      <w:r w:rsidRPr="00580905">
        <w:t xml:space="preserve">A range </w:t>
      </w:r>
      <w:r w:rsidR="00B913A3" w:rsidRPr="00580905">
        <w:t xml:space="preserve">of </w:t>
      </w:r>
      <w:r w:rsidRPr="00580905">
        <w:t xml:space="preserve">stakeholders </w:t>
      </w:r>
      <w:r w:rsidR="00C16A43" w:rsidRPr="00580905">
        <w:t>with</w:t>
      </w:r>
      <w:r w:rsidR="00B913A3" w:rsidRPr="00580905">
        <w:t xml:space="preserve"> a strong interest in CME</w:t>
      </w:r>
      <w:r w:rsidR="002606FE" w:rsidRPr="00580905">
        <w:t>,</w:t>
      </w:r>
      <w:r w:rsidR="00B913A3" w:rsidRPr="00580905">
        <w:t xml:space="preserve"> and </w:t>
      </w:r>
      <w:r w:rsidR="00C34630" w:rsidRPr="00580905">
        <w:t>represent</w:t>
      </w:r>
      <w:r w:rsidR="00C16A43" w:rsidRPr="00580905">
        <w:t>ing</w:t>
      </w:r>
      <w:r w:rsidR="004A0823" w:rsidRPr="00580905">
        <w:t xml:space="preserve"> </w:t>
      </w:r>
      <w:r w:rsidR="00B913A3" w:rsidRPr="00580905">
        <w:t>community, environmental</w:t>
      </w:r>
      <w:r w:rsidR="004A0823" w:rsidRPr="00580905">
        <w:t>, iwi, governmental and business</w:t>
      </w:r>
      <w:r w:rsidR="00C16A43" w:rsidRPr="00580905">
        <w:t>,</w:t>
      </w:r>
      <w:r w:rsidR="00B913A3" w:rsidRPr="00580905">
        <w:t xml:space="preserve"> </w:t>
      </w:r>
      <w:r w:rsidRPr="00580905">
        <w:t xml:space="preserve">were selected to be involved in this study. </w:t>
      </w:r>
      <w:r w:rsidR="00B913A3" w:rsidRPr="00580905">
        <w:t>The</w:t>
      </w:r>
      <w:r w:rsidR="00D16BBD">
        <w:t> </w:t>
      </w:r>
      <w:r w:rsidR="00B913A3" w:rsidRPr="00580905">
        <w:t xml:space="preserve">stakeholders spoken to were </w:t>
      </w:r>
      <w:proofErr w:type="spellStart"/>
      <w:r w:rsidR="00944828" w:rsidRPr="00580905">
        <w:t>DairyNZ</w:t>
      </w:r>
      <w:proofErr w:type="spellEnd"/>
      <w:r w:rsidR="00B913A3" w:rsidRPr="00580905">
        <w:t>, Forest and Bird, Environmental Defence Society,</w:t>
      </w:r>
      <w:r w:rsidR="001B661A" w:rsidRPr="00580905">
        <w:t xml:space="preserve"> Environmental Protection Authority</w:t>
      </w:r>
      <w:r w:rsidR="00B913A3" w:rsidRPr="00580905">
        <w:t>, New Zealand Productivity Commission and Local Government New Zealand.</w:t>
      </w:r>
      <w:r w:rsidR="0063078A">
        <w:t xml:space="preserve"> </w:t>
      </w:r>
      <w:r w:rsidR="006F55EB">
        <w:t xml:space="preserve">Federated Farmers and West Coast Regional Council </w:t>
      </w:r>
      <w:r w:rsidR="00B61477">
        <w:t xml:space="preserve">also provided </w:t>
      </w:r>
      <w:r w:rsidR="006F55EB">
        <w:t>comment</w:t>
      </w:r>
      <w:r w:rsidR="00B61477">
        <w:t>s</w:t>
      </w:r>
      <w:r w:rsidR="006F55EB">
        <w:t xml:space="preserve"> on a draft of this report.</w:t>
      </w:r>
    </w:p>
    <w:p w14:paraId="62A3108C" w14:textId="4E0797F7" w:rsidR="00D60E40" w:rsidRPr="00580905" w:rsidRDefault="00C34630" w:rsidP="00C15F91">
      <w:pPr>
        <w:pStyle w:val="BodyText"/>
      </w:pPr>
      <w:r w:rsidRPr="00580905">
        <w:t xml:space="preserve">Three iwi – </w:t>
      </w:r>
      <w:proofErr w:type="spellStart"/>
      <w:r w:rsidRPr="00580905">
        <w:t>R</w:t>
      </w:r>
      <w:r w:rsidR="00D60E40" w:rsidRPr="00580905">
        <w:t>aukawa</w:t>
      </w:r>
      <w:proofErr w:type="spellEnd"/>
      <w:r w:rsidR="00D60E40" w:rsidRPr="00580905">
        <w:t xml:space="preserve">, </w:t>
      </w:r>
      <w:proofErr w:type="spellStart"/>
      <w:r w:rsidR="00D60E40" w:rsidRPr="00580905">
        <w:t>Ngati</w:t>
      </w:r>
      <w:proofErr w:type="spellEnd"/>
      <w:r w:rsidR="00D60E40" w:rsidRPr="00580905">
        <w:t xml:space="preserve"> </w:t>
      </w:r>
      <w:proofErr w:type="spellStart"/>
      <w:r w:rsidR="00D60E40" w:rsidRPr="00580905">
        <w:t>Maniapoto</w:t>
      </w:r>
      <w:proofErr w:type="spellEnd"/>
      <w:r w:rsidR="00D60E40" w:rsidRPr="00580905">
        <w:t xml:space="preserve"> and Waikato-Tainui</w:t>
      </w:r>
      <w:r w:rsidRPr="00580905">
        <w:t xml:space="preserve"> – were </w:t>
      </w:r>
      <w:r w:rsidR="002606FE" w:rsidRPr="00580905">
        <w:t>consulted</w:t>
      </w:r>
      <w:r w:rsidRPr="00580905">
        <w:t xml:space="preserve">, to </w:t>
      </w:r>
      <w:r w:rsidR="0079198D" w:rsidRPr="00580905">
        <w:t>get an overview of iwi views on council CME activities in the Waikato Region.</w:t>
      </w:r>
      <w:r w:rsidR="00514621" w:rsidRPr="00580905">
        <w:rPr>
          <w:rStyle w:val="FootnoteReference"/>
        </w:rPr>
        <w:footnoteReference w:id="12"/>
      </w:r>
    </w:p>
    <w:p w14:paraId="62A6C09B" w14:textId="39C59E15" w:rsidR="006075D1" w:rsidRPr="00580905" w:rsidRDefault="006075D1" w:rsidP="00C15F91">
      <w:pPr>
        <w:pStyle w:val="Tableheading"/>
      </w:pPr>
      <w:bookmarkStart w:id="13" w:name="_Toc473795831"/>
      <w:r w:rsidRPr="00580905">
        <w:t>Table 1</w:t>
      </w:r>
      <w:r w:rsidR="00C15F91" w:rsidRPr="00580905">
        <w:t>:</w:t>
      </w:r>
      <w:r w:rsidR="00C15F91" w:rsidRPr="00580905">
        <w:tab/>
      </w:r>
      <w:r w:rsidRPr="00580905">
        <w:t>Demographics of, and issues faced by, councils included in this study</w:t>
      </w:r>
      <w:bookmarkEnd w:id="13"/>
      <w:r w:rsidRPr="00580905">
        <w:t xml:space="preserve"> </w:t>
      </w:r>
    </w:p>
    <w:tbl>
      <w:tblPr>
        <w:tblW w:w="8360" w:type="dxa"/>
        <w:tblInd w:w="113" w:type="dxa"/>
        <w:tblBorders>
          <w:top w:val="single" w:sz="4" w:space="0" w:color="183C47"/>
          <w:left w:val="single" w:sz="4" w:space="0" w:color="183C47"/>
          <w:bottom w:val="single" w:sz="4" w:space="0" w:color="183C47"/>
          <w:right w:val="single" w:sz="4" w:space="0" w:color="183C47"/>
          <w:insideH w:val="single" w:sz="4" w:space="0" w:color="183C47"/>
          <w:insideV w:val="single" w:sz="4" w:space="0" w:color="183C47"/>
        </w:tblBorders>
        <w:tblLayout w:type="fixed"/>
        <w:tblLook w:val="04A0" w:firstRow="1" w:lastRow="0" w:firstColumn="1" w:lastColumn="0" w:noHBand="0" w:noVBand="1"/>
      </w:tblPr>
      <w:tblGrid>
        <w:gridCol w:w="4249"/>
        <w:gridCol w:w="2268"/>
        <w:gridCol w:w="1843"/>
      </w:tblGrid>
      <w:tr w:rsidR="00EF296F" w:rsidRPr="00580905" w14:paraId="403E37E3" w14:textId="77777777" w:rsidTr="00A067C6">
        <w:trPr>
          <w:tblHeader/>
        </w:trPr>
        <w:tc>
          <w:tcPr>
            <w:tcW w:w="4249" w:type="dxa"/>
            <w:tcBorders>
              <w:top w:val="single" w:sz="2" w:space="0" w:color="677719"/>
              <w:left w:val="nil"/>
              <w:bottom w:val="nil"/>
              <w:right w:val="single" w:sz="2" w:space="0" w:color="677719"/>
            </w:tcBorders>
            <w:shd w:val="clear" w:color="auto" w:fill="677719"/>
            <w:vAlign w:val="bottom"/>
          </w:tcPr>
          <w:p w14:paraId="6866C851" w14:textId="58893FA3" w:rsidR="00EF296F" w:rsidRPr="00580905" w:rsidRDefault="00EF296F" w:rsidP="00A920A9">
            <w:pPr>
              <w:pStyle w:val="TableTextbold"/>
              <w:rPr>
                <w:color w:val="FFFFFF" w:themeColor="background1"/>
              </w:rPr>
            </w:pPr>
            <w:r w:rsidRPr="00580905">
              <w:rPr>
                <w:color w:val="FFFFFF" w:themeColor="background1"/>
              </w:rPr>
              <w:t xml:space="preserve">Council </w:t>
            </w:r>
          </w:p>
        </w:tc>
        <w:tc>
          <w:tcPr>
            <w:tcW w:w="2268" w:type="dxa"/>
            <w:tcBorders>
              <w:top w:val="single" w:sz="2" w:space="0" w:color="677719"/>
              <w:left w:val="single" w:sz="2" w:space="0" w:color="677719"/>
              <w:bottom w:val="nil"/>
              <w:right w:val="single" w:sz="2" w:space="0" w:color="677719"/>
            </w:tcBorders>
            <w:shd w:val="clear" w:color="auto" w:fill="677719"/>
            <w:vAlign w:val="bottom"/>
          </w:tcPr>
          <w:p w14:paraId="33A453BE" w14:textId="4DCA496A" w:rsidR="00EF296F" w:rsidRPr="00580905" w:rsidRDefault="00EF296F" w:rsidP="00A920A9">
            <w:pPr>
              <w:pStyle w:val="TableTextbold"/>
              <w:rPr>
                <w:color w:val="FFFFFF" w:themeColor="background1"/>
              </w:rPr>
            </w:pPr>
            <w:r w:rsidRPr="00580905">
              <w:rPr>
                <w:color w:val="FFFFFF" w:themeColor="background1"/>
              </w:rPr>
              <w:t>Resident population in 2013</w:t>
            </w:r>
            <w:r w:rsidRPr="00580905">
              <w:rPr>
                <w:rStyle w:val="FootnoteReference"/>
                <w:color w:val="FFFFFF" w:themeColor="background1"/>
                <w:sz w:val="18"/>
              </w:rPr>
              <w:footnoteReference w:id="13"/>
            </w:r>
          </w:p>
        </w:tc>
        <w:tc>
          <w:tcPr>
            <w:tcW w:w="1843" w:type="dxa"/>
            <w:tcBorders>
              <w:top w:val="single" w:sz="2" w:space="0" w:color="677719"/>
              <w:left w:val="single" w:sz="2" w:space="0" w:color="677719"/>
              <w:bottom w:val="nil"/>
              <w:right w:val="single" w:sz="2" w:space="0" w:color="677719"/>
            </w:tcBorders>
            <w:shd w:val="clear" w:color="auto" w:fill="677719"/>
            <w:vAlign w:val="bottom"/>
          </w:tcPr>
          <w:p w14:paraId="27898CE1" w14:textId="6676B6DB" w:rsidR="00EF296F" w:rsidRPr="00580905" w:rsidRDefault="00EF296F" w:rsidP="00A920A9">
            <w:pPr>
              <w:pStyle w:val="TableTextbold"/>
              <w:rPr>
                <w:color w:val="FFFFFF" w:themeColor="background1"/>
              </w:rPr>
            </w:pPr>
            <w:r w:rsidRPr="00580905">
              <w:rPr>
                <w:color w:val="FFFFFF" w:themeColor="background1"/>
              </w:rPr>
              <w:t>Population change 2006–13</w:t>
            </w:r>
          </w:p>
        </w:tc>
      </w:tr>
      <w:tr w:rsidR="00EF296F" w:rsidRPr="00580905" w14:paraId="732B94F3" w14:textId="77777777" w:rsidTr="00A067C6">
        <w:tc>
          <w:tcPr>
            <w:tcW w:w="4249" w:type="dxa"/>
            <w:tcBorders>
              <w:top w:val="single" w:sz="2" w:space="0" w:color="677719"/>
              <w:left w:val="nil"/>
              <w:bottom w:val="single" w:sz="2" w:space="0" w:color="677719"/>
              <w:right w:val="single" w:sz="2" w:space="0" w:color="677719"/>
            </w:tcBorders>
            <w:shd w:val="clear" w:color="auto" w:fill="auto"/>
          </w:tcPr>
          <w:p w14:paraId="2DF2C8F9" w14:textId="1C291890" w:rsidR="00EF296F" w:rsidRPr="00580905" w:rsidRDefault="00EF296F" w:rsidP="00A920A9">
            <w:pPr>
              <w:pStyle w:val="TableText"/>
            </w:pPr>
            <w:r w:rsidRPr="00580905">
              <w:t>Bay of Plenty Regional Council</w:t>
            </w:r>
          </w:p>
        </w:tc>
        <w:tc>
          <w:tcPr>
            <w:tcW w:w="2268" w:type="dxa"/>
            <w:tcBorders>
              <w:top w:val="single" w:sz="2" w:space="0" w:color="677719"/>
              <w:left w:val="single" w:sz="2" w:space="0" w:color="677719"/>
              <w:bottom w:val="single" w:sz="2" w:space="0" w:color="677719"/>
              <w:right w:val="single" w:sz="2" w:space="0" w:color="677719"/>
            </w:tcBorders>
          </w:tcPr>
          <w:p w14:paraId="648AE1D3" w14:textId="5F59AA94" w:rsidR="00EF296F" w:rsidRPr="00580905" w:rsidRDefault="00EF296F" w:rsidP="0091107D">
            <w:pPr>
              <w:pStyle w:val="TableText"/>
              <w:ind w:right="103"/>
              <w:jc w:val="right"/>
            </w:pPr>
            <w:r w:rsidRPr="00580905">
              <w:t>267,714</w:t>
            </w:r>
          </w:p>
        </w:tc>
        <w:tc>
          <w:tcPr>
            <w:tcW w:w="1843" w:type="dxa"/>
            <w:tcBorders>
              <w:top w:val="single" w:sz="2" w:space="0" w:color="677719"/>
              <w:left w:val="single" w:sz="2" w:space="0" w:color="677719"/>
              <w:bottom w:val="single" w:sz="2" w:space="0" w:color="677719"/>
              <w:right w:val="single" w:sz="2" w:space="0" w:color="677719"/>
            </w:tcBorders>
          </w:tcPr>
          <w:p w14:paraId="6AE112A2" w14:textId="79B4715B" w:rsidR="00EF296F" w:rsidRPr="00580905" w:rsidRDefault="00EF296F" w:rsidP="00A920A9">
            <w:pPr>
              <w:pStyle w:val="TableText"/>
            </w:pPr>
            <w:r w:rsidRPr="00580905">
              <w:t>+ 4 %</w:t>
            </w:r>
          </w:p>
        </w:tc>
      </w:tr>
      <w:tr w:rsidR="00EF296F" w:rsidRPr="00580905" w14:paraId="18B3709D" w14:textId="77777777" w:rsidTr="00A067C6">
        <w:tc>
          <w:tcPr>
            <w:tcW w:w="4249" w:type="dxa"/>
            <w:tcBorders>
              <w:top w:val="single" w:sz="2" w:space="0" w:color="677719"/>
              <w:left w:val="nil"/>
              <w:bottom w:val="single" w:sz="2" w:space="0" w:color="677719"/>
              <w:right w:val="single" w:sz="2" w:space="0" w:color="677719"/>
            </w:tcBorders>
            <w:shd w:val="clear" w:color="auto" w:fill="auto"/>
          </w:tcPr>
          <w:p w14:paraId="69FE1DEB" w14:textId="22BF13E8" w:rsidR="00EF296F" w:rsidRPr="00580905" w:rsidRDefault="00EF296F" w:rsidP="00A920A9">
            <w:pPr>
              <w:pStyle w:val="TableText"/>
            </w:pPr>
            <w:r w:rsidRPr="00580905">
              <w:t>Canterbury Regional Council (Environment Canterbury)</w:t>
            </w:r>
          </w:p>
        </w:tc>
        <w:tc>
          <w:tcPr>
            <w:tcW w:w="2268" w:type="dxa"/>
            <w:tcBorders>
              <w:top w:val="single" w:sz="2" w:space="0" w:color="677719"/>
              <w:left w:val="single" w:sz="2" w:space="0" w:color="677719"/>
              <w:bottom w:val="single" w:sz="2" w:space="0" w:color="677719"/>
              <w:right w:val="single" w:sz="2" w:space="0" w:color="677719"/>
            </w:tcBorders>
          </w:tcPr>
          <w:p w14:paraId="6D4488AD" w14:textId="6ACBD872" w:rsidR="00EF296F" w:rsidRPr="00580905" w:rsidRDefault="00EF296F" w:rsidP="0091107D">
            <w:pPr>
              <w:pStyle w:val="TableText"/>
              <w:ind w:right="103"/>
              <w:jc w:val="right"/>
            </w:pPr>
            <w:r w:rsidRPr="00580905">
              <w:t>539,433</w:t>
            </w:r>
          </w:p>
        </w:tc>
        <w:tc>
          <w:tcPr>
            <w:tcW w:w="1843" w:type="dxa"/>
            <w:tcBorders>
              <w:top w:val="single" w:sz="2" w:space="0" w:color="677719"/>
              <w:left w:val="single" w:sz="2" w:space="0" w:color="677719"/>
              <w:bottom w:val="single" w:sz="2" w:space="0" w:color="677719"/>
              <w:right w:val="single" w:sz="2" w:space="0" w:color="677719"/>
            </w:tcBorders>
          </w:tcPr>
          <w:p w14:paraId="7F480451" w14:textId="152CE270" w:rsidR="00EF296F" w:rsidRPr="00580905" w:rsidRDefault="00EF296F" w:rsidP="00A920A9">
            <w:pPr>
              <w:pStyle w:val="TableText"/>
            </w:pPr>
            <w:r w:rsidRPr="00580905">
              <w:t>+ 3.4 %</w:t>
            </w:r>
          </w:p>
        </w:tc>
      </w:tr>
      <w:tr w:rsidR="00EF296F" w:rsidRPr="00580905" w14:paraId="4419940A" w14:textId="77777777" w:rsidTr="00A067C6">
        <w:tc>
          <w:tcPr>
            <w:tcW w:w="4249" w:type="dxa"/>
            <w:tcBorders>
              <w:top w:val="single" w:sz="2" w:space="0" w:color="677719"/>
              <w:left w:val="nil"/>
              <w:bottom w:val="single" w:sz="2" w:space="0" w:color="677719"/>
              <w:right w:val="single" w:sz="2" w:space="0" w:color="677719"/>
            </w:tcBorders>
            <w:shd w:val="clear" w:color="auto" w:fill="auto"/>
          </w:tcPr>
          <w:p w14:paraId="2C9682CF" w14:textId="56EA3C5F" w:rsidR="00EF296F" w:rsidRPr="00580905" w:rsidRDefault="00EF296F" w:rsidP="00A920A9">
            <w:pPr>
              <w:pStyle w:val="TableText"/>
            </w:pPr>
            <w:r w:rsidRPr="00580905">
              <w:t>Waikato Regional Council</w:t>
            </w:r>
          </w:p>
        </w:tc>
        <w:tc>
          <w:tcPr>
            <w:tcW w:w="2268" w:type="dxa"/>
            <w:tcBorders>
              <w:top w:val="single" w:sz="2" w:space="0" w:color="677719"/>
              <w:left w:val="single" w:sz="2" w:space="0" w:color="677719"/>
              <w:bottom w:val="single" w:sz="2" w:space="0" w:color="677719"/>
              <w:right w:val="single" w:sz="2" w:space="0" w:color="677719"/>
            </w:tcBorders>
          </w:tcPr>
          <w:p w14:paraId="2524F9B8" w14:textId="0E20EE7B" w:rsidR="00EF296F" w:rsidRPr="00580905" w:rsidRDefault="00EF296F" w:rsidP="0091107D">
            <w:pPr>
              <w:pStyle w:val="TableText"/>
              <w:ind w:right="103"/>
              <w:jc w:val="right"/>
            </w:pPr>
            <w:r w:rsidRPr="00580905">
              <w:t xml:space="preserve">403,638 </w:t>
            </w:r>
          </w:p>
        </w:tc>
        <w:tc>
          <w:tcPr>
            <w:tcW w:w="1843" w:type="dxa"/>
            <w:tcBorders>
              <w:top w:val="single" w:sz="2" w:space="0" w:color="677719"/>
              <w:left w:val="single" w:sz="2" w:space="0" w:color="677719"/>
              <w:bottom w:val="single" w:sz="2" w:space="0" w:color="677719"/>
              <w:right w:val="single" w:sz="2" w:space="0" w:color="677719"/>
            </w:tcBorders>
          </w:tcPr>
          <w:p w14:paraId="168CDC5E" w14:textId="04502F1B" w:rsidR="00EF296F" w:rsidRPr="00580905" w:rsidRDefault="00EF296F" w:rsidP="00A920A9">
            <w:pPr>
              <w:pStyle w:val="TableText"/>
            </w:pPr>
            <w:r w:rsidRPr="00580905">
              <w:t xml:space="preserve">+ 5.5% </w:t>
            </w:r>
          </w:p>
        </w:tc>
      </w:tr>
      <w:tr w:rsidR="00EF296F" w:rsidRPr="00580905" w14:paraId="0B2ACAC8" w14:textId="77777777" w:rsidTr="00A067C6">
        <w:tc>
          <w:tcPr>
            <w:tcW w:w="4249" w:type="dxa"/>
            <w:tcBorders>
              <w:top w:val="single" w:sz="2" w:space="0" w:color="677719"/>
              <w:left w:val="nil"/>
              <w:bottom w:val="single" w:sz="2" w:space="0" w:color="677719"/>
              <w:right w:val="single" w:sz="2" w:space="0" w:color="677719"/>
            </w:tcBorders>
            <w:shd w:val="clear" w:color="auto" w:fill="auto"/>
          </w:tcPr>
          <w:p w14:paraId="6663D661" w14:textId="46A99EAA" w:rsidR="00EF296F" w:rsidRPr="00580905" w:rsidRDefault="00EF296F" w:rsidP="00A920A9">
            <w:pPr>
              <w:pStyle w:val="TableText"/>
            </w:pPr>
            <w:r w:rsidRPr="00580905">
              <w:t>Otago Regional Council</w:t>
            </w:r>
          </w:p>
        </w:tc>
        <w:tc>
          <w:tcPr>
            <w:tcW w:w="2268" w:type="dxa"/>
            <w:tcBorders>
              <w:top w:val="single" w:sz="2" w:space="0" w:color="677719"/>
              <w:left w:val="single" w:sz="2" w:space="0" w:color="677719"/>
              <w:bottom w:val="single" w:sz="2" w:space="0" w:color="677719"/>
              <w:right w:val="single" w:sz="2" w:space="0" w:color="677719"/>
            </w:tcBorders>
          </w:tcPr>
          <w:p w14:paraId="1F24366F" w14:textId="73402D5E" w:rsidR="00EF296F" w:rsidRPr="00580905" w:rsidRDefault="00EF296F" w:rsidP="0091107D">
            <w:pPr>
              <w:pStyle w:val="TableText"/>
              <w:ind w:right="103"/>
              <w:jc w:val="right"/>
            </w:pPr>
            <w:r w:rsidRPr="00580905">
              <w:t>202,470</w:t>
            </w:r>
          </w:p>
        </w:tc>
        <w:tc>
          <w:tcPr>
            <w:tcW w:w="1843" w:type="dxa"/>
            <w:tcBorders>
              <w:top w:val="single" w:sz="2" w:space="0" w:color="677719"/>
              <w:left w:val="single" w:sz="2" w:space="0" w:color="677719"/>
              <w:bottom w:val="single" w:sz="2" w:space="0" w:color="677719"/>
              <w:right w:val="single" w:sz="2" w:space="0" w:color="677719"/>
            </w:tcBorders>
          </w:tcPr>
          <w:p w14:paraId="4B490914" w14:textId="07724E2C" w:rsidR="00EF296F" w:rsidRPr="00580905" w:rsidRDefault="00EF296F" w:rsidP="00A920A9">
            <w:pPr>
              <w:pStyle w:val="TableText"/>
            </w:pPr>
            <w:r w:rsidRPr="00580905">
              <w:t>+ 4.5 %</w:t>
            </w:r>
          </w:p>
        </w:tc>
      </w:tr>
      <w:tr w:rsidR="00EF296F" w:rsidRPr="00580905" w14:paraId="7A218E8D" w14:textId="77777777" w:rsidTr="00A067C6">
        <w:tc>
          <w:tcPr>
            <w:tcW w:w="4249" w:type="dxa"/>
            <w:tcBorders>
              <w:top w:val="single" w:sz="2" w:space="0" w:color="677719"/>
              <w:left w:val="nil"/>
              <w:bottom w:val="single" w:sz="2" w:space="0" w:color="677719"/>
              <w:right w:val="single" w:sz="2" w:space="0" w:color="677719"/>
            </w:tcBorders>
            <w:shd w:val="clear" w:color="auto" w:fill="677719"/>
          </w:tcPr>
          <w:p w14:paraId="36F3FF31" w14:textId="1579E1EE" w:rsidR="00EF296F" w:rsidRPr="00580905" w:rsidRDefault="00EF296F" w:rsidP="00A920A9">
            <w:pPr>
              <w:pStyle w:val="TableTextbold"/>
              <w:rPr>
                <w:color w:val="FFFFFF" w:themeColor="background1"/>
              </w:rPr>
            </w:pPr>
            <w:r w:rsidRPr="00580905">
              <w:rPr>
                <w:color w:val="FFFFFF" w:themeColor="background1"/>
              </w:rPr>
              <w:t>Unitary Authorities</w:t>
            </w:r>
          </w:p>
        </w:tc>
        <w:tc>
          <w:tcPr>
            <w:tcW w:w="2268" w:type="dxa"/>
            <w:tcBorders>
              <w:top w:val="single" w:sz="2" w:space="0" w:color="677719"/>
              <w:left w:val="single" w:sz="2" w:space="0" w:color="677719"/>
              <w:bottom w:val="single" w:sz="2" w:space="0" w:color="677719"/>
              <w:right w:val="single" w:sz="2" w:space="0" w:color="677719"/>
            </w:tcBorders>
            <w:shd w:val="clear" w:color="auto" w:fill="677719"/>
          </w:tcPr>
          <w:p w14:paraId="16113984" w14:textId="77777777" w:rsidR="00EF296F" w:rsidRPr="00580905" w:rsidRDefault="00EF296F" w:rsidP="0091107D">
            <w:pPr>
              <w:pStyle w:val="TableTextbold"/>
              <w:ind w:right="103"/>
              <w:jc w:val="right"/>
              <w:rPr>
                <w:color w:val="FFFFFF" w:themeColor="background1"/>
              </w:rPr>
            </w:pPr>
          </w:p>
        </w:tc>
        <w:tc>
          <w:tcPr>
            <w:tcW w:w="1843" w:type="dxa"/>
            <w:tcBorders>
              <w:top w:val="single" w:sz="2" w:space="0" w:color="677719"/>
              <w:left w:val="single" w:sz="2" w:space="0" w:color="677719"/>
              <w:bottom w:val="single" w:sz="2" w:space="0" w:color="677719"/>
              <w:right w:val="single" w:sz="2" w:space="0" w:color="677719"/>
            </w:tcBorders>
            <w:shd w:val="clear" w:color="auto" w:fill="677719"/>
          </w:tcPr>
          <w:p w14:paraId="45ACE503" w14:textId="793C36DA" w:rsidR="00EF296F" w:rsidRPr="00580905" w:rsidRDefault="00EF296F" w:rsidP="00A920A9">
            <w:pPr>
              <w:pStyle w:val="TableTextbold"/>
              <w:rPr>
                <w:color w:val="FFFFFF" w:themeColor="background1"/>
              </w:rPr>
            </w:pPr>
          </w:p>
        </w:tc>
      </w:tr>
      <w:tr w:rsidR="00EF296F" w:rsidRPr="00580905" w14:paraId="13AE668A" w14:textId="77777777" w:rsidTr="00A067C6">
        <w:tc>
          <w:tcPr>
            <w:tcW w:w="4249" w:type="dxa"/>
            <w:tcBorders>
              <w:top w:val="single" w:sz="2" w:space="0" w:color="677719"/>
              <w:left w:val="nil"/>
              <w:bottom w:val="single" w:sz="2" w:space="0" w:color="677719"/>
              <w:right w:val="single" w:sz="2" w:space="0" w:color="677719"/>
            </w:tcBorders>
          </w:tcPr>
          <w:p w14:paraId="7466A01F" w14:textId="6B79A151" w:rsidR="00EF296F" w:rsidRPr="00580905" w:rsidRDefault="00EF296F" w:rsidP="00A920A9">
            <w:pPr>
              <w:pStyle w:val="TableText"/>
            </w:pPr>
            <w:r w:rsidRPr="00580905">
              <w:t>Auckland Council</w:t>
            </w:r>
          </w:p>
        </w:tc>
        <w:tc>
          <w:tcPr>
            <w:tcW w:w="2268" w:type="dxa"/>
            <w:tcBorders>
              <w:top w:val="single" w:sz="2" w:space="0" w:color="677719"/>
              <w:left w:val="single" w:sz="2" w:space="0" w:color="677719"/>
              <w:bottom w:val="single" w:sz="2" w:space="0" w:color="677719"/>
              <w:right w:val="single" w:sz="2" w:space="0" w:color="677719"/>
            </w:tcBorders>
          </w:tcPr>
          <w:p w14:paraId="5B64AB02" w14:textId="0251D4D8" w:rsidR="00EF296F" w:rsidRPr="00580905" w:rsidRDefault="00EF296F" w:rsidP="0091107D">
            <w:pPr>
              <w:pStyle w:val="TableText"/>
              <w:ind w:right="103"/>
              <w:jc w:val="right"/>
            </w:pPr>
            <w:r w:rsidRPr="00580905">
              <w:t xml:space="preserve">1,415,550 </w:t>
            </w:r>
          </w:p>
        </w:tc>
        <w:tc>
          <w:tcPr>
            <w:tcW w:w="1843" w:type="dxa"/>
            <w:tcBorders>
              <w:top w:val="single" w:sz="2" w:space="0" w:color="677719"/>
              <w:left w:val="single" w:sz="2" w:space="0" w:color="677719"/>
              <w:bottom w:val="single" w:sz="2" w:space="0" w:color="677719"/>
              <w:right w:val="single" w:sz="2" w:space="0" w:color="677719"/>
            </w:tcBorders>
          </w:tcPr>
          <w:p w14:paraId="1E62B685" w14:textId="7366132B" w:rsidR="00EF296F" w:rsidRPr="00580905" w:rsidRDefault="00EF296F" w:rsidP="00A920A9">
            <w:pPr>
              <w:pStyle w:val="TableText"/>
            </w:pPr>
            <w:r w:rsidRPr="00580905">
              <w:t>+ 8.6 %</w:t>
            </w:r>
          </w:p>
        </w:tc>
      </w:tr>
      <w:tr w:rsidR="00EF296F" w:rsidRPr="00580905" w14:paraId="4A953AD3" w14:textId="77777777" w:rsidTr="00A067C6">
        <w:tc>
          <w:tcPr>
            <w:tcW w:w="4249" w:type="dxa"/>
            <w:tcBorders>
              <w:top w:val="single" w:sz="2" w:space="0" w:color="677719"/>
              <w:left w:val="nil"/>
              <w:bottom w:val="single" w:sz="2" w:space="0" w:color="677719"/>
              <w:right w:val="single" w:sz="2" w:space="0" w:color="677719"/>
            </w:tcBorders>
          </w:tcPr>
          <w:p w14:paraId="2AB0E766" w14:textId="5AC01FEB" w:rsidR="00EF296F" w:rsidRPr="00580905" w:rsidRDefault="00EF296F" w:rsidP="00A920A9">
            <w:pPr>
              <w:pStyle w:val="TableText"/>
            </w:pPr>
            <w:r w:rsidRPr="00580905">
              <w:t>Gisborne District Council</w:t>
            </w:r>
          </w:p>
        </w:tc>
        <w:tc>
          <w:tcPr>
            <w:tcW w:w="2268" w:type="dxa"/>
            <w:tcBorders>
              <w:top w:val="single" w:sz="2" w:space="0" w:color="677719"/>
              <w:left w:val="single" w:sz="2" w:space="0" w:color="677719"/>
              <w:bottom w:val="single" w:sz="2" w:space="0" w:color="677719"/>
              <w:right w:val="single" w:sz="2" w:space="0" w:color="677719"/>
            </w:tcBorders>
          </w:tcPr>
          <w:p w14:paraId="5FA9F6E4" w14:textId="225BAD60" w:rsidR="00EF296F" w:rsidRPr="00580905" w:rsidRDefault="00EF296F" w:rsidP="0091107D">
            <w:pPr>
              <w:pStyle w:val="TableText"/>
              <w:ind w:right="103"/>
              <w:jc w:val="right"/>
            </w:pPr>
            <w:r w:rsidRPr="00580905">
              <w:t>43,653</w:t>
            </w:r>
          </w:p>
        </w:tc>
        <w:tc>
          <w:tcPr>
            <w:tcW w:w="1843" w:type="dxa"/>
            <w:tcBorders>
              <w:top w:val="single" w:sz="2" w:space="0" w:color="677719"/>
              <w:left w:val="single" w:sz="2" w:space="0" w:color="677719"/>
              <w:bottom w:val="single" w:sz="2" w:space="0" w:color="677719"/>
              <w:right w:val="single" w:sz="2" w:space="0" w:color="677719"/>
            </w:tcBorders>
          </w:tcPr>
          <w:p w14:paraId="16716392" w14:textId="4A58A908" w:rsidR="00EF296F" w:rsidRPr="00580905" w:rsidRDefault="00EF296F" w:rsidP="00776D74">
            <w:pPr>
              <w:pStyle w:val="TableText"/>
            </w:pPr>
            <w:r w:rsidRPr="00580905">
              <w:t xml:space="preserve">– 1.8 % </w:t>
            </w:r>
          </w:p>
        </w:tc>
      </w:tr>
      <w:tr w:rsidR="00EF296F" w:rsidRPr="00580905" w14:paraId="003DBAA9" w14:textId="77777777" w:rsidTr="00A067C6">
        <w:tc>
          <w:tcPr>
            <w:tcW w:w="4249" w:type="dxa"/>
            <w:tcBorders>
              <w:top w:val="single" w:sz="2" w:space="0" w:color="677719"/>
              <w:left w:val="nil"/>
              <w:bottom w:val="single" w:sz="2" w:space="0" w:color="677719"/>
              <w:right w:val="single" w:sz="2" w:space="0" w:color="677719"/>
            </w:tcBorders>
          </w:tcPr>
          <w:p w14:paraId="348185B8" w14:textId="368A4045" w:rsidR="00EF296F" w:rsidRPr="00580905" w:rsidRDefault="00EF296F" w:rsidP="00A920A9">
            <w:pPr>
              <w:pStyle w:val="TableText"/>
            </w:pPr>
            <w:r w:rsidRPr="00580905">
              <w:t>Tasman District Council</w:t>
            </w:r>
          </w:p>
        </w:tc>
        <w:tc>
          <w:tcPr>
            <w:tcW w:w="2268" w:type="dxa"/>
            <w:tcBorders>
              <w:top w:val="single" w:sz="2" w:space="0" w:color="677719"/>
              <w:left w:val="single" w:sz="2" w:space="0" w:color="677719"/>
              <w:bottom w:val="single" w:sz="2" w:space="0" w:color="677719"/>
              <w:right w:val="single" w:sz="2" w:space="0" w:color="677719"/>
            </w:tcBorders>
          </w:tcPr>
          <w:p w14:paraId="67F3BEA8" w14:textId="2672CFD1" w:rsidR="00EF296F" w:rsidRPr="00580905" w:rsidRDefault="00EF296F" w:rsidP="0091107D">
            <w:pPr>
              <w:pStyle w:val="TableText"/>
              <w:ind w:right="103"/>
              <w:jc w:val="right"/>
            </w:pPr>
            <w:r w:rsidRPr="00580905">
              <w:t>47,154</w:t>
            </w:r>
          </w:p>
        </w:tc>
        <w:tc>
          <w:tcPr>
            <w:tcW w:w="1843" w:type="dxa"/>
            <w:tcBorders>
              <w:top w:val="single" w:sz="2" w:space="0" w:color="677719"/>
              <w:left w:val="single" w:sz="2" w:space="0" w:color="677719"/>
              <w:bottom w:val="single" w:sz="2" w:space="0" w:color="677719"/>
              <w:right w:val="single" w:sz="2" w:space="0" w:color="677719"/>
            </w:tcBorders>
          </w:tcPr>
          <w:p w14:paraId="0CE61291" w14:textId="38E7D953" w:rsidR="00EF296F" w:rsidRPr="00580905" w:rsidRDefault="00EF296F" w:rsidP="00A920A9">
            <w:pPr>
              <w:pStyle w:val="TableText"/>
            </w:pPr>
            <w:r w:rsidRPr="00580905">
              <w:t>+ 5.7 %</w:t>
            </w:r>
          </w:p>
        </w:tc>
      </w:tr>
      <w:tr w:rsidR="00EF296F" w:rsidRPr="00580905" w14:paraId="6BB78406" w14:textId="77777777" w:rsidTr="00A067C6">
        <w:tc>
          <w:tcPr>
            <w:tcW w:w="4249" w:type="dxa"/>
            <w:tcBorders>
              <w:top w:val="single" w:sz="2" w:space="0" w:color="677719"/>
              <w:left w:val="nil"/>
              <w:bottom w:val="single" w:sz="2" w:space="0" w:color="677719"/>
              <w:right w:val="single" w:sz="2" w:space="0" w:color="677719"/>
            </w:tcBorders>
            <w:shd w:val="clear" w:color="auto" w:fill="677719"/>
          </w:tcPr>
          <w:p w14:paraId="4180CC1B" w14:textId="09A6010F" w:rsidR="00EF296F" w:rsidRPr="00580905" w:rsidRDefault="00EF296F" w:rsidP="00A920A9">
            <w:pPr>
              <w:pStyle w:val="TableTextbold"/>
              <w:rPr>
                <w:color w:val="FFFFFF" w:themeColor="background1"/>
              </w:rPr>
            </w:pPr>
            <w:r w:rsidRPr="00580905">
              <w:rPr>
                <w:color w:val="FFFFFF" w:themeColor="background1"/>
              </w:rPr>
              <w:t>Territorial authorities</w:t>
            </w:r>
          </w:p>
        </w:tc>
        <w:tc>
          <w:tcPr>
            <w:tcW w:w="2268" w:type="dxa"/>
            <w:tcBorders>
              <w:top w:val="single" w:sz="2" w:space="0" w:color="677719"/>
              <w:left w:val="single" w:sz="2" w:space="0" w:color="677719"/>
              <w:bottom w:val="single" w:sz="2" w:space="0" w:color="677719"/>
              <w:right w:val="single" w:sz="2" w:space="0" w:color="677719"/>
            </w:tcBorders>
            <w:shd w:val="clear" w:color="auto" w:fill="677719"/>
          </w:tcPr>
          <w:p w14:paraId="0522FBCF" w14:textId="77777777" w:rsidR="00EF296F" w:rsidRPr="00580905" w:rsidRDefault="00EF296F" w:rsidP="0091107D">
            <w:pPr>
              <w:pStyle w:val="TableTextbold"/>
              <w:ind w:right="103"/>
              <w:jc w:val="right"/>
              <w:rPr>
                <w:color w:val="FFFFFF" w:themeColor="background1"/>
              </w:rPr>
            </w:pPr>
          </w:p>
        </w:tc>
        <w:tc>
          <w:tcPr>
            <w:tcW w:w="1843" w:type="dxa"/>
            <w:tcBorders>
              <w:top w:val="single" w:sz="2" w:space="0" w:color="677719"/>
              <w:left w:val="single" w:sz="2" w:space="0" w:color="677719"/>
              <w:bottom w:val="single" w:sz="2" w:space="0" w:color="677719"/>
              <w:right w:val="single" w:sz="2" w:space="0" w:color="677719"/>
            </w:tcBorders>
            <w:shd w:val="clear" w:color="auto" w:fill="677719"/>
          </w:tcPr>
          <w:p w14:paraId="2A22D911" w14:textId="77777777" w:rsidR="00EF296F" w:rsidRPr="00580905" w:rsidRDefault="00EF296F" w:rsidP="00A920A9">
            <w:pPr>
              <w:pStyle w:val="TableTextbold"/>
              <w:rPr>
                <w:color w:val="FFFFFF" w:themeColor="background1"/>
              </w:rPr>
            </w:pPr>
          </w:p>
        </w:tc>
      </w:tr>
      <w:tr w:rsidR="00EF296F" w:rsidRPr="00580905" w14:paraId="7AB53490" w14:textId="77777777" w:rsidTr="00A067C6">
        <w:tc>
          <w:tcPr>
            <w:tcW w:w="4249" w:type="dxa"/>
            <w:tcBorders>
              <w:top w:val="single" w:sz="2" w:space="0" w:color="677719"/>
              <w:left w:val="nil"/>
              <w:bottom w:val="single" w:sz="2" w:space="0" w:color="677719"/>
              <w:right w:val="single" w:sz="2" w:space="0" w:color="677719"/>
            </w:tcBorders>
            <w:shd w:val="clear" w:color="auto" w:fill="auto"/>
          </w:tcPr>
          <w:p w14:paraId="1DEF8F8E" w14:textId="3615321E" w:rsidR="00EF296F" w:rsidRPr="00580905" w:rsidRDefault="00EF296F" w:rsidP="00A920A9">
            <w:pPr>
              <w:pStyle w:val="TableText"/>
              <w:rPr>
                <w:b/>
                <w:color w:val="FFFFFF" w:themeColor="background1"/>
              </w:rPr>
            </w:pPr>
            <w:r w:rsidRPr="00580905">
              <w:t>Dunedin City Council</w:t>
            </w:r>
          </w:p>
        </w:tc>
        <w:tc>
          <w:tcPr>
            <w:tcW w:w="2268" w:type="dxa"/>
            <w:tcBorders>
              <w:top w:val="single" w:sz="2" w:space="0" w:color="677719"/>
              <w:left w:val="single" w:sz="2" w:space="0" w:color="677719"/>
              <w:bottom w:val="single" w:sz="2" w:space="0" w:color="677719"/>
              <w:right w:val="single" w:sz="2" w:space="0" w:color="677719"/>
            </w:tcBorders>
            <w:shd w:val="clear" w:color="auto" w:fill="auto"/>
          </w:tcPr>
          <w:p w14:paraId="0A62F4F5" w14:textId="07F771EA" w:rsidR="00EF296F" w:rsidRPr="00580905" w:rsidRDefault="00EF296F" w:rsidP="0091107D">
            <w:pPr>
              <w:pStyle w:val="TableText"/>
              <w:ind w:right="103"/>
              <w:jc w:val="right"/>
            </w:pPr>
            <w:r w:rsidRPr="00580905">
              <w:t>120,246</w:t>
            </w:r>
          </w:p>
        </w:tc>
        <w:tc>
          <w:tcPr>
            <w:tcW w:w="1843" w:type="dxa"/>
            <w:tcBorders>
              <w:top w:val="single" w:sz="2" w:space="0" w:color="677719"/>
              <w:left w:val="single" w:sz="2" w:space="0" w:color="677719"/>
              <w:bottom w:val="single" w:sz="2" w:space="0" w:color="677719"/>
              <w:right w:val="single" w:sz="2" w:space="0" w:color="677719"/>
            </w:tcBorders>
            <w:shd w:val="clear" w:color="auto" w:fill="auto"/>
          </w:tcPr>
          <w:p w14:paraId="115C2197" w14:textId="62446758" w:rsidR="00EF296F" w:rsidRPr="00580905" w:rsidRDefault="00EF296F" w:rsidP="00A920A9">
            <w:pPr>
              <w:pStyle w:val="TableText"/>
            </w:pPr>
            <w:r w:rsidRPr="00580905">
              <w:t>+ 1.3 %</w:t>
            </w:r>
          </w:p>
        </w:tc>
      </w:tr>
      <w:tr w:rsidR="00EF296F" w:rsidRPr="00580905" w14:paraId="5923D074" w14:textId="77777777" w:rsidTr="00A067C6">
        <w:tc>
          <w:tcPr>
            <w:tcW w:w="4249" w:type="dxa"/>
            <w:tcBorders>
              <w:top w:val="single" w:sz="2" w:space="0" w:color="677719"/>
              <w:left w:val="nil"/>
              <w:bottom w:val="single" w:sz="2" w:space="0" w:color="677719"/>
              <w:right w:val="single" w:sz="2" w:space="0" w:color="677719"/>
            </w:tcBorders>
            <w:shd w:val="clear" w:color="auto" w:fill="auto"/>
          </w:tcPr>
          <w:p w14:paraId="51D9CBD7" w14:textId="366EAAED" w:rsidR="00EF296F" w:rsidRPr="00580905" w:rsidRDefault="00EF296F" w:rsidP="00A920A9">
            <w:pPr>
              <w:pStyle w:val="TableText"/>
            </w:pPr>
            <w:r w:rsidRPr="00580905">
              <w:t>Hamilton City Council</w:t>
            </w:r>
          </w:p>
        </w:tc>
        <w:tc>
          <w:tcPr>
            <w:tcW w:w="2268" w:type="dxa"/>
            <w:tcBorders>
              <w:top w:val="single" w:sz="2" w:space="0" w:color="677719"/>
              <w:left w:val="single" w:sz="2" w:space="0" w:color="677719"/>
              <w:bottom w:val="single" w:sz="2" w:space="0" w:color="677719"/>
              <w:right w:val="single" w:sz="2" w:space="0" w:color="677719"/>
            </w:tcBorders>
            <w:shd w:val="clear" w:color="auto" w:fill="auto"/>
          </w:tcPr>
          <w:p w14:paraId="2B6DC7A8" w14:textId="0CC4068F" w:rsidR="00EF296F" w:rsidRPr="00580905" w:rsidRDefault="00EF296F" w:rsidP="0091107D">
            <w:pPr>
              <w:pStyle w:val="TableText"/>
              <w:ind w:right="103"/>
              <w:jc w:val="right"/>
            </w:pPr>
            <w:r w:rsidRPr="00580905">
              <w:t>141,615</w:t>
            </w:r>
          </w:p>
        </w:tc>
        <w:tc>
          <w:tcPr>
            <w:tcW w:w="1843" w:type="dxa"/>
            <w:tcBorders>
              <w:top w:val="single" w:sz="2" w:space="0" w:color="677719"/>
              <w:left w:val="single" w:sz="2" w:space="0" w:color="677719"/>
              <w:bottom w:val="single" w:sz="2" w:space="0" w:color="677719"/>
              <w:right w:val="single" w:sz="2" w:space="0" w:color="677719"/>
            </w:tcBorders>
            <w:shd w:val="clear" w:color="auto" w:fill="auto"/>
          </w:tcPr>
          <w:p w14:paraId="2D914116" w14:textId="59B575B2" w:rsidR="00EF296F" w:rsidRPr="00580905" w:rsidRDefault="00EF296F" w:rsidP="00A920A9">
            <w:pPr>
              <w:pStyle w:val="TableText"/>
            </w:pPr>
            <w:r w:rsidRPr="00580905">
              <w:t>+</w:t>
            </w:r>
            <w:r>
              <w:t xml:space="preserve"> </w:t>
            </w:r>
            <w:r w:rsidRPr="00580905">
              <w:t>9.6 %</w:t>
            </w:r>
          </w:p>
        </w:tc>
      </w:tr>
      <w:tr w:rsidR="00EF296F" w:rsidRPr="00580905" w14:paraId="65236478" w14:textId="77777777" w:rsidTr="00A067C6">
        <w:tc>
          <w:tcPr>
            <w:tcW w:w="4249" w:type="dxa"/>
            <w:tcBorders>
              <w:top w:val="single" w:sz="2" w:space="0" w:color="677719"/>
              <w:left w:val="nil"/>
              <w:bottom w:val="single" w:sz="2" w:space="0" w:color="677719"/>
              <w:right w:val="single" w:sz="2" w:space="0" w:color="677719"/>
            </w:tcBorders>
            <w:shd w:val="clear" w:color="auto" w:fill="auto"/>
          </w:tcPr>
          <w:p w14:paraId="01BF1AF2" w14:textId="6B4DFB4A" w:rsidR="00EF296F" w:rsidRPr="00580905" w:rsidRDefault="00EF296F" w:rsidP="00A920A9">
            <w:pPr>
              <w:pStyle w:val="TableText"/>
            </w:pPr>
            <w:r w:rsidRPr="00580905">
              <w:t>Hutt City Council</w:t>
            </w:r>
          </w:p>
        </w:tc>
        <w:tc>
          <w:tcPr>
            <w:tcW w:w="2268" w:type="dxa"/>
            <w:tcBorders>
              <w:top w:val="single" w:sz="2" w:space="0" w:color="677719"/>
              <w:left w:val="single" w:sz="2" w:space="0" w:color="677719"/>
              <w:bottom w:val="single" w:sz="2" w:space="0" w:color="677719"/>
              <w:right w:val="single" w:sz="2" w:space="0" w:color="677719"/>
            </w:tcBorders>
            <w:shd w:val="clear" w:color="auto" w:fill="auto"/>
          </w:tcPr>
          <w:p w14:paraId="1B7969FE" w14:textId="52CD0A49" w:rsidR="00EF296F" w:rsidRPr="00580905" w:rsidRDefault="00EF296F" w:rsidP="0091107D">
            <w:pPr>
              <w:pStyle w:val="TableText"/>
              <w:ind w:right="103"/>
              <w:jc w:val="right"/>
            </w:pPr>
            <w:r w:rsidRPr="00580905">
              <w:t>98,238</w:t>
            </w:r>
          </w:p>
        </w:tc>
        <w:tc>
          <w:tcPr>
            <w:tcW w:w="1843" w:type="dxa"/>
            <w:tcBorders>
              <w:top w:val="single" w:sz="2" w:space="0" w:color="677719"/>
              <w:left w:val="single" w:sz="2" w:space="0" w:color="677719"/>
              <w:bottom w:val="single" w:sz="2" w:space="0" w:color="677719"/>
              <w:right w:val="single" w:sz="2" w:space="0" w:color="677719"/>
            </w:tcBorders>
            <w:shd w:val="clear" w:color="auto" w:fill="auto"/>
          </w:tcPr>
          <w:p w14:paraId="1BE3F1F8" w14:textId="60C9B944" w:rsidR="00EF296F" w:rsidRPr="00580905" w:rsidRDefault="00EF296F" w:rsidP="00A920A9">
            <w:pPr>
              <w:pStyle w:val="TableText"/>
            </w:pPr>
            <w:r w:rsidRPr="00580905">
              <w:t>+ 0.5 %</w:t>
            </w:r>
          </w:p>
        </w:tc>
      </w:tr>
      <w:tr w:rsidR="00EF296F" w:rsidRPr="00580905" w14:paraId="5EF78868" w14:textId="77777777" w:rsidTr="00A067C6">
        <w:tc>
          <w:tcPr>
            <w:tcW w:w="4249" w:type="dxa"/>
            <w:tcBorders>
              <w:top w:val="single" w:sz="2" w:space="0" w:color="677719"/>
              <w:left w:val="nil"/>
              <w:bottom w:val="single" w:sz="2" w:space="0" w:color="677719"/>
              <w:right w:val="single" w:sz="2" w:space="0" w:color="677719"/>
            </w:tcBorders>
            <w:shd w:val="clear" w:color="auto" w:fill="auto"/>
          </w:tcPr>
          <w:p w14:paraId="4E5FEA86" w14:textId="5EB3635E" w:rsidR="00EF296F" w:rsidRPr="00580905" w:rsidRDefault="00EF296F" w:rsidP="00A920A9">
            <w:pPr>
              <w:pStyle w:val="TableText"/>
            </w:pPr>
            <w:r w:rsidRPr="00580905">
              <w:t>Selwyn District Council</w:t>
            </w:r>
          </w:p>
        </w:tc>
        <w:tc>
          <w:tcPr>
            <w:tcW w:w="2268" w:type="dxa"/>
            <w:tcBorders>
              <w:top w:val="single" w:sz="2" w:space="0" w:color="677719"/>
              <w:left w:val="single" w:sz="2" w:space="0" w:color="677719"/>
              <w:bottom w:val="single" w:sz="2" w:space="0" w:color="677719"/>
              <w:right w:val="single" w:sz="2" w:space="0" w:color="677719"/>
            </w:tcBorders>
            <w:shd w:val="clear" w:color="auto" w:fill="auto"/>
          </w:tcPr>
          <w:p w14:paraId="50B4EB6C" w14:textId="7BCAF541" w:rsidR="00EF296F" w:rsidRPr="00580905" w:rsidRDefault="00EF296F" w:rsidP="0091107D">
            <w:pPr>
              <w:pStyle w:val="TableText"/>
              <w:ind w:right="103"/>
              <w:jc w:val="right"/>
            </w:pPr>
            <w:r w:rsidRPr="00580905">
              <w:t xml:space="preserve">44,595 </w:t>
            </w:r>
          </w:p>
        </w:tc>
        <w:tc>
          <w:tcPr>
            <w:tcW w:w="1843" w:type="dxa"/>
            <w:tcBorders>
              <w:top w:val="single" w:sz="2" w:space="0" w:color="677719"/>
              <w:left w:val="single" w:sz="2" w:space="0" w:color="677719"/>
              <w:bottom w:val="single" w:sz="2" w:space="0" w:color="677719"/>
              <w:right w:val="single" w:sz="2" w:space="0" w:color="677719"/>
            </w:tcBorders>
            <w:shd w:val="clear" w:color="auto" w:fill="auto"/>
          </w:tcPr>
          <w:p w14:paraId="47B878C8" w14:textId="23B2BA30" w:rsidR="00EF296F" w:rsidRPr="00580905" w:rsidRDefault="00EF296F" w:rsidP="00A920A9">
            <w:pPr>
              <w:pStyle w:val="TableText"/>
            </w:pPr>
            <w:r w:rsidRPr="00580905">
              <w:t>+ 32.5 %</w:t>
            </w:r>
          </w:p>
        </w:tc>
      </w:tr>
      <w:tr w:rsidR="00EF296F" w:rsidRPr="00580905" w14:paraId="661908C7" w14:textId="77777777" w:rsidTr="00A067C6">
        <w:tc>
          <w:tcPr>
            <w:tcW w:w="4249" w:type="dxa"/>
            <w:tcBorders>
              <w:top w:val="single" w:sz="2" w:space="0" w:color="677719"/>
              <w:left w:val="nil"/>
              <w:bottom w:val="single" w:sz="2" w:space="0" w:color="677719"/>
              <w:right w:val="single" w:sz="2" w:space="0" w:color="677719"/>
            </w:tcBorders>
            <w:shd w:val="clear" w:color="auto" w:fill="auto"/>
          </w:tcPr>
          <w:p w14:paraId="19172575" w14:textId="7AD7407F" w:rsidR="00EF296F" w:rsidRPr="00580905" w:rsidRDefault="00EF296F" w:rsidP="00A920A9">
            <w:pPr>
              <w:pStyle w:val="TableText"/>
            </w:pPr>
            <w:proofErr w:type="spellStart"/>
            <w:r w:rsidRPr="00580905">
              <w:t>Opotiki</w:t>
            </w:r>
            <w:proofErr w:type="spellEnd"/>
            <w:r w:rsidRPr="00580905">
              <w:t xml:space="preserve"> District Council</w:t>
            </w:r>
          </w:p>
        </w:tc>
        <w:tc>
          <w:tcPr>
            <w:tcW w:w="2268" w:type="dxa"/>
            <w:tcBorders>
              <w:top w:val="single" w:sz="2" w:space="0" w:color="677719"/>
              <w:left w:val="single" w:sz="2" w:space="0" w:color="677719"/>
              <w:bottom w:val="single" w:sz="2" w:space="0" w:color="677719"/>
              <w:right w:val="single" w:sz="2" w:space="0" w:color="677719"/>
            </w:tcBorders>
            <w:shd w:val="clear" w:color="auto" w:fill="auto"/>
          </w:tcPr>
          <w:p w14:paraId="2804B479" w14:textId="658ABA9F" w:rsidR="00EF296F" w:rsidRPr="00580905" w:rsidRDefault="00EF296F" w:rsidP="0091107D">
            <w:pPr>
              <w:pStyle w:val="TableText"/>
              <w:ind w:right="103"/>
              <w:jc w:val="right"/>
            </w:pPr>
            <w:r w:rsidRPr="00580905">
              <w:t xml:space="preserve">8,436 </w:t>
            </w:r>
          </w:p>
        </w:tc>
        <w:tc>
          <w:tcPr>
            <w:tcW w:w="1843" w:type="dxa"/>
            <w:tcBorders>
              <w:top w:val="single" w:sz="2" w:space="0" w:color="677719"/>
              <w:left w:val="single" w:sz="2" w:space="0" w:color="677719"/>
              <w:bottom w:val="single" w:sz="2" w:space="0" w:color="677719"/>
              <w:right w:val="single" w:sz="2" w:space="0" w:color="677719"/>
            </w:tcBorders>
            <w:shd w:val="clear" w:color="auto" w:fill="auto"/>
          </w:tcPr>
          <w:p w14:paraId="578C5DEC" w14:textId="46597AF6" w:rsidR="00EF296F" w:rsidRPr="00580905" w:rsidRDefault="00EF296F" w:rsidP="00776D74">
            <w:pPr>
              <w:pStyle w:val="TableText"/>
            </w:pPr>
            <w:r w:rsidRPr="00580905">
              <w:t>– 6.0 %</w:t>
            </w:r>
          </w:p>
        </w:tc>
      </w:tr>
      <w:tr w:rsidR="00EF296F" w:rsidRPr="00580905" w14:paraId="701369B6" w14:textId="77777777" w:rsidTr="00A067C6">
        <w:tc>
          <w:tcPr>
            <w:tcW w:w="4249" w:type="dxa"/>
            <w:tcBorders>
              <w:top w:val="single" w:sz="2" w:space="0" w:color="677719"/>
              <w:left w:val="nil"/>
              <w:bottom w:val="single" w:sz="2" w:space="0" w:color="677719"/>
              <w:right w:val="single" w:sz="2" w:space="0" w:color="677719"/>
            </w:tcBorders>
            <w:shd w:val="clear" w:color="auto" w:fill="auto"/>
          </w:tcPr>
          <w:p w14:paraId="7966C428" w14:textId="341BECFA" w:rsidR="00EF296F" w:rsidRPr="00580905" w:rsidRDefault="00EF296F" w:rsidP="00A920A9">
            <w:pPr>
              <w:pStyle w:val="TableText"/>
            </w:pPr>
            <w:proofErr w:type="spellStart"/>
            <w:r w:rsidRPr="00580905">
              <w:t>Otorohanga</w:t>
            </w:r>
            <w:proofErr w:type="spellEnd"/>
            <w:r w:rsidRPr="00580905">
              <w:t xml:space="preserve"> District Council</w:t>
            </w:r>
          </w:p>
        </w:tc>
        <w:tc>
          <w:tcPr>
            <w:tcW w:w="2268" w:type="dxa"/>
            <w:tcBorders>
              <w:top w:val="single" w:sz="2" w:space="0" w:color="677719"/>
              <w:left w:val="single" w:sz="2" w:space="0" w:color="677719"/>
              <w:bottom w:val="single" w:sz="2" w:space="0" w:color="677719"/>
              <w:right w:val="single" w:sz="2" w:space="0" w:color="677719"/>
            </w:tcBorders>
            <w:shd w:val="clear" w:color="auto" w:fill="auto"/>
          </w:tcPr>
          <w:p w14:paraId="7680271E" w14:textId="7136B899" w:rsidR="00EF296F" w:rsidRPr="00580905" w:rsidRDefault="00EF296F" w:rsidP="0091107D">
            <w:pPr>
              <w:pStyle w:val="TableText"/>
              <w:ind w:right="103"/>
              <w:jc w:val="right"/>
            </w:pPr>
            <w:r w:rsidRPr="00580905">
              <w:t>9,141</w:t>
            </w:r>
          </w:p>
        </w:tc>
        <w:tc>
          <w:tcPr>
            <w:tcW w:w="1843" w:type="dxa"/>
            <w:tcBorders>
              <w:top w:val="single" w:sz="2" w:space="0" w:color="677719"/>
              <w:left w:val="single" w:sz="2" w:space="0" w:color="677719"/>
              <w:bottom w:val="single" w:sz="2" w:space="0" w:color="677719"/>
              <w:right w:val="single" w:sz="2" w:space="0" w:color="677719"/>
            </w:tcBorders>
            <w:shd w:val="clear" w:color="auto" w:fill="auto"/>
          </w:tcPr>
          <w:p w14:paraId="2D699C04" w14:textId="2AF99A59" w:rsidR="00EF296F" w:rsidRPr="00580905" w:rsidRDefault="00EF296F" w:rsidP="00A920A9">
            <w:pPr>
              <w:pStyle w:val="TableText"/>
            </w:pPr>
            <w:r w:rsidRPr="00580905">
              <w:t>+ 0.7 %</w:t>
            </w:r>
          </w:p>
        </w:tc>
      </w:tr>
    </w:tbl>
    <w:p w14:paraId="344D8301" w14:textId="51A5C774" w:rsidR="006C370B" w:rsidRPr="00580905" w:rsidRDefault="0020585D" w:rsidP="00B92227">
      <w:pPr>
        <w:pStyle w:val="BodyText"/>
        <w:spacing w:before="240"/>
      </w:pPr>
      <w:r>
        <w:t>C</w:t>
      </w:r>
      <w:r w:rsidR="006C370B" w:rsidRPr="00580905">
        <w:t xml:space="preserve">ouncil staff </w:t>
      </w:r>
      <w:r>
        <w:t xml:space="preserve">spoken to </w:t>
      </w:r>
      <w:proofErr w:type="gramStart"/>
      <w:r w:rsidR="006C370B" w:rsidRPr="00580905">
        <w:t>were</w:t>
      </w:r>
      <w:proofErr w:type="gramEnd"/>
      <w:r w:rsidR="006C370B" w:rsidRPr="00580905">
        <w:t xml:space="preserve"> e</w:t>
      </w:r>
      <w:r>
        <w:t xml:space="preserve">ncouraged to be open and frank, and to </w:t>
      </w:r>
      <w:r w:rsidR="00984FE5">
        <w:t>express their views on the effectiveness of CME activities by their council</w:t>
      </w:r>
      <w:r>
        <w:t xml:space="preserve">. </w:t>
      </w:r>
      <w:r w:rsidR="006C370B" w:rsidRPr="00580905">
        <w:t>For that reason, council responses in this report are not attributed to individual councils.</w:t>
      </w:r>
    </w:p>
    <w:p w14:paraId="4C283AD8" w14:textId="77777777" w:rsidR="009D5A2F" w:rsidRPr="00580905" w:rsidRDefault="009D5A2F" w:rsidP="00E03E44">
      <w:pPr>
        <w:pStyle w:val="BodyText"/>
        <w:rPr>
          <w:lang w:eastAsia="en-GB"/>
        </w:rPr>
      </w:pPr>
      <w:r w:rsidRPr="00580905">
        <w:br w:type="page"/>
      </w:r>
    </w:p>
    <w:p w14:paraId="5A2B16EA" w14:textId="55291871" w:rsidR="00D73AF4" w:rsidRPr="00580905" w:rsidRDefault="009D5A2F" w:rsidP="000969E9">
      <w:pPr>
        <w:pStyle w:val="Heading1"/>
        <w:tabs>
          <w:tab w:val="clear" w:pos="851"/>
        </w:tabs>
        <w:ind w:left="0" w:firstLine="0"/>
      </w:pPr>
      <w:bookmarkStart w:id="14" w:name="_Toc456343382"/>
      <w:bookmarkStart w:id="15" w:name="_Toc458001908"/>
      <w:r w:rsidRPr="00580905">
        <w:t xml:space="preserve">Part 2: </w:t>
      </w:r>
      <w:r w:rsidR="002456F2" w:rsidRPr="00580905">
        <w:t>Compliance, monitoring and enforcement regulatory settings</w:t>
      </w:r>
      <w:bookmarkEnd w:id="14"/>
      <w:bookmarkEnd w:id="15"/>
    </w:p>
    <w:p w14:paraId="421AF56F" w14:textId="77B99248" w:rsidR="00861F47" w:rsidRPr="00580905" w:rsidRDefault="00426CB3" w:rsidP="00776D74">
      <w:pPr>
        <w:pStyle w:val="BodyText"/>
      </w:pPr>
      <w:r>
        <w:t>This part</w:t>
      </w:r>
      <w:r w:rsidR="00D73AF4" w:rsidRPr="00580905">
        <w:t xml:space="preserve"> gives an overview of the </w:t>
      </w:r>
      <w:r w:rsidR="00AD0488" w:rsidRPr="00580905">
        <w:t>reg</w:t>
      </w:r>
      <w:r w:rsidR="002606FE" w:rsidRPr="00580905">
        <w:t>u</w:t>
      </w:r>
      <w:r w:rsidR="00AD0488" w:rsidRPr="00580905">
        <w:t xml:space="preserve">latory environment in which council CME activities sit, including the statutory role of councils to carry out CME, the </w:t>
      </w:r>
      <w:r>
        <w:t xml:space="preserve">relationship </w:t>
      </w:r>
      <w:r w:rsidR="00AD0488" w:rsidRPr="00580905">
        <w:t xml:space="preserve">between compliance </w:t>
      </w:r>
      <w:r>
        <w:t xml:space="preserve">promotion </w:t>
      </w:r>
      <w:r w:rsidR="00AD0488" w:rsidRPr="00580905">
        <w:t>and enforcement activities</w:t>
      </w:r>
      <w:r w:rsidR="002606FE" w:rsidRPr="00580905">
        <w:t>,</w:t>
      </w:r>
      <w:r w:rsidR="00AD0488" w:rsidRPr="00580905">
        <w:t xml:space="preserve"> and the mechanisms that are available for achieving compliance.</w:t>
      </w:r>
    </w:p>
    <w:p w14:paraId="149DE070" w14:textId="77777777" w:rsidR="0095051C" w:rsidRPr="00DD224D" w:rsidRDefault="0095051C" w:rsidP="00342376">
      <w:pPr>
        <w:pStyle w:val="Heading4"/>
        <w:rPr>
          <w:i/>
        </w:rPr>
      </w:pPr>
      <w:r w:rsidRPr="00AF74F8">
        <w:rPr>
          <w:i/>
        </w:rPr>
        <w:t>Compliance monitoring and enforcement is devolved to councils</w:t>
      </w:r>
    </w:p>
    <w:p w14:paraId="07B7EC47" w14:textId="0207996B" w:rsidR="0095051C" w:rsidRPr="00580905" w:rsidRDefault="0095051C" w:rsidP="00776D74">
      <w:pPr>
        <w:pStyle w:val="BodyText"/>
      </w:pPr>
      <w:r w:rsidRPr="00580905">
        <w:t>In New Zealand, CME activities under the RMA are dev</w:t>
      </w:r>
      <w:r w:rsidR="001B661A" w:rsidRPr="00580905">
        <w:t xml:space="preserve">olved to councils. Councils </w:t>
      </w:r>
      <w:r w:rsidRPr="00580905">
        <w:t>are responsible for “the establishment, implementation and review of objectives, policies, and methods to achieve integrated management of natural and physical resources”.</w:t>
      </w:r>
      <w:r w:rsidRPr="00580905">
        <w:rPr>
          <w:rStyle w:val="FootnoteReference"/>
        </w:rPr>
        <w:footnoteReference w:id="14"/>
      </w:r>
      <w:r w:rsidRPr="00580905">
        <w:t xml:space="preserve"> Section 35(2) also requires councils to monitor the state of the environment, and the efficiency and effectiveness of policies, rules and plans. </w:t>
      </w:r>
      <w:r w:rsidR="00F32161">
        <w:t>CME are an important aspect of these statutory responsibilities.</w:t>
      </w:r>
    </w:p>
    <w:p w14:paraId="32DECA2F" w14:textId="08476F38" w:rsidR="00372EB3" w:rsidRPr="00DD224D" w:rsidRDefault="00E55EA1" w:rsidP="00342376">
      <w:pPr>
        <w:pStyle w:val="Heading4"/>
        <w:rPr>
          <w:i/>
        </w:rPr>
      </w:pPr>
      <w:r w:rsidRPr="00AF74F8">
        <w:rPr>
          <w:i/>
        </w:rPr>
        <w:t xml:space="preserve">The RMA allows for </w:t>
      </w:r>
      <w:r w:rsidR="00D34FBB" w:rsidRPr="00AF74F8">
        <w:rPr>
          <w:i/>
        </w:rPr>
        <w:t>a graduated system of compliance and enforcement</w:t>
      </w:r>
    </w:p>
    <w:p w14:paraId="0ED0464C" w14:textId="2879C3F5" w:rsidR="00DC4D68" w:rsidRPr="00580905" w:rsidRDefault="00DC4D68" w:rsidP="00776D74">
      <w:pPr>
        <w:pStyle w:val="BodyText"/>
      </w:pPr>
      <w:r w:rsidRPr="00580905">
        <w:t>The RMA does not prescribe</w:t>
      </w:r>
      <w:r w:rsidRPr="00580905">
        <w:rPr>
          <w:i/>
        </w:rPr>
        <w:t xml:space="preserve"> </w:t>
      </w:r>
      <w:r w:rsidRPr="00426CB3">
        <w:t>how</w:t>
      </w:r>
      <w:r w:rsidRPr="00580905">
        <w:t xml:space="preserve"> councils should carry out CME activities</w:t>
      </w:r>
      <w:r w:rsidR="002606FE" w:rsidRPr="00580905">
        <w:t>,</w:t>
      </w:r>
      <w:r w:rsidRPr="00580905">
        <w:t xml:space="preserve"> and central government has not issued any </w:t>
      </w:r>
      <w:r w:rsidR="00A11E52" w:rsidRPr="00580905">
        <w:t xml:space="preserve">comprehensive </w:t>
      </w:r>
      <w:r w:rsidRPr="00580905">
        <w:t>national direction or guidance on this.</w:t>
      </w:r>
      <w:r w:rsidR="00A11E52" w:rsidRPr="00580905">
        <w:rPr>
          <w:rStyle w:val="FootnoteReference"/>
          <w:rFonts w:asciiTheme="minorHAnsi" w:hAnsiTheme="minorHAnsi"/>
        </w:rPr>
        <w:footnoteReference w:id="15"/>
      </w:r>
      <w:r w:rsidRPr="00580905">
        <w:t xml:space="preserve"> Councils have considerable discretion to determine how to fulfil their statutory functions. </w:t>
      </w:r>
    </w:p>
    <w:p w14:paraId="3517CA7B" w14:textId="71A70FBC" w:rsidR="0095051C" w:rsidRPr="00580905" w:rsidRDefault="009E733E" w:rsidP="00907478">
      <w:pPr>
        <w:pStyle w:val="BodyText"/>
        <w:rPr>
          <w:b/>
        </w:rPr>
      </w:pPr>
      <w:r w:rsidRPr="00580905">
        <w:t xml:space="preserve">The RMA </w:t>
      </w:r>
      <w:r w:rsidR="003C5088" w:rsidRPr="00580905">
        <w:t xml:space="preserve">allows for </w:t>
      </w:r>
      <w:r w:rsidRPr="00580905">
        <w:t xml:space="preserve">a graduated </w:t>
      </w:r>
      <w:r w:rsidR="00E55EA1" w:rsidRPr="00580905">
        <w:t xml:space="preserve">response to </w:t>
      </w:r>
      <w:r w:rsidR="00CC18FD" w:rsidRPr="00580905">
        <w:t xml:space="preserve">compliance and </w:t>
      </w:r>
      <w:r w:rsidR="00E55EA1" w:rsidRPr="00580905">
        <w:t>enforcement</w:t>
      </w:r>
      <w:r w:rsidR="008D74E3" w:rsidRPr="00580905">
        <w:t xml:space="preserve"> – it is up</w:t>
      </w:r>
      <w:r w:rsidR="0083448E" w:rsidRPr="00580905">
        <w:t xml:space="preserve"> to</w:t>
      </w:r>
      <w:r w:rsidR="008D74E3" w:rsidRPr="00580905">
        <w:t xml:space="preserve"> </w:t>
      </w:r>
      <w:r w:rsidRPr="00580905">
        <w:t xml:space="preserve">local authorities </w:t>
      </w:r>
      <w:r w:rsidR="00E53F8D" w:rsidRPr="00580905">
        <w:t xml:space="preserve">to determine </w:t>
      </w:r>
      <w:r w:rsidR="008D74E3" w:rsidRPr="00580905">
        <w:t>the appropriate response</w:t>
      </w:r>
      <w:r w:rsidR="00B87F99" w:rsidRPr="00580905">
        <w:t xml:space="preserve"> </w:t>
      </w:r>
      <w:r w:rsidR="00E07085" w:rsidRPr="00580905">
        <w:t>to breaches of the RMA</w:t>
      </w:r>
      <w:r w:rsidR="00E55EA1" w:rsidRPr="00580905">
        <w:t>, plan rules and consents</w:t>
      </w:r>
      <w:r w:rsidRPr="00580905">
        <w:t xml:space="preserve">. </w:t>
      </w:r>
      <w:r w:rsidR="006C68DC" w:rsidRPr="00580905">
        <w:t xml:space="preserve">Councils use </w:t>
      </w:r>
      <w:r w:rsidR="00372EB3" w:rsidRPr="00580905">
        <w:t xml:space="preserve">education and awareness-raising as the preferred method for encouraging </w:t>
      </w:r>
      <w:r w:rsidR="006C68DC" w:rsidRPr="00580905">
        <w:t>compliance, and</w:t>
      </w:r>
      <w:r w:rsidR="002E3C76" w:rsidRPr="00580905">
        <w:t xml:space="preserve"> when necessary,</w:t>
      </w:r>
      <w:r w:rsidR="006C68DC" w:rsidRPr="00580905">
        <w:t xml:space="preserve"> </w:t>
      </w:r>
      <w:r w:rsidR="00372EB3" w:rsidRPr="00580905">
        <w:t xml:space="preserve">formal </w:t>
      </w:r>
      <w:r w:rsidR="006C68DC" w:rsidRPr="00580905">
        <w:t xml:space="preserve">action to discourage and </w:t>
      </w:r>
      <w:r w:rsidR="00FD09ED">
        <w:t>penalise</w:t>
      </w:r>
      <w:r w:rsidR="006C68DC" w:rsidRPr="00580905">
        <w:t xml:space="preserve"> non-compliance</w:t>
      </w:r>
      <w:r w:rsidR="00372EB3" w:rsidRPr="00580905">
        <w:t>, and direct remediation of the damage</w:t>
      </w:r>
      <w:r w:rsidR="006C68DC" w:rsidRPr="00580905">
        <w:t xml:space="preserve">. </w:t>
      </w:r>
      <w:r w:rsidR="00661967">
        <w:t>Formal e</w:t>
      </w:r>
      <w:r w:rsidR="001077B2" w:rsidRPr="00580905">
        <w:t xml:space="preserve">nforcement actions are normally only taken when ‘softer’ measures of compliance promotion and coercion have failed, </w:t>
      </w:r>
      <w:r w:rsidR="00E07085" w:rsidRPr="00580905">
        <w:t>and/</w:t>
      </w:r>
      <w:r w:rsidR="001077B2" w:rsidRPr="00580905">
        <w:t xml:space="preserve">or </w:t>
      </w:r>
      <w:r w:rsidR="00E07085" w:rsidRPr="00580905">
        <w:t xml:space="preserve">the breach of the RMA is significant. </w:t>
      </w:r>
      <w:r w:rsidR="002E3C76" w:rsidRPr="00580905">
        <w:t xml:space="preserve">This </w:t>
      </w:r>
      <w:r w:rsidR="006424B5" w:rsidRPr="00580905">
        <w:t xml:space="preserve">approach is shown in </w:t>
      </w:r>
      <w:r w:rsidR="00DE34F2" w:rsidRPr="00580905">
        <w:t>F</w:t>
      </w:r>
      <w:r w:rsidR="006424B5" w:rsidRPr="00580905">
        <w:t xml:space="preserve">igure 1. </w:t>
      </w:r>
    </w:p>
    <w:p w14:paraId="0258D353" w14:textId="77777777" w:rsidR="0095051C" w:rsidRPr="00580905" w:rsidRDefault="0095051C" w:rsidP="00A24ADA">
      <w:pPr>
        <w:rPr>
          <w:b/>
        </w:rPr>
      </w:pPr>
      <w:r w:rsidRPr="00580905">
        <w:rPr>
          <w:b/>
        </w:rPr>
        <w:br w:type="page"/>
      </w:r>
    </w:p>
    <w:p w14:paraId="6CD61AEE" w14:textId="0333765B" w:rsidR="00A9438E" w:rsidRPr="00580905" w:rsidRDefault="00201228" w:rsidP="007E564C">
      <w:pPr>
        <w:pStyle w:val="Figureheading"/>
      </w:pPr>
      <w:bookmarkStart w:id="16" w:name="_Toc456691252"/>
      <w:r w:rsidRPr="00580905">
        <w:t xml:space="preserve">Figure 1: </w:t>
      </w:r>
      <w:r w:rsidR="00E03E44" w:rsidRPr="00580905">
        <w:tab/>
      </w:r>
      <w:r w:rsidRPr="00580905">
        <w:t>Braithwaite Compliance Triangle</w:t>
      </w:r>
      <w:r w:rsidR="006427DC" w:rsidRPr="00580905">
        <w:rPr>
          <w:rStyle w:val="FootnoteReference"/>
          <w:rFonts w:asciiTheme="minorHAnsi" w:hAnsiTheme="minorHAnsi" w:cs="Arial"/>
        </w:rPr>
        <w:footnoteReference w:id="16"/>
      </w:r>
      <w:bookmarkEnd w:id="16"/>
    </w:p>
    <w:p w14:paraId="6CD40E80" w14:textId="77777777" w:rsidR="00CF41BA" w:rsidRPr="00580905" w:rsidRDefault="00CF41BA" w:rsidP="00022314">
      <w:pPr>
        <w:pStyle w:val="BodyText"/>
      </w:pPr>
      <w:r w:rsidRPr="00580905">
        <w:rPr>
          <w:noProof/>
          <w:lang w:eastAsia="en-NZ"/>
        </w:rPr>
        <w:drawing>
          <wp:inline distT="0" distB="0" distL="0" distR="0" wp14:anchorId="5B5C9393" wp14:editId="01BAD16B">
            <wp:extent cx="4769510" cy="2710540"/>
            <wp:effectExtent l="0" t="0" r="0" b="0"/>
            <wp:docPr id="1" name="Picture 1" descr="http://www.oag.govt.nz/2007/customs-service/gfx/figure3.gif">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oag.govt.nz/2007/customs-service/gfx/figure3.gif">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9994" cy="2710815"/>
                    </a:xfrm>
                    <a:prstGeom prst="rect">
                      <a:avLst/>
                    </a:prstGeom>
                    <a:noFill/>
                    <a:ln>
                      <a:noFill/>
                    </a:ln>
                  </pic:spPr>
                </pic:pic>
              </a:graphicData>
            </a:graphic>
          </wp:inline>
        </w:drawing>
      </w:r>
    </w:p>
    <w:p w14:paraId="2C6822D5" w14:textId="568CC70D" w:rsidR="001952B0" w:rsidRPr="00580905" w:rsidRDefault="00E834DE" w:rsidP="00907478">
      <w:pPr>
        <w:pStyle w:val="BodyText"/>
      </w:pPr>
      <w:r w:rsidRPr="00580905">
        <w:t xml:space="preserve">The Compliance Triangle </w:t>
      </w:r>
      <w:r w:rsidR="002E3C76" w:rsidRPr="00580905">
        <w:t>(</w:t>
      </w:r>
      <w:r w:rsidR="00DE34F2" w:rsidRPr="00580905">
        <w:t>F</w:t>
      </w:r>
      <w:r w:rsidR="002E3C76" w:rsidRPr="00580905">
        <w:t xml:space="preserve">igure 1) </w:t>
      </w:r>
      <w:r w:rsidRPr="00580905">
        <w:t>assumes that most people are willing to comply and know what to do to comply, while progressively fewer people need stronger interventions to ensure compliance. Most regulatory action occurs at the base of the pyramid, where compliance is sought through persuasion</w:t>
      </w:r>
      <w:r w:rsidR="001952B0" w:rsidRPr="00580905">
        <w:t>,</w:t>
      </w:r>
      <w:r w:rsidRPr="00580905">
        <w:t xml:space="preserve"> but escalated when compliance is not </w:t>
      </w:r>
      <w:r w:rsidR="001952B0" w:rsidRPr="00580905">
        <w:t>achieved.</w:t>
      </w:r>
    </w:p>
    <w:p w14:paraId="320D1840" w14:textId="52B53929" w:rsidR="003066C3" w:rsidRPr="00580905" w:rsidRDefault="00E86E49" w:rsidP="0075000F">
      <w:pPr>
        <w:pStyle w:val="BodyText"/>
      </w:pPr>
      <w:r w:rsidRPr="00580905">
        <w:t xml:space="preserve">This approach is endorsed in </w:t>
      </w:r>
      <w:r w:rsidR="007128E0" w:rsidRPr="00580905">
        <w:t xml:space="preserve">the </w:t>
      </w:r>
      <w:r w:rsidR="00EF5FD9" w:rsidRPr="00580905">
        <w:t xml:space="preserve">Productivity Commission </w:t>
      </w:r>
      <w:r w:rsidR="00DE34F2" w:rsidRPr="00580905">
        <w:t xml:space="preserve">(2013) </w:t>
      </w:r>
      <w:r w:rsidRPr="00580905">
        <w:t>report</w:t>
      </w:r>
      <w:r w:rsidR="00DE34F2" w:rsidRPr="00580905">
        <w:t>,</w:t>
      </w:r>
      <w:r w:rsidR="00EF5FD9" w:rsidRPr="00580905">
        <w:t xml:space="preserve"> </w:t>
      </w:r>
      <w:r w:rsidR="007128E0" w:rsidRPr="00580905">
        <w:t xml:space="preserve">which </w:t>
      </w:r>
      <w:r w:rsidR="00EF5FD9" w:rsidRPr="00580905">
        <w:t>states that</w:t>
      </w:r>
      <w:r w:rsidR="00DC4D68" w:rsidRPr="00580905">
        <w:t>:</w:t>
      </w:r>
      <w:r w:rsidR="00EF5FD9" w:rsidRPr="00580905">
        <w:t xml:space="preserve"> </w:t>
      </w:r>
    </w:p>
    <w:p w14:paraId="3B68250B" w14:textId="77777777" w:rsidR="00EF5FD9" w:rsidRPr="00580905" w:rsidRDefault="003066C3" w:rsidP="0075000F">
      <w:pPr>
        <w:pStyle w:val="Quote"/>
      </w:pPr>
      <w:r w:rsidRPr="00580905">
        <w:t>M</w:t>
      </w:r>
      <w:r w:rsidR="00EF5FD9" w:rsidRPr="00580905">
        <w:t>ost regulatory specialists now argue, on the basis of considerable evidence, that a judicious mix of compliance promotion and deterrence is likely to b</w:t>
      </w:r>
      <w:r w:rsidRPr="00580905">
        <w:t>e the best enforcement strategy</w:t>
      </w:r>
      <w:r w:rsidR="00EF5FD9" w:rsidRPr="00580905">
        <w:t>.</w:t>
      </w:r>
    </w:p>
    <w:p w14:paraId="2561F003" w14:textId="024A18E2" w:rsidR="003066C3" w:rsidRPr="00580905" w:rsidRDefault="003066C3" w:rsidP="00907478">
      <w:pPr>
        <w:pStyle w:val="BodyText"/>
      </w:pPr>
      <w:r w:rsidRPr="00580905">
        <w:t xml:space="preserve">The </w:t>
      </w:r>
      <w:r w:rsidR="00F32161">
        <w:t>Commission</w:t>
      </w:r>
      <w:r w:rsidR="008B60F4" w:rsidRPr="00580905">
        <w:t xml:space="preserve"> also </w:t>
      </w:r>
      <w:r w:rsidR="00F32161">
        <w:t>explain</w:t>
      </w:r>
      <w:r w:rsidRPr="00580905">
        <w:t xml:space="preserve"> that:</w:t>
      </w:r>
    </w:p>
    <w:p w14:paraId="394174D6" w14:textId="77777777" w:rsidR="00E86E49" w:rsidRPr="00580905" w:rsidRDefault="003066C3" w:rsidP="0075000F">
      <w:pPr>
        <w:pStyle w:val="Quote"/>
      </w:pPr>
      <w:r w:rsidRPr="00580905">
        <w:t>T</w:t>
      </w:r>
      <w:r w:rsidR="00EF5FD9" w:rsidRPr="00580905">
        <w:t xml:space="preserve">he enforcement challenge is striking the right balance between persuasion and coercion in securing regulatory compliance. This balance may differ between regulatory regimes. Similarly, the ideal balance of persuasion and coercion may differ between local authorities due to differences in the populations being regulated. </w:t>
      </w:r>
    </w:p>
    <w:p w14:paraId="1F2C161A" w14:textId="59C0B8E6" w:rsidR="00861F47" w:rsidRPr="00AF74F8" w:rsidRDefault="00861F47" w:rsidP="00342376">
      <w:pPr>
        <w:pStyle w:val="Heading4"/>
        <w:rPr>
          <w:i/>
        </w:rPr>
      </w:pPr>
      <w:bookmarkStart w:id="17" w:name="_Toc452558513"/>
      <w:bookmarkStart w:id="18" w:name="_Toc456343383"/>
      <w:r w:rsidRPr="00AF74F8">
        <w:rPr>
          <w:i/>
        </w:rPr>
        <w:t>Councils have discretion as to what</w:t>
      </w:r>
      <w:r w:rsidR="00731417" w:rsidRPr="00AF74F8">
        <w:rPr>
          <w:i/>
        </w:rPr>
        <w:t xml:space="preserve"> </w:t>
      </w:r>
      <w:r w:rsidRPr="00AF74F8">
        <w:rPr>
          <w:i/>
        </w:rPr>
        <w:t>enforcement action,</w:t>
      </w:r>
      <w:r w:rsidR="00FF0303" w:rsidRPr="00AF74F8">
        <w:rPr>
          <w:i/>
        </w:rPr>
        <w:t xml:space="preserve"> </w:t>
      </w:r>
      <w:r w:rsidRPr="00AF74F8">
        <w:rPr>
          <w:i/>
        </w:rPr>
        <w:t>if any, to take in response to non-</w:t>
      </w:r>
      <w:r w:rsidR="002F089D" w:rsidRPr="00AF74F8">
        <w:rPr>
          <w:i/>
        </w:rPr>
        <w:t>compli</w:t>
      </w:r>
      <w:r w:rsidRPr="00AF74F8">
        <w:rPr>
          <w:i/>
        </w:rPr>
        <w:t>ance</w:t>
      </w:r>
      <w:bookmarkEnd w:id="17"/>
      <w:bookmarkEnd w:id="18"/>
    </w:p>
    <w:p w14:paraId="5A06C659" w14:textId="0CCAD337" w:rsidR="009D04F9" w:rsidRPr="00580905" w:rsidRDefault="003066C3" w:rsidP="0075000F">
      <w:pPr>
        <w:pStyle w:val="BodyText"/>
      </w:pPr>
      <w:r w:rsidRPr="00580905">
        <w:t xml:space="preserve">A range of enforcement tools </w:t>
      </w:r>
      <w:r w:rsidR="00061EA5">
        <w:t>are</w:t>
      </w:r>
      <w:r w:rsidRPr="00580905">
        <w:t xml:space="preserve"> available to councils </w:t>
      </w:r>
      <w:r w:rsidR="003C5088" w:rsidRPr="00580905">
        <w:t xml:space="preserve">to respond to </w:t>
      </w:r>
      <w:r w:rsidRPr="00580905">
        <w:t>non-compli</w:t>
      </w:r>
      <w:r w:rsidR="00DC4D68" w:rsidRPr="00580905">
        <w:t>ance</w:t>
      </w:r>
      <w:r w:rsidR="007E547E">
        <w:t xml:space="preserve"> with the RMA, plan rules or resource consent conditions</w:t>
      </w:r>
      <w:r w:rsidRPr="00580905">
        <w:t xml:space="preserve">. </w:t>
      </w:r>
      <w:r w:rsidR="006A5E94" w:rsidRPr="00580905">
        <w:t>The</w:t>
      </w:r>
      <w:r w:rsidR="00B939C9">
        <w:t> </w:t>
      </w:r>
      <w:r w:rsidR="006A5E94" w:rsidRPr="00580905">
        <w:t xml:space="preserve">range of enforcement options allows councils to tailor their response to the nature and severity of offending. </w:t>
      </w:r>
      <w:r w:rsidR="00C705F8" w:rsidRPr="00580905">
        <w:t>M</w:t>
      </w:r>
      <w:r w:rsidR="00C961EB" w:rsidRPr="00580905">
        <w:t>ost councils do not always take f</w:t>
      </w:r>
      <w:r w:rsidR="009A20C3" w:rsidRPr="00580905">
        <w:t xml:space="preserve">ormal enforcement action </w:t>
      </w:r>
      <w:r w:rsidR="00C961EB" w:rsidRPr="00580905">
        <w:t>i</w:t>
      </w:r>
      <w:r w:rsidR="009A20C3" w:rsidRPr="00580905">
        <w:t>n response to an offence being committed under the RMA</w:t>
      </w:r>
      <w:r w:rsidR="00C961EB" w:rsidRPr="00580905">
        <w:t xml:space="preserve"> </w:t>
      </w:r>
      <w:r w:rsidR="00DE34F2" w:rsidRPr="00580905">
        <w:t>–</w:t>
      </w:r>
      <w:r w:rsidR="00C961EB" w:rsidRPr="00580905">
        <w:t xml:space="preserve"> the majority of offending is resolved informally</w:t>
      </w:r>
      <w:r w:rsidR="00C705F8" w:rsidRPr="00580905">
        <w:t xml:space="preserve">, as discussed </w:t>
      </w:r>
      <w:r w:rsidR="00DE34F2" w:rsidRPr="00580905">
        <w:t>previously</w:t>
      </w:r>
      <w:r w:rsidR="00C705F8" w:rsidRPr="00580905">
        <w:t>.</w:t>
      </w:r>
    </w:p>
    <w:p w14:paraId="1E2AA114" w14:textId="6903F3DE" w:rsidR="00632ACC" w:rsidRPr="00580905" w:rsidRDefault="00E86E49" w:rsidP="0075000F">
      <w:pPr>
        <w:pStyle w:val="BodyText"/>
      </w:pPr>
      <w:r w:rsidRPr="00580905">
        <w:t xml:space="preserve">The RMA provides enforcement tools </w:t>
      </w:r>
      <w:r w:rsidR="00AE3174" w:rsidRPr="00580905">
        <w:t>that</w:t>
      </w:r>
      <w:r w:rsidRPr="00580905">
        <w:t xml:space="preserve"> are both punitive (formal written warning, infringement notice, prosecution) and directive (letter of direction, abatement notice, enforcement order). </w:t>
      </w:r>
      <w:r w:rsidR="00A24EAB" w:rsidRPr="00580905">
        <w:t>Formal written warnings and l</w:t>
      </w:r>
      <w:r w:rsidR="006A5E94" w:rsidRPr="00580905">
        <w:t>etters of direction are non-statutory options available to</w:t>
      </w:r>
      <w:r w:rsidR="00A24EAB" w:rsidRPr="00580905">
        <w:t xml:space="preserve"> councils to admonish offenders and direct restorative action. </w:t>
      </w:r>
      <w:r w:rsidR="00131B02" w:rsidRPr="00580905">
        <w:t>A full description of the</w:t>
      </w:r>
      <w:r w:rsidR="00737695" w:rsidRPr="00580905">
        <w:t xml:space="preserve"> enforcement mechanisms in t</w:t>
      </w:r>
      <w:r w:rsidR="00131B02" w:rsidRPr="00580905">
        <w:t>he RMA is provided in Table 2.</w:t>
      </w:r>
    </w:p>
    <w:p w14:paraId="0B93FB94" w14:textId="532980F0" w:rsidR="00016A35" w:rsidRPr="00580905" w:rsidRDefault="00131B02" w:rsidP="0075000F">
      <w:pPr>
        <w:pStyle w:val="Tableheading"/>
      </w:pPr>
      <w:bookmarkStart w:id="19" w:name="_Toc473795832"/>
      <w:r w:rsidRPr="00580905">
        <w:t>Table 2</w:t>
      </w:r>
      <w:r w:rsidR="0075000F" w:rsidRPr="00580905">
        <w:t>:</w:t>
      </w:r>
      <w:r w:rsidR="0075000F" w:rsidRPr="00580905">
        <w:tab/>
      </w:r>
      <w:r w:rsidR="00016A35" w:rsidRPr="00580905">
        <w:t>Non-statutory and statutory enforcement actions</w:t>
      </w:r>
      <w:bookmarkEnd w:id="19"/>
      <w:r w:rsidR="00016A35" w:rsidRPr="00580905">
        <w:t xml:space="preserve"> </w:t>
      </w:r>
    </w:p>
    <w:p w14:paraId="1D3EFC08" w14:textId="57AF6B1B" w:rsidR="00F4235E" w:rsidRPr="00580905" w:rsidRDefault="00F4235E" w:rsidP="00A24ADA">
      <w:pPr>
        <w:rPr>
          <w:i/>
          <w:sz w:val="18"/>
          <w:szCs w:val="18"/>
        </w:rPr>
      </w:pPr>
      <w:r w:rsidRPr="00580905">
        <w:rPr>
          <w:i/>
          <w:sz w:val="18"/>
          <w:szCs w:val="18"/>
        </w:rPr>
        <w:t xml:space="preserve">Note: where a breach or contravention of the RMA is referred to </w:t>
      </w:r>
      <w:r w:rsidR="00597BE6" w:rsidRPr="00580905">
        <w:rPr>
          <w:i/>
          <w:sz w:val="18"/>
          <w:szCs w:val="18"/>
        </w:rPr>
        <w:t>in</w:t>
      </w:r>
      <w:r w:rsidRPr="00580905">
        <w:rPr>
          <w:i/>
          <w:sz w:val="18"/>
          <w:szCs w:val="18"/>
        </w:rPr>
        <w:t xml:space="preserve"> this report, this also includes breaches of derivative regulations, plan rules, resource consents and heritage orders. </w:t>
      </w:r>
    </w:p>
    <w:tbl>
      <w:tblPr>
        <w:tblW w:w="7933" w:type="dxa"/>
        <w:tblInd w:w="113" w:type="dxa"/>
        <w:tblBorders>
          <w:top w:val="single" w:sz="2" w:space="0" w:color="677719"/>
          <w:bottom w:val="single" w:sz="2" w:space="0" w:color="677719"/>
          <w:insideH w:val="single" w:sz="2" w:space="0" w:color="677719"/>
          <w:insideV w:val="single" w:sz="2" w:space="0" w:color="677719"/>
        </w:tblBorders>
        <w:tblLook w:val="04A0" w:firstRow="1" w:lastRow="0" w:firstColumn="1" w:lastColumn="0" w:noHBand="0" w:noVBand="1"/>
      </w:tblPr>
      <w:tblGrid>
        <w:gridCol w:w="1548"/>
        <w:gridCol w:w="3550"/>
        <w:gridCol w:w="2835"/>
      </w:tblGrid>
      <w:tr w:rsidR="00B652F2" w:rsidRPr="00580905" w14:paraId="4AA25729" w14:textId="77777777" w:rsidTr="00B652F2">
        <w:trPr>
          <w:tblHeader/>
        </w:trPr>
        <w:tc>
          <w:tcPr>
            <w:tcW w:w="1548" w:type="dxa"/>
            <w:shd w:val="clear" w:color="auto" w:fill="677719"/>
            <w:vAlign w:val="bottom"/>
          </w:tcPr>
          <w:p w14:paraId="576B0C38" w14:textId="3803A064" w:rsidR="00B652F2" w:rsidRPr="00580905" w:rsidRDefault="00B652F2" w:rsidP="00291E25">
            <w:pPr>
              <w:pStyle w:val="TableTextbold"/>
              <w:jc w:val="both"/>
              <w:rPr>
                <w:color w:val="FFFFFF" w:themeColor="background1"/>
              </w:rPr>
            </w:pPr>
            <w:r w:rsidRPr="00580905">
              <w:rPr>
                <w:color w:val="FFFFFF" w:themeColor="background1"/>
              </w:rPr>
              <w:t>Enforcement actions</w:t>
            </w:r>
          </w:p>
        </w:tc>
        <w:tc>
          <w:tcPr>
            <w:tcW w:w="3550" w:type="dxa"/>
            <w:shd w:val="clear" w:color="auto" w:fill="677719"/>
            <w:vAlign w:val="bottom"/>
          </w:tcPr>
          <w:p w14:paraId="25D3D81F" w14:textId="0A21E1AB" w:rsidR="00B652F2" w:rsidRPr="00580905" w:rsidRDefault="00B652F2" w:rsidP="00291E25">
            <w:pPr>
              <w:pStyle w:val="TableTextbold"/>
              <w:rPr>
                <w:color w:val="FFFFFF" w:themeColor="background1"/>
              </w:rPr>
            </w:pPr>
            <w:r w:rsidRPr="00580905">
              <w:rPr>
                <w:color w:val="FFFFFF" w:themeColor="background1"/>
              </w:rPr>
              <w:t>Description</w:t>
            </w:r>
          </w:p>
        </w:tc>
        <w:tc>
          <w:tcPr>
            <w:tcW w:w="2835" w:type="dxa"/>
            <w:shd w:val="clear" w:color="auto" w:fill="677719"/>
            <w:vAlign w:val="bottom"/>
          </w:tcPr>
          <w:p w14:paraId="4B16F42E" w14:textId="7F319F87" w:rsidR="00B652F2" w:rsidRPr="00580905" w:rsidRDefault="00B652F2" w:rsidP="00291E25">
            <w:pPr>
              <w:pStyle w:val="TableTextbold"/>
              <w:rPr>
                <w:color w:val="FFFFFF" w:themeColor="background1"/>
              </w:rPr>
            </w:pPr>
            <w:r w:rsidRPr="00580905">
              <w:rPr>
                <w:color w:val="FFFFFF" w:themeColor="background1"/>
              </w:rPr>
              <w:t>Maximum penalty available</w:t>
            </w:r>
          </w:p>
        </w:tc>
      </w:tr>
      <w:tr w:rsidR="00B652F2" w:rsidRPr="00580905" w14:paraId="093EB18A" w14:textId="77777777" w:rsidTr="00B652F2">
        <w:tc>
          <w:tcPr>
            <w:tcW w:w="1548" w:type="dxa"/>
          </w:tcPr>
          <w:p w14:paraId="381E6C4A" w14:textId="0432A06F" w:rsidR="00B652F2" w:rsidRPr="00580905" w:rsidRDefault="00B652F2" w:rsidP="0073140C">
            <w:pPr>
              <w:pStyle w:val="TableText"/>
              <w:spacing w:before="50" w:after="50"/>
            </w:pPr>
            <w:r w:rsidRPr="00580905">
              <w:t>Verbal or written direction</w:t>
            </w:r>
          </w:p>
        </w:tc>
        <w:tc>
          <w:tcPr>
            <w:tcW w:w="3550" w:type="dxa"/>
            <w:shd w:val="clear" w:color="auto" w:fill="auto"/>
          </w:tcPr>
          <w:p w14:paraId="50F6A08D" w14:textId="7B9D59E9" w:rsidR="00B652F2" w:rsidRPr="00580905" w:rsidRDefault="00B652F2" w:rsidP="0073140C">
            <w:pPr>
              <w:pStyle w:val="TableText"/>
              <w:spacing w:before="50" w:after="50"/>
            </w:pPr>
            <w:r w:rsidRPr="00580905">
              <w:t>Advice that a breach of the RMA has occurred and that the offending party needs to take, or cease, a particular action. Directions are usually reserved for cooperating parties and where there is a likelihood that the breach will not continue. This is a non-statutory tool and directions are not legally enforceable.</w:t>
            </w:r>
          </w:p>
        </w:tc>
        <w:tc>
          <w:tcPr>
            <w:tcW w:w="2835" w:type="dxa"/>
            <w:shd w:val="clear" w:color="auto" w:fill="auto"/>
          </w:tcPr>
          <w:p w14:paraId="207A2734" w14:textId="711564D3" w:rsidR="00B652F2" w:rsidRPr="00580905" w:rsidRDefault="00B652F2" w:rsidP="0073140C">
            <w:pPr>
              <w:pStyle w:val="TableText"/>
              <w:spacing w:before="50" w:after="50"/>
            </w:pPr>
            <w:r w:rsidRPr="00580905">
              <w:t>None</w:t>
            </w:r>
          </w:p>
        </w:tc>
      </w:tr>
      <w:tr w:rsidR="00B652F2" w:rsidRPr="00580905" w14:paraId="60B02089" w14:textId="77777777" w:rsidTr="00B652F2">
        <w:tc>
          <w:tcPr>
            <w:tcW w:w="1548" w:type="dxa"/>
          </w:tcPr>
          <w:p w14:paraId="19CBEA60" w14:textId="3D40AC69" w:rsidR="00B652F2" w:rsidRPr="00580905" w:rsidRDefault="00B652F2" w:rsidP="0073140C">
            <w:pPr>
              <w:pStyle w:val="TableText"/>
              <w:spacing w:before="50" w:after="50"/>
            </w:pPr>
            <w:r w:rsidRPr="00580905">
              <w:t>Formal warning letter</w:t>
            </w:r>
          </w:p>
        </w:tc>
        <w:tc>
          <w:tcPr>
            <w:tcW w:w="3550" w:type="dxa"/>
            <w:shd w:val="clear" w:color="auto" w:fill="auto"/>
          </w:tcPr>
          <w:p w14:paraId="452D9EB9" w14:textId="159DA6FC" w:rsidR="00B652F2" w:rsidRPr="00580905" w:rsidRDefault="00B652F2" w:rsidP="0073140C">
            <w:pPr>
              <w:pStyle w:val="TableText"/>
              <w:spacing w:before="50" w:after="50"/>
            </w:pPr>
            <w:r w:rsidRPr="00580905">
              <w:t>A formal warning letter informs a person/company that they have breached the RMA. The letter forms part of the formal history of non-compliance, which can be used as evidence in court if a prosecution is later taken. This is a non-statutory tool.</w:t>
            </w:r>
          </w:p>
        </w:tc>
        <w:tc>
          <w:tcPr>
            <w:tcW w:w="2835" w:type="dxa"/>
            <w:shd w:val="clear" w:color="auto" w:fill="auto"/>
          </w:tcPr>
          <w:p w14:paraId="022F03C4" w14:textId="2D61746D" w:rsidR="00B652F2" w:rsidRPr="00580905" w:rsidRDefault="00B652F2" w:rsidP="0073140C">
            <w:pPr>
              <w:pStyle w:val="TableText"/>
              <w:spacing w:before="50" w:after="50"/>
            </w:pPr>
            <w:r w:rsidRPr="00580905">
              <w:t>None</w:t>
            </w:r>
          </w:p>
        </w:tc>
      </w:tr>
      <w:tr w:rsidR="00B652F2" w:rsidRPr="00580905" w14:paraId="69B32FA0" w14:textId="77777777" w:rsidTr="00B652F2">
        <w:tc>
          <w:tcPr>
            <w:tcW w:w="1548" w:type="dxa"/>
          </w:tcPr>
          <w:p w14:paraId="14B0F54E" w14:textId="04C09C83" w:rsidR="00B652F2" w:rsidRPr="00580905" w:rsidRDefault="00B652F2" w:rsidP="0073140C">
            <w:pPr>
              <w:pStyle w:val="TableText"/>
              <w:spacing w:before="50" w:after="50"/>
            </w:pPr>
            <w:r w:rsidRPr="00580905">
              <w:t>Infringement notice</w:t>
            </w:r>
          </w:p>
        </w:tc>
        <w:tc>
          <w:tcPr>
            <w:tcW w:w="3550" w:type="dxa"/>
            <w:shd w:val="clear" w:color="auto" w:fill="auto"/>
          </w:tcPr>
          <w:p w14:paraId="67928285" w14:textId="77777777" w:rsidR="00B652F2" w:rsidRDefault="00B652F2" w:rsidP="00061EA5">
            <w:pPr>
              <w:pStyle w:val="TableText"/>
              <w:spacing w:before="50" w:after="50"/>
            </w:pPr>
            <w:r w:rsidRPr="00580905">
              <w:t xml:space="preserve">An infringement notice is a written notice and fine that informs a person that an offence has </w:t>
            </w:r>
            <w:r>
              <w:t>allegedly b</w:t>
            </w:r>
            <w:r w:rsidRPr="00580905">
              <w:t>een committed against the RMA. No criminal convictions can be imposed through infringement notices.</w:t>
            </w:r>
          </w:p>
          <w:p w14:paraId="63BF693B" w14:textId="4605F869" w:rsidR="00B652F2" w:rsidRPr="00580905" w:rsidRDefault="00B652F2" w:rsidP="00061EA5">
            <w:pPr>
              <w:pStyle w:val="TableText"/>
              <w:spacing w:before="50" w:after="50"/>
            </w:pPr>
            <w:r>
              <w:t xml:space="preserve">Infringement notices are only available for certain classes of non-compliance, prescribed in the </w:t>
            </w:r>
            <w:r w:rsidRPr="00580905">
              <w:rPr>
                <w:kern w:val="36"/>
              </w:rPr>
              <w:t>Resource Management (Infringement Offences) Regulations 1999</w:t>
            </w:r>
            <w:r w:rsidRPr="00580905">
              <w:t>.</w:t>
            </w:r>
          </w:p>
        </w:tc>
        <w:tc>
          <w:tcPr>
            <w:tcW w:w="2835" w:type="dxa"/>
            <w:shd w:val="clear" w:color="auto" w:fill="auto"/>
          </w:tcPr>
          <w:p w14:paraId="25F2ABBD" w14:textId="779ABB26" w:rsidR="00B652F2" w:rsidRPr="00580905" w:rsidRDefault="00B652F2" w:rsidP="0073140C">
            <w:pPr>
              <w:pStyle w:val="TableText"/>
              <w:spacing w:before="50" w:after="50"/>
            </w:pPr>
            <w:r w:rsidRPr="00580905">
              <w:t xml:space="preserve">Fines currently range between $300 and $1,000, as set out in Schedule 1 of the </w:t>
            </w:r>
            <w:r w:rsidRPr="00580905">
              <w:rPr>
                <w:kern w:val="36"/>
              </w:rPr>
              <w:t>Resource Management (Infringement Offences) Regulations 1999</w:t>
            </w:r>
            <w:r w:rsidRPr="00580905">
              <w:t>.</w:t>
            </w:r>
          </w:p>
        </w:tc>
      </w:tr>
      <w:tr w:rsidR="00B652F2" w:rsidRPr="00580905" w14:paraId="59492DAD" w14:textId="77777777" w:rsidTr="00B652F2">
        <w:tc>
          <w:tcPr>
            <w:tcW w:w="1548" w:type="dxa"/>
          </w:tcPr>
          <w:p w14:paraId="086C263D" w14:textId="3D9F39B7" w:rsidR="00B652F2" w:rsidRPr="00580905" w:rsidRDefault="00B652F2" w:rsidP="0073140C">
            <w:pPr>
              <w:pStyle w:val="TableText"/>
              <w:spacing w:before="50" w:after="50"/>
            </w:pPr>
            <w:r w:rsidRPr="00580905">
              <w:t>Abatement notice</w:t>
            </w:r>
          </w:p>
        </w:tc>
        <w:tc>
          <w:tcPr>
            <w:tcW w:w="3550" w:type="dxa"/>
          </w:tcPr>
          <w:p w14:paraId="6375B12B" w14:textId="16C709E7" w:rsidR="00B652F2" w:rsidRPr="00580905" w:rsidRDefault="00B652F2" w:rsidP="0073140C">
            <w:pPr>
              <w:pStyle w:val="TableText"/>
              <w:spacing w:before="50" w:after="50"/>
            </w:pPr>
            <w:r w:rsidRPr="00580905">
              <w:t>An abatement notice is a formal written direction requiring certain actions to be taken or to cease within a specified time. Generally, abatement notices are used when non-compliance has been detected and the offender needs to ‘avoid, remedy or mitigate’ the damage to the environment.</w:t>
            </w:r>
            <w:r w:rsidRPr="00580905">
              <w:rPr>
                <w:rStyle w:val="FootnoteReference"/>
                <w:rFonts w:asciiTheme="minorHAnsi" w:hAnsiTheme="minorHAnsi"/>
                <w:sz w:val="18"/>
              </w:rPr>
              <w:footnoteReference w:id="17"/>
            </w:r>
          </w:p>
        </w:tc>
        <w:tc>
          <w:tcPr>
            <w:tcW w:w="2835" w:type="dxa"/>
          </w:tcPr>
          <w:p w14:paraId="351A9EC1" w14:textId="4840F3B0" w:rsidR="00B652F2" w:rsidRPr="00580905" w:rsidRDefault="00B652F2" w:rsidP="0073140C">
            <w:pPr>
              <w:pStyle w:val="TableText"/>
              <w:spacing w:before="50" w:after="50"/>
            </w:pPr>
            <w:r w:rsidRPr="00580905">
              <w:t>None</w:t>
            </w:r>
          </w:p>
        </w:tc>
      </w:tr>
      <w:tr w:rsidR="00B652F2" w:rsidRPr="00580905" w14:paraId="1E2210E0" w14:textId="77777777" w:rsidTr="00B652F2">
        <w:tc>
          <w:tcPr>
            <w:tcW w:w="1548" w:type="dxa"/>
          </w:tcPr>
          <w:p w14:paraId="57FE3D11" w14:textId="71C62FB2" w:rsidR="00B652F2" w:rsidRPr="00580905" w:rsidRDefault="00B652F2" w:rsidP="0073140C">
            <w:pPr>
              <w:pStyle w:val="TableText"/>
              <w:spacing w:before="50" w:after="50"/>
            </w:pPr>
            <w:r w:rsidRPr="00580905">
              <w:t>Enforcement order</w:t>
            </w:r>
          </w:p>
        </w:tc>
        <w:tc>
          <w:tcPr>
            <w:tcW w:w="3550" w:type="dxa"/>
          </w:tcPr>
          <w:p w14:paraId="4F79A485" w14:textId="69991AA2" w:rsidR="00B652F2" w:rsidRPr="00580905" w:rsidRDefault="00B652F2" w:rsidP="0073140C">
            <w:pPr>
              <w:pStyle w:val="TableText"/>
              <w:spacing w:before="50" w:after="50"/>
            </w:pPr>
            <w:r w:rsidRPr="00580905">
              <w:t xml:space="preserve">An enforcement order is an order made by the Environment Court, which requires certain actions to be taken or activities to cease within a specified time, where the Environment Court believes the activity breaches or is likely to breach the RMA. An application for an enforcement order can be made by any person to the Environment Court. </w:t>
            </w:r>
          </w:p>
        </w:tc>
        <w:tc>
          <w:tcPr>
            <w:tcW w:w="2835" w:type="dxa"/>
          </w:tcPr>
          <w:p w14:paraId="63C881A2" w14:textId="492AB1F5" w:rsidR="00B652F2" w:rsidRPr="00580905" w:rsidRDefault="00B652F2" w:rsidP="0073140C">
            <w:pPr>
              <w:pStyle w:val="TableText"/>
              <w:spacing w:before="50" w:after="50"/>
            </w:pPr>
            <w:r w:rsidRPr="00580905">
              <w:t>The Environment Court may direct the offender to pay costs to ‘avoid, remedy or mitigate’ the damage to the environment.</w:t>
            </w:r>
          </w:p>
        </w:tc>
      </w:tr>
      <w:tr w:rsidR="00B652F2" w:rsidRPr="00580905" w14:paraId="09B3BC84" w14:textId="77777777" w:rsidTr="00B652F2">
        <w:tc>
          <w:tcPr>
            <w:tcW w:w="1548" w:type="dxa"/>
          </w:tcPr>
          <w:p w14:paraId="50290647" w14:textId="08B5C2B9" w:rsidR="00B652F2" w:rsidRPr="00580905" w:rsidRDefault="00B652F2" w:rsidP="0073140C">
            <w:pPr>
              <w:pStyle w:val="TableText"/>
              <w:spacing w:before="50" w:after="50"/>
            </w:pPr>
            <w:r w:rsidRPr="00580905">
              <w:t>Interim enforcement order</w:t>
            </w:r>
          </w:p>
        </w:tc>
        <w:tc>
          <w:tcPr>
            <w:tcW w:w="3550" w:type="dxa"/>
          </w:tcPr>
          <w:p w14:paraId="50E2BFDD" w14:textId="400182C5" w:rsidR="00B652F2" w:rsidRPr="00580905" w:rsidRDefault="00B652F2" w:rsidP="0073140C">
            <w:pPr>
              <w:pStyle w:val="TableText"/>
              <w:spacing w:before="50" w:after="50"/>
            </w:pPr>
            <w:r w:rsidRPr="00580905">
              <w:t>An interim enforcement order is similar to an enforcement order and is used in circumstances where the need for the order is urgent.</w:t>
            </w:r>
          </w:p>
        </w:tc>
        <w:tc>
          <w:tcPr>
            <w:tcW w:w="2835" w:type="dxa"/>
          </w:tcPr>
          <w:p w14:paraId="36A5978D" w14:textId="3C581238" w:rsidR="00B652F2" w:rsidRPr="00580905" w:rsidRDefault="00B652F2" w:rsidP="0073140C">
            <w:pPr>
              <w:pStyle w:val="TableText"/>
              <w:spacing w:before="50" w:after="50"/>
            </w:pPr>
            <w:r w:rsidRPr="00580905">
              <w:t>The Environment Court may direct the offender to pay costs to ‘avoid, remedy or mitigate’ the damage to the environment.</w:t>
            </w:r>
          </w:p>
        </w:tc>
      </w:tr>
      <w:tr w:rsidR="00B652F2" w:rsidRPr="00580905" w14:paraId="3A47783B" w14:textId="77777777" w:rsidTr="00B652F2">
        <w:tc>
          <w:tcPr>
            <w:tcW w:w="1548" w:type="dxa"/>
          </w:tcPr>
          <w:p w14:paraId="499FFB52" w14:textId="3502B5FC" w:rsidR="00B652F2" w:rsidRPr="00580905" w:rsidRDefault="00B652F2" w:rsidP="0073140C">
            <w:pPr>
              <w:pStyle w:val="TableText"/>
              <w:spacing w:before="50" w:after="50"/>
            </w:pPr>
            <w:r w:rsidRPr="00580905">
              <w:t>Prosecution</w:t>
            </w:r>
          </w:p>
        </w:tc>
        <w:tc>
          <w:tcPr>
            <w:tcW w:w="3550" w:type="dxa"/>
          </w:tcPr>
          <w:p w14:paraId="59564609" w14:textId="7AE46F61" w:rsidR="00B652F2" w:rsidRPr="00580905" w:rsidRDefault="00B652F2" w:rsidP="003225B7">
            <w:pPr>
              <w:pStyle w:val="TableText"/>
            </w:pPr>
            <w:r w:rsidRPr="00580905">
              <w:t xml:space="preserve">A prosecution is an action by an enforcement agency to refer the offender to the criminal court. </w:t>
            </w:r>
            <w:r>
              <w:t>Councils must consider the public interest and the evidential sufficiency when considering whether to take a prosecution.</w:t>
            </w:r>
          </w:p>
          <w:p w14:paraId="5DC9B856" w14:textId="77777777" w:rsidR="00B652F2" w:rsidRDefault="00B652F2" w:rsidP="0073140C">
            <w:pPr>
              <w:pStyle w:val="TableText"/>
              <w:spacing w:before="50" w:after="50"/>
            </w:pPr>
            <w:r w:rsidRPr="00580905">
              <w:t>This process is administered within the criminal jurisdiction and offences carry criminal penalties. RMA prosecutions are considered in the District Court by District Court Judges who also hold office as an Environment Judge.</w:t>
            </w:r>
            <w:r w:rsidRPr="00580905">
              <w:rPr>
                <w:rStyle w:val="FootnoteReference"/>
                <w:sz w:val="18"/>
              </w:rPr>
              <w:footnoteReference w:id="18"/>
            </w:r>
            <w:r w:rsidRPr="00580905">
              <w:t xml:space="preserve"> </w:t>
            </w:r>
          </w:p>
          <w:p w14:paraId="2F1EA32C" w14:textId="77777777" w:rsidR="00B652F2" w:rsidRDefault="00B652F2" w:rsidP="0073140C">
            <w:pPr>
              <w:pStyle w:val="TableText"/>
              <w:spacing w:before="50" w:after="50"/>
            </w:pPr>
            <w:r w:rsidRPr="00580905">
              <w:t>Charges must be filed in the District Court within six months “after the time when the contravention giving rise to the document first becomes known, or should have become known.”</w:t>
            </w:r>
            <w:r w:rsidRPr="00580905">
              <w:rPr>
                <w:rStyle w:val="FootnoteReference"/>
                <w:rFonts w:asciiTheme="minorHAnsi" w:hAnsiTheme="minorHAnsi"/>
                <w:sz w:val="18"/>
              </w:rPr>
              <w:footnoteReference w:id="19"/>
            </w:r>
          </w:p>
          <w:p w14:paraId="5CF0D36E" w14:textId="45669B7C" w:rsidR="00B652F2" w:rsidRPr="00580905" w:rsidRDefault="00B652F2" w:rsidP="0073140C">
            <w:pPr>
              <w:pStyle w:val="TableText"/>
              <w:spacing w:before="50" w:after="50"/>
            </w:pPr>
            <w:r>
              <w:t>RMA offences are strict liability offences. This means that it is not necessary for the prosecutor to prove that the defendant intended to commit the offence.</w:t>
            </w:r>
          </w:p>
          <w:p w14:paraId="19794F7C" w14:textId="123DD093" w:rsidR="00B652F2" w:rsidRPr="00580905" w:rsidRDefault="00B652F2" w:rsidP="0073140C">
            <w:pPr>
              <w:pStyle w:val="TableText"/>
              <w:spacing w:before="50" w:after="50"/>
            </w:pPr>
          </w:p>
        </w:tc>
        <w:tc>
          <w:tcPr>
            <w:tcW w:w="2835" w:type="dxa"/>
          </w:tcPr>
          <w:p w14:paraId="5EEC7C57" w14:textId="2E2CFEC9" w:rsidR="00B652F2" w:rsidRPr="00580905" w:rsidRDefault="00B652F2" w:rsidP="0073140C">
            <w:pPr>
              <w:pStyle w:val="TableText"/>
              <w:spacing w:before="50" w:after="50"/>
            </w:pPr>
            <w:r w:rsidRPr="00580905">
              <w:t>Depending on which section of the RMA is breached there are varying levels of maximum fine available to be imposed by the District Court upon conviction:</w:t>
            </w:r>
          </w:p>
          <w:p w14:paraId="316B0D91" w14:textId="77777777" w:rsidR="00B652F2" w:rsidRPr="00580905" w:rsidRDefault="00B652F2" w:rsidP="003225B7">
            <w:pPr>
              <w:pStyle w:val="TableBullet"/>
            </w:pPr>
            <w:r w:rsidRPr="00580905">
              <w:t>The maximum penalty available for RMA offences</w:t>
            </w:r>
            <w:r w:rsidRPr="00580905">
              <w:rPr>
                <w:rStyle w:val="FootnoteReference"/>
                <w:rFonts w:asciiTheme="minorHAnsi" w:hAnsiTheme="minorHAnsi"/>
                <w:sz w:val="18"/>
                <w:szCs w:val="18"/>
              </w:rPr>
              <w:footnoteReference w:id="20"/>
            </w:r>
            <w:r w:rsidRPr="00580905">
              <w:t xml:space="preserve"> is a $300,000 fine for individuals or two years’ imprisonment, and $600,000 for organisations.</w:t>
            </w:r>
            <w:r w:rsidRPr="00580905">
              <w:rPr>
                <w:rStyle w:val="FootnoteReference"/>
                <w:rFonts w:asciiTheme="minorHAnsi" w:hAnsiTheme="minorHAnsi"/>
                <w:sz w:val="18"/>
                <w:szCs w:val="18"/>
              </w:rPr>
              <w:footnoteReference w:id="21"/>
            </w:r>
            <w:r w:rsidRPr="00580905">
              <w:t xml:space="preserve"> </w:t>
            </w:r>
          </w:p>
          <w:p w14:paraId="72F44618" w14:textId="77777777" w:rsidR="00B652F2" w:rsidRPr="00580905" w:rsidRDefault="00B652F2" w:rsidP="003225B7">
            <w:pPr>
              <w:pStyle w:val="TableBullet"/>
            </w:pPr>
            <w:r w:rsidRPr="00580905">
              <w:t xml:space="preserve">A maximum fine of $10,000, and a further fine of $1000 for every day during which the offence continues is available for contravention of section 338(2) of the RMA (including contravention of an abatement notice or excessive noise direction). </w:t>
            </w:r>
          </w:p>
          <w:p w14:paraId="1BA8EAE1" w14:textId="2031FF6E" w:rsidR="00B652F2" w:rsidRPr="00580905" w:rsidRDefault="00B652F2" w:rsidP="003225B7">
            <w:pPr>
              <w:pStyle w:val="TableBullet"/>
            </w:pPr>
            <w:r w:rsidRPr="00580905">
              <w:t>A maximum fine of $1,500 for breaches of section 338(3) of the RMA (including wilful obstruction of an enforcement officer from carrying out his/her duties).</w:t>
            </w:r>
          </w:p>
        </w:tc>
      </w:tr>
    </w:tbl>
    <w:p w14:paraId="7386C94D" w14:textId="6F193339" w:rsidR="008E6CEA" w:rsidRPr="00AF74F8" w:rsidRDefault="000F1CBA" w:rsidP="00342376">
      <w:pPr>
        <w:pStyle w:val="Heading4"/>
        <w:rPr>
          <w:i/>
        </w:rPr>
      </w:pPr>
      <w:bookmarkStart w:id="20" w:name="_Toc456343384"/>
      <w:r w:rsidRPr="00AF74F8">
        <w:rPr>
          <w:i/>
        </w:rPr>
        <w:t>C</w:t>
      </w:r>
      <w:r w:rsidR="00AB7167" w:rsidRPr="00AF74F8">
        <w:rPr>
          <w:i/>
        </w:rPr>
        <w:t>ompliance, monitoring and enforcement responsibilities</w:t>
      </w:r>
      <w:r w:rsidR="00446CEE" w:rsidRPr="00AF74F8">
        <w:rPr>
          <w:i/>
        </w:rPr>
        <w:t xml:space="preserve"> </w:t>
      </w:r>
      <w:r w:rsidR="00AB7167" w:rsidRPr="00AF74F8">
        <w:rPr>
          <w:i/>
        </w:rPr>
        <w:t>of councils differ</w:t>
      </w:r>
      <w:bookmarkEnd w:id="20"/>
    </w:p>
    <w:p w14:paraId="3C4D03A6" w14:textId="4E6EC407" w:rsidR="00F32161" w:rsidRDefault="001B4207" w:rsidP="00342376">
      <w:pPr>
        <w:spacing w:before="100" w:beforeAutospacing="1" w:after="100" w:afterAutospacing="1"/>
      </w:pPr>
      <w:r w:rsidRPr="00580905">
        <w:t>T</w:t>
      </w:r>
      <w:r w:rsidR="0036532D" w:rsidRPr="00580905">
        <w:t xml:space="preserve">erritorial </w:t>
      </w:r>
      <w:r w:rsidR="00331CAF" w:rsidRPr="00580905">
        <w:t xml:space="preserve">authorities (district and city councils) </w:t>
      </w:r>
      <w:r w:rsidR="00A44FDB" w:rsidRPr="00580905">
        <w:t>are r</w:t>
      </w:r>
      <w:r w:rsidR="00112D1F" w:rsidRPr="00580905">
        <w:t>esponsible for</w:t>
      </w:r>
      <w:r w:rsidR="004363F3">
        <w:t xml:space="preserve"> managing</w:t>
      </w:r>
      <w:r w:rsidR="00F32161">
        <w:t>:</w:t>
      </w:r>
    </w:p>
    <w:p w14:paraId="60FABF35" w14:textId="6BD60230" w:rsidR="004363F3" w:rsidRDefault="004363F3" w:rsidP="00FB32C5">
      <w:pPr>
        <w:pStyle w:val="Bullet"/>
        <w:numPr>
          <w:ilvl w:val="0"/>
          <w:numId w:val="15"/>
        </w:numPr>
        <w:spacing w:after="100"/>
        <w:ind w:left="357" w:hanging="357"/>
      </w:pPr>
      <w:r>
        <w:t xml:space="preserve">the </w:t>
      </w:r>
      <w:r w:rsidR="0036532D" w:rsidRPr="00580905">
        <w:t>effects of</w:t>
      </w:r>
      <w:r w:rsidR="00B7517C" w:rsidRPr="00580905">
        <w:t xml:space="preserve"> use, </w:t>
      </w:r>
      <w:r w:rsidR="00A44FDB" w:rsidRPr="00580905">
        <w:t xml:space="preserve">development or </w:t>
      </w:r>
      <w:r w:rsidR="00331CAF" w:rsidRPr="00580905">
        <w:t>protection</w:t>
      </w:r>
      <w:r w:rsidR="00A44FDB" w:rsidRPr="00580905">
        <w:t xml:space="preserve"> of</w:t>
      </w:r>
      <w:r w:rsidR="00B7517C" w:rsidRPr="00580905">
        <w:t xml:space="preserve"> land</w:t>
      </w:r>
    </w:p>
    <w:p w14:paraId="0DDC54A4" w14:textId="77777777" w:rsidR="004363F3" w:rsidRDefault="00112D1F" w:rsidP="00FB32C5">
      <w:pPr>
        <w:pStyle w:val="Bullet"/>
        <w:numPr>
          <w:ilvl w:val="0"/>
          <w:numId w:val="15"/>
        </w:numPr>
        <w:spacing w:after="100"/>
        <w:ind w:left="357" w:hanging="357"/>
      </w:pPr>
      <w:r w:rsidRPr="00580905">
        <w:t xml:space="preserve">the </w:t>
      </w:r>
      <w:r w:rsidR="004363F3">
        <w:t>emission of noise</w:t>
      </w:r>
    </w:p>
    <w:p w14:paraId="3B02A8C8" w14:textId="29CD586F" w:rsidR="004363F3" w:rsidRDefault="004363F3" w:rsidP="00FB32C5">
      <w:pPr>
        <w:pStyle w:val="Bullet"/>
        <w:numPr>
          <w:ilvl w:val="0"/>
          <w:numId w:val="15"/>
        </w:numPr>
        <w:spacing w:after="100"/>
        <w:ind w:left="357" w:hanging="357"/>
      </w:pPr>
      <w:proofErr w:type="gramStart"/>
      <w:r>
        <w:t>the</w:t>
      </w:r>
      <w:proofErr w:type="gramEnd"/>
      <w:r>
        <w:t xml:space="preserve"> </w:t>
      </w:r>
      <w:r w:rsidR="00326DF9" w:rsidRPr="00580905">
        <w:t>effects of activities in relation to the surfa</w:t>
      </w:r>
      <w:r w:rsidR="00112D1F" w:rsidRPr="00580905">
        <w:t>ce of water in rivers and lakes</w:t>
      </w:r>
      <w:r w:rsidR="00326DF9" w:rsidRPr="00580905">
        <w:t>.</w:t>
      </w:r>
      <w:r w:rsidR="00326DF9" w:rsidRPr="00580905">
        <w:rPr>
          <w:rStyle w:val="FootnoteReference"/>
          <w:color w:val="000000"/>
        </w:rPr>
        <w:footnoteReference w:id="22"/>
      </w:r>
      <w:r w:rsidR="003165E4" w:rsidRPr="00580905">
        <w:t xml:space="preserve"> </w:t>
      </w:r>
    </w:p>
    <w:p w14:paraId="6BB6828A" w14:textId="77777777" w:rsidR="00AF74F8" w:rsidRDefault="00AF74F8">
      <w:r>
        <w:br w:type="page"/>
      </w:r>
    </w:p>
    <w:p w14:paraId="46A1186F" w14:textId="3073F624" w:rsidR="008E6CEA" w:rsidRPr="00580905" w:rsidRDefault="003165E4" w:rsidP="004363F3">
      <w:pPr>
        <w:pStyle w:val="BodyText"/>
      </w:pPr>
      <w:r w:rsidRPr="00580905">
        <w:t xml:space="preserve">This </w:t>
      </w:r>
      <w:r w:rsidR="009330F5" w:rsidRPr="00580905">
        <w:t xml:space="preserve">includes natural hazard management, </w:t>
      </w:r>
      <w:r w:rsidRPr="00580905">
        <w:t>protection of i</w:t>
      </w:r>
      <w:r w:rsidR="009330F5" w:rsidRPr="00580905">
        <w:t xml:space="preserve">ndigenous biodiversity, </w:t>
      </w:r>
      <w:r w:rsidRPr="00580905">
        <w:t xml:space="preserve">prevention </w:t>
      </w:r>
      <w:proofErr w:type="gramStart"/>
      <w:r w:rsidRPr="00580905">
        <w:t>and</w:t>
      </w:r>
      <w:proofErr w:type="gramEnd"/>
      <w:r w:rsidRPr="00580905">
        <w:t xml:space="preserve"> mitigation of the </w:t>
      </w:r>
      <w:r w:rsidR="009330F5" w:rsidRPr="00580905">
        <w:t xml:space="preserve">adverse effects of development and </w:t>
      </w:r>
      <w:r w:rsidRPr="00580905">
        <w:t>subdivision</w:t>
      </w:r>
      <w:r w:rsidR="009330F5" w:rsidRPr="00580905">
        <w:t>,</w:t>
      </w:r>
      <w:r w:rsidRPr="00580905">
        <w:t xml:space="preserve"> and the use of contaminated land.</w:t>
      </w:r>
      <w:r w:rsidR="006D7CB4" w:rsidRPr="00580905">
        <w:t xml:space="preserve"> </w:t>
      </w:r>
    </w:p>
    <w:p w14:paraId="7402B0DB" w14:textId="77777777" w:rsidR="003C47B5" w:rsidRPr="00580905" w:rsidRDefault="00AB06F7" w:rsidP="003225B7">
      <w:pPr>
        <w:pStyle w:val="BodyText"/>
        <w:keepNext/>
      </w:pPr>
      <w:r w:rsidRPr="00580905">
        <w:t xml:space="preserve">Regional councils </w:t>
      </w:r>
      <w:r w:rsidR="009330F5" w:rsidRPr="00580905">
        <w:t>control the</w:t>
      </w:r>
      <w:r w:rsidR="003C47B5" w:rsidRPr="00580905">
        <w:t>:</w:t>
      </w:r>
      <w:r w:rsidR="009330F5" w:rsidRPr="00580905">
        <w:t xml:space="preserve"> </w:t>
      </w:r>
    </w:p>
    <w:p w14:paraId="335C9B1C" w14:textId="1FA762E1" w:rsidR="003C47B5" w:rsidRPr="00580905" w:rsidRDefault="009330F5" w:rsidP="00FB32C5">
      <w:pPr>
        <w:pStyle w:val="Bullet"/>
        <w:numPr>
          <w:ilvl w:val="0"/>
          <w:numId w:val="15"/>
        </w:numPr>
        <w:spacing w:after="100"/>
        <w:ind w:left="357" w:hanging="357"/>
        <w:rPr>
          <w:rFonts w:cs="Arial"/>
        </w:rPr>
      </w:pPr>
      <w:r w:rsidRPr="00580905">
        <w:t>use of land for the purpose of water quality and quantity management</w:t>
      </w:r>
    </w:p>
    <w:p w14:paraId="07C0CD6F" w14:textId="7389025D" w:rsidR="003C47B5" w:rsidRPr="00580905" w:rsidRDefault="009330F5" w:rsidP="00FB32C5">
      <w:pPr>
        <w:pStyle w:val="Bullet"/>
        <w:numPr>
          <w:ilvl w:val="0"/>
          <w:numId w:val="15"/>
        </w:numPr>
        <w:spacing w:after="100"/>
        <w:ind w:left="357" w:hanging="357"/>
        <w:rPr>
          <w:rFonts w:cs="Arial"/>
        </w:rPr>
      </w:pPr>
      <w:r w:rsidRPr="00580905">
        <w:t>avoidance of natural hazards</w:t>
      </w:r>
    </w:p>
    <w:p w14:paraId="227AAD17" w14:textId="6A2CA590" w:rsidR="003C47B5" w:rsidRPr="00580905" w:rsidRDefault="009330F5" w:rsidP="00FB32C5">
      <w:pPr>
        <w:pStyle w:val="Bullet"/>
        <w:numPr>
          <w:ilvl w:val="0"/>
          <w:numId w:val="15"/>
        </w:numPr>
        <w:spacing w:after="100"/>
        <w:ind w:left="357" w:hanging="357"/>
        <w:rPr>
          <w:rFonts w:cs="Arial"/>
        </w:rPr>
      </w:pPr>
      <w:r w:rsidRPr="00580905">
        <w:t>soil conservation and storage</w:t>
      </w:r>
    </w:p>
    <w:p w14:paraId="74249548" w14:textId="4DD88836" w:rsidR="003C47B5" w:rsidRPr="00580905" w:rsidRDefault="009330F5" w:rsidP="00FB32C5">
      <w:pPr>
        <w:pStyle w:val="Bullet"/>
        <w:numPr>
          <w:ilvl w:val="0"/>
          <w:numId w:val="15"/>
        </w:numPr>
        <w:spacing w:after="100"/>
        <w:ind w:left="357" w:hanging="357"/>
        <w:rPr>
          <w:rFonts w:cs="Arial"/>
        </w:rPr>
      </w:pPr>
      <w:r w:rsidRPr="00580905">
        <w:t>use, disposal and transportation of hazardous substances</w:t>
      </w:r>
    </w:p>
    <w:p w14:paraId="40E0C93B" w14:textId="0892CD88" w:rsidR="003C47B5" w:rsidRPr="00580905" w:rsidRDefault="00FC428D" w:rsidP="00FB32C5">
      <w:pPr>
        <w:pStyle w:val="Bullet"/>
        <w:numPr>
          <w:ilvl w:val="0"/>
          <w:numId w:val="15"/>
        </w:numPr>
        <w:spacing w:after="100"/>
        <w:ind w:left="357" w:hanging="357"/>
        <w:rPr>
          <w:rFonts w:cs="Arial"/>
        </w:rPr>
      </w:pPr>
      <w:proofErr w:type="gramStart"/>
      <w:r w:rsidRPr="00580905">
        <w:t>activities</w:t>
      </w:r>
      <w:proofErr w:type="gramEnd"/>
      <w:r w:rsidRPr="00580905">
        <w:t xml:space="preserve"> </w:t>
      </w:r>
      <w:r w:rsidR="00A14726" w:rsidRPr="00580905">
        <w:t>in the coastal marine area.</w:t>
      </w:r>
      <w:r w:rsidR="0014233A" w:rsidRPr="00580905">
        <w:rPr>
          <w:rStyle w:val="FootnoteReference"/>
          <w:rFonts w:asciiTheme="minorHAnsi" w:hAnsiTheme="minorHAnsi"/>
          <w:color w:val="000000"/>
        </w:rPr>
        <w:footnoteReference w:id="23"/>
      </w:r>
      <w:r w:rsidR="00580905">
        <w:t xml:space="preserve"> </w:t>
      </w:r>
    </w:p>
    <w:p w14:paraId="22E60418" w14:textId="0B4B0F3B" w:rsidR="00976458" w:rsidRPr="00580905" w:rsidRDefault="00FA6176" w:rsidP="003225B7">
      <w:pPr>
        <w:pStyle w:val="BodyText"/>
      </w:pPr>
      <w:r w:rsidRPr="00580905">
        <w:t xml:space="preserve">Regional </w:t>
      </w:r>
      <w:r w:rsidR="00DB31EF" w:rsidRPr="00580905">
        <w:t>council</w:t>
      </w:r>
      <w:r w:rsidR="00F41C24" w:rsidRPr="00580905">
        <w:t>s’</w:t>
      </w:r>
      <w:r w:rsidR="00DB31EF" w:rsidRPr="00580905">
        <w:t xml:space="preserve"> </w:t>
      </w:r>
      <w:r w:rsidR="00AB76D5" w:rsidRPr="00580905">
        <w:t xml:space="preserve">CME </w:t>
      </w:r>
      <w:r w:rsidRPr="00580905">
        <w:t>activities</w:t>
      </w:r>
      <w:r w:rsidR="00B57E10" w:rsidRPr="00580905">
        <w:t xml:space="preserve"> concentrate on </w:t>
      </w:r>
      <w:r w:rsidR="00BE593C">
        <w:t xml:space="preserve">activities which have or are likely to have significant environment impacts, </w:t>
      </w:r>
      <w:r w:rsidR="00B57E10" w:rsidRPr="00580905">
        <w:t>such as</w:t>
      </w:r>
      <w:r w:rsidR="00276A19" w:rsidRPr="00580905">
        <w:t xml:space="preserve"> d</w:t>
      </w:r>
      <w:r w:rsidR="00D05901" w:rsidRPr="00580905">
        <w:t>ischarges to fresh</w:t>
      </w:r>
      <w:r w:rsidR="0048535A" w:rsidRPr="00580905">
        <w:t xml:space="preserve"> </w:t>
      </w:r>
      <w:r w:rsidR="00D05901" w:rsidRPr="00580905">
        <w:t>water and the marine environment</w:t>
      </w:r>
      <w:r w:rsidR="00453418" w:rsidRPr="00580905">
        <w:t>,</w:t>
      </w:r>
      <w:r w:rsidR="00BE593C">
        <w:t xml:space="preserve"> protection of</w:t>
      </w:r>
      <w:r w:rsidR="00453418" w:rsidRPr="00580905">
        <w:t xml:space="preserve"> </w:t>
      </w:r>
      <w:r w:rsidR="005E6CBE" w:rsidRPr="00580905">
        <w:t>biodiversity</w:t>
      </w:r>
      <w:r w:rsidR="006D7CB4" w:rsidRPr="00580905">
        <w:t>,</w:t>
      </w:r>
      <w:r w:rsidR="00276A19" w:rsidRPr="00580905">
        <w:t xml:space="preserve"> e</w:t>
      </w:r>
      <w:r w:rsidRPr="00580905">
        <w:t>arthworks</w:t>
      </w:r>
      <w:r w:rsidR="00BE593C">
        <w:t xml:space="preserve"> and discharges into air.</w:t>
      </w:r>
    </w:p>
    <w:p w14:paraId="0ADF784A" w14:textId="0B9688FC" w:rsidR="00976458" w:rsidRPr="00FB32C5" w:rsidRDefault="00976458" w:rsidP="00FB32C5">
      <w:pPr>
        <w:pStyle w:val="Heading4"/>
        <w:rPr>
          <w:i/>
        </w:rPr>
      </w:pPr>
      <w:r w:rsidRPr="00FB32C5">
        <w:rPr>
          <w:i/>
        </w:rPr>
        <w:t xml:space="preserve">Unitary authorities carry out the functions of both regional councils and territorial authorities. </w:t>
      </w:r>
    </w:p>
    <w:p w14:paraId="7868E793" w14:textId="3BFC1551" w:rsidR="00976458" w:rsidRPr="00580905" w:rsidRDefault="00EF5ED5" w:rsidP="003225B7">
      <w:pPr>
        <w:pStyle w:val="BodyText"/>
      </w:pPr>
      <w:r>
        <w:t xml:space="preserve">All councils are responsible for </w:t>
      </w:r>
      <w:r w:rsidR="002133BF">
        <w:t>plan-</w:t>
      </w:r>
      <w:r w:rsidR="00E74B5B">
        <w:t xml:space="preserve">making, which involves </w:t>
      </w:r>
      <w:r w:rsidR="002133BF">
        <w:t>setting rules</w:t>
      </w:r>
      <w:r w:rsidR="00E74B5B">
        <w:t xml:space="preserve"> to determine the status of certain activities and whether resource consent is needed</w:t>
      </w:r>
      <w:r>
        <w:t>.</w:t>
      </w:r>
      <w:r w:rsidR="00314415">
        <w:t xml:space="preserve"> </w:t>
      </w:r>
      <w:r w:rsidR="00000730">
        <w:t xml:space="preserve">Where a council has </w:t>
      </w:r>
      <w:r w:rsidR="0045279D" w:rsidRPr="00580905">
        <w:t xml:space="preserve">granted a resource consent that is subject to conditions, then the local authority </w:t>
      </w:r>
      <w:r w:rsidR="00D40B55" w:rsidRPr="00580905">
        <w:t xml:space="preserve">should monitor </w:t>
      </w:r>
      <w:r w:rsidR="0045279D" w:rsidRPr="00580905">
        <w:t>the activity to ensure that it complies with the relevant conditions</w:t>
      </w:r>
      <w:r w:rsidR="00314415">
        <w:t xml:space="preserve"> (resource consent monitoring)</w:t>
      </w:r>
      <w:r w:rsidR="0045279D" w:rsidRPr="00580905">
        <w:t>.</w:t>
      </w:r>
      <w:r w:rsidR="00191CAA">
        <w:t xml:space="preserve"> </w:t>
      </w:r>
      <w:r w:rsidR="002F6248">
        <w:t xml:space="preserve">Although not specifically required by the Act, it is good practice for councils </w:t>
      </w:r>
      <w:r w:rsidR="00000730">
        <w:t>to monitor for compliance with plan rules to check the rules are being complied with, and ensure that activities requiring resource consent are consented.</w:t>
      </w:r>
      <w:r w:rsidR="002F6248">
        <w:t xml:space="preserve"> </w:t>
      </w:r>
    </w:p>
    <w:p w14:paraId="1FAD6905" w14:textId="2C473621" w:rsidR="008E6CEA" w:rsidRPr="00580905" w:rsidRDefault="00814CB9" w:rsidP="003225B7">
      <w:pPr>
        <w:pStyle w:val="BodyText"/>
      </w:pPr>
      <w:r>
        <w:t xml:space="preserve">Regional councils and unitary authorities have more significant monitoring obligations than territorial authorities. </w:t>
      </w:r>
      <w:r w:rsidR="00976458" w:rsidRPr="00580905">
        <w:t xml:space="preserve">The nature of </w:t>
      </w:r>
      <w:r w:rsidR="00073B46">
        <w:t xml:space="preserve">these councils’ </w:t>
      </w:r>
      <w:r w:rsidR="00976458" w:rsidRPr="00580905">
        <w:t>activities mean</w:t>
      </w:r>
      <w:r w:rsidR="00591ABC" w:rsidRPr="00580905">
        <w:t>s</w:t>
      </w:r>
      <w:r w:rsidR="00976458" w:rsidRPr="00580905">
        <w:t xml:space="preserve"> that the majority of resource consents require ongoing monitoring to check compliance</w:t>
      </w:r>
      <w:r w:rsidR="00EF0C2D" w:rsidRPr="00580905">
        <w:t xml:space="preserve"> (for example, to check compliance with </w:t>
      </w:r>
      <w:proofErr w:type="gramStart"/>
      <w:r w:rsidR="00EF0C2D" w:rsidRPr="00580905">
        <w:t>a water</w:t>
      </w:r>
      <w:proofErr w:type="gramEnd"/>
      <w:r w:rsidR="00EF0C2D" w:rsidRPr="00580905">
        <w:t xml:space="preserve"> take consent)</w:t>
      </w:r>
      <w:r w:rsidR="00976458" w:rsidRPr="00580905">
        <w:t xml:space="preserve">. In contrast, the majority of resource consents issued by territorial authorities </w:t>
      </w:r>
      <w:r w:rsidR="00E54ED0">
        <w:t xml:space="preserve">are only </w:t>
      </w:r>
      <w:r w:rsidR="00976458" w:rsidRPr="00580905">
        <w:t xml:space="preserve">checked once to </w:t>
      </w:r>
      <w:r w:rsidR="00EF0C2D" w:rsidRPr="00580905">
        <w:t xml:space="preserve">ensure ongoing compliance (for example, to check compliance with </w:t>
      </w:r>
      <w:proofErr w:type="gramStart"/>
      <w:r w:rsidR="00EF0C2D" w:rsidRPr="00580905">
        <w:t>a subdivision</w:t>
      </w:r>
      <w:proofErr w:type="gramEnd"/>
      <w:r w:rsidR="00EF0C2D" w:rsidRPr="00580905">
        <w:t xml:space="preserve"> consent).</w:t>
      </w:r>
      <w:r>
        <w:t xml:space="preserve"> </w:t>
      </w:r>
    </w:p>
    <w:p w14:paraId="60F62776" w14:textId="77777777" w:rsidR="003F06D8" w:rsidRPr="00AF74F8" w:rsidRDefault="003F06D8" w:rsidP="00AF74F8">
      <w:pPr>
        <w:pStyle w:val="Heading4"/>
        <w:rPr>
          <w:i/>
        </w:rPr>
      </w:pPr>
      <w:bookmarkStart w:id="21" w:name="_Toc456343386"/>
      <w:r w:rsidRPr="00AF74F8">
        <w:rPr>
          <w:i/>
        </w:rPr>
        <w:t>In certain circumstances councils must regulate their own RMA activities</w:t>
      </w:r>
      <w:bookmarkEnd w:id="21"/>
      <w:r w:rsidRPr="00AF74F8">
        <w:rPr>
          <w:i/>
        </w:rPr>
        <w:t xml:space="preserve"> </w:t>
      </w:r>
    </w:p>
    <w:p w14:paraId="77EA2083" w14:textId="3A5BAD34" w:rsidR="002529F1" w:rsidRPr="000969E9" w:rsidRDefault="003F06D8" w:rsidP="000969E9">
      <w:pPr>
        <w:pStyle w:val="BodyText"/>
      </w:pPr>
      <w:r w:rsidRPr="00580905">
        <w:t xml:space="preserve">Councils must regulate their own </w:t>
      </w:r>
      <w:r w:rsidR="00E34EEF" w:rsidRPr="00580905">
        <w:t xml:space="preserve">and other councils’ </w:t>
      </w:r>
      <w:r w:rsidRPr="00580905">
        <w:t xml:space="preserve">activities under the RMA, </w:t>
      </w:r>
      <w:r w:rsidR="001F18F2" w:rsidRPr="00580905">
        <w:t xml:space="preserve">as councils are land </w:t>
      </w:r>
      <w:r w:rsidRPr="00580905">
        <w:t>owners and resource users in their own right.</w:t>
      </w:r>
      <w:r w:rsidR="00C95C30" w:rsidRPr="00580905">
        <w:t xml:space="preserve"> </w:t>
      </w:r>
      <w:r w:rsidR="000A0E3D" w:rsidRPr="00580905">
        <w:t>Internal compliance by councils is important because of the scale and potential effects of their</w:t>
      </w:r>
      <w:r w:rsidR="00073B46">
        <w:t xml:space="preserve"> activities on the environment. C</w:t>
      </w:r>
      <w:r w:rsidR="000A0E3D" w:rsidRPr="00580905">
        <w:t xml:space="preserve">ouncils </w:t>
      </w:r>
      <w:r w:rsidR="00073B46">
        <w:t xml:space="preserve">should also </w:t>
      </w:r>
      <w:r w:rsidR="000A0E3D" w:rsidRPr="00580905">
        <w:t>lead by example</w:t>
      </w:r>
      <w:r w:rsidR="00C95C30" w:rsidRPr="00580905">
        <w:t xml:space="preserve"> and hold themselves to the same (or higher) standard than the public</w:t>
      </w:r>
      <w:r w:rsidR="000A0E3D" w:rsidRPr="00580905">
        <w:t xml:space="preserve"> in order to be credible as regulators.</w:t>
      </w:r>
      <w:r w:rsidRPr="00580905">
        <w:t xml:space="preserve"> </w:t>
      </w:r>
      <w:r w:rsidR="000A0E3D" w:rsidRPr="00580905">
        <w:t xml:space="preserve">Internal compliance </w:t>
      </w:r>
      <w:r w:rsidR="00E34EEF" w:rsidRPr="00580905">
        <w:t xml:space="preserve">is </w:t>
      </w:r>
      <w:r w:rsidRPr="00580905">
        <w:t>particularl</w:t>
      </w:r>
      <w:r w:rsidR="001F18F2" w:rsidRPr="00580905">
        <w:t xml:space="preserve">y </w:t>
      </w:r>
      <w:r w:rsidR="00E34EEF" w:rsidRPr="00580905">
        <w:t xml:space="preserve">important for </w:t>
      </w:r>
      <w:r w:rsidR="001F18F2" w:rsidRPr="00580905">
        <w:t>unitary councils</w:t>
      </w:r>
      <w:r w:rsidR="00E34EEF" w:rsidRPr="00580905">
        <w:t>, as there is no other council in their area to monitor compliance</w:t>
      </w:r>
      <w:r w:rsidR="000A0E3D" w:rsidRPr="00580905">
        <w:t xml:space="preserve"> and hold them accountable for their decisions</w:t>
      </w:r>
      <w:r w:rsidR="001F18F2" w:rsidRPr="00580905">
        <w:t xml:space="preserve">. </w:t>
      </w:r>
      <w:bookmarkStart w:id="22" w:name="_Toc456343387"/>
      <w:r w:rsidR="002529F1">
        <w:br w:type="page"/>
      </w:r>
    </w:p>
    <w:p w14:paraId="47F5950A" w14:textId="4BD2FABE" w:rsidR="00101E16" w:rsidRPr="00580905" w:rsidRDefault="009D5A2F" w:rsidP="00EC08C1">
      <w:pPr>
        <w:pStyle w:val="Heading1"/>
      </w:pPr>
      <w:bookmarkStart w:id="23" w:name="_Toc458001909"/>
      <w:r w:rsidRPr="00580905">
        <w:t xml:space="preserve">Part 3: </w:t>
      </w:r>
      <w:r w:rsidR="00A54BC4" w:rsidRPr="00580905">
        <w:t xml:space="preserve">Compliance and enforcement </w:t>
      </w:r>
      <w:r w:rsidR="007B739E" w:rsidRPr="00580905">
        <w:t>trends and issues</w:t>
      </w:r>
      <w:bookmarkEnd w:id="22"/>
      <w:bookmarkEnd w:id="23"/>
    </w:p>
    <w:p w14:paraId="29265305" w14:textId="3CE0550A" w:rsidR="00F14B5B" w:rsidRDefault="00D32F47" w:rsidP="00EC08C1">
      <w:pPr>
        <w:pStyle w:val="BodyText"/>
      </w:pPr>
      <w:r w:rsidRPr="00580905">
        <w:t xml:space="preserve">This section </w:t>
      </w:r>
      <w:r w:rsidR="00D40B55" w:rsidRPr="00580905">
        <w:t xml:space="preserve">discusses </w:t>
      </w:r>
      <w:r w:rsidRPr="00580905">
        <w:t xml:space="preserve">key </w:t>
      </w:r>
      <w:r w:rsidR="00417175" w:rsidRPr="00580905">
        <w:t>compliance, monitoring and enforcement (</w:t>
      </w:r>
      <w:r w:rsidR="00C947E9" w:rsidRPr="0032273F">
        <w:rPr>
          <w:b/>
        </w:rPr>
        <w:t>CME</w:t>
      </w:r>
      <w:r w:rsidR="00417175" w:rsidRPr="00580905">
        <w:t>)</w:t>
      </w:r>
      <w:r w:rsidR="00C947E9" w:rsidRPr="00580905">
        <w:t xml:space="preserve"> </w:t>
      </w:r>
      <w:r w:rsidR="00AB4849">
        <w:t xml:space="preserve">trends and </w:t>
      </w:r>
      <w:r w:rsidR="00F14B5B" w:rsidRPr="00580905">
        <w:t xml:space="preserve">issues, drawing on conversations with councils and stakeholders as well as data from the </w:t>
      </w:r>
      <w:r w:rsidR="00417175" w:rsidRPr="00580905">
        <w:t>National Monitoring System (</w:t>
      </w:r>
      <w:r w:rsidR="00F14B5B" w:rsidRPr="00580905">
        <w:t>NMS</w:t>
      </w:r>
      <w:r w:rsidR="00417175" w:rsidRPr="00580905">
        <w:t>)</w:t>
      </w:r>
      <w:r w:rsidR="00F14B5B" w:rsidRPr="00580905">
        <w:t xml:space="preserve"> for the 2014/15 financial year. A full set of this data can be viewed on the Ministry for the Environment website</w:t>
      </w:r>
      <w:r w:rsidR="00584961" w:rsidRPr="00580905">
        <w:t xml:space="preserve"> (Ministry for the Environment, 2016)</w:t>
      </w:r>
      <w:r w:rsidR="00F14B5B" w:rsidRPr="00580905">
        <w:t>.</w:t>
      </w:r>
    </w:p>
    <w:p w14:paraId="3078A796" w14:textId="4215F3F6" w:rsidR="00AB4849" w:rsidRDefault="00AB4849" w:rsidP="00EC08C1">
      <w:pPr>
        <w:pStyle w:val="BodyText"/>
      </w:pPr>
      <w:r>
        <w:t>These trends and issues are grouped into two</w:t>
      </w:r>
      <w:r w:rsidR="00B87B47">
        <w:t xml:space="preserve"> main</w:t>
      </w:r>
      <w:r>
        <w:t xml:space="preserve"> themes:</w:t>
      </w:r>
    </w:p>
    <w:p w14:paraId="4603D9BA" w14:textId="0555DBE1" w:rsidR="00AB4849" w:rsidRDefault="00B87B47" w:rsidP="00FB32C5">
      <w:pPr>
        <w:pStyle w:val="Bullet"/>
        <w:numPr>
          <w:ilvl w:val="0"/>
          <w:numId w:val="15"/>
        </w:numPr>
        <w:spacing w:after="100"/>
      </w:pPr>
      <w:r>
        <w:t>The v</w:t>
      </w:r>
      <w:r w:rsidR="00AB4849">
        <w:t>ariations in council approaches to CME</w:t>
      </w:r>
      <w:r w:rsidR="00E914D0">
        <w:t xml:space="preserve"> (part 3.1)</w:t>
      </w:r>
      <w:r w:rsidR="00B92227">
        <w:t>.</w:t>
      </w:r>
    </w:p>
    <w:p w14:paraId="5B304E9B" w14:textId="2B99F301" w:rsidR="00AB4849" w:rsidRPr="0032273F" w:rsidRDefault="00B87B47" w:rsidP="00FB32C5">
      <w:pPr>
        <w:pStyle w:val="Bullet"/>
        <w:numPr>
          <w:ilvl w:val="0"/>
          <w:numId w:val="15"/>
        </w:numPr>
        <w:spacing w:after="100"/>
        <w:rPr>
          <w:b/>
        </w:rPr>
      </w:pPr>
      <w:r>
        <w:t>The e</w:t>
      </w:r>
      <w:r w:rsidR="00E914D0">
        <w:t xml:space="preserve">ffectiveness of </w:t>
      </w:r>
      <w:r w:rsidR="001B66A7">
        <w:t xml:space="preserve">CME </w:t>
      </w:r>
      <w:r w:rsidR="0032273F">
        <w:t xml:space="preserve">by councils </w:t>
      </w:r>
      <w:r w:rsidR="001B66A7">
        <w:t>(part 3.2)</w:t>
      </w:r>
      <w:r>
        <w:t>.</w:t>
      </w:r>
    </w:p>
    <w:p w14:paraId="0976FCB8" w14:textId="01C0C2DA" w:rsidR="0032273F" w:rsidRPr="001B66A7" w:rsidRDefault="0032273F" w:rsidP="0032273F">
      <w:pPr>
        <w:pStyle w:val="Bullet"/>
        <w:numPr>
          <w:ilvl w:val="0"/>
          <w:numId w:val="0"/>
        </w:numPr>
        <w:spacing w:after="100"/>
        <w:rPr>
          <w:b/>
        </w:rPr>
      </w:pPr>
      <w:r>
        <w:t xml:space="preserve">Due to </w:t>
      </w:r>
      <w:r w:rsidR="003C48F3">
        <w:t xml:space="preserve">variations in data collection methods between the </w:t>
      </w:r>
      <w:r>
        <w:t xml:space="preserve">RMA Survey of Local Authorities and </w:t>
      </w:r>
      <w:r w:rsidR="003C48F3">
        <w:t xml:space="preserve">the </w:t>
      </w:r>
      <w:r>
        <w:t xml:space="preserve">NMS, this section </w:t>
      </w:r>
      <w:r w:rsidR="003C48F3">
        <w:t xml:space="preserve">avoids </w:t>
      </w:r>
      <w:r>
        <w:t>draw</w:t>
      </w:r>
      <w:r w:rsidR="003C48F3">
        <w:t>ing</w:t>
      </w:r>
      <w:r>
        <w:t xml:space="preserve"> conclusions based on temporal data trends</w:t>
      </w:r>
      <w:r w:rsidR="003C48F3">
        <w:t>.</w:t>
      </w:r>
    </w:p>
    <w:p w14:paraId="2573A2CE" w14:textId="16220E14" w:rsidR="00AC4BEC" w:rsidRPr="00DD224D" w:rsidRDefault="00AC4BEC" w:rsidP="00D02AAC">
      <w:pPr>
        <w:pStyle w:val="Heading2"/>
        <w:tabs>
          <w:tab w:val="clear" w:pos="851"/>
          <w:tab w:val="left" w:pos="567"/>
        </w:tabs>
      </w:pPr>
      <w:bookmarkStart w:id="24" w:name="_Toc458001910"/>
      <w:r w:rsidRPr="00DD224D">
        <w:t>3.1 Variations in council approaches to compliance, monitoring and enforcement</w:t>
      </w:r>
      <w:bookmarkEnd w:id="24"/>
    </w:p>
    <w:p w14:paraId="018FD1C3" w14:textId="12AF52DC" w:rsidR="00D40D6D" w:rsidRPr="00580905" w:rsidRDefault="003C48F3" w:rsidP="00D40D6D">
      <w:pPr>
        <w:pStyle w:val="BodyText"/>
      </w:pPr>
      <w:r>
        <w:t>The</w:t>
      </w:r>
      <w:r w:rsidR="00D40D6D">
        <w:t xml:space="preserve"> research found that c</w:t>
      </w:r>
      <w:r w:rsidR="00D40D6D" w:rsidRPr="00580905">
        <w:t>ouncil CME activities vary significantly throughout the country</w:t>
      </w:r>
      <w:r w:rsidR="00B87B47">
        <w:t xml:space="preserve"> in terms of the</w:t>
      </w:r>
      <w:r w:rsidR="00D40D6D" w:rsidRPr="00580905">
        <w:t>:</w:t>
      </w:r>
    </w:p>
    <w:p w14:paraId="056ECBE8" w14:textId="77777777" w:rsidR="00D40D6D" w:rsidRPr="00580905" w:rsidRDefault="00D40D6D" w:rsidP="00FB32C5">
      <w:pPr>
        <w:pStyle w:val="Bullet"/>
        <w:numPr>
          <w:ilvl w:val="0"/>
          <w:numId w:val="15"/>
        </w:numPr>
        <w:spacing w:after="100"/>
      </w:pPr>
      <w:r w:rsidRPr="00580905">
        <w:t>level of priority given to and resources available for CME activities</w:t>
      </w:r>
    </w:p>
    <w:p w14:paraId="06914140" w14:textId="77777777" w:rsidR="00D40D6D" w:rsidRPr="00580905" w:rsidRDefault="00D40D6D" w:rsidP="00FB32C5">
      <w:pPr>
        <w:pStyle w:val="Bullet"/>
        <w:numPr>
          <w:ilvl w:val="0"/>
          <w:numId w:val="15"/>
        </w:numPr>
        <w:spacing w:after="100"/>
      </w:pPr>
      <w:r w:rsidRPr="00580905">
        <w:t>approaches to monitoring</w:t>
      </w:r>
    </w:p>
    <w:p w14:paraId="0D80FB8B" w14:textId="77777777" w:rsidR="00D40D6D" w:rsidRPr="00580905" w:rsidRDefault="00D40D6D" w:rsidP="00FB32C5">
      <w:pPr>
        <w:pStyle w:val="Bullet"/>
        <w:numPr>
          <w:ilvl w:val="0"/>
          <w:numId w:val="15"/>
        </w:numPr>
        <w:spacing w:after="100"/>
      </w:pPr>
      <w:r w:rsidRPr="00580905">
        <w:t>level of coordination of CME activities</w:t>
      </w:r>
    </w:p>
    <w:p w14:paraId="283EBC0C" w14:textId="77777777" w:rsidR="00D40D6D" w:rsidRPr="00580905" w:rsidRDefault="00D40D6D" w:rsidP="00FB32C5">
      <w:pPr>
        <w:pStyle w:val="Bullet"/>
        <w:numPr>
          <w:ilvl w:val="0"/>
          <w:numId w:val="15"/>
        </w:numPr>
        <w:spacing w:after="100"/>
      </w:pPr>
      <w:r w:rsidRPr="00580905">
        <w:t>enforcement actions used</w:t>
      </w:r>
    </w:p>
    <w:p w14:paraId="452D58D8" w14:textId="0FC88CAE" w:rsidR="00D40D6D" w:rsidRPr="00580905" w:rsidRDefault="00D40D6D" w:rsidP="00FB32C5">
      <w:pPr>
        <w:pStyle w:val="Bullet"/>
        <w:numPr>
          <w:ilvl w:val="0"/>
          <w:numId w:val="15"/>
        </w:numPr>
        <w:spacing w:after="100"/>
      </w:pPr>
      <w:proofErr w:type="gramStart"/>
      <w:r w:rsidRPr="00580905">
        <w:t>decision-making</w:t>
      </w:r>
      <w:proofErr w:type="gramEnd"/>
      <w:r w:rsidRPr="00580905">
        <w:t xml:space="preserve"> processes about enforcement actions.</w:t>
      </w:r>
    </w:p>
    <w:p w14:paraId="3140D464" w14:textId="471F8804" w:rsidR="005609AD" w:rsidRPr="00580905" w:rsidRDefault="001735A1" w:rsidP="00044DA6">
      <w:pPr>
        <w:pStyle w:val="Bullet"/>
        <w:numPr>
          <w:ilvl w:val="0"/>
          <w:numId w:val="0"/>
        </w:numPr>
        <w:spacing w:before="120"/>
      </w:pPr>
      <w:r>
        <w:t xml:space="preserve">Variation </w:t>
      </w:r>
      <w:r w:rsidR="006446C6">
        <w:t>in council approaches to CME is partly a consequence of:</w:t>
      </w:r>
    </w:p>
    <w:p w14:paraId="69BAD35D" w14:textId="6D9AA005" w:rsidR="005609AD" w:rsidRPr="00580905" w:rsidRDefault="005609AD" w:rsidP="00FB32C5">
      <w:pPr>
        <w:pStyle w:val="Bullet"/>
        <w:numPr>
          <w:ilvl w:val="0"/>
          <w:numId w:val="15"/>
        </w:numPr>
        <w:spacing w:after="100"/>
      </w:pPr>
      <w:r w:rsidRPr="00580905">
        <w:t>discretion given to councils in carrying out CME</w:t>
      </w:r>
      <w:r>
        <w:t xml:space="preserve"> under the RMA</w:t>
      </w:r>
    </w:p>
    <w:p w14:paraId="3F4B95CA" w14:textId="77777777" w:rsidR="005609AD" w:rsidRPr="00580905" w:rsidRDefault="005609AD" w:rsidP="00FB32C5">
      <w:pPr>
        <w:pStyle w:val="Bullet"/>
        <w:numPr>
          <w:ilvl w:val="0"/>
          <w:numId w:val="15"/>
        </w:numPr>
        <w:spacing w:after="100"/>
      </w:pPr>
      <w:r w:rsidRPr="00580905">
        <w:t>differing responsibilities of regional councils and territorial authorities under the Resource Management Act 1991 (RMA)</w:t>
      </w:r>
    </w:p>
    <w:p w14:paraId="51BE3BA7" w14:textId="77777777" w:rsidR="005609AD" w:rsidRPr="00580905" w:rsidRDefault="005609AD" w:rsidP="00FB32C5">
      <w:pPr>
        <w:pStyle w:val="Bullet"/>
        <w:numPr>
          <w:ilvl w:val="0"/>
          <w:numId w:val="15"/>
        </w:numPr>
        <w:spacing w:after="100"/>
      </w:pPr>
      <w:r w:rsidRPr="00580905">
        <w:t>lack of national direction, support and guidance provided on CME</w:t>
      </w:r>
    </w:p>
    <w:p w14:paraId="0A034445" w14:textId="77777777" w:rsidR="005609AD" w:rsidRDefault="005609AD" w:rsidP="00FB32C5">
      <w:pPr>
        <w:pStyle w:val="Bullet"/>
        <w:numPr>
          <w:ilvl w:val="0"/>
          <w:numId w:val="15"/>
        </w:numPr>
        <w:spacing w:after="100"/>
      </w:pPr>
      <w:proofErr w:type="gramStart"/>
      <w:r w:rsidRPr="00580905">
        <w:t>varying</w:t>
      </w:r>
      <w:proofErr w:type="gramEnd"/>
      <w:r w:rsidRPr="00580905">
        <w:t xml:space="preserve"> levels of resourcing of councils, affecting their ability to effectively carry out CME.</w:t>
      </w:r>
    </w:p>
    <w:p w14:paraId="04A99F18" w14:textId="05BAD7F9" w:rsidR="00730428" w:rsidRPr="00580905" w:rsidRDefault="001735A1" w:rsidP="00730428">
      <w:pPr>
        <w:pStyle w:val="Bullet"/>
        <w:numPr>
          <w:ilvl w:val="0"/>
          <w:numId w:val="0"/>
        </w:numPr>
      </w:pPr>
      <w:r>
        <w:t xml:space="preserve">Variations </w:t>
      </w:r>
      <w:r w:rsidR="00730428" w:rsidRPr="00580905">
        <w:t xml:space="preserve">between councils are not necessarily </w:t>
      </w:r>
      <w:r w:rsidR="00730428">
        <w:t>undesirable</w:t>
      </w:r>
      <w:r w:rsidR="0081406C">
        <w:t xml:space="preserve">. </w:t>
      </w:r>
      <w:r w:rsidR="00AC1BE2">
        <w:t xml:space="preserve"> </w:t>
      </w:r>
      <w:r w:rsidR="0081406C">
        <w:t>T</w:t>
      </w:r>
      <w:r w:rsidR="00AC1BE2">
        <w:t>he discretion given to councils to determine approaches to CME</w:t>
      </w:r>
      <w:r w:rsidR="00730428" w:rsidRPr="00580905">
        <w:t xml:space="preserve"> allows councils to have greater agility in implementing the RMA, and gives greater ownership of issues and solutions. This flexibility also allows councils to adopt approaches to CME within resource constraints, which vary considerably between councils.</w:t>
      </w:r>
    </w:p>
    <w:p w14:paraId="2AAE740A" w14:textId="68C0BB1C" w:rsidR="00E1144B" w:rsidRPr="00580905" w:rsidRDefault="00AC1BE2" w:rsidP="00A067C6">
      <w:pPr>
        <w:pStyle w:val="Bullet"/>
        <w:numPr>
          <w:ilvl w:val="0"/>
          <w:numId w:val="0"/>
        </w:numPr>
        <w:tabs>
          <w:tab w:val="left" w:pos="0"/>
        </w:tabs>
      </w:pPr>
      <w:r>
        <w:t>However, d</w:t>
      </w:r>
      <w:r w:rsidR="00730428" w:rsidRPr="00580905">
        <w:t>iffering approaches to CME can also lead to lack of public certainty on t</w:t>
      </w:r>
      <w:r>
        <w:t>he rules and policies in place</w:t>
      </w:r>
      <w:r w:rsidR="007501BE">
        <w:t>, and equity in how the rules are enforced</w:t>
      </w:r>
      <w:r>
        <w:t xml:space="preserve">. </w:t>
      </w:r>
      <w:r w:rsidR="00730428" w:rsidRPr="00580905">
        <w:t xml:space="preserve">When different councils have different rules for the same activity, and different approaches to enforcing these rules, this can lead to confusion as to what the rules are, and resource users and the wider public feeling a sense of injustice. </w:t>
      </w:r>
      <w:r w:rsidR="007501BE">
        <w:t xml:space="preserve">Variations in CME approaches, combined with a low level of monitoring and enforcement, can lead to high levels of non-compliance, which </w:t>
      </w:r>
      <w:r w:rsidR="000461B3">
        <w:t>has a negative impact on</w:t>
      </w:r>
      <w:r w:rsidR="007501BE">
        <w:t xml:space="preserve"> environmental outcomes. </w:t>
      </w:r>
    </w:p>
    <w:p w14:paraId="7EEE1090" w14:textId="7366FE3D" w:rsidR="00317E4E" w:rsidRPr="003557B5" w:rsidRDefault="00A07FA9" w:rsidP="00DD224D">
      <w:pPr>
        <w:pStyle w:val="Heading3"/>
      </w:pPr>
      <w:bookmarkStart w:id="25" w:name="_Toc456343388"/>
      <w:r w:rsidRPr="003557B5">
        <w:t>P</w:t>
      </w:r>
      <w:r w:rsidR="000A454A" w:rsidRPr="003557B5">
        <w:t>riorit</w:t>
      </w:r>
      <w:r w:rsidRPr="003557B5">
        <w:t>ies</w:t>
      </w:r>
      <w:r w:rsidR="000A454A" w:rsidRPr="003557B5">
        <w:t xml:space="preserve"> and resources</w:t>
      </w:r>
      <w:bookmarkEnd w:id="25"/>
      <w:r w:rsidR="000A454A" w:rsidRPr="003557B5">
        <w:t xml:space="preserve"> </w:t>
      </w:r>
    </w:p>
    <w:p w14:paraId="24374425" w14:textId="087C3BD7" w:rsidR="00DB2649" w:rsidRPr="00580905" w:rsidRDefault="00317E4E" w:rsidP="00EC08C1">
      <w:pPr>
        <w:pStyle w:val="BodyText"/>
      </w:pPr>
      <w:r w:rsidRPr="00580905">
        <w:t>Data collected for the 2014/15 financial year through the NMS shows</w:t>
      </w:r>
      <w:r w:rsidR="00E4319D" w:rsidRPr="00580905">
        <w:t xml:space="preserve"> that </w:t>
      </w:r>
      <w:r w:rsidRPr="00580905">
        <w:t xml:space="preserve">a total of 374 staff (Full Time Equivalent/FTE) are engaged in RMA </w:t>
      </w:r>
      <w:r w:rsidR="000461B3">
        <w:t xml:space="preserve">CME </w:t>
      </w:r>
      <w:r w:rsidRPr="00580905">
        <w:t>functions across councils in New Zealand</w:t>
      </w:r>
      <w:r w:rsidR="00B202CC" w:rsidRPr="00580905">
        <w:t xml:space="preserve"> (see </w:t>
      </w:r>
      <w:r w:rsidR="00A07FA9" w:rsidRPr="00580905">
        <w:t>T</w:t>
      </w:r>
      <w:r w:rsidR="00B202CC" w:rsidRPr="00580905">
        <w:t>able 3</w:t>
      </w:r>
      <w:r w:rsidRPr="00580905">
        <w:t xml:space="preserve">). This is approximately half the number of staff involved in resource consent processing. The total number of CME staff has dropped </w:t>
      </w:r>
      <w:r w:rsidR="00141785" w:rsidRPr="00580905">
        <w:t xml:space="preserve">by 14 per cent </w:t>
      </w:r>
      <w:r w:rsidRPr="00580905">
        <w:t>from 436.7</w:t>
      </w:r>
      <w:r w:rsidR="000B40C6" w:rsidRPr="00580905">
        <w:t> </w:t>
      </w:r>
      <w:r w:rsidRPr="00580905">
        <w:t>FTE</w:t>
      </w:r>
      <w:r w:rsidR="00141785" w:rsidRPr="00580905">
        <w:t xml:space="preserve"> </w:t>
      </w:r>
      <w:r w:rsidRPr="00580905">
        <w:t>in 2012/1</w:t>
      </w:r>
      <w:r w:rsidR="00EA2727">
        <w:t>3</w:t>
      </w:r>
      <w:r w:rsidRPr="00580905">
        <w:t xml:space="preserve">, as recorded in the RMA Survey of Local Authorities. </w:t>
      </w:r>
      <w:r w:rsidR="008C0F99">
        <w:t xml:space="preserve">In contrast, the total number of resource consent processing staff has grown by </w:t>
      </w:r>
      <w:r w:rsidR="000119F4">
        <w:t>7</w:t>
      </w:r>
      <w:r w:rsidR="008C0F99">
        <w:t xml:space="preserve"> per cent, from 704 FTE to 753 FTE. </w:t>
      </w:r>
    </w:p>
    <w:p w14:paraId="5BE06542" w14:textId="1744F21C" w:rsidR="00317E4E" w:rsidRPr="00580905" w:rsidRDefault="00B202CC" w:rsidP="00A968DB">
      <w:pPr>
        <w:pStyle w:val="Tableheading"/>
      </w:pPr>
      <w:bookmarkStart w:id="26" w:name="_Toc473795833"/>
      <w:r w:rsidRPr="00580905">
        <w:t>Table 3</w:t>
      </w:r>
      <w:r w:rsidR="00317E4E" w:rsidRPr="00580905">
        <w:t xml:space="preserve">: </w:t>
      </w:r>
      <w:r w:rsidR="00A968DB" w:rsidRPr="00580905">
        <w:tab/>
      </w:r>
      <w:r w:rsidR="00317E4E" w:rsidRPr="00580905">
        <w:t>Numbers of compliance, monitoring, investigation and enforcement staff and resource consent processing staff per council type</w:t>
      </w:r>
      <w:r w:rsidR="000119F4">
        <w:t xml:space="preserve"> (2014/15)</w:t>
      </w:r>
      <w:bookmarkEnd w:id="26"/>
    </w:p>
    <w:tbl>
      <w:tblPr>
        <w:tblW w:w="8562" w:type="dxa"/>
        <w:tblInd w:w="113" w:type="dxa"/>
        <w:tblLayout w:type="fixed"/>
        <w:tblLook w:val="04A0" w:firstRow="1" w:lastRow="0" w:firstColumn="1" w:lastColumn="0" w:noHBand="0" w:noVBand="1"/>
      </w:tblPr>
      <w:tblGrid>
        <w:gridCol w:w="3485"/>
        <w:gridCol w:w="1056"/>
        <w:gridCol w:w="926"/>
        <w:gridCol w:w="1186"/>
        <w:gridCol w:w="926"/>
        <w:gridCol w:w="983"/>
      </w:tblGrid>
      <w:tr w:rsidR="00A968DB" w:rsidRPr="00580905" w14:paraId="688209AF" w14:textId="77777777" w:rsidTr="00A968DB">
        <w:tc>
          <w:tcPr>
            <w:tcW w:w="3794" w:type="dxa"/>
            <w:tcBorders>
              <w:top w:val="single" w:sz="4" w:space="0" w:color="677719"/>
              <w:left w:val="nil"/>
              <w:bottom w:val="single" w:sz="4" w:space="0" w:color="677719"/>
              <w:right w:val="single" w:sz="4" w:space="0" w:color="677719"/>
            </w:tcBorders>
            <w:shd w:val="clear" w:color="auto" w:fill="677719"/>
            <w:vAlign w:val="bottom"/>
          </w:tcPr>
          <w:p w14:paraId="4A997602" w14:textId="77777777" w:rsidR="00317E4E" w:rsidRPr="00580905" w:rsidRDefault="00317E4E" w:rsidP="00A968DB">
            <w:pPr>
              <w:pStyle w:val="TableTextbold"/>
              <w:keepNext/>
              <w:rPr>
                <w:color w:val="FFFFFF" w:themeColor="background1"/>
              </w:rPr>
            </w:pPr>
          </w:p>
        </w:tc>
        <w:tc>
          <w:tcPr>
            <w:tcW w:w="1134" w:type="dxa"/>
            <w:tcBorders>
              <w:top w:val="single" w:sz="4" w:space="0" w:color="677719"/>
              <w:left w:val="single" w:sz="4" w:space="0" w:color="677719"/>
              <w:bottom w:val="single" w:sz="4" w:space="0" w:color="677719"/>
              <w:right w:val="single" w:sz="4" w:space="0" w:color="677719"/>
            </w:tcBorders>
            <w:shd w:val="clear" w:color="auto" w:fill="677719"/>
            <w:vAlign w:val="bottom"/>
          </w:tcPr>
          <w:p w14:paraId="7C510D2E" w14:textId="5FF85B86" w:rsidR="00317E4E" w:rsidRPr="00580905" w:rsidRDefault="00317E4E" w:rsidP="00A968DB">
            <w:pPr>
              <w:pStyle w:val="TableTextbold"/>
              <w:keepNext/>
              <w:jc w:val="center"/>
              <w:rPr>
                <w:color w:val="FFFFFF" w:themeColor="background1"/>
              </w:rPr>
            </w:pPr>
            <w:r w:rsidRPr="00580905">
              <w:rPr>
                <w:bCs/>
                <w:color w:val="FFFFFF" w:themeColor="background1"/>
              </w:rPr>
              <w:t>Territorial authorities</w:t>
            </w:r>
          </w:p>
        </w:tc>
        <w:tc>
          <w:tcPr>
            <w:tcW w:w="992" w:type="dxa"/>
            <w:tcBorders>
              <w:top w:val="single" w:sz="4" w:space="0" w:color="677719"/>
              <w:left w:val="single" w:sz="4" w:space="0" w:color="677719"/>
              <w:bottom w:val="single" w:sz="4" w:space="0" w:color="677719"/>
              <w:right w:val="single" w:sz="4" w:space="0" w:color="677719"/>
            </w:tcBorders>
            <w:shd w:val="clear" w:color="auto" w:fill="677719"/>
            <w:vAlign w:val="bottom"/>
          </w:tcPr>
          <w:p w14:paraId="4C73917A" w14:textId="77777777" w:rsidR="00317E4E" w:rsidRPr="00580905" w:rsidRDefault="00317E4E" w:rsidP="00A968DB">
            <w:pPr>
              <w:pStyle w:val="TableTextbold"/>
              <w:keepNext/>
              <w:jc w:val="center"/>
              <w:rPr>
                <w:color w:val="FFFFFF" w:themeColor="background1"/>
              </w:rPr>
            </w:pPr>
            <w:r w:rsidRPr="00580905">
              <w:rPr>
                <w:bCs/>
                <w:color w:val="FFFFFF" w:themeColor="background1"/>
              </w:rPr>
              <w:t>Regional councils</w:t>
            </w:r>
          </w:p>
        </w:tc>
        <w:tc>
          <w:tcPr>
            <w:tcW w:w="1276" w:type="dxa"/>
            <w:tcBorders>
              <w:top w:val="single" w:sz="4" w:space="0" w:color="677719"/>
              <w:left w:val="single" w:sz="4" w:space="0" w:color="677719"/>
              <w:bottom w:val="single" w:sz="4" w:space="0" w:color="677719"/>
              <w:right w:val="single" w:sz="4" w:space="0" w:color="677719"/>
            </w:tcBorders>
            <w:shd w:val="clear" w:color="auto" w:fill="677719"/>
            <w:vAlign w:val="bottom"/>
          </w:tcPr>
          <w:p w14:paraId="08A0C13A" w14:textId="77777777" w:rsidR="00317E4E" w:rsidRPr="00580905" w:rsidRDefault="00317E4E" w:rsidP="00A968DB">
            <w:pPr>
              <w:pStyle w:val="TableTextbold"/>
              <w:keepNext/>
              <w:jc w:val="center"/>
              <w:rPr>
                <w:color w:val="FFFFFF" w:themeColor="background1"/>
              </w:rPr>
            </w:pPr>
            <w:r w:rsidRPr="00580905">
              <w:rPr>
                <w:bCs/>
                <w:color w:val="FFFFFF" w:themeColor="background1"/>
              </w:rPr>
              <w:t>Unitary Authorities (excluding Auckland Council)</w:t>
            </w:r>
            <w:r w:rsidRPr="00580905">
              <w:rPr>
                <w:rStyle w:val="FootnoteReference"/>
                <w:rFonts w:asciiTheme="minorHAnsi" w:hAnsiTheme="minorHAnsi"/>
                <w:b w:val="0"/>
                <w:bCs/>
                <w:color w:val="FFFFFF" w:themeColor="background1"/>
                <w:sz w:val="18"/>
              </w:rPr>
              <w:footnoteReference w:id="24"/>
            </w:r>
          </w:p>
        </w:tc>
        <w:tc>
          <w:tcPr>
            <w:tcW w:w="992" w:type="dxa"/>
            <w:tcBorders>
              <w:top w:val="single" w:sz="4" w:space="0" w:color="677719"/>
              <w:left w:val="single" w:sz="4" w:space="0" w:color="677719"/>
              <w:bottom w:val="single" w:sz="4" w:space="0" w:color="677719"/>
              <w:right w:val="single" w:sz="4" w:space="0" w:color="677719"/>
            </w:tcBorders>
            <w:shd w:val="clear" w:color="auto" w:fill="677719"/>
            <w:vAlign w:val="bottom"/>
          </w:tcPr>
          <w:p w14:paraId="1A2181A0" w14:textId="77777777" w:rsidR="00317E4E" w:rsidRPr="00580905" w:rsidRDefault="00317E4E" w:rsidP="00A968DB">
            <w:pPr>
              <w:pStyle w:val="TableTextbold"/>
              <w:keepNext/>
              <w:jc w:val="center"/>
              <w:rPr>
                <w:color w:val="FFFFFF" w:themeColor="background1"/>
              </w:rPr>
            </w:pPr>
            <w:r w:rsidRPr="00580905">
              <w:rPr>
                <w:bCs/>
                <w:color w:val="FFFFFF" w:themeColor="background1"/>
              </w:rPr>
              <w:t>Auckland Council</w:t>
            </w:r>
            <w:r w:rsidRPr="00580905">
              <w:rPr>
                <w:rStyle w:val="FootnoteReference"/>
                <w:rFonts w:asciiTheme="minorHAnsi" w:hAnsiTheme="minorHAnsi"/>
                <w:b w:val="0"/>
                <w:bCs/>
                <w:color w:val="FFFFFF" w:themeColor="background1"/>
                <w:sz w:val="18"/>
              </w:rPr>
              <w:footnoteReference w:id="25"/>
            </w:r>
          </w:p>
        </w:tc>
        <w:tc>
          <w:tcPr>
            <w:tcW w:w="1054" w:type="dxa"/>
            <w:tcBorders>
              <w:top w:val="single" w:sz="4" w:space="0" w:color="677719"/>
              <w:left w:val="single" w:sz="4" w:space="0" w:color="677719"/>
              <w:bottom w:val="single" w:sz="4" w:space="0" w:color="677719"/>
              <w:right w:val="nil"/>
            </w:tcBorders>
            <w:shd w:val="clear" w:color="auto" w:fill="677719"/>
            <w:vAlign w:val="bottom"/>
          </w:tcPr>
          <w:p w14:paraId="12768968" w14:textId="02F03769" w:rsidR="00317E4E" w:rsidRPr="00580905" w:rsidRDefault="009955C5" w:rsidP="00A968DB">
            <w:pPr>
              <w:pStyle w:val="TableTextbold"/>
              <w:keepNext/>
              <w:jc w:val="center"/>
              <w:rPr>
                <w:color w:val="FFFFFF" w:themeColor="background1"/>
              </w:rPr>
            </w:pPr>
            <w:r w:rsidRPr="00580905">
              <w:rPr>
                <w:bCs/>
                <w:color w:val="FFFFFF" w:themeColor="background1"/>
              </w:rPr>
              <w:t>All councils</w:t>
            </w:r>
          </w:p>
        </w:tc>
      </w:tr>
      <w:tr w:rsidR="00952363" w:rsidRPr="00580905" w14:paraId="5F458282" w14:textId="77777777" w:rsidTr="00A968DB">
        <w:tc>
          <w:tcPr>
            <w:tcW w:w="3794" w:type="dxa"/>
            <w:tcBorders>
              <w:top w:val="single" w:sz="4" w:space="0" w:color="677719"/>
              <w:left w:val="nil"/>
              <w:bottom w:val="single" w:sz="4" w:space="0" w:color="677719"/>
              <w:right w:val="single" w:sz="4" w:space="0" w:color="677719"/>
            </w:tcBorders>
            <w:shd w:val="clear" w:color="auto" w:fill="auto"/>
            <w:vAlign w:val="center"/>
          </w:tcPr>
          <w:p w14:paraId="5FBA7389" w14:textId="7C0F158F" w:rsidR="00317E4E" w:rsidRPr="00580905" w:rsidRDefault="002450DB" w:rsidP="00A968DB">
            <w:pPr>
              <w:pStyle w:val="TableTextbold"/>
              <w:keepNext/>
            </w:pPr>
            <w:r w:rsidRPr="00580905">
              <w:t>C</w:t>
            </w:r>
            <w:r w:rsidR="00317E4E" w:rsidRPr="00580905">
              <w:t>ompliance</w:t>
            </w:r>
            <w:r w:rsidRPr="00580905">
              <w:t>,</w:t>
            </w:r>
            <w:r w:rsidR="00317E4E" w:rsidRPr="00580905">
              <w:t xml:space="preserve"> monitoring, enforcement and investigations staff (FTE)</w:t>
            </w:r>
            <w:r w:rsidRPr="00580905">
              <w:t xml:space="preserve"> (total)</w:t>
            </w:r>
          </w:p>
        </w:tc>
        <w:tc>
          <w:tcPr>
            <w:tcW w:w="1134" w:type="dxa"/>
            <w:tcBorders>
              <w:top w:val="single" w:sz="4" w:space="0" w:color="677719"/>
              <w:left w:val="single" w:sz="4" w:space="0" w:color="677719"/>
              <w:bottom w:val="single" w:sz="4" w:space="0" w:color="677719"/>
              <w:right w:val="single" w:sz="4" w:space="0" w:color="677719"/>
            </w:tcBorders>
            <w:vAlign w:val="bottom"/>
          </w:tcPr>
          <w:p w14:paraId="0EEF3D5E" w14:textId="77777777" w:rsidR="00317E4E" w:rsidRPr="00580905" w:rsidRDefault="00317E4E" w:rsidP="00A968DB">
            <w:pPr>
              <w:pStyle w:val="TableText"/>
              <w:keepNext/>
              <w:jc w:val="center"/>
            </w:pPr>
            <w:r w:rsidRPr="00580905">
              <w:t>99</w:t>
            </w:r>
          </w:p>
        </w:tc>
        <w:tc>
          <w:tcPr>
            <w:tcW w:w="992" w:type="dxa"/>
            <w:tcBorders>
              <w:top w:val="single" w:sz="4" w:space="0" w:color="677719"/>
              <w:left w:val="single" w:sz="4" w:space="0" w:color="677719"/>
              <w:bottom w:val="single" w:sz="4" w:space="0" w:color="677719"/>
              <w:right w:val="single" w:sz="4" w:space="0" w:color="677719"/>
            </w:tcBorders>
            <w:vAlign w:val="bottom"/>
          </w:tcPr>
          <w:p w14:paraId="0B11F686" w14:textId="77777777" w:rsidR="00317E4E" w:rsidRPr="00580905" w:rsidRDefault="00317E4E" w:rsidP="00A968DB">
            <w:pPr>
              <w:pStyle w:val="TableText"/>
              <w:keepNext/>
              <w:jc w:val="center"/>
            </w:pPr>
            <w:r w:rsidRPr="00580905">
              <w:t>161</w:t>
            </w:r>
          </w:p>
        </w:tc>
        <w:tc>
          <w:tcPr>
            <w:tcW w:w="1276" w:type="dxa"/>
            <w:tcBorders>
              <w:top w:val="single" w:sz="4" w:space="0" w:color="677719"/>
              <w:left w:val="single" w:sz="4" w:space="0" w:color="677719"/>
              <w:bottom w:val="single" w:sz="4" w:space="0" w:color="677719"/>
              <w:right w:val="single" w:sz="4" w:space="0" w:color="677719"/>
            </w:tcBorders>
            <w:vAlign w:val="bottom"/>
          </w:tcPr>
          <w:p w14:paraId="4B2B2F12" w14:textId="77777777" w:rsidR="00317E4E" w:rsidRPr="00580905" w:rsidRDefault="00317E4E" w:rsidP="00A968DB">
            <w:pPr>
              <w:pStyle w:val="TableText"/>
              <w:keepNext/>
              <w:jc w:val="center"/>
            </w:pPr>
            <w:r w:rsidRPr="00580905">
              <w:t>21</w:t>
            </w:r>
          </w:p>
        </w:tc>
        <w:tc>
          <w:tcPr>
            <w:tcW w:w="992" w:type="dxa"/>
            <w:tcBorders>
              <w:top w:val="single" w:sz="4" w:space="0" w:color="677719"/>
              <w:left w:val="single" w:sz="4" w:space="0" w:color="677719"/>
              <w:bottom w:val="single" w:sz="4" w:space="0" w:color="677719"/>
              <w:right w:val="single" w:sz="4" w:space="0" w:color="677719"/>
            </w:tcBorders>
            <w:vAlign w:val="bottom"/>
          </w:tcPr>
          <w:p w14:paraId="52B9AED0" w14:textId="77777777" w:rsidR="00317E4E" w:rsidRPr="00580905" w:rsidRDefault="00317E4E" w:rsidP="00A968DB">
            <w:pPr>
              <w:pStyle w:val="TableText"/>
              <w:keepNext/>
              <w:jc w:val="center"/>
            </w:pPr>
            <w:r w:rsidRPr="00580905">
              <w:t>93</w:t>
            </w:r>
          </w:p>
        </w:tc>
        <w:tc>
          <w:tcPr>
            <w:tcW w:w="1054" w:type="dxa"/>
            <w:tcBorders>
              <w:top w:val="single" w:sz="4" w:space="0" w:color="677719"/>
              <w:left w:val="single" w:sz="4" w:space="0" w:color="677719"/>
              <w:bottom w:val="single" w:sz="4" w:space="0" w:color="677719"/>
              <w:right w:val="nil"/>
            </w:tcBorders>
            <w:vAlign w:val="bottom"/>
          </w:tcPr>
          <w:p w14:paraId="38744345" w14:textId="77777777" w:rsidR="00317E4E" w:rsidRPr="00580905" w:rsidRDefault="00317E4E" w:rsidP="00A968DB">
            <w:pPr>
              <w:pStyle w:val="TableText"/>
              <w:keepNext/>
              <w:jc w:val="center"/>
            </w:pPr>
            <w:r w:rsidRPr="00580905">
              <w:t>374</w:t>
            </w:r>
          </w:p>
        </w:tc>
      </w:tr>
      <w:tr w:rsidR="00952363" w:rsidRPr="00580905" w14:paraId="0D72B2DE" w14:textId="77777777" w:rsidTr="00A968DB">
        <w:tc>
          <w:tcPr>
            <w:tcW w:w="3794" w:type="dxa"/>
            <w:tcBorders>
              <w:top w:val="single" w:sz="4" w:space="0" w:color="677719"/>
              <w:left w:val="nil"/>
              <w:bottom w:val="single" w:sz="4" w:space="0" w:color="677719"/>
              <w:right w:val="single" w:sz="4" w:space="0" w:color="677719"/>
            </w:tcBorders>
            <w:shd w:val="clear" w:color="auto" w:fill="auto"/>
            <w:vAlign w:val="center"/>
          </w:tcPr>
          <w:p w14:paraId="08ACAA45" w14:textId="49C1B3A5" w:rsidR="00317E4E" w:rsidRPr="00580905" w:rsidRDefault="002450DB" w:rsidP="00A968DB">
            <w:pPr>
              <w:pStyle w:val="TableTextbold"/>
              <w:keepNext/>
            </w:pPr>
            <w:r w:rsidRPr="00580905">
              <w:t>Compliance,</w:t>
            </w:r>
            <w:r w:rsidR="00A41319" w:rsidRPr="00580905">
              <w:t xml:space="preserve"> monitoring, enforcement and investigations staff (FTE) </w:t>
            </w:r>
            <w:r w:rsidRPr="00580905">
              <w:t>(average)</w:t>
            </w:r>
          </w:p>
        </w:tc>
        <w:tc>
          <w:tcPr>
            <w:tcW w:w="1134" w:type="dxa"/>
            <w:tcBorders>
              <w:top w:val="single" w:sz="4" w:space="0" w:color="677719"/>
              <w:left w:val="single" w:sz="4" w:space="0" w:color="677719"/>
              <w:bottom w:val="single" w:sz="4" w:space="0" w:color="677719"/>
              <w:right w:val="single" w:sz="4" w:space="0" w:color="677719"/>
            </w:tcBorders>
            <w:vAlign w:val="bottom"/>
          </w:tcPr>
          <w:p w14:paraId="630CC1E7" w14:textId="5FF4A43A" w:rsidR="00317E4E" w:rsidRPr="00580905" w:rsidRDefault="009955C5" w:rsidP="00A968DB">
            <w:pPr>
              <w:pStyle w:val="TableText"/>
              <w:keepNext/>
              <w:jc w:val="center"/>
            </w:pPr>
            <w:r w:rsidRPr="00580905">
              <w:t>1.6</w:t>
            </w:r>
          </w:p>
        </w:tc>
        <w:tc>
          <w:tcPr>
            <w:tcW w:w="992" w:type="dxa"/>
            <w:tcBorders>
              <w:top w:val="single" w:sz="4" w:space="0" w:color="677719"/>
              <w:left w:val="single" w:sz="4" w:space="0" w:color="677719"/>
              <w:bottom w:val="single" w:sz="4" w:space="0" w:color="677719"/>
              <w:right w:val="single" w:sz="4" w:space="0" w:color="677719"/>
            </w:tcBorders>
            <w:vAlign w:val="bottom"/>
          </w:tcPr>
          <w:p w14:paraId="7B779487" w14:textId="02CA1D7D" w:rsidR="00317E4E" w:rsidRPr="00580905" w:rsidRDefault="00CF5295" w:rsidP="00A968DB">
            <w:pPr>
              <w:pStyle w:val="TableText"/>
              <w:keepNext/>
              <w:jc w:val="center"/>
            </w:pPr>
            <w:r w:rsidRPr="00580905">
              <w:t>14.6</w:t>
            </w:r>
          </w:p>
        </w:tc>
        <w:tc>
          <w:tcPr>
            <w:tcW w:w="1276" w:type="dxa"/>
            <w:tcBorders>
              <w:top w:val="single" w:sz="4" w:space="0" w:color="677719"/>
              <w:left w:val="single" w:sz="4" w:space="0" w:color="677719"/>
              <w:bottom w:val="single" w:sz="4" w:space="0" w:color="677719"/>
              <w:right w:val="single" w:sz="4" w:space="0" w:color="677719"/>
            </w:tcBorders>
            <w:vAlign w:val="bottom"/>
          </w:tcPr>
          <w:p w14:paraId="358A088A" w14:textId="1ED9EFDF" w:rsidR="00317E4E" w:rsidRPr="00580905" w:rsidRDefault="00CF5295" w:rsidP="00A968DB">
            <w:pPr>
              <w:pStyle w:val="TableText"/>
              <w:keepNext/>
              <w:jc w:val="center"/>
            </w:pPr>
            <w:r w:rsidRPr="00580905">
              <w:t>4.2</w:t>
            </w:r>
          </w:p>
        </w:tc>
        <w:tc>
          <w:tcPr>
            <w:tcW w:w="992" w:type="dxa"/>
            <w:tcBorders>
              <w:top w:val="single" w:sz="4" w:space="0" w:color="677719"/>
              <w:left w:val="single" w:sz="4" w:space="0" w:color="677719"/>
              <w:bottom w:val="single" w:sz="4" w:space="0" w:color="677719"/>
              <w:right w:val="single" w:sz="4" w:space="0" w:color="677719"/>
            </w:tcBorders>
            <w:vAlign w:val="bottom"/>
          </w:tcPr>
          <w:p w14:paraId="0B76559A" w14:textId="29D3FEFB" w:rsidR="00317E4E" w:rsidRPr="00580905" w:rsidRDefault="00CF5295" w:rsidP="00A968DB">
            <w:pPr>
              <w:pStyle w:val="TableText"/>
              <w:keepNext/>
              <w:jc w:val="center"/>
            </w:pPr>
            <w:r w:rsidRPr="00580905">
              <w:t>93</w:t>
            </w:r>
          </w:p>
        </w:tc>
        <w:tc>
          <w:tcPr>
            <w:tcW w:w="1054" w:type="dxa"/>
            <w:tcBorders>
              <w:top w:val="single" w:sz="4" w:space="0" w:color="677719"/>
              <w:left w:val="single" w:sz="4" w:space="0" w:color="677719"/>
              <w:bottom w:val="single" w:sz="4" w:space="0" w:color="677719"/>
              <w:right w:val="nil"/>
            </w:tcBorders>
            <w:vAlign w:val="bottom"/>
          </w:tcPr>
          <w:p w14:paraId="55BEA2A7" w14:textId="77D23DD8" w:rsidR="00317E4E" w:rsidRPr="00580905" w:rsidRDefault="009955C5" w:rsidP="00A968DB">
            <w:pPr>
              <w:pStyle w:val="TableText"/>
              <w:keepNext/>
              <w:jc w:val="center"/>
            </w:pPr>
            <w:r w:rsidRPr="00580905">
              <w:t>4.8</w:t>
            </w:r>
          </w:p>
        </w:tc>
      </w:tr>
      <w:tr w:rsidR="00952363" w:rsidRPr="00580905" w14:paraId="5D077D2A" w14:textId="77777777" w:rsidTr="00A968DB">
        <w:tc>
          <w:tcPr>
            <w:tcW w:w="3794" w:type="dxa"/>
            <w:tcBorders>
              <w:top w:val="single" w:sz="4" w:space="0" w:color="677719"/>
              <w:left w:val="nil"/>
              <w:bottom w:val="single" w:sz="4" w:space="0" w:color="677719"/>
              <w:right w:val="single" w:sz="4" w:space="0" w:color="677719"/>
            </w:tcBorders>
            <w:shd w:val="clear" w:color="auto" w:fill="auto"/>
            <w:vAlign w:val="center"/>
          </w:tcPr>
          <w:p w14:paraId="7D72AD3A" w14:textId="27158BF2" w:rsidR="00A41319" w:rsidRPr="00580905" w:rsidRDefault="00A41319" w:rsidP="00A968DB">
            <w:pPr>
              <w:pStyle w:val="TableTextbold"/>
            </w:pPr>
            <w:r w:rsidRPr="00580905">
              <w:t>Resource consent processing staff (FTE)</w:t>
            </w:r>
            <w:r w:rsidR="002450DB" w:rsidRPr="00580905">
              <w:t xml:space="preserve"> (total)</w:t>
            </w:r>
          </w:p>
        </w:tc>
        <w:tc>
          <w:tcPr>
            <w:tcW w:w="1134" w:type="dxa"/>
            <w:tcBorders>
              <w:top w:val="single" w:sz="4" w:space="0" w:color="677719"/>
              <w:left w:val="single" w:sz="4" w:space="0" w:color="677719"/>
              <w:bottom w:val="single" w:sz="4" w:space="0" w:color="677719"/>
              <w:right w:val="single" w:sz="4" w:space="0" w:color="677719"/>
            </w:tcBorders>
            <w:vAlign w:val="bottom"/>
          </w:tcPr>
          <w:p w14:paraId="336C857A" w14:textId="7A154631" w:rsidR="00A41319" w:rsidRPr="00580905" w:rsidRDefault="00A41319" w:rsidP="00A968DB">
            <w:pPr>
              <w:pStyle w:val="TableText"/>
              <w:jc w:val="center"/>
            </w:pPr>
            <w:r w:rsidRPr="00580905">
              <w:t>340</w:t>
            </w:r>
          </w:p>
        </w:tc>
        <w:tc>
          <w:tcPr>
            <w:tcW w:w="992" w:type="dxa"/>
            <w:tcBorders>
              <w:top w:val="single" w:sz="4" w:space="0" w:color="677719"/>
              <w:left w:val="single" w:sz="4" w:space="0" w:color="677719"/>
              <w:bottom w:val="single" w:sz="4" w:space="0" w:color="677719"/>
              <w:right w:val="single" w:sz="4" w:space="0" w:color="677719"/>
            </w:tcBorders>
            <w:vAlign w:val="bottom"/>
          </w:tcPr>
          <w:p w14:paraId="65497974" w14:textId="1D32D0B8" w:rsidR="00A41319" w:rsidRPr="00580905" w:rsidRDefault="00A41319" w:rsidP="00A968DB">
            <w:pPr>
              <w:pStyle w:val="TableText"/>
              <w:jc w:val="center"/>
            </w:pPr>
            <w:r w:rsidRPr="00580905">
              <w:t>147</w:t>
            </w:r>
          </w:p>
        </w:tc>
        <w:tc>
          <w:tcPr>
            <w:tcW w:w="1276" w:type="dxa"/>
            <w:tcBorders>
              <w:top w:val="single" w:sz="4" w:space="0" w:color="677719"/>
              <w:left w:val="single" w:sz="4" w:space="0" w:color="677719"/>
              <w:bottom w:val="single" w:sz="4" w:space="0" w:color="677719"/>
              <w:right w:val="single" w:sz="4" w:space="0" w:color="677719"/>
            </w:tcBorders>
            <w:vAlign w:val="bottom"/>
          </w:tcPr>
          <w:p w14:paraId="4EC532B4" w14:textId="417DF38B" w:rsidR="00A41319" w:rsidRPr="00580905" w:rsidRDefault="00A41319" w:rsidP="00A968DB">
            <w:pPr>
              <w:pStyle w:val="TableText"/>
              <w:jc w:val="center"/>
            </w:pPr>
            <w:r w:rsidRPr="00580905">
              <w:t>44</w:t>
            </w:r>
          </w:p>
        </w:tc>
        <w:tc>
          <w:tcPr>
            <w:tcW w:w="992" w:type="dxa"/>
            <w:tcBorders>
              <w:top w:val="single" w:sz="4" w:space="0" w:color="677719"/>
              <w:left w:val="single" w:sz="4" w:space="0" w:color="677719"/>
              <w:bottom w:val="single" w:sz="4" w:space="0" w:color="677719"/>
              <w:right w:val="single" w:sz="4" w:space="0" w:color="677719"/>
            </w:tcBorders>
            <w:vAlign w:val="bottom"/>
          </w:tcPr>
          <w:p w14:paraId="7E36FBE1" w14:textId="17F4E707" w:rsidR="00A41319" w:rsidRPr="00580905" w:rsidRDefault="00A41319" w:rsidP="00A968DB">
            <w:pPr>
              <w:pStyle w:val="TableText"/>
              <w:jc w:val="center"/>
            </w:pPr>
            <w:r w:rsidRPr="00580905">
              <w:t>222</w:t>
            </w:r>
          </w:p>
        </w:tc>
        <w:tc>
          <w:tcPr>
            <w:tcW w:w="1054" w:type="dxa"/>
            <w:tcBorders>
              <w:top w:val="single" w:sz="4" w:space="0" w:color="677719"/>
              <w:left w:val="single" w:sz="4" w:space="0" w:color="677719"/>
              <w:bottom w:val="single" w:sz="4" w:space="0" w:color="677719"/>
              <w:right w:val="nil"/>
            </w:tcBorders>
            <w:vAlign w:val="bottom"/>
          </w:tcPr>
          <w:p w14:paraId="1E69D470" w14:textId="294FAE9E" w:rsidR="00A41319" w:rsidRPr="00580905" w:rsidRDefault="00A41319" w:rsidP="00A968DB">
            <w:pPr>
              <w:pStyle w:val="TableText"/>
              <w:jc w:val="center"/>
            </w:pPr>
            <w:r w:rsidRPr="00580905">
              <w:t>753</w:t>
            </w:r>
          </w:p>
        </w:tc>
      </w:tr>
      <w:tr w:rsidR="00952363" w:rsidRPr="00580905" w14:paraId="60A7A200" w14:textId="77777777" w:rsidTr="00A968DB">
        <w:tc>
          <w:tcPr>
            <w:tcW w:w="3794" w:type="dxa"/>
            <w:tcBorders>
              <w:top w:val="single" w:sz="4" w:space="0" w:color="677719"/>
              <w:left w:val="nil"/>
              <w:bottom w:val="single" w:sz="4" w:space="0" w:color="677719"/>
              <w:right w:val="single" w:sz="4" w:space="0" w:color="677719"/>
            </w:tcBorders>
            <w:shd w:val="clear" w:color="auto" w:fill="auto"/>
            <w:vAlign w:val="center"/>
          </w:tcPr>
          <w:p w14:paraId="0359A21B" w14:textId="51F00EA1" w:rsidR="00A41319" w:rsidRPr="00580905" w:rsidRDefault="002450DB" w:rsidP="00A968DB">
            <w:pPr>
              <w:pStyle w:val="TableTextbold"/>
            </w:pPr>
            <w:r w:rsidRPr="00580905">
              <w:t>R</w:t>
            </w:r>
            <w:r w:rsidR="00A41319" w:rsidRPr="00580905">
              <w:t xml:space="preserve">esource consent processing staff (FTE) </w:t>
            </w:r>
            <w:r w:rsidRPr="00580905">
              <w:t>(average)</w:t>
            </w:r>
          </w:p>
        </w:tc>
        <w:tc>
          <w:tcPr>
            <w:tcW w:w="1134" w:type="dxa"/>
            <w:tcBorders>
              <w:top w:val="single" w:sz="4" w:space="0" w:color="677719"/>
              <w:left w:val="single" w:sz="4" w:space="0" w:color="677719"/>
              <w:bottom w:val="single" w:sz="4" w:space="0" w:color="677719"/>
              <w:right w:val="single" w:sz="4" w:space="0" w:color="677719"/>
            </w:tcBorders>
            <w:vAlign w:val="bottom"/>
          </w:tcPr>
          <w:p w14:paraId="20ACA43A" w14:textId="474D340A" w:rsidR="00A41319" w:rsidRPr="00580905" w:rsidRDefault="009955C5" w:rsidP="00A968DB">
            <w:pPr>
              <w:pStyle w:val="TableText"/>
              <w:jc w:val="center"/>
            </w:pPr>
            <w:r w:rsidRPr="00580905">
              <w:t>5.6</w:t>
            </w:r>
          </w:p>
        </w:tc>
        <w:tc>
          <w:tcPr>
            <w:tcW w:w="992" w:type="dxa"/>
            <w:tcBorders>
              <w:top w:val="single" w:sz="4" w:space="0" w:color="677719"/>
              <w:left w:val="single" w:sz="4" w:space="0" w:color="677719"/>
              <w:bottom w:val="single" w:sz="4" w:space="0" w:color="677719"/>
              <w:right w:val="single" w:sz="4" w:space="0" w:color="677719"/>
            </w:tcBorders>
            <w:vAlign w:val="bottom"/>
          </w:tcPr>
          <w:p w14:paraId="1A250450" w14:textId="599A8251" w:rsidR="00A41319" w:rsidRPr="00580905" w:rsidRDefault="005369F7" w:rsidP="00A968DB">
            <w:pPr>
              <w:pStyle w:val="TableText"/>
              <w:jc w:val="center"/>
            </w:pPr>
            <w:r w:rsidRPr="00580905">
              <w:t>13.4</w:t>
            </w:r>
          </w:p>
        </w:tc>
        <w:tc>
          <w:tcPr>
            <w:tcW w:w="1276" w:type="dxa"/>
            <w:tcBorders>
              <w:top w:val="single" w:sz="4" w:space="0" w:color="677719"/>
              <w:left w:val="single" w:sz="4" w:space="0" w:color="677719"/>
              <w:bottom w:val="single" w:sz="4" w:space="0" w:color="677719"/>
              <w:right w:val="single" w:sz="4" w:space="0" w:color="677719"/>
            </w:tcBorders>
            <w:vAlign w:val="bottom"/>
          </w:tcPr>
          <w:p w14:paraId="1923303B" w14:textId="17864A3A" w:rsidR="00A41319" w:rsidRPr="00580905" w:rsidRDefault="005369F7" w:rsidP="00A968DB">
            <w:pPr>
              <w:pStyle w:val="TableText"/>
              <w:jc w:val="center"/>
            </w:pPr>
            <w:r w:rsidRPr="00580905">
              <w:t>8.8</w:t>
            </w:r>
          </w:p>
        </w:tc>
        <w:tc>
          <w:tcPr>
            <w:tcW w:w="992" w:type="dxa"/>
            <w:tcBorders>
              <w:top w:val="single" w:sz="4" w:space="0" w:color="677719"/>
              <w:left w:val="single" w:sz="4" w:space="0" w:color="677719"/>
              <w:bottom w:val="single" w:sz="4" w:space="0" w:color="677719"/>
              <w:right w:val="single" w:sz="4" w:space="0" w:color="677719"/>
            </w:tcBorders>
            <w:vAlign w:val="bottom"/>
          </w:tcPr>
          <w:p w14:paraId="75FDFFA0" w14:textId="15DA53A9" w:rsidR="00A41319" w:rsidRPr="00580905" w:rsidRDefault="005369F7" w:rsidP="00A968DB">
            <w:pPr>
              <w:pStyle w:val="TableText"/>
              <w:jc w:val="center"/>
            </w:pPr>
            <w:r w:rsidRPr="00580905">
              <w:t>222</w:t>
            </w:r>
          </w:p>
        </w:tc>
        <w:tc>
          <w:tcPr>
            <w:tcW w:w="1054" w:type="dxa"/>
            <w:tcBorders>
              <w:top w:val="single" w:sz="4" w:space="0" w:color="677719"/>
              <w:left w:val="single" w:sz="4" w:space="0" w:color="677719"/>
              <w:bottom w:val="single" w:sz="4" w:space="0" w:color="677719"/>
              <w:right w:val="nil"/>
            </w:tcBorders>
            <w:vAlign w:val="bottom"/>
          </w:tcPr>
          <w:p w14:paraId="2C44A62C" w14:textId="5CBECC38" w:rsidR="00A41319" w:rsidRPr="00580905" w:rsidRDefault="009955C5" w:rsidP="00A968DB">
            <w:pPr>
              <w:pStyle w:val="TableText"/>
              <w:jc w:val="center"/>
            </w:pPr>
            <w:r w:rsidRPr="00580905">
              <w:t>9.7</w:t>
            </w:r>
          </w:p>
        </w:tc>
      </w:tr>
    </w:tbl>
    <w:p w14:paraId="5DBF2A52" w14:textId="0C19702D" w:rsidR="006C79AB" w:rsidRPr="00AF74F8" w:rsidRDefault="002169FB" w:rsidP="00AF74F8">
      <w:pPr>
        <w:pStyle w:val="Heading4"/>
        <w:rPr>
          <w:i/>
        </w:rPr>
      </w:pPr>
      <w:bookmarkStart w:id="27" w:name="_Toc456343389"/>
      <w:r w:rsidRPr="00AF74F8">
        <w:rPr>
          <w:i/>
        </w:rPr>
        <w:t>The lev</w:t>
      </w:r>
      <w:r w:rsidR="0072047A" w:rsidRPr="00AF74F8">
        <w:rPr>
          <w:i/>
        </w:rPr>
        <w:t>el of resources allocated to compliance monitoring and enforcement</w:t>
      </w:r>
      <w:r w:rsidRPr="00AF74F8">
        <w:rPr>
          <w:i/>
        </w:rPr>
        <w:t xml:space="preserve"> varies </w:t>
      </w:r>
      <w:r w:rsidR="000461B3" w:rsidRPr="00AF74F8">
        <w:rPr>
          <w:i/>
        </w:rPr>
        <w:t>b</w:t>
      </w:r>
      <w:r w:rsidRPr="00AF74F8">
        <w:rPr>
          <w:i/>
        </w:rPr>
        <w:t>etween councils</w:t>
      </w:r>
      <w:bookmarkEnd w:id="27"/>
    </w:p>
    <w:p w14:paraId="60D6FF87" w14:textId="41D3C131" w:rsidR="00CB3183" w:rsidRDefault="000C0DB3" w:rsidP="00A968DB">
      <w:pPr>
        <w:pStyle w:val="BodyText"/>
      </w:pPr>
      <w:r>
        <w:t>Given the</w:t>
      </w:r>
      <w:r w:rsidR="00141170">
        <w:t xml:space="preserve"> significance</w:t>
      </w:r>
      <w:r>
        <w:t xml:space="preserve"> of </w:t>
      </w:r>
      <w:r w:rsidR="00F937D8">
        <w:t xml:space="preserve">CME </w:t>
      </w:r>
      <w:r w:rsidR="00141170">
        <w:t>in</w:t>
      </w:r>
      <w:r>
        <w:t xml:space="preserve"> </w:t>
      </w:r>
      <w:r w:rsidR="00F937D8">
        <w:t xml:space="preserve">implementing </w:t>
      </w:r>
      <w:r>
        <w:t>the RMA and providing for strong environmental outcomes, it is important that CME activities are adequately resourced. However, c</w:t>
      </w:r>
      <w:r w:rsidR="00CB3183">
        <w:t xml:space="preserve">ouncils </w:t>
      </w:r>
      <w:r w:rsidR="00F937D8">
        <w:t xml:space="preserve">have </w:t>
      </w:r>
      <w:r w:rsidR="00CB3183">
        <w:t>limited resources</w:t>
      </w:r>
      <w:r w:rsidR="00F937D8">
        <w:t xml:space="preserve"> </w:t>
      </w:r>
      <w:r w:rsidR="00141170">
        <w:t xml:space="preserve">and significant responsibilities under several different statutes. </w:t>
      </w:r>
      <w:r w:rsidR="000461B3">
        <w:t xml:space="preserve">Councillors, upon advice from staff, </w:t>
      </w:r>
      <w:r w:rsidR="00F937D8">
        <w:t xml:space="preserve">are required to make </w:t>
      </w:r>
      <w:r w:rsidR="00CB3183">
        <w:t xml:space="preserve">trade-offs </w:t>
      </w:r>
      <w:r w:rsidR="008E10AD">
        <w:t>in determining the level of funding to allocate to different activities</w:t>
      </w:r>
      <w:r w:rsidR="005E215A">
        <w:t>. As a result</w:t>
      </w:r>
      <w:r w:rsidR="008E10AD">
        <w:t xml:space="preserve"> of differing levels of funding and priorities</w:t>
      </w:r>
      <w:r w:rsidR="005E215A">
        <w:t xml:space="preserve">, resourcing for CME activities vary </w:t>
      </w:r>
      <w:r w:rsidR="008E10AD">
        <w:t xml:space="preserve">considerably </w:t>
      </w:r>
      <w:r w:rsidR="005E215A">
        <w:t xml:space="preserve">between councils. </w:t>
      </w:r>
    </w:p>
    <w:p w14:paraId="796F4DAF" w14:textId="493A8EBF" w:rsidR="00FA6C0B" w:rsidRDefault="00FA6C0B" w:rsidP="00A968DB">
      <w:pPr>
        <w:pStyle w:val="BodyText"/>
      </w:pPr>
      <w:r>
        <w:t>R</w:t>
      </w:r>
      <w:r w:rsidRPr="00580905">
        <w:t>egional councils and unitary authorities</w:t>
      </w:r>
      <w:r>
        <w:t xml:space="preserve"> tend to</w:t>
      </w:r>
      <w:r w:rsidRPr="00580905">
        <w:t xml:space="preserve"> place greater emphasis on CME than territorial authorities, partly </w:t>
      </w:r>
      <w:r>
        <w:t xml:space="preserve">because the </w:t>
      </w:r>
      <w:r w:rsidRPr="00580905">
        <w:t>differences in their core functions</w:t>
      </w:r>
      <w:r w:rsidR="000461B3">
        <w:t xml:space="preserve"> mean that more</w:t>
      </w:r>
      <w:r>
        <w:t xml:space="preserve"> monitoring is required</w:t>
      </w:r>
      <w:r w:rsidRPr="00580905">
        <w:t xml:space="preserve"> (</w:t>
      </w:r>
      <w:r>
        <w:t>as explained in 3.</w:t>
      </w:r>
      <w:r w:rsidRPr="00580905">
        <w:t xml:space="preserve">2). </w:t>
      </w:r>
    </w:p>
    <w:p w14:paraId="3230076A" w14:textId="546C3364" w:rsidR="001735A1" w:rsidRDefault="002169FB" w:rsidP="00A968DB">
      <w:pPr>
        <w:pStyle w:val="BodyText"/>
      </w:pPr>
      <w:r>
        <w:t xml:space="preserve">While some staff spoken to believed CME activities were adequately funded in their council, the majority </w:t>
      </w:r>
      <w:r w:rsidR="00FA66A0">
        <w:t xml:space="preserve">of </w:t>
      </w:r>
      <w:r w:rsidR="009A164E">
        <w:t xml:space="preserve">council </w:t>
      </w:r>
      <w:r w:rsidR="00FA66A0">
        <w:t xml:space="preserve">representatives </w:t>
      </w:r>
      <w:r w:rsidR="008D138D">
        <w:t>said CME activities should be better resourced</w:t>
      </w:r>
      <w:r w:rsidR="009D02B6">
        <w:t>.</w:t>
      </w:r>
      <w:r w:rsidR="009A164E">
        <w:t xml:space="preserve"> </w:t>
      </w:r>
      <w:r w:rsidR="008D138D">
        <w:t>With limited resources, their council</w:t>
      </w:r>
      <w:r w:rsidR="000D4FFA">
        <w:t>s</w:t>
      </w:r>
      <w:r w:rsidR="008D138D">
        <w:t xml:space="preserve"> w</w:t>
      </w:r>
      <w:r w:rsidR="000D4FFA">
        <w:t>ere</w:t>
      </w:r>
      <w:r w:rsidR="008D138D">
        <w:t xml:space="preserve"> not able to </w:t>
      </w:r>
      <w:r w:rsidR="009A164E">
        <w:t xml:space="preserve">monitor all the resource consents that require monitoring, and </w:t>
      </w:r>
      <w:r w:rsidR="000D4FFA">
        <w:t xml:space="preserve">they </w:t>
      </w:r>
      <w:r w:rsidR="00CB12AF">
        <w:t xml:space="preserve">had limited capacity to proactively monitor for compliance with plan rules (permitted activities). </w:t>
      </w:r>
      <w:r w:rsidR="000D4FFA">
        <w:t>Council staff observed that o</w:t>
      </w:r>
      <w:r w:rsidR="00CB12AF">
        <w:t xml:space="preserve">ther activities, such as resource consenting and plan-making, </w:t>
      </w:r>
      <w:r w:rsidR="000D4FFA">
        <w:t xml:space="preserve">were supported by </w:t>
      </w:r>
      <w:r w:rsidR="00CB12AF">
        <w:t xml:space="preserve">more </w:t>
      </w:r>
      <w:r w:rsidR="000D4FFA">
        <w:t xml:space="preserve">significant </w:t>
      </w:r>
      <w:r w:rsidR="00CB12AF">
        <w:t>resources than CME.</w:t>
      </w:r>
      <w:r w:rsidR="00CB3183">
        <w:t xml:space="preserve"> </w:t>
      </w:r>
    </w:p>
    <w:p w14:paraId="04B2A17D" w14:textId="4D067EE3" w:rsidR="000D4FFA" w:rsidRDefault="000D4FFA" w:rsidP="000D4FFA">
      <w:pPr>
        <w:pStyle w:val="BodyText"/>
      </w:pPr>
      <w:r>
        <w:t>The NMS data shows that s</w:t>
      </w:r>
      <w:r w:rsidRPr="00580905">
        <w:t xml:space="preserve">ome territorial authorities have </w:t>
      </w:r>
      <w:r w:rsidRPr="009B46B8">
        <w:t>very limited</w:t>
      </w:r>
      <w:r w:rsidRPr="00580905">
        <w:t xml:space="preserve"> resources available for CME activities</w:t>
      </w:r>
      <w:r w:rsidR="000C0DB3">
        <w:t xml:space="preserve">. For example, </w:t>
      </w:r>
      <w:r>
        <w:t>two</w:t>
      </w:r>
      <w:r w:rsidRPr="00580905">
        <w:t xml:space="preserve"> council</w:t>
      </w:r>
      <w:r>
        <w:t>s</w:t>
      </w:r>
      <w:r w:rsidRPr="00580905">
        <w:t xml:space="preserve"> included in this study had 0.1 FTE</w:t>
      </w:r>
      <w:r>
        <w:t xml:space="preserve"> or less </w:t>
      </w:r>
      <w:r w:rsidRPr="00580905">
        <w:t xml:space="preserve">available for CME. </w:t>
      </w:r>
      <w:proofErr w:type="gramStart"/>
      <w:r w:rsidRPr="00580905">
        <w:t>Staff in territorial authorities</w:t>
      </w:r>
      <w:r>
        <w:t xml:space="preserve"> </w:t>
      </w:r>
      <w:r w:rsidR="000C0DB3">
        <w:t>(</w:t>
      </w:r>
      <w:r>
        <w:t>and some smaller regional councils and unitary authorities</w:t>
      </w:r>
      <w:r w:rsidR="000C0DB3">
        <w:t>)</w:t>
      </w:r>
      <w:r w:rsidRPr="00580905">
        <w:t xml:space="preserve"> are</w:t>
      </w:r>
      <w:proofErr w:type="gramEnd"/>
      <w:r w:rsidRPr="00580905">
        <w:t xml:space="preserve"> normally required to balance their CME responsibilities alongside a range of responsibilities under the RMA and other legislation. </w:t>
      </w:r>
      <w:r w:rsidR="000C0DB3">
        <w:t>Council representatives explained that</w:t>
      </w:r>
      <w:r w:rsidRPr="00580905">
        <w:t xml:space="preserve"> </w:t>
      </w:r>
      <w:r w:rsidR="000461B3">
        <w:t>with limited resources,</w:t>
      </w:r>
      <w:r w:rsidRPr="00580905">
        <w:t xml:space="preserve"> it</w:t>
      </w:r>
      <w:r w:rsidR="000461B3">
        <w:t xml:space="preserve"> is difficult for </w:t>
      </w:r>
      <w:r w:rsidRPr="00580905">
        <w:t>council staff to carry out their roles effectively.</w:t>
      </w:r>
    </w:p>
    <w:p w14:paraId="66F4ADB2" w14:textId="3A82D37A" w:rsidR="00CE6591" w:rsidRPr="00580905" w:rsidRDefault="003C35F6" w:rsidP="00A968DB">
      <w:pPr>
        <w:pStyle w:val="BodyText"/>
      </w:pPr>
      <w:r>
        <w:t xml:space="preserve">There are a number of reasons, raised by council staff, for </w:t>
      </w:r>
      <w:r w:rsidR="00CE6591" w:rsidRPr="00580905">
        <w:t xml:space="preserve">why CME activities may not be a key focus of councils. These include: </w:t>
      </w:r>
    </w:p>
    <w:p w14:paraId="53B872AF" w14:textId="7C732F72" w:rsidR="00CE6591" w:rsidRPr="00580905" w:rsidRDefault="004D09DA" w:rsidP="00FB32C5">
      <w:pPr>
        <w:pStyle w:val="Bullet"/>
        <w:numPr>
          <w:ilvl w:val="0"/>
          <w:numId w:val="15"/>
        </w:numPr>
        <w:spacing w:after="100"/>
      </w:pPr>
      <w:r w:rsidRPr="00580905">
        <w:t>l</w:t>
      </w:r>
      <w:r w:rsidR="00E9211A" w:rsidRPr="00580905">
        <w:t>ack of resources (operational expenditure) available to the council</w:t>
      </w:r>
    </w:p>
    <w:p w14:paraId="6614886D" w14:textId="0A8EDE98" w:rsidR="00CE6591" w:rsidRPr="00580905" w:rsidRDefault="004D09DA" w:rsidP="00FB32C5">
      <w:pPr>
        <w:pStyle w:val="Bullet"/>
        <w:numPr>
          <w:ilvl w:val="0"/>
          <w:numId w:val="15"/>
        </w:numPr>
        <w:spacing w:after="100"/>
      </w:pPr>
      <w:r w:rsidRPr="00580905">
        <w:t>l</w:t>
      </w:r>
      <w:r w:rsidR="00CE6591" w:rsidRPr="00580905">
        <w:t xml:space="preserve">ack of political will to effectively implement the RMA and </w:t>
      </w:r>
      <w:r w:rsidR="00FD09ED">
        <w:t>penalise</w:t>
      </w:r>
      <w:r w:rsidR="00CE6591" w:rsidRPr="00580905">
        <w:t xml:space="preserve"> non-compliance</w:t>
      </w:r>
    </w:p>
    <w:p w14:paraId="3CC2AA2B" w14:textId="5F05899E" w:rsidR="00CE6591" w:rsidRPr="00580905" w:rsidRDefault="004D09DA" w:rsidP="00FB32C5">
      <w:pPr>
        <w:pStyle w:val="Bullet"/>
        <w:numPr>
          <w:ilvl w:val="0"/>
          <w:numId w:val="15"/>
        </w:numPr>
        <w:spacing w:after="100"/>
      </w:pPr>
      <w:r w:rsidRPr="00580905">
        <w:t>l</w:t>
      </w:r>
      <w:r w:rsidR="006036DE">
        <w:t>ack of understanding by</w:t>
      </w:r>
      <w:r w:rsidR="00CE6591" w:rsidRPr="00580905">
        <w:t xml:space="preserve"> </w:t>
      </w:r>
      <w:r w:rsidR="00E9211A" w:rsidRPr="00580905">
        <w:t>the councillors (who make decisions on</w:t>
      </w:r>
      <w:r w:rsidR="009B6E26" w:rsidRPr="00580905">
        <w:t xml:space="preserve"> resources available for CME</w:t>
      </w:r>
      <w:r w:rsidR="00E9211A" w:rsidRPr="00580905">
        <w:t xml:space="preserve">) and council staff of </w:t>
      </w:r>
      <w:r w:rsidR="00CE6591" w:rsidRPr="00580905">
        <w:t>the importance of CME activities</w:t>
      </w:r>
    </w:p>
    <w:p w14:paraId="13071508" w14:textId="79102E3D" w:rsidR="00CE6591" w:rsidRDefault="004D09DA" w:rsidP="00FB32C5">
      <w:pPr>
        <w:pStyle w:val="Bullet"/>
        <w:numPr>
          <w:ilvl w:val="0"/>
          <w:numId w:val="15"/>
        </w:numPr>
        <w:spacing w:after="100"/>
      </w:pPr>
      <w:proofErr w:type="gramStart"/>
      <w:r w:rsidRPr="00580905">
        <w:t>t</w:t>
      </w:r>
      <w:r w:rsidR="00CE6591" w:rsidRPr="00580905">
        <w:t>he</w:t>
      </w:r>
      <w:proofErr w:type="gramEnd"/>
      <w:r w:rsidR="00CE6591" w:rsidRPr="00580905">
        <w:t xml:space="preserve"> stricter statutory requirements placed on other RMA and non-RMA activities</w:t>
      </w:r>
      <w:r w:rsidR="006036DE">
        <w:t xml:space="preserve"> and financial and reputational consequences associated with breaches of these requirements</w:t>
      </w:r>
      <w:r w:rsidR="00CE6591" w:rsidRPr="00580905">
        <w:t>, thus resulting in th</w:t>
      </w:r>
      <w:r w:rsidR="006036DE">
        <w:t>ese activities taking priority.</w:t>
      </w:r>
    </w:p>
    <w:p w14:paraId="17A1975F" w14:textId="118011E7" w:rsidR="00674D79" w:rsidRPr="00580905" w:rsidRDefault="00674D79" w:rsidP="00EF4475">
      <w:pPr>
        <w:pStyle w:val="Bullet"/>
        <w:numPr>
          <w:ilvl w:val="0"/>
          <w:numId w:val="0"/>
        </w:numPr>
        <w:spacing w:after="100"/>
      </w:pPr>
      <w:r>
        <w:t>A number of stakeholders spoken to expressed concern about the limited resources available for CME in councils. Waikato-Tainui representatives</w:t>
      </w:r>
      <w:r w:rsidR="005F547D">
        <w:t xml:space="preserve"> believe </w:t>
      </w:r>
      <w:r w:rsidRPr="00580905">
        <w:t xml:space="preserve">CME activities are under-resourced, and </w:t>
      </w:r>
      <w:r w:rsidR="005F547D">
        <w:t xml:space="preserve">think </w:t>
      </w:r>
      <w:r w:rsidRPr="00580905">
        <w:t>iwi could</w:t>
      </w:r>
      <w:r>
        <w:t xml:space="preserve"> assist with these activities</w:t>
      </w:r>
      <w:r w:rsidR="005F547D">
        <w:t xml:space="preserve"> (see discussion in part 4).</w:t>
      </w:r>
    </w:p>
    <w:p w14:paraId="55B8C06F" w14:textId="513451EF" w:rsidR="000A454A" w:rsidRPr="00F52FC6" w:rsidRDefault="000A454A" w:rsidP="00DD224D">
      <w:pPr>
        <w:pStyle w:val="Heading3"/>
      </w:pPr>
      <w:bookmarkStart w:id="28" w:name="_Toc456343390"/>
      <w:r w:rsidRPr="00F52FC6">
        <w:t>Approaches to monitoring</w:t>
      </w:r>
      <w:bookmarkEnd w:id="28"/>
    </w:p>
    <w:p w14:paraId="6E6931F8" w14:textId="12E00A54" w:rsidR="00F01915" w:rsidRDefault="00F01915" w:rsidP="00A968DB">
      <w:pPr>
        <w:pStyle w:val="BodyText"/>
      </w:pPr>
      <w:r w:rsidRPr="00580905">
        <w:t>Councils’ monitoring activities generally focus on complaint response and ensuring compliance with resource consent conditions. P</w:t>
      </w:r>
      <w:r w:rsidR="009B46B8">
        <w:t>lan rule (p</w:t>
      </w:r>
      <w:r w:rsidRPr="00580905">
        <w:t>ermitted activity</w:t>
      </w:r>
      <w:r w:rsidR="009B46B8">
        <w:t>)</w:t>
      </w:r>
      <w:r w:rsidRPr="00580905">
        <w:t xml:space="preserve"> monitoring is highly variable between councils – some councils do not </w:t>
      </w:r>
      <w:r w:rsidR="00CD76A5">
        <w:t xml:space="preserve">carry out any monitoring of compliance with plan rules (outside of resource consent monitoring), unless a complaint is made. </w:t>
      </w:r>
      <w:r w:rsidR="00973D0E">
        <w:t>Council p</w:t>
      </w:r>
      <w:r w:rsidR="004801AE">
        <w:t>ractice</w:t>
      </w:r>
      <w:r w:rsidR="00973D0E">
        <w:t>s</w:t>
      </w:r>
      <w:r w:rsidR="004C1254">
        <w:t xml:space="preserve"> around giving prior warning of inspection</w:t>
      </w:r>
      <w:r w:rsidR="00973D0E">
        <w:t>s also var</w:t>
      </w:r>
      <w:r w:rsidR="00663458">
        <w:t>y</w:t>
      </w:r>
      <w:r w:rsidR="00973D0E">
        <w:t>.</w:t>
      </w:r>
    </w:p>
    <w:p w14:paraId="264390C9" w14:textId="32C3636E" w:rsidR="009B46B8" w:rsidRPr="00AF74F8" w:rsidRDefault="009B46B8" w:rsidP="00AF74F8">
      <w:pPr>
        <w:pStyle w:val="Heading4"/>
        <w:rPr>
          <w:i/>
        </w:rPr>
      </w:pPr>
      <w:r w:rsidRPr="00AF74F8">
        <w:rPr>
          <w:i/>
        </w:rPr>
        <w:t>Council practices around giving prior</w:t>
      </w:r>
      <w:r w:rsidR="004C1254" w:rsidRPr="00AF74F8">
        <w:rPr>
          <w:i/>
        </w:rPr>
        <w:t xml:space="preserve"> warning before inspections vary </w:t>
      </w:r>
    </w:p>
    <w:p w14:paraId="22BFEA7A" w14:textId="37F8EA32" w:rsidR="007478EB" w:rsidRDefault="007478EB" w:rsidP="00A968DB">
      <w:pPr>
        <w:pStyle w:val="BodyText"/>
      </w:pPr>
      <w:r w:rsidRPr="00580905">
        <w:t>While some councils have</w:t>
      </w:r>
      <w:bookmarkStart w:id="29" w:name="_GoBack"/>
      <w:bookmarkEnd w:id="29"/>
      <w:r w:rsidRPr="00580905">
        <w:t xml:space="preserve"> a policy of pre-warning monitoring visits in all but extreme cases (for</w:t>
      </w:r>
      <w:r w:rsidR="00A55AA9">
        <w:t> </w:t>
      </w:r>
      <w:r w:rsidRPr="00580905">
        <w:t>example, where the property owner or manager cannot be contacted and the risks of environmental damag</w:t>
      </w:r>
      <w:r w:rsidR="006208D0" w:rsidRPr="00580905">
        <w:t>e are imminent and significant), others frequently carry out site visits by</w:t>
      </w:r>
      <w:r w:rsidR="00A55AA9">
        <w:t> </w:t>
      </w:r>
      <w:r w:rsidR="006208D0" w:rsidRPr="00580905">
        <w:t xml:space="preserve">‘cold-calling’. Views on the </w:t>
      </w:r>
      <w:r w:rsidR="004B1C15" w:rsidRPr="00580905">
        <w:t xml:space="preserve">ethics and effectiveness of cold-calling </w:t>
      </w:r>
      <w:r w:rsidR="00A658F3" w:rsidRPr="00580905">
        <w:t>var</w:t>
      </w:r>
      <w:r w:rsidR="003F4910">
        <w:t>y</w:t>
      </w:r>
      <w:r w:rsidR="00A658F3" w:rsidRPr="00580905">
        <w:t xml:space="preserve"> between councils and sta</w:t>
      </w:r>
      <w:r w:rsidR="004B1C15" w:rsidRPr="00580905">
        <w:t>k</w:t>
      </w:r>
      <w:r w:rsidR="00A658F3" w:rsidRPr="00580905">
        <w:t>e</w:t>
      </w:r>
      <w:r w:rsidR="004B1C15" w:rsidRPr="00580905">
        <w:t>holders</w:t>
      </w:r>
      <w:r w:rsidR="00BF3D57" w:rsidRPr="00580905">
        <w:t>. S</w:t>
      </w:r>
      <w:r w:rsidR="004B1C15" w:rsidRPr="00580905">
        <w:t xml:space="preserve">ome </w:t>
      </w:r>
      <w:r w:rsidR="00BF3D57" w:rsidRPr="00580905">
        <w:t>believe</w:t>
      </w:r>
      <w:r w:rsidR="004B1C15" w:rsidRPr="00580905">
        <w:t xml:space="preserve"> this </w:t>
      </w:r>
      <w:r w:rsidR="00BF3D57" w:rsidRPr="00580905">
        <w:t>is</w:t>
      </w:r>
      <w:r w:rsidR="004B1C15" w:rsidRPr="00580905">
        <w:t xml:space="preserve"> the only way to get an accurate assessment of compliance or non-compliance, while othe</w:t>
      </w:r>
      <w:r w:rsidR="00A658F3" w:rsidRPr="00580905">
        <w:t>rs</w:t>
      </w:r>
      <w:r w:rsidR="006208D0" w:rsidRPr="00580905">
        <w:t xml:space="preserve"> </w:t>
      </w:r>
      <w:r w:rsidR="00BF3D57" w:rsidRPr="00580905">
        <w:t xml:space="preserve">believe </w:t>
      </w:r>
      <w:r w:rsidR="004B1C15" w:rsidRPr="00580905">
        <w:t xml:space="preserve">cold-calling places unnecessary </w:t>
      </w:r>
      <w:r w:rsidR="00BF3D57" w:rsidRPr="00580905">
        <w:t xml:space="preserve">stress </w:t>
      </w:r>
      <w:r w:rsidR="004B1C15" w:rsidRPr="00580905">
        <w:t xml:space="preserve">on the property owner or manager, and </w:t>
      </w:r>
      <w:r w:rsidR="00BF3D57" w:rsidRPr="00580905">
        <w:t xml:space="preserve">prefer a more ‘cooperative’ approach to assessing and encouraging compliance. </w:t>
      </w:r>
    </w:p>
    <w:p w14:paraId="58DEF034" w14:textId="38401B86" w:rsidR="0097069D" w:rsidRPr="00AF74F8" w:rsidRDefault="0097069D" w:rsidP="00AF74F8">
      <w:pPr>
        <w:pStyle w:val="Heading4"/>
        <w:rPr>
          <w:i/>
        </w:rPr>
      </w:pPr>
      <w:bookmarkStart w:id="30" w:name="_Toc456343391"/>
      <w:r w:rsidRPr="00AF74F8">
        <w:rPr>
          <w:i/>
        </w:rPr>
        <w:t>Many councils take a risk-based ap</w:t>
      </w:r>
      <w:r w:rsidR="006424B5" w:rsidRPr="00AF74F8">
        <w:rPr>
          <w:i/>
        </w:rPr>
        <w:t>proach to monitoring</w:t>
      </w:r>
      <w:bookmarkEnd w:id="30"/>
    </w:p>
    <w:p w14:paraId="3E93109B" w14:textId="5632A9D2" w:rsidR="00ED7E49" w:rsidRPr="00580905" w:rsidRDefault="002C1898" w:rsidP="00A968DB">
      <w:pPr>
        <w:pStyle w:val="BodyText"/>
      </w:pPr>
      <w:r w:rsidRPr="00580905">
        <w:t>Most regional councils and unitary authorities</w:t>
      </w:r>
      <w:r w:rsidR="00B36A43">
        <w:t xml:space="preserve"> spoken to</w:t>
      </w:r>
      <w:r w:rsidRPr="00580905">
        <w:t>, as well as some territorial authorities, have</w:t>
      </w:r>
      <w:r w:rsidR="00DB5931" w:rsidRPr="00580905">
        <w:t xml:space="preserve"> </w:t>
      </w:r>
      <w:r w:rsidRPr="00580905">
        <w:t xml:space="preserve">adopted </w:t>
      </w:r>
      <w:r w:rsidR="00BF35A0" w:rsidRPr="00580905">
        <w:t xml:space="preserve">a risk-based approach to monitoring. </w:t>
      </w:r>
      <w:r w:rsidR="0040720D" w:rsidRPr="00580905">
        <w:t>These c</w:t>
      </w:r>
      <w:r w:rsidR="006C5894" w:rsidRPr="00580905">
        <w:t>ounc</w:t>
      </w:r>
      <w:r w:rsidR="005F51D6" w:rsidRPr="00580905">
        <w:t xml:space="preserve">ils </w:t>
      </w:r>
      <w:r w:rsidR="006C5894" w:rsidRPr="00580905">
        <w:t>assess i</w:t>
      </w:r>
      <w:r w:rsidR="00BF35A0" w:rsidRPr="00580905">
        <w:t>ncidences of non</w:t>
      </w:r>
      <w:r w:rsidR="00DB5931" w:rsidRPr="00580905">
        <w:noBreakHyphen/>
      </w:r>
      <w:r w:rsidR="00BF35A0" w:rsidRPr="00580905">
        <w:t>compliance/possible non-compliance according to their risk, taking into account the likelihood of an event o</w:t>
      </w:r>
      <w:r w:rsidR="00AE7FA8" w:rsidRPr="00580905">
        <w:t>c</w:t>
      </w:r>
      <w:r w:rsidR="00BF35A0" w:rsidRPr="00580905">
        <w:t xml:space="preserve">curring and the risk of harm to human health and the environment. These two factors form a ‘risk matrix’, shown in </w:t>
      </w:r>
      <w:r w:rsidR="0040720D" w:rsidRPr="00580905">
        <w:t>F</w:t>
      </w:r>
      <w:r w:rsidR="00BF35A0" w:rsidRPr="00580905">
        <w:t xml:space="preserve">igure </w:t>
      </w:r>
      <w:r w:rsidR="00AE7FA8" w:rsidRPr="00580905">
        <w:t>2</w:t>
      </w:r>
      <w:r w:rsidR="00BF35A0" w:rsidRPr="00580905">
        <w:t>.</w:t>
      </w:r>
      <w:r w:rsidRPr="00580905">
        <w:t xml:space="preserve"> The level of risk determines the appropriate response, including the frequency, type and scale of monitoring required.</w:t>
      </w:r>
    </w:p>
    <w:p w14:paraId="649DC54C" w14:textId="6F8CE6FF" w:rsidR="00BF35A0" w:rsidRPr="007E564C" w:rsidRDefault="00BF35A0" w:rsidP="007E564C">
      <w:pPr>
        <w:pStyle w:val="Figureheading"/>
      </w:pPr>
      <w:bookmarkStart w:id="31" w:name="_Toc456691253"/>
      <w:r w:rsidRPr="00580905">
        <w:t xml:space="preserve">Figure </w:t>
      </w:r>
      <w:r w:rsidR="00AE7FA8" w:rsidRPr="00580905">
        <w:t xml:space="preserve">2: </w:t>
      </w:r>
      <w:r w:rsidR="00DB5931" w:rsidRPr="00580905">
        <w:tab/>
      </w:r>
      <w:r w:rsidRPr="00580905">
        <w:t>Environmental Risk Matrix</w:t>
      </w:r>
      <w:r w:rsidR="002C1898" w:rsidRPr="00580905">
        <w:rPr>
          <w:rStyle w:val="FootnoteReference"/>
          <w:rFonts w:cs="Arial"/>
          <w:b w:val="0"/>
        </w:rPr>
        <w:footnoteReference w:id="26"/>
      </w:r>
      <w:bookmarkEnd w:id="31"/>
    </w:p>
    <w:p w14:paraId="06412DFE" w14:textId="0B86AA65" w:rsidR="00E743A5" w:rsidRPr="00580905" w:rsidRDefault="00BF35A0" w:rsidP="00DE7757">
      <w:pPr>
        <w:pStyle w:val="BodyText"/>
      </w:pPr>
      <w:r w:rsidRPr="00580905">
        <w:rPr>
          <w:noProof/>
          <w:lang w:eastAsia="en-NZ"/>
        </w:rPr>
        <w:drawing>
          <wp:inline distT="0" distB="0" distL="0" distR="0" wp14:anchorId="08FD5D41" wp14:editId="5D61D061">
            <wp:extent cx="4072112" cy="2649982"/>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srcRect l="13177" t="27944" r="30839" b="13765"/>
                    <a:stretch/>
                  </pic:blipFill>
                  <pic:spPr bwMode="auto">
                    <a:xfrm>
                      <a:off x="0" y="0"/>
                      <a:ext cx="4077139" cy="2653253"/>
                    </a:xfrm>
                    <a:prstGeom prst="rect">
                      <a:avLst/>
                    </a:prstGeom>
                    <a:ln>
                      <a:noFill/>
                    </a:ln>
                    <a:extLst>
                      <a:ext uri="{53640926-AAD7-44D8-BBD7-CCE9431645EC}">
                        <a14:shadowObscured xmlns:a14="http://schemas.microsoft.com/office/drawing/2010/main"/>
                      </a:ext>
                    </a:extLst>
                  </pic:spPr>
                </pic:pic>
              </a:graphicData>
            </a:graphic>
          </wp:inline>
        </w:drawing>
      </w:r>
    </w:p>
    <w:p w14:paraId="31E5EC01" w14:textId="049455FB" w:rsidR="006424B5" w:rsidRPr="00580905" w:rsidRDefault="00A658F3" w:rsidP="00DB5931">
      <w:pPr>
        <w:pStyle w:val="BodyText"/>
        <w:spacing w:after="240"/>
      </w:pPr>
      <w:r w:rsidRPr="00580905">
        <w:t>Bay of Plenty Regional Council</w:t>
      </w:r>
      <w:r w:rsidR="00694B78" w:rsidRPr="00580905">
        <w:t xml:space="preserve"> </w:t>
      </w:r>
      <w:r w:rsidR="00AE7FA8" w:rsidRPr="00580905">
        <w:t xml:space="preserve">uses a risk-based </w:t>
      </w:r>
      <w:r w:rsidR="00694B78" w:rsidRPr="00580905">
        <w:t>approach to monitoring</w:t>
      </w:r>
      <w:r w:rsidR="00AE7FA8" w:rsidRPr="00580905">
        <w:t>, which</w:t>
      </w:r>
      <w:r w:rsidR="00694B78" w:rsidRPr="00580905">
        <w:t xml:space="preserve"> is explained below.</w:t>
      </w:r>
    </w:p>
    <w:tbl>
      <w:tblPr>
        <w:tblW w:w="850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hemeFill="accent3" w:themeFillTint="33"/>
        <w:tblLook w:val="04A0" w:firstRow="1" w:lastRow="0" w:firstColumn="1" w:lastColumn="0" w:noHBand="0" w:noVBand="1"/>
      </w:tblPr>
      <w:tblGrid>
        <w:gridCol w:w="8505"/>
      </w:tblGrid>
      <w:tr w:rsidR="00E743A5" w:rsidRPr="00580905" w14:paraId="640BBE30" w14:textId="77777777" w:rsidTr="00A64448">
        <w:trPr>
          <w:cantSplit/>
        </w:trPr>
        <w:tc>
          <w:tcPr>
            <w:tcW w:w="8505" w:type="dxa"/>
            <w:tcBorders>
              <w:top w:val="single" w:sz="4" w:space="0" w:color="677719"/>
              <w:left w:val="single" w:sz="4" w:space="0" w:color="677719"/>
              <w:bottom w:val="nil"/>
              <w:right w:val="single" w:sz="4" w:space="0" w:color="677719"/>
            </w:tcBorders>
            <w:shd w:val="clear" w:color="auto" w:fill="677719"/>
          </w:tcPr>
          <w:p w14:paraId="5BC9B403" w14:textId="7C046B63" w:rsidR="00E743A5" w:rsidRPr="00580905" w:rsidDel="00D5390D" w:rsidRDefault="00E743A5" w:rsidP="00A64448">
            <w:pPr>
              <w:pStyle w:val="Casestudyheading"/>
              <w:rPr>
                <w:color w:val="FFFFFF" w:themeColor="background1"/>
              </w:rPr>
            </w:pPr>
            <w:r w:rsidRPr="00580905">
              <w:rPr>
                <w:color w:val="FFFFFF" w:themeColor="background1"/>
              </w:rPr>
              <w:t>Case study: BAy of plenty regional council</w:t>
            </w:r>
          </w:p>
        </w:tc>
      </w:tr>
      <w:tr w:rsidR="00E743A5" w:rsidRPr="00580905" w14:paraId="308F1424" w14:textId="77777777" w:rsidTr="00A64448">
        <w:trPr>
          <w:cantSplit/>
        </w:trPr>
        <w:tc>
          <w:tcPr>
            <w:tcW w:w="8505" w:type="dxa"/>
            <w:tcBorders>
              <w:top w:val="nil"/>
              <w:left w:val="single" w:sz="4" w:space="0" w:color="C5C19D"/>
              <w:bottom w:val="single" w:sz="4" w:space="0" w:color="C5C19D"/>
              <w:right w:val="single" w:sz="4" w:space="0" w:color="C5C19D"/>
            </w:tcBorders>
            <w:shd w:val="clear" w:color="auto" w:fill="C5C19D"/>
          </w:tcPr>
          <w:p w14:paraId="40ADE763" w14:textId="7392D49B" w:rsidR="00E743A5" w:rsidRPr="00580905" w:rsidRDefault="00E743A5" w:rsidP="00DB5931">
            <w:pPr>
              <w:pStyle w:val="Greentext-tables"/>
              <w:spacing w:before="240"/>
            </w:pPr>
            <w:r w:rsidRPr="00580905">
              <w:t>The Bay of Plenty Regional Council, in its Pollution Prevention and Compliance Report 2014–2015,</w:t>
            </w:r>
            <w:r w:rsidRPr="00580905">
              <w:rPr>
                <w:rStyle w:val="FootnoteReference"/>
              </w:rPr>
              <w:footnoteReference w:id="27"/>
            </w:r>
            <w:r w:rsidR="00580905">
              <w:t xml:space="preserve"> </w:t>
            </w:r>
            <w:r w:rsidRPr="00580905">
              <w:t>states that 40 per cent of the 5,481 resource consents requiring monitoring were monitored that year, either through site visits or off-site assessments. The Council’s approach to monitoring is explained in the report:</w:t>
            </w:r>
          </w:p>
          <w:p w14:paraId="6AE36463" w14:textId="11B57E53" w:rsidR="00E743A5" w:rsidRPr="00580905" w:rsidRDefault="00E743A5" w:rsidP="00DB5931">
            <w:pPr>
              <w:pStyle w:val="Greentext-tables"/>
              <w:spacing w:after="240"/>
            </w:pPr>
            <w:r w:rsidRPr="00580905">
              <w:t>How often an activity is assessed depends on its environmental risk profile and the consent holder’s compliance history. Environmental risk is determined by a number of factors, including the type of activity being undertaken (</w:t>
            </w:r>
            <w:proofErr w:type="spellStart"/>
            <w:r w:rsidRPr="00580905">
              <w:t>eg</w:t>
            </w:r>
            <w:proofErr w:type="spellEnd"/>
            <w:r w:rsidRPr="00580905">
              <w:t>, large scale pulp and paper processing site compared to a lake structure), the sensitivity of the receiving environment (</w:t>
            </w:r>
            <w:proofErr w:type="spellStart"/>
            <w:r w:rsidRPr="00580905">
              <w:t>eg</w:t>
            </w:r>
            <w:proofErr w:type="spellEnd"/>
            <w:r w:rsidRPr="00580905">
              <w:t>, discharge of a process wastewater to a waterway, compared to a storm</w:t>
            </w:r>
            <w:r w:rsidR="00B37086">
              <w:t>-</w:t>
            </w:r>
            <w:r w:rsidRPr="00580905">
              <w:t>water discharge to land soakage) and site specific risks (</w:t>
            </w:r>
            <w:proofErr w:type="spellStart"/>
            <w:r w:rsidRPr="00580905">
              <w:t>eg</w:t>
            </w:r>
            <w:proofErr w:type="spellEnd"/>
            <w:r w:rsidRPr="00580905">
              <w:t xml:space="preserve">, a dairy farm with effluent storage near a water way compared to one with no surface water near the storage ponds). </w:t>
            </w:r>
          </w:p>
        </w:tc>
      </w:tr>
    </w:tbl>
    <w:p w14:paraId="37BD594C" w14:textId="549E0D5B" w:rsidR="007C0709" w:rsidRPr="00580905" w:rsidRDefault="007C0709" w:rsidP="00DB5931">
      <w:pPr>
        <w:pStyle w:val="BodyText"/>
      </w:pPr>
      <w:r w:rsidRPr="00580905">
        <w:t xml:space="preserve">The risk-based approach to monitoring has been endorsed in Cabinet’s </w:t>
      </w:r>
      <w:r w:rsidRPr="00580905">
        <w:rPr>
          <w:i/>
        </w:rPr>
        <w:t>Initial Expectations for</w:t>
      </w:r>
      <w:r w:rsidR="007E564C">
        <w:rPr>
          <w:i/>
        </w:rPr>
        <w:t> </w:t>
      </w:r>
      <w:r w:rsidRPr="00580905">
        <w:rPr>
          <w:i/>
        </w:rPr>
        <w:t>Regulatory Stewardship</w:t>
      </w:r>
      <w:r w:rsidRPr="00580905">
        <w:rPr>
          <w:rStyle w:val="FootnoteReference"/>
        </w:rPr>
        <w:footnoteReference w:id="28"/>
      </w:r>
      <w:r w:rsidRPr="00580905">
        <w:t xml:space="preserve"> and by the Productivity Commission in their 2014 report on </w:t>
      </w:r>
      <w:r w:rsidRPr="00580905">
        <w:rPr>
          <w:i/>
        </w:rPr>
        <w:t>Regulatory Institutions and Practices</w:t>
      </w:r>
      <w:r w:rsidRPr="00580905">
        <w:rPr>
          <w:rStyle w:val="FootnoteReference"/>
        </w:rPr>
        <w:footnoteReference w:id="29"/>
      </w:r>
      <w:r w:rsidRPr="00580905">
        <w:t xml:space="preserve"> as an effective way of targeting certain incid</w:t>
      </w:r>
      <w:r w:rsidR="000461B3">
        <w:t>ences of non-compliance. T</w:t>
      </w:r>
      <w:r w:rsidRPr="00580905">
        <w:t>he risk-based approach is effective</w:t>
      </w:r>
      <w:r w:rsidR="00DB2C3C" w:rsidRPr="00580905">
        <w:t xml:space="preserve"> in that</w:t>
      </w:r>
      <w:r w:rsidRPr="00580905">
        <w:t xml:space="preserve"> it</w:t>
      </w:r>
      <w:r w:rsidR="00DB2C3C" w:rsidRPr="00580905">
        <w:t xml:space="preserve"> allows</w:t>
      </w:r>
      <w:r w:rsidRPr="00580905">
        <w:t xml:space="preserve"> for incidences of</w:t>
      </w:r>
      <w:r w:rsidR="00DB5931" w:rsidRPr="00580905">
        <w:t> </w:t>
      </w:r>
      <w:r w:rsidRPr="00580905">
        <w:t xml:space="preserve">non-compliance (or suspected non-compliance) to be </w:t>
      </w:r>
      <w:r w:rsidR="00DB2C3C" w:rsidRPr="00580905">
        <w:t>assessed on a case-by-case basis and</w:t>
      </w:r>
      <w:r w:rsidR="00DB5931" w:rsidRPr="00580905">
        <w:t> </w:t>
      </w:r>
      <w:r w:rsidR="000461B3">
        <w:t>resolved efficiently. However, i</w:t>
      </w:r>
      <w:r w:rsidR="00DB2C3C" w:rsidRPr="00580905">
        <w:t>t is important that councils also consider the cumulative effects of</w:t>
      </w:r>
      <w:r w:rsidR="008E439F">
        <w:t> </w:t>
      </w:r>
      <w:r w:rsidR="00DB2C3C" w:rsidRPr="00580905">
        <w:t xml:space="preserve">non-compliance. </w:t>
      </w:r>
    </w:p>
    <w:p w14:paraId="115CC487" w14:textId="75E431DC" w:rsidR="009B09FB" w:rsidRPr="003557B5" w:rsidRDefault="009B09FB" w:rsidP="00DD224D">
      <w:pPr>
        <w:pStyle w:val="Heading4"/>
      </w:pPr>
      <w:bookmarkStart w:id="32" w:name="_Toc456343392"/>
      <w:bookmarkStart w:id="33" w:name="_Toc456691112"/>
      <w:r w:rsidRPr="003557B5">
        <w:t>Complaint response</w:t>
      </w:r>
      <w:bookmarkEnd w:id="32"/>
      <w:bookmarkEnd w:id="33"/>
    </w:p>
    <w:p w14:paraId="114023C1" w14:textId="77183CF4" w:rsidR="00317E4E" w:rsidRPr="00AF74F8" w:rsidRDefault="00317E4E" w:rsidP="00AF74F8">
      <w:pPr>
        <w:pStyle w:val="Heading4"/>
        <w:rPr>
          <w:i/>
        </w:rPr>
      </w:pPr>
      <w:bookmarkStart w:id="34" w:name="_Toc456343393"/>
      <w:r w:rsidRPr="00AF74F8">
        <w:rPr>
          <w:i/>
        </w:rPr>
        <w:t>A significant number of complaints for non-compliance with the RMA</w:t>
      </w:r>
      <w:r w:rsidR="00DB5931" w:rsidRPr="00AF74F8">
        <w:rPr>
          <w:i/>
        </w:rPr>
        <w:t> </w:t>
      </w:r>
      <w:r w:rsidRPr="00AF74F8">
        <w:rPr>
          <w:i/>
        </w:rPr>
        <w:t>are</w:t>
      </w:r>
      <w:r w:rsidR="00DB5931" w:rsidRPr="00AF74F8">
        <w:rPr>
          <w:i/>
        </w:rPr>
        <w:t> </w:t>
      </w:r>
      <w:r w:rsidRPr="00AF74F8">
        <w:rPr>
          <w:i/>
        </w:rPr>
        <w:t>received by councils</w:t>
      </w:r>
      <w:bookmarkEnd w:id="34"/>
    </w:p>
    <w:p w14:paraId="64A86233" w14:textId="4957E3CC" w:rsidR="00317E4E" w:rsidRPr="00580905" w:rsidRDefault="007E497F" w:rsidP="00DB5931">
      <w:pPr>
        <w:pStyle w:val="BodyText"/>
      </w:pPr>
      <w:r w:rsidRPr="00580905">
        <w:t>The NMS shows that c</w:t>
      </w:r>
      <w:r w:rsidR="00317E4E" w:rsidRPr="00580905">
        <w:t>ouncils received a total of 169</w:t>
      </w:r>
      <w:r w:rsidR="00E3175F" w:rsidRPr="00580905">
        <w:t xml:space="preserve">,518 </w:t>
      </w:r>
      <w:r w:rsidRPr="00580905">
        <w:t>RMA complaints in the 2014/</w:t>
      </w:r>
      <w:r w:rsidR="00317E4E" w:rsidRPr="00580905">
        <w:t xml:space="preserve">15 </w:t>
      </w:r>
      <w:r w:rsidRPr="00580905">
        <w:t xml:space="preserve">financial </w:t>
      </w:r>
      <w:r w:rsidR="00317E4E" w:rsidRPr="00580905">
        <w:t>year (see Table 4).</w:t>
      </w:r>
      <w:r w:rsidR="00317E4E" w:rsidRPr="00580905">
        <w:rPr>
          <w:sz w:val="20"/>
        </w:rPr>
        <w:t xml:space="preserve"> </w:t>
      </w:r>
      <w:r w:rsidR="00317E4E" w:rsidRPr="00580905">
        <w:t>The majority of these (83 per cent) were noise complaints.</w:t>
      </w:r>
      <w:r w:rsidR="003B4EEF">
        <w:t xml:space="preserve"> </w:t>
      </w:r>
      <w:r w:rsidR="00317E4E" w:rsidRPr="00580905">
        <w:t>Regional councils receive</w:t>
      </w:r>
      <w:r w:rsidR="00AE7FA8" w:rsidRPr="00580905">
        <w:t>d</w:t>
      </w:r>
      <w:r w:rsidR="00763D55" w:rsidRPr="00580905">
        <w:t xml:space="preserve"> the majority </w:t>
      </w:r>
      <w:r w:rsidR="00317E4E" w:rsidRPr="00580905">
        <w:t>(56 per cent) of all non-noise</w:t>
      </w:r>
      <w:r w:rsidR="00D05B1E" w:rsidRPr="00580905">
        <w:t>-</w:t>
      </w:r>
      <w:r w:rsidR="00317E4E" w:rsidRPr="00580905">
        <w:t>related RMA complaints</w:t>
      </w:r>
      <w:r w:rsidR="003B4EEF">
        <w:t xml:space="preserve">. </w:t>
      </w:r>
      <w:r w:rsidR="00317E4E" w:rsidRPr="00580905">
        <w:t xml:space="preserve">Territorial authorities received </w:t>
      </w:r>
      <w:r w:rsidR="003B4EEF">
        <w:t xml:space="preserve">only </w:t>
      </w:r>
      <w:r w:rsidR="00317E4E" w:rsidRPr="00580905">
        <w:t>13.7</w:t>
      </w:r>
      <w:r w:rsidR="00DB5931" w:rsidRPr="00580905">
        <w:t> </w:t>
      </w:r>
      <w:r w:rsidR="00317E4E" w:rsidRPr="00580905">
        <w:t>per cent of all non-</w:t>
      </w:r>
      <w:r w:rsidR="00763D55" w:rsidRPr="00580905">
        <w:t>noise</w:t>
      </w:r>
      <w:r w:rsidR="00D05B1E" w:rsidRPr="00580905">
        <w:t>-</w:t>
      </w:r>
      <w:r w:rsidR="00763D55" w:rsidRPr="00580905">
        <w:t>related RMA complaints.</w:t>
      </w:r>
      <w:r w:rsidR="00580905">
        <w:t xml:space="preserve"> </w:t>
      </w:r>
      <w:r w:rsidR="00D1690F">
        <w:t>Note that not all complaints amount to breaches of the RMA or plan rules.</w:t>
      </w:r>
    </w:p>
    <w:p w14:paraId="12FC9FE8" w14:textId="77777777" w:rsidR="000969E9" w:rsidRDefault="000969E9">
      <w:pPr>
        <w:rPr>
          <w:rFonts w:cs="Times New Roman"/>
          <w:b/>
          <w:sz w:val="20"/>
          <w:szCs w:val="20"/>
        </w:rPr>
      </w:pPr>
      <w:r>
        <w:br w:type="page"/>
      </w:r>
    </w:p>
    <w:p w14:paraId="2ACC3C7C" w14:textId="6A106B98" w:rsidR="00317E4E" w:rsidRPr="00580905" w:rsidRDefault="00317E4E" w:rsidP="000A7A4C">
      <w:pPr>
        <w:pStyle w:val="Tableheading"/>
        <w:rPr>
          <w:color w:val="000000"/>
        </w:rPr>
      </w:pPr>
      <w:bookmarkStart w:id="35" w:name="_Toc473795834"/>
      <w:r w:rsidRPr="00580905">
        <w:t xml:space="preserve">Table 4: </w:t>
      </w:r>
      <w:r w:rsidR="000A7A4C" w:rsidRPr="00580905">
        <w:tab/>
      </w:r>
      <w:r w:rsidRPr="00580905">
        <w:t xml:space="preserve">Noise and other RMA complaints </w:t>
      </w:r>
      <w:r w:rsidR="007E497F" w:rsidRPr="00580905">
        <w:t>by council type</w:t>
      </w:r>
      <w:bookmarkEnd w:id="35"/>
      <w:r w:rsidRPr="00580905">
        <w:t xml:space="preserve"> </w:t>
      </w:r>
    </w:p>
    <w:tbl>
      <w:tblPr>
        <w:tblW w:w="8562" w:type="dxa"/>
        <w:tblInd w:w="108" w:type="dxa"/>
        <w:tblLook w:val="04A0" w:firstRow="1" w:lastRow="0" w:firstColumn="1" w:lastColumn="0" w:noHBand="0" w:noVBand="1"/>
      </w:tblPr>
      <w:tblGrid>
        <w:gridCol w:w="2835"/>
        <w:gridCol w:w="1143"/>
        <w:gridCol w:w="1003"/>
        <w:gridCol w:w="1418"/>
        <w:gridCol w:w="1099"/>
        <w:gridCol w:w="1064"/>
      </w:tblGrid>
      <w:tr w:rsidR="000A7A4C" w:rsidRPr="00580905" w14:paraId="6F579B6B" w14:textId="77777777" w:rsidTr="000A7A4C">
        <w:tc>
          <w:tcPr>
            <w:tcW w:w="2835" w:type="dxa"/>
            <w:tcBorders>
              <w:top w:val="single" w:sz="4" w:space="0" w:color="677719"/>
              <w:left w:val="nil"/>
              <w:bottom w:val="single" w:sz="4" w:space="0" w:color="677719"/>
              <w:right w:val="single" w:sz="4" w:space="0" w:color="677719"/>
            </w:tcBorders>
            <w:shd w:val="clear" w:color="auto" w:fill="677719"/>
            <w:vAlign w:val="bottom"/>
          </w:tcPr>
          <w:p w14:paraId="7839217B" w14:textId="0CC2E71F" w:rsidR="00317E4E" w:rsidRPr="00580905" w:rsidRDefault="00317E4E" w:rsidP="007E564C">
            <w:pPr>
              <w:pStyle w:val="TableTextbold"/>
              <w:keepNext/>
              <w:rPr>
                <w:color w:val="FFFFFF" w:themeColor="background1"/>
              </w:rPr>
            </w:pPr>
          </w:p>
        </w:tc>
        <w:tc>
          <w:tcPr>
            <w:tcW w:w="1143" w:type="dxa"/>
            <w:tcBorders>
              <w:top w:val="single" w:sz="4" w:space="0" w:color="677719"/>
              <w:left w:val="single" w:sz="4" w:space="0" w:color="677719"/>
              <w:bottom w:val="single" w:sz="4" w:space="0" w:color="677719"/>
              <w:right w:val="single" w:sz="4" w:space="0" w:color="677719"/>
            </w:tcBorders>
            <w:shd w:val="clear" w:color="auto" w:fill="677719"/>
            <w:vAlign w:val="bottom"/>
          </w:tcPr>
          <w:p w14:paraId="42C673FA" w14:textId="205D6A02" w:rsidR="00317E4E" w:rsidRPr="00580905" w:rsidRDefault="003439FE" w:rsidP="000A7A4C">
            <w:pPr>
              <w:pStyle w:val="TableTextbold"/>
              <w:jc w:val="center"/>
              <w:rPr>
                <w:color w:val="FFFFFF" w:themeColor="background1"/>
              </w:rPr>
            </w:pPr>
            <w:r w:rsidRPr="00580905">
              <w:rPr>
                <w:color w:val="FFFFFF" w:themeColor="background1"/>
              </w:rPr>
              <w:t>Territorial authorities</w:t>
            </w:r>
          </w:p>
        </w:tc>
        <w:tc>
          <w:tcPr>
            <w:tcW w:w="1003" w:type="dxa"/>
            <w:tcBorders>
              <w:top w:val="single" w:sz="4" w:space="0" w:color="677719"/>
              <w:left w:val="single" w:sz="4" w:space="0" w:color="677719"/>
              <w:bottom w:val="single" w:sz="4" w:space="0" w:color="677719"/>
              <w:right w:val="single" w:sz="4" w:space="0" w:color="677719"/>
            </w:tcBorders>
            <w:shd w:val="clear" w:color="auto" w:fill="677719"/>
            <w:vAlign w:val="bottom"/>
          </w:tcPr>
          <w:p w14:paraId="525C273E" w14:textId="77777777" w:rsidR="00317E4E" w:rsidRPr="00580905" w:rsidRDefault="00317E4E" w:rsidP="000A7A4C">
            <w:pPr>
              <w:pStyle w:val="TableTextbold"/>
              <w:jc w:val="center"/>
              <w:rPr>
                <w:color w:val="FFFFFF" w:themeColor="background1"/>
              </w:rPr>
            </w:pPr>
            <w:r w:rsidRPr="00580905">
              <w:rPr>
                <w:color w:val="FFFFFF" w:themeColor="background1"/>
              </w:rPr>
              <w:t>Regional councils</w:t>
            </w:r>
          </w:p>
        </w:tc>
        <w:tc>
          <w:tcPr>
            <w:tcW w:w="1418" w:type="dxa"/>
            <w:tcBorders>
              <w:top w:val="single" w:sz="4" w:space="0" w:color="677719"/>
              <w:left w:val="single" w:sz="4" w:space="0" w:color="677719"/>
              <w:bottom w:val="single" w:sz="4" w:space="0" w:color="677719"/>
              <w:right w:val="single" w:sz="4" w:space="0" w:color="677719"/>
            </w:tcBorders>
            <w:shd w:val="clear" w:color="auto" w:fill="677719"/>
            <w:vAlign w:val="bottom"/>
          </w:tcPr>
          <w:p w14:paraId="345A652B" w14:textId="3434523B" w:rsidR="00317E4E" w:rsidRPr="00580905" w:rsidRDefault="00317E4E" w:rsidP="000A7A4C">
            <w:pPr>
              <w:pStyle w:val="TableTextbold"/>
              <w:jc w:val="center"/>
              <w:rPr>
                <w:color w:val="FFFFFF" w:themeColor="background1"/>
              </w:rPr>
            </w:pPr>
            <w:r w:rsidRPr="00580905">
              <w:rPr>
                <w:color w:val="FFFFFF" w:themeColor="background1"/>
              </w:rPr>
              <w:t>Unitary councils</w:t>
            </w:r>
            <w:r w:rsidR="00BF6178" w:rsidRPr="00580905">
              <w:rPr>
                <w:color w:val="FFFFFF" w:themeColor="background1"/>
              </w:rPr>
              <w:t xml:space="preserve"> (</w:t>
            </w:r>
            <w:proofErr w:type="spellStart"/>
            <w:r w:rsidR="00BF6178" w:rsidRPr="00580905">
              <w:rPr>
                <w:color w:val="FFFFFF" w:themeColor="background1"/>
              </w:rPr>
              <w:t>excl</w:t>
            </w:r>
            <w:proofErr w:type="spellEnd"/>
            <w:r w:rsidR="00BF6178" w:rsidRPr="00580905">
              <w:rPr>
                <w:color w:val="FFFFFF" w:themeColor="background1"/>
              </w:rPr>
              <w:t xml:space="preserve"> Auckland Council)</w:t>
            </w:r>
          </w:p>
        </w:tc>
        <w:tc>
          <w:tcPr>
            <w:tcW w:w="1099" w:type="dxa"/>
            <w:tcBorders>
              <w:top w:val="single" w:sz="4" w:space="0" w:color="677719"/>
              <w:left w:val="single" w:sz="4" w:space="0" w:color="677719"/>
              <w:bottom w:val="single" w:sz="4" w:space="0" w:color="677719"/>
              <w:right w:val="single" w:sz="4" w:space="0" w:color="677719"/>
            </w:tcBorders>
            <w:shd w:val="clear" w:color="auto" w:fill="677719"/>
            <w:vAlign w:val="bottom"/>
          </w:tcPr>
          <w:p w14:paraId="0AE7EED4" w14:textId="77777777" w:rsidR="00317E4E" w:rsidRPr="00580905" w:rsidRDefault="00317E4E" w:rsidP="000A7A4C">
            <w:pPr>
              <w:pStyle w:val="TableTextbold"/>
              <w:jc w:val="center"/>
              <w:rPr>
                <w:color w:val="FFFFFF" w:themeColor="background1"/>
              </w:rPr>
            </w:pPr>
            <w:r w:rsidRPr="00580905">
              <w:rPr>
                <w:color w:val="FFFFFF" w:themeColor="background1"/>
              </w:rPr>
              <w:t>Auckland Council</w:t>
            </w:r>
          </w:p>
        </w:tc>
        <w:tc>
          <w:tcPr>
            <w:tcW w:w="1064" w:type="dxa"/>
            <w:tcBorders>
              <w:top w:val="single" w:sz="4" w:space="0" w:color="677719"/>
              <w:left w:val="single" w:sz="4" w:space="0" w:color="677719"/>
              <w:bottom w:val="single" w:sz="4" w:space="0" w:color="677719"/>
              <w:right w:val="nil"/>
            </w:tcBorders>
            <w:shd w:val="clear" w:color="auto" w:fill="677719"/>
            <w:vAlign w:val="bottom"/>
          </w:tcPr>
          <w:p w14:paraId="7EC1E413" w14:textId="6CF56F14" w:rsidR="00317E4E" w:rsidRPr="00580905" w:rsidRDefault="00E53003" w:rsidP="000A7A4C">
            <w:pPr>
              <w:pStyle w:val="TableTextbold"/>
              <w:jc w:val="center"/>
              <w:rPr>
                <w:color w:val="FFFFFF" w:themeColor="background1"/>
              </w:rPr>
            </w:pPr>
            <w:r w:rsidRPr="00580905">
              <w:rPr>
                <w:color w:val="FFFFFF" w:themeColor="background1"/>
              </w:rPr>
              <w:t>All councils</w:t>
            </w:r>
          </w:p>
        </w:tc>
      </w:tr>
      <w:tr w:rsidR="00A45891" w:rsidRPr="00580905" w14:paraId="3A854B43" w14:textId="77777777" w:rsidTr="000A7A4C">
        <w:tc>
          <w:tcPr>
            <w:tcW w:w="2835" w:type="dxa"/>
            <w:tcBorders>
              <w:top w:val="single" w:sz="4" w:space="0" w:color="677719"/>
              <w:left w:val="nil"/>
              <w:bottom w:val="single" w:sz="4" w:space="0" w:color="677719"/>
              <w:right w:val="single" w:sz="4" w:space="0" w:color="677719"/>
            </w:tcBorders>
            <w:shd w:val="clear" w:color="auto" w:fill="auto"/>
          </w:tcPr>
          <w:p w14:paraId="0EF25514" w14:textId="0F02217A" w:rsidR="00317E4E" w:rsidRPr="00580905" w:rsidRDefault="00317E4E" w:rsidP="000A7A4C">
            <w:pPr>
              <w:pStyle w:val="TableTextbold"/>
            </w:pPr>
            <w:r w:rsidRPr="00580905">
              <w:t>Noise complaints</w:t>
            </w:r>
            <w:r w:rsidR="002450DB" w:rsidRPr="00580905">
              <w:t xml:space="preserve"> (total)</w:t>
            </w:r>
          </w:p>
        </w:tc>
        <w:tc>
          <w:tcPr>
            <w:tcW w:w="1143" w:type="dxa"/>
            <w:tcBorders>
              <w:top w:val="single" w:sz="4" w:space="0" w:color="677719"/>
              <w:left w:val="single" w:sz="4" w:space="0" w:color="677719"/>
              <w:bottom w:val="single" w:sz="4" w:space="0" w:color="677719"/>
              <w:right w:val="single" w:sz="4" w:space="0" w:color="677719"/>
            </w:tcBorders>
          </w:tcPr>
          <w:p w14:paraId="01B6A7D4" w14:textId="77777777" w:rsidR="00317E4E" w:rsidRPr="00580905" w:rsidRDefault="00317E4E" w:rsidP="007E564C">
            <w:pPr>
              <w:pStyle w:val="TableText"/>
              <w:ind w:right="184"/>
              <w:jc w:val="right"/>
            </w:pPr>
            <w:r w:rsidRPr="00580905">
              <w:t>82,191</w:t>
            </w:r>
          </w:p>
        </w:tc>
        <w:tc>
          <w:tcPr>
            <w:tcW w:w="1003" w:type="dxa"/>
            <w:tcBorders>
              <w:top w:val="single" w:sz="4" w:space="0" w:color="677719"/>
              <w:left w:val="single" w:sz="4" w:space="0" w:color="677719"/>
              <w:bottom w:val="single" w:sz="4" w:space="0" w:color="677719"/>
              <w:right w:val="single" w:sz="4" w:space="0" w:color="677719"/>
            </w:tcBorders>
          </w:tcPr>
          <w:p w14:paraId="57510F09" w14:textId="1A46B000" w:rsidR="00317E4E" w:rsidRPr="00580905" w:rsidRDefault="00317E4E" w:rsidP="007E564C">
            <w:pPr>
              <w:pStyle w:val="TableText"/>
              <w:ind w:right="184"/>
              <w:jc w:val="right"/>
            </w:pPr>
            <w:r w:rsidRPr="00580905">
              <w:t>1,332</w:t>
            </w:r>
            <w:r w:rsidRPr="00580905">
              <w:rPr>
                <w:rStyle w:val="FootnoteReference"/>
                <w:rFonts w:asciiTheme="minorHAnsi" w:hAnsiTheme="minorHAnsi"/>
                <w:sz w:val="18"/>
              </w:rPr>
              <w:footnoteReference w:id="30"/>
            </w:r>
          </w:p>
        </w:tc>
        <w:tc>
          <w:tcPr>
            <w:tcW w:w="1418" w:type="dxa"/>
            <w:tcBorders>
              <w:top w:val="single" w:sz="4" w:space="0" w:color="677719"/>
              <w:left w:val="single" w:sz="4" w:space="0" w:color="677719"/>
              <w:bottom w:val="single" w:sz="4" w:space="0" w:color="677719"/>
              <w:right w:val="single" w:sz="4" w:space="0" w:color="677719"/>
            </w:tcBorders>
          </w:tcPr>
          <w:p w14:paraId="5BBAADC1" w14:textId="77777777" w:rsidR="00317E4E" w:rsidRPr="00580905" w:rsidRDefault="00317E4E" w:rsidP="007E564C">
            <w:pPr>
              <w:pStyle w:val="TableText"/>
              <w:ind w:right="184"/>
              <w:jc w:val="right"/>
            </w:pPr>
            <w:r w:rsidRPr="00580905">
              <w:t>4,773</w:t>
            </w:r>
          </w:p>
        </w:tc>
        <w:tc>
          <w:tcPr>
            <w:tcW w:w="1099" w:type="dxa"/>
            <w:tcBorders>
              <w:top w:val="single" w:sz="4" w:space="0" w:color="677719"/>
              <w:left w:val="single" w:sz="4" w:space="0" w:color="677719"/>
              <w:bottom w:val="single" w:sz="4" w:space="0" w:color="677719"/>
              <w:right w:val="single" w:sz="4" w:space="0" w:color="677719"/>
            </w:tcBorders>
          </w:tcPr>
          <w:p w14:paraId="23A89BA8" w14:textId="77777777" w:rsidR="00317E4E" w:rsidRPr="00580905" w:rsidRDefault="00317E4E" w:rsidP="007E564C">
            <w:pPr>
              <w:pStyle w:val="TableText"/>
              <w:ind w:right="184"/>
              <w:jc w:val="right"/>
            </w:pPr>
            <w:r w:rsidRPr="00580905">
              <w:t>52,431</w:t>
            </w:r>
          </w:p>
        </w:tc>
        <w:tc>
          <w:tcPr>
            <w:tcW w:w="1064" w:type="dxa"/>
            <w:tcBorders>
              <w:top w:val="single" w:sz="4" w:space="0" w:color="677719"/>
              <w:left w:val="single" w:sz="4" w:space="0" w:color="677719"/>
              <w:bottom w:val="single" w:sz="4" w:space="0" w:color="677719"/>
              <w:right w:val="nil"/>
            </w:tcBorders>
          </w:tcPr>
          <w:p w14:paraId="16684E01" w14:textId="77777777" w:rsidR="00317E4E" w:rsidRPr="00580905" w:rsidRDefault="00317E4E" w:rsidP="007E564C">
            <w:pPr>
              <w:pStyle w:val="TableText"/>
              <w:ind w:right="184"/>
              <w:jc w:val="right"/>
            </w:pPr>
            <w:r w:rsidRPr="00580905">
              <w:t>140,727</w:t>
            </w:r>
          </w:p>
        </w:tc>
      </w:tr>
      <w:tr w:rsidR="00A45891" w:rsidRPr="00580905" w14:paraId="024E6356" w14:textId="77777777" w:rsidTr="000A7A4C">
        <w:tc>
          <w:tcPr>
            <w:tcW w:w="2835" w:type="dxa"/>
            <w:tcBorders>
              <w:top w:val="single" w:sz="4" w:space="0" w:color="677719"/>
              <w:left w:val="nil"/>
              <w:bottom w:val="single" w:sz="4" w:space="0" w:color="677719"/>
              <w:right w:val="single" w:sz="4" w:space="0" w:color="677719"/>
            </w:tcBorders>
            <w:shd w:val="clear" w:color="auto" w:fill="auto"/>
          </w:tcPr>
          <w:p w14:paraId="0652DAC7" w14:textId="5FCB0D2D" w:rsidR="003439FE" w:rsidRPr="00580905" w:rsidRDefault="002450DB" w:rsidP="000A7A4C">
            <w:pPr>
              <w:pStyle w:val="TableTextbold"/>
            </w:pPr>
            <w:r w:rsidRPr="00580905">
              <w:t>N</w:t>
            </w:r>
            <w:r w:rsidR="003439FE" w:rsidRPr="00580905">
              <w:t>oise complaints</w:t>
            </w:r>
            <w:r w:rsidRPr="00580905">
              <w:t xml:space="preserve"> (average)</w:t>
            </w:r>
          </w:p>
        </w:tc>
        <w:tc>
          <w:tcPr>
            <w:tcW w:w="1143" w:type="dxa"/>
            <w:tcBorders>
              <w:top w:val="single" w:sz="4" w:space="0" w:color="677719"/>
              <w:left w:val="single" w:sz="4" w:space="0" w:color="677719"/>
              <w:bottom w:val="single" w:sz="4" w:space="0" w:color="677719"/>
              <w:right w:val="single" w:sz="4" w:space="0" w:color="677719"/>
            </w:tcBorders>
          </w:tcPr>
          <w:p w14:paraId="339FBAD8" w14:textId="7C4949AA" w:rsidR="003439FE" w:rsidRPr="00580905" w:rsidRDefault="00567FFA" w:rsidP="007E564C">
            <w:pPr>
              <w:pStyle w:val="TableText"/>
              <w:ind w:right="184"/>
              <w:jc w:val="right"/>
            </w:pPr>
            <w:r w:rsidRPr="00580905">
              <w:t>1347.4</w:t>
            </w:r>
          </w:p>
        </w:tc>
        <w:tc>
          <w:tcPr>
            <w:tcW w:w="1003" w:type="dxa"/>
            <w:tcBorders>
              <w:top w:val="single" w:sz="4" w:space="0" w:color="677719"/>
              <w:left w:val="single" w:sz="4" w:space="0" w:color="677719"/>
              <w:bottom w:val="single" w:sz="4" w:space="0" w:color="677719"/>
              <w:right w:val="single" w:sz="4" w:space="0" w:color="677719"/>
            </w:tcBorders>
          </w:tcPr>
          <w:p w14:paraId="11CFC3F0" w14:textId="229BF85E" w:rsidR="003439FE" w:rsidRPr="00580905" w:rsidRDefault="00567FFA" w:rsidP="007E564C">
            <w:pPr>
              <w:pStyle w:val="TableText"/>
              <w:ind w:right="184"/>
              <w:jc w:val="right"/>
            </w:pPr>
            <w:r w:rsidRPr="00580905">
              <w:t>121.1</w:t>
            </w:r>
          </w:p>
        </w:tc>
        <w:tc>
          <w:tcPr>
            <w:tcW w:w="1418" w:type="dxa"/>
            <w:tcBorders>
              <w:top w:val="single" w:sz="4" w:space="0" w:color="677719"/>
              <w:left w:val="single" w:sz="4" w:space="0" w:color="677719"/>
              <w:bottom w:val="single" w:sz="4" w:space="0" w:color="677719"/>
              <w:right w:val="single" w:sz="4" w:space="0" w:color="677719"/>
            </w:tcBorders>
          </w:tcPr>
          <w:p w14:paraId="6A9C875B" w14:textId="5494007E" w:rsidR="003439FE" w:rsidRPr="00580905" w:rsidRDefault="00567FFA" w:rsidP="007E564C">
            <w:pPr>
              <w:pStyle w:val="TableText"/>
              <w:ind w:right="184"/>
              <w:jc w:val="right"/>
            </w:pPr>
            <w:r w:rsidRPr="00580905">
              <w:t>974.6</w:t>
            </w:r>
          </w:p>
        </w:tc>
        <w:tc>
          <w:tcPr>
            <w:tcW w:w="1099" w:type="dxa"/>
            <w:tcBorders>
              <w:top w:val="single" w:sz="4" w:space="0" w:color="677719"/>
              <w:left w:val="single" w:sz="4" w:space="0" w:color="677719"/>
              <w:bottom w:val="single" w:sz="4" w:space="0" w:color="677719"/>
              <w:right w:val="single" w:sz="4" w:space="0" w:color="677719"/>
            </w:tcBorders>
          </w:tcPr>
          <w:p w14:paraId="12019E9B" w14:textId="4CE3D384" w:rsidR="003439FE" w:rsidRPr="00580905" w:rsidRDefault="00567FFA" w:rsidP="007E564C">
            <w:pPr>
              <w:pStyle w:val="TableText"/>
              <w:ind w:right="184"/>
              <w:jc w:val="right"/>
            </w:pPr>
            <w:r w:rsidRPr="00580905">
              <w:t>52,431</w:t>
            </w:r>
          </w:p>
        </w:tc>
        <w:tc>
          <w:tcPr>
            <w:tcW w:w="1064" w:type="dxa"/>
            <w:tcBorders>
              <w:top w:val="single" w:sz="4" w:space="0" w:color="677719"/>
              <w:left w:val="single" w:sz="4" w:space="0" w:color="677719"/>
              <w:bottom w:val="single" w:sz="4" w:space="0" w:color="677719"/>
              <w:right w:val="nil"/>
            </w:tcBorders>
          </w:tcPr>
          <w:p w14:paraId="632E4D0A" w14:textId="5B363E73" w:rsidR="003439FE" w:rsidRPr="00580905" w:rsidRDefault="00567FFA" w:rsidP="007E564C">
            <w:pPr>
              <w:pStyle w:val="TableText"/>
              <w:ind w:right="184"/>
              <w:jc w:val="right"/>
            </w:pPr>
            <w:r w:rsidRPr="00580905">
              <w:t>1804.2</w:t>
            </w:r>
          </w:p>
        </w:tc>
      </w:tr>
      <w:tr w:rsidR="00A45891" w:rsidRPr="00580905" w14:paraId="6B89ACF9" w14:textId="77777777" w:rsidTr="000A7A4C">
        <w:tc>
          <w:tcPr>
            <w:tcW w:w="2835" w:type="dxa"/>
            <w:tcBorders>
              <w:top w:val="single" w:sz="4" w:space="0" w:color="677719"/>
              <w:left w:val="nil"/>
              <w:bottom w:val="single" w:sz="4" w:space="0" w:color="677719"/>
              <w:right w:val="single" w:sz="4" w:space="0" w:color="677719"/>
            </w:tcBorders>
            <w:shd w:val="clear" w:color="auto" w:fill="auto"/>
          </w:tcPr>
          <w:p w14:paraId="26A52D72" w14:textId="0BC5589C" w:rsidR="00317E4E" w:rsidRPr="00580905" w:rsidRDefault="00317E4E" w:rsidP="000A7A4C">
            <w:pPr>
              <w:pStyle w:val="TableTextbold"/>
            </w:pPr>
            <w:r w:rsidRPr="00580905">
              <w:t xml:space="preserve">Other RMA complaints </w:t>
            </w:r>
            <w:r w:rsidR="002450DB" w:rsidRPr="00580905">
              <w:t>(total)</w:t>
            </w:r>
          </w:p>
        </w:tc>
        <w:tc>
          <w:tcPr>
            <w:tcW w:w="1143" w:type="dxa"/>
            <w:tcBorders>
              <w:top w:val="single" w:sz="4" w:space="0" w:color="677719"/>
              <w:left w:val="single" w:sz="4" w:space="0" w:color="677719"/>
              <w:bottom w:val="single" w:sz="4" w:space="0" w:color="677719"/>
              <w:right w:val="single" w:sz="4" w:space="0" w:color="677719"/>
            </w:tcBorders>
          </w:tcPr>
          <w:p w14:paraId="29CD3BAB" w14:textId="77CC6B18" w:rsidR="00317E4E" w:rsidRPr="00580905" w:rsidRDefault="00317E4E" w:rsidP="007E564C">
            <w:pPr>
              <w:pStyle w:val="TableText"/>
              <w:ind w:right="184"/>
              <w:jc w:val="right"/>
            </w:pPr>
            <w:r w:rsidRPr="00580905">
              <w:t>3,937</w:t>
            </w:r>
          </w:p>
        </w:tc>
        <w:tc>
          <w:tcPr>
            <w:tcW w:w="1003" w:type="dxa"/>
            <w:tcBorders>
              <w:top w:val="single" w:sz="4" w:space="0" w:color="677719"/>
              <w:left w:val="single" w:sz="4" w:space="0" w:color="677719"/>
              <w:bottom w:val="single" w:sz="4" w:space="0" w:color="677719"/>
              <w:right w:val="single" w:sz="4" w:space="0" w:color="677719"/>
            </w:tcBorders>
          </w:tcPr>
          <w:p w14:paraId="4176CD03" w14:textId="77777777" w:rsidR="00317E4E" w:rsidRPr="00580905" w:rsidRDefault="00317E4E" w:rsidP="007E564C">
            <w:pPr>
              <w:pStyle w:val="TableText"/>
              <w:ind w:right="184"/>
              <w:jc w:val="right"/>
            </w:pPr>
            <w:r w:rsidRPr="00580905">
              <w:t>16,135</w:t>
            </w:r>
          </w:p>
        </w:tc>
        <w:tc>
          <w:tcPr>
            <w:tcW w:w="1418" w:type="dxa"/>
            <w:tcBorders>
              <w:top w:val="single" w:sz="4" w:space="0" w:color="677719"/>
              <w:left w:val="single" w:sz="4" w:space="0" w:color="677719"/>
              <w:bottom w:val="single" w:sz="4" w:space="0" w:color="677719"/>
              <w:right w:val="single" w:sz="4" w:space="0" w:color="677719"/>
            </w:tcBorders>
          </w:tcPr>
          <w:p w14:paraId="05A3C748" w14:textId="77777777" w:rsidR="00317E4E" w:rsidRPr="00580905" w:rsidRDefault="00317E4E" w:rsidP="007E564C">
            <w:pPr>
              <w:pStyle w:val="TableText"/>
              <w:ind w:right="184"/>
              <w:jc w:val="right"/>
            </w:pPr>
            <w:r w:rsidRPr="00580905">
              <w:t>3,144</w:t>
            </w:r>
          </w:p>
        </w:tc>
        <w:tc>
          <w:tcPr>
            <w:tcW w:w="1099" w:type="dxa"/>
            <w:tcBorders>
              <w:top w:val="single" w:sz="4" w:space="0" w:color="677719"/>
              <w:left w:val="single" w:sz="4" w:space="0" w:color="677719"/>
              <w:bottom w:val="single" w:sz="4" w:space="0" w:color="677719"/>
              <w:right w:val="single" w:sz="4" w:space="0" w:color="677719"/>
            </w:tcBorders>
          </w:tcPr>
          <w:p w14:paraId="7720CACD" w14:textId="5621E8B7" w:rsidR="00317E4E" w:rsidRPr="00580905" w:rsidRDefault="00317E4E" w:rsidP="007E564C">
            <w:pPr>
              <w:pStyle w:val="TableText"/>
              <w:ind w:right="184"/>
              <w:jc w:val="right"/>
            </w:pPr>
            <w:r w:rsidRPr="00580905">
              <w:t>5,575</w:t>
            </w:r>
          </w:p>
        </w:tc>
        <w:tc>
          <w:tcPr>
            <w:tcW w:w="1064" w:type="dxa"/>
            <w:tcBorders>
              <w:top w:val="single" w:sz="4" w:space="0" w:color="677719"/>
              <w:left w:val="single" w:sz="4" w:space="0" w:color="677719"/>
              <w:bottom w:val="single" w:sz="4" w:space="0" w:color="677719"/>
              <w:right w:val="nil"/>
            </w:tcBorders>
          </w:tcPr>
          <w:p w14:paraId="40111CC6" w14:textId="6BFAF380" w:rsidR="00317E4E" w:rsidRPr="00580905" w:rsidRDefault="00C70CF5" w:rsidP="007E564C">
            <w:pPr>
              <w:pStyle w:val="TableText"/>
              <w:ind w:right="184"/>
              <w:jc w:val="right"/>
            </w:pPr>
            <w:r w:rsidRPr="00580905">
              <w:t>28,</w:t>
            </w:r>
            <w:r w:rsidR="00317E4E" w:rsidRPr="00580905">
              <w:t>791</w:t>
            </w:r>
          </w:p>
        </w:tc>
      </w:tr>
      <w:tr w:rsidR="00A45891" w:rsidRPr="00580905" w14:paraId="4E8B92D6" w14:textId="77777777" w:rsidTr="000A7A4C">
        <w:tc>
          <w:tcPr>
            <w:tcW w:w="2835" w:type="dxa"/>
            <w:tcBorders>
              <w:top w:val="single" w:sz="4" w:space="0" w:color="677719"/>
              <w:left w:val="nil"/>
              <w:bottom w:val="single" w:sz="4" w:space="0" w:color="677719"/>
              <w:right w:val="single" w:sz="4" w:space="0" w:color="677719"/>
            </w:tcBorders>
            <w:shd w:val="clear" w:color="auto" w:fill="auto"/>
          </w:tcPr>
          <w:p w14:paraId="3EF98A50" w14:textId="45BF9155" w:rsidR="003439FE" w:rsidRPr="00580905" w:rsidRDefault="002450DB" w:rsidP="000A7A4C">
            <w:pPr>
              <w:pStyle w:val="TableTextbold"/>
            </w:pPr>
            <w:r w:rsidRPr="00580905">
              <w:t>O</w:t>
            </w:r>
            <w:r w:rsidR="003439FE" w:rsidRPr="00580905">
              <w:t xml:space="preserve">ther RMA complaints </w:t>
            </w:r>
            <w:r w:rsidRPr="00580905">
              <w:t>(average)</w:t>
            </w:r>
          </w:p>
        </w:tc>
        <w:tc>
          <w:tcPr>
            <w:tcW w:w="1143" w:type="dxa"/>
            <w:tcBorders>
              <w:top w:val="single" w:sz="4" w:space="0" w:color="677719"/>
              <w:left w:val="single" w:sz="4" w:space="0" w:color="677719"/>
              <w:bottom w:val="single" w:sz="4" w:space="0" w:color="677719"/>
              <w:right w:val="single" w:sz="4" w:space="0" w:color="677719"/>
            </w:tcBorders>
          </w:tcPr>
          <w:p w14:paraId="063BEF51" w14:textId="5546099B" w:rsidR="003439FE" w:rsidRPr="00580905" w:rsidRDefault="00C70CF5" w:rsidP="007E564C">
            <w:pPr>
              <w:pStyle w:val="TableText"/>
              <w:ind w:right="184"/>
              <w:jc w:val="right"/>
            </w:pPr>
            <w:r w:rsidRPr="00580905">
              <w:t>64.5</w:t>
            </w:r>
          </w:p>
        </w:tc>
        <w:tc>
          <w:tcPr>
            <w:tcW w:w="1003" w:type="dxa"/>
            <w:tcBorders>
              <w:top w:val="single" w:sz="4" w:space="0" w:color="677719"/>
              <w:left w:val="single" w:sz="4" w:space="0" w:color="677719"/>
              <w:bottom w:val="single" w:sz="4" w:space="0" w:color="677719"/>
              <w:right w:val="single" w:sz="4" w:space="0" w:color="677719"/>
            </w:tcBorders>
          </w:tcPr>
          <w:p w14:paraId="44589825" w14:textId="1CB0A814" w:rsidR="003439FE" w:rsidRPr="00580905" w:rsidRDefault="00C70CF5" w:rsidP="007E564C">
            <w:pPr>
              <w:pStyle w:val="TableText"/>
              <w:ind w:right="184"/>
              <w:jc w:val="right"/>
            </w:pPr>
            <w:r w:rsidRPr="00580905">
              <w:t>1466.8</w:t>
            </w:r>
          </w:p>
        </w:tc>
        <w:tc>
          <w:tcPr>
            <w:tcW w:w="1418" w:type="dxa"/>
            <w:tcBorders>
              <w:top w:val="single" w:sz="4" w:space="0" w:color="677719"/>
              <w:left w:val="single" w:sz="4" w:space="0" w:color="677719"/>
              <w:bottom w:val="single" w:sz="4" w:space="0" w:color="677719"/>
              <w:right w:val="single" w:sz="4" w:space="0" w:color="677719"/>
            </w:tcBorders>
          </w:tcPr>
          <w:p w14:paraId="15D1933E" w14:textId="402CC3E2" w:rsidR="003439FE" w:rsidRPr="00580905" w:rsidRDefault="00C70CF5" w:rsidP="007E564C">
            <w:pPr>
              <w:pStyle w:val="TableText"/>
              <w:ind w:right="184"/>
              <w:jc w:val="right"/>
            </w:pPr>
            <w:r w:rsidRPr="00580905">
              <w:t>628.8</w:t>
            </w:r>
          </w:p>
        </w:tc>
        <w:tc>
          <w:tcPr>
            <w:tcW w:w="1099" w:type="dxa"/>
            <w:tcBorders>
              <w:top w:val="single" w:sz="4" w:space="0" w:color="677719"/>
              <w:left w:val="single" w:sz="4" w:space="0" w:color="677719"/>
              <w:bottom w:val="single" w:sz="4" w:space="0" w:color="677719"/>
              <w:right w:val="single" w:sz="4" w:space="0" w:color="677719"/>
            </w:tcBorders>
          </w:tcPr>
          <w:p w14:paraId="240A7629" w14:textId="10638CEC" w:rsidR="003439FE" w:rsidRPr="00580905" w:rsidRDefault="00C70CF5" w:rsidP="007E564C">
            <w:pPr>
              <w:pStyle w:val="TableText"/>
              <w:ind w:right="184"/>
              <w:jc w:val="right"/>
            </w:pPr>
            <w:r w:rsidRPr="00580905">
              <w:t>5,575</w:t>
            </w:r>
          </w:p>
        </w:tc>
        <w:tc>
          <w:tcPr>
            <w:tcW w:w="1064" w:type="dxa"/>
            <w:tcBorders>
              <w:top w:val="single" w:sz="4" w:space="0" w:color="677719"/>
              <w:left w:val="single" w:sz="4" w:space="0" w:color="677719"/>
              <w:bottom w:val="single" w:sz="4" w:space="0" w:color="677719"/>
              <w:right w:val="nil"/>
            </w:tcBorders>
          </w:tcPr>
          <w:p w14:paraId="4063C50E" w14:textId="5C881783" w:rsidR="003439FE" w:rsidRPr="00580905" w:rsidRDefault="00C70CF5" w:rsidP="007E564C">
            <w:pPr>
              <w:pStyle w:val="TableText"/>
              <w:ind w:right="184"/>
              <w:jc w:val="right"/>
            </w:pPr>
            <w:r w:rsidRPr="00580905">
              <w:t>369.1</w:t>
            </w:r>
          </w:p>
        </w:tc>
      </w:tr>
    </w:tbl>
    <w:p w14:paraId="3990872F" w14:textId="633D440C" w:rsidR="00D05B1E" w:rsidRPr="00580905" w:rsidRDefault="00304BE2" w:rsidP="000A7A4C">
      <w:pPr>
        <w:pStyle w:val="BodyText"/>
        <w:spacing w:before="240"/>
      </w:pPr>
      <w:r w:rsidRPr="00580905">
        <w:t>The types of non-noise complaints received vary between councils, depending o</w:t>
      </w:r>
      <w:r w:rsidR="00D05B1E" w:rsidRPr="00580905">
        <w:t>n</w:t>
      </w:r>
      <w:r w:rsidRPr="00580905">
        <w:t xml:space="preserve"> the types of issues that are prevalent in their areas. </w:t>
      </w:r>
      <w:r w:rsidR="00DE5469">
        <w:t xml:space="preserve">The majority of councils keep a register of complaints. </w:t>
      </w:r>
      <w:r w:rsidRPr="00580905">
        <w:t xml:space="preserve">Complaints common across most </w:t>
      </w:r>
      <w:proofErr w:type="gramStart"/>
      <w:r w:rsidRPr="00580905">
        <w:t>councils</w:t>
      </w:r>
      <w:proofErr w:type="gramEnd"/>
      <w:r w:rsidRPr="00580905">
        <w:t xml:space="preserve"> spoken to include: </w:t>
      </w:r>
    </w:p>
    <w:p w14:paraId="5A328928" w14:textId="5DA5A781" w:rsidR="00D05B1E" w:rsidRPr="00580905" w:rsidRDefault="00304BE2" w:rsidP="00FB32C5">
      <w:pPr>
        <w:pStyle w:val="Bullet"/>
        <w:numPr>
          <w:ilvl w:val="0"/>
          <w:numId w:val="15"/>
        </w:numPr>
        <w:spacing w:after="100"/>
        <w:rPr>
          <w:rFonts w:cs="Arial"/>
        </w:rPr>
      </w:pPr>
      <w:r w:rsidRPr="00580905">
        <w:t>discharges of contaminants (such as dairy effluent or chemicals) into water</w:t>
      </w:r>
    </w:p>
    <w:p w14:paraId="2BB00C83" w14:textId="768C5636" w:rsidR="00D05B1E" w:rsidRPr="00580905" w:rsidRDefault="00304BE2" w:rsidP="00FB32C5">
      <w:pPr>
        <w:pStyle w:val="Bullet"/>
        <w:numPr>
          <w:ilvl w:val="0"/>
          <w:numId w:val="15"/>
        </w:numPr>
        <w:spacing w:after="100"/>
        <w:rPr>
          <w:rFonts w:cs="Arial"/>
        </w:rPr>
      </w:pPr>
      <w:r w:rsidRPr="00580905">
        <w:t>discharges into air (such as from ‘burn-offs’ or smoky chimneys</w:t>
      </w:r>
      <w:r w:rsidRPr="00580905">
        <w:rPr>
          <w:rFonts w:cs="Arial"/>
        </w:rPr>
        <w:t>)</w:t>
      </w:r>
    </w:p>
    <w:p w14:paraId="04BF1639" w14:textId="00D4402B" w:rsidR="00D05B1E" w:rsidRPr="00580905" w:rsidRDefault="00C77220" w:rsidP="00FB32C5">
      <w:pPr>
        <w:pStyle w:val="Bullet"/>
        <w:numPr>
          <w:ilvl w:val="0"/>
          <w:numId w:val="15"/>
        </w:numPr>
        <w:spacing w:after="100"/>
        <w:rPr>
          <w:rFonts w:cs="Arial"/>
        </w:rPr>
      </w:pPr>
      <w:r w:rsidRPr="00580905">
        <w:t>indigenous vegetation clearance</w:t>
      </w:r>
    </w:p>
    <w:p w14:paraId="1DDC6856" w14:textId="69AE7055" w:rsidR="00D05B1E" w:rsidRPr="00580905" w:rsidRDefault="00304BE2" w:rsidP="00FB32C5">
      <w:pPr>
        <w:pStyle w:val="Bullet"/>
        <w:numPr>
          <w:ilvl w:val="0"/>
          <w:numId w:val="15"/>
        </w:numPr>
        <w:spacing w:after="100"/>
        <w:rPr>
          <w:rFonts w:cs="Arial"/>
        </w:rPr>
      </w:pPr>
      <w:r w:rsidRPr="00580905">
        <w:t>odour complaints</w:t>
      </w:r>
    </w:p>
    <w:p w14:paraId="1D54C8F1" w14:textId="64186E5B" w:rsidR="00304BE2" w:rsidRPr="00580905" w:rsidRDefault="00304BE2" w:rsidP="00FB32C5">
      <w:pPr>
        <w:pStyle w:val="Bullet"/>
        <w:numPr>
          <w:ilvl w:val="0"/>
          <w:numId w:val="15"/>
        </w:numPr>
        <w:spacing w:after="100"/>
        <w:rPr>
          <w:rFonts w:cs="Arial"/>
        </w:rPr>
      </w:pPr>
      <w:proofErr w:type="gramStart"/>
      <w:r w:rsidRPr="00580905">
        <w:t>industrial</w:t>
      </w:r>
      <w:proofErr w:type="gramEnd"/>
      <w:r w:rsidRPr="00580905">
        <w:t xml:space="preserve"> processing complaints. </w:t>
      </w:r>
    </w:p>
    <w:p w14:paraId="4C8F6430" w14:textId="292BFA36" w:rsidR="00C05A6C" w:rsidRDefault="00AE7FA8" w:rsidP="000A7A4C">
      <w:pPr>
        <w:pStyle w:val="BodyText"/>
      </w:pPr>
      <w:r w:rsidRPr="00580905">
        <w:t>All councils ha</w:t>
      </w:r>
      <w:r w:rsidR="00BA3CE4">
        <w:t>ve</w:t>
      </w:r>
      <w:r w:rsidRPr="00580905">
        <w:t xml:space="preserve"> procedures set up to receive complaints from the public. Some </w:t>
      </w:r>
      <w:proofErr w:type="gramStart"/>
      <w:r w:rsidR="0087316D" w:rsidRPr="00580905">
        <w:t>councils</w:t>
      </w:r>
      <w:proofErr w:type="gramEnd"/>
      <w:r w:rsidR="0087316D" w:rsidRPr="00580905">
        <w:t xml:space="preserve"> ha</w:t>
      </w:r>
      <w:r w:rsidR="00BA3CE4">
        <w:t>ve</w:t>
      </w:r>
      <w:r w:rsidR="0087316D" w:rsidRPr="00580905">
        <w:t xml:space="preserve"> 24</w:t>
      </w:r>
      <w:r w:rsidR="007A040D" w:rsidRPr="00580905">
        <w:t>-</w:t>
      </w:r>
      <w:r w:rsidR="0087316D" w:rsidRPr="00580905">
        <w:t>hour hotlines</w:t>
      </w:r>
      <w:r w:rsidR="000249B8">
        <w:t xml:space="preserve"> in place</w:t>
      </w:r>
      <w:r w:rsidR="0087316D" w:rsidRPr="00580905">
        <w:t xml:space="preserve">. </w:t>
      </w:r>
      <w:r w:rsidR="00D41097">
        <w:t>Not all complaints require an investigation</w:t>
      </w:r>
      <w:r w:rsidR="00D1690F">
        <w:t xml:space="preserve"> – s</w:t>
      </w:r>
      <w:r w:rsidR="00D41097">
        <w:t>ome alleged breaches of the RMA</w:t>
      </w:r>
      <w:r w:rsidR="0035042C">
        <w:t xml:space="preserve"> or plan rules</w:t>
      </w:r>
      <w:r w:rsidR="00D41097">
        <w:t xml:space="preserve"> </w:t>
      </w:r>
      <w:r w:rsidR="00BF23D6">
        <w:t>may be assessed without</w:t>
      </w:r>
      <w:r w:rsidR="00D1690F">
        <w:t xml:space="preserve"> an inspection. </w:t>
      </w:r>
    </w:p>
    <w:p w14:paraId="50BC2877" w14:textId="5C74C4B1" w:rsidR="0009173C" w:rsidRPr="00580905" w:rsidRDefault="0087316D" w:rsidP="000A7A4C">
      <w:pPr>
        <w:pStyle w:val="BodyText"/>
      </w:pPr>
      <w:r w:rsidRPr="00580905">
        <w:t>The majority of councils have adopted</w:t>
      </w:r>
      <w:r w:rsidR="0009173C" w:rsidRPr="00580905">
        <w:t xml:space="preserve"> a risk-based approach to complaints response</w:t>
      </w:r>
      <w:r w:rsidR="005835CC" w:rsidRPr="00580905">
        <w:t xml:space="preserve"> (explained above) and respond to complaints depending on their </w:t>
      </w:r>
      <w:r w:rsidR="00FA6C0B">
        <w:t xml:space="preserve">risk and </w:t>
      </w:r>
      <w:r w:rsidR="005835CC" w:rsidRPr="00580905">
        <w:t xml:space="preserve">priority. Most </w:t>
      </w:r>
      <w:proofErr w:type="gramStart"/>
      <w:r w:rsidR="005835CC" w:rsidRPr="00580905">
        <w:t>councils</w:t>
      </w:r>
      <w:proofErr w:type="gramEnd"/>
      <w:r w:rsidR="005835CC" w:rsidRPr="00580905">
        <w:t xml:space="preserve"> stated that they re</w:t>
      </w:r>
      <w:r w:rsidR="00840993" w:rsidRPr="00580905">
        <w:t>s</w:t>
      </w:r>
      <w:r w:rsidR="005835CC" w:rsidRPr="00580905">
        <w:t>po</w:t>
      </w:r>
      <w:r w:rsidR="00840993" w:rsidRPr="00580905">
        <w:t>nd to most complaints within two to three</w:t>
      </w:r>
      <w:r w:rsidR="005835CC" w:rsidRPr="00580905">
        <w:t xml:space="preserve"> days. </w:t>
      </w:r>
      <w:r w:rsidR="007A040D" w:rsidRPr="00580905">
        <w:t>S</w:t>
      </w:r>
      <w:r w:rsidR="005835CC" w:rsidRPr="00580905">
        <w:t xml:space="preserve">ome </w:t>
      </w:r>
      <w:proofErr w:type="gramStart"/>
      <w:r w:rsidR="0009173C" w:rsidRPr="00580905">
        <w:t>councils</w:t>
      </w:r>
      <w:proofErr w:type="gramEnd"/>
      <w:r w:rsidR="0009173C" w:rsidRPr="00580905">
        <w:t xml:space="preserve"> reported</w:t>
      </w:r>
      <w:r w:rsidR="007A040D" w:rsidRPr="00580905">
        <w:t>, however,</w:t>
      </w:r>
      <w:r w:rsidR="0009173C" w:rsidRPr="00580905">
        <w:t xml:space="preserve"> that due to </w:t>
      </w:r>
      <w:r w:rsidR="00840993" w:rsidRPr="00580905">
        <w:t xml:space="preserve">a </w:t>
      </w:r>
      <w:r w:rsidR="0009173C" w:rsidRPr="00580905">
        <w:t xml:space="preserve">lack of resources and staff capacity, there </w:t>
      </w:r>
      <w:r w:rsidR="002041D7">
        <w:t>is</w:t>
      </w:r>
      <w:r w:rsidR="002041D7" w:rsidRPr="00580905">
        <w:t xml:space="preserve"> </w:t>
      </w:r>
      <w:r w:rsidR="0009173C" w:rsidRPr="00580905">
        <w:t>a backlog of complaints that had not been investigated.</w:t>
      </w:r>
    </w:p>
    <w:p w14:paraId="68CF0023" w14:textId="4B841226" w:rsidR="0087316D" w:rsidRPr="00580905" w:rsidRDefault="00363C5A" w:rsidP="000A7A4C">
      <w:pPr>
        <w:pStyle w:val="BodyText"/>
      </w:pPr>
      <w:r w:rsidRPr="00580905">
        <w:t xml:space="preserve">One regional council </w:t>
      </w:r>
      <w:r w:rsidR="00D11F8A" w:rsidRPr="00580905">
        <w:t xml:space="preserve">asks complainants to assist </w:t>
      </w:r>
      <w:r w:rsidRPr="00580905">
        <w:t xml:space="preserve">with its CME activities </w:t>
      </w:r>
      <w:r w:rsidR="00D11F8A" w:rsidRPr="00580905">
        <w:t xml:space="preserve">by sending in photographs of the alleged breach, if it is appropriate and safe to do so. </w:t>
      </w:r>
      <w:r w:rsidRPr="00580905">
        <w:t xml:space="preserve">Given the large area of the region and limited capacity of </w:t>
      </w:r>
      <w:r w:rsidR="006809CC" w:rsidRPr="00580905">
        <w:t xml:space="preserve">council </w:t>
      </w:r>
      <w:r w:rsidRPr="00580905">
        <w:t xml:space="preserve">staff, this council is largely reliant on the cooperation of the community to support its CME activities. </w:t>
      </w:r>
      <w:r w:rsidR="006809CC" w:rsidRPr="00580905">
        <w:t>Using the photos provided, the</w:t>
      </w:r>
      <w:r w:rsidR="00D11F8A" w:rsidRPr="00580905">
        <w:t xml:space="preserve"> council </w:t>
      </w:r>
      <w:r w:rsidR="006809CC" w:rsidRPr="00580905">
        <w:t>carries</w:t>
      </w:r>
      <w:r w:rsidR="00D11F8A" w:rsidRPr="00580905">
        <w:t xml:space="preserve"> out a ‘desktop assessment’</w:t>
      </w:r>
      <w:r w:rsidR="00E93290" w:rsidRPr="00580905">
        <w:t xml:space="preserve"> to determine whether </w:t>
      </w:r>
      <w:r w:rsidRPr="00580905">
        <w:t>an investigation is required. In cases where</w:t>
      </w:r>
      <w:r w:rsidR="00D11F8A" w:rsidRPr="00580905">
        <w:t xml:space="preserve"> the council is satisfied that a breach has occurred,</w:t>
      </w:r>
      <w:r w:rsidRPr="00580905">
        <w:t xml:space="preserve"> </w:t>
      </w:r>
      <w:r w:rsidR="007A040D" w:rsidRPr="00580905">
        <w:t xml:space="preserve">in most cases </w:t>
      </w:r>
      <w:r w:rsidRPr="00580905">
        <w:t>the council</w:t>
      </w:r>
      <w:r w:rsidR="00D11F8A" w:rsidRPr="00580905">
        <w:t xml:space="preserve"> contact</w:t>
      </w:r>
      <w:r w:rsidRPr="00580905">
        <w:t>s</w:t>
      </w:r>
      <w:r w:rsidR="006809CC" w:rsidRPr="00580905">
        <w:t xml:space="preserve"> the alleged offender a</w:t>
      </w:r>
      <w:r w:rsidR="00D11F8A" w:rsidRPr="00580905">
        <w:t>nd ask</w:t>
      </w:r>
      <w:r w:rsidR="007A040D" w:rsidRPr="00580905">
        <w:t>s</w:t>
      </w:r>
      <w:r w:rsidR="00D11F8A" w:rsidRPr="00580905">
        <w:t xml:space="preserve"> them to remedy the breach</w:t>
      </w:r>
      <w:r w:rsidR="006809CC" w:rsidRPr="00580905">
        <w:t xml:space="preserve"> without carrying out a site visit</w:t>
      </w:r>
      <w:r w:rsidR="00D11F8A" w:rsidRPr="00580905">
        <w:t>.</w:t>
      </w:r>
      <w:r w:rsidR="00E93290" w:rsidRPr="00580905">
        <w:t xml:space="preserve"> W</w:t>
      </w:r>
      <w:r w:rsidRPr="00580905">
        <w:t>here the alleged breach is significant,</w:t>
      </w:r>
      <w:r w:rsidR="00E93290" w:rsidRPr="00580905">
        <w:t xml:space="preserve"> the council will carry out a site visit</w:t>
      </w:r>
      <w:r w:rsidRPr="00580905">
        <w:t>.</w:t>
      </w:r>
    </w:p>
    <w:p w14:paraId="7D2E11DB" w14:textId="0345572B" w:rsidR="002565E3" w:rsidRPr="003557B5" w:rsidRDefault="002565E3" w:rsidP="00DD224D">
      <w:pPr>
        <w:pStyle w:val="Heading4"/>
      </w:pPr>
      <w:bookmarkStart w:id="36" w:name="_Toc456343394"/>
      <w:bookmarkStart w:id="37" w:name="_Toc456691113"/>
      <w:r w:rsidRPr="003557B5">
        <w:t>Resource consent monitoring</w:t>
      </w:r>
      <w:bookmarkEnd w:id="36"/>
      <w:bookmarkEnd w:id="37"/>
    </w:p>
    <w:p w14:paraId="5CD09C0D" w14:textId="77777777" w:rsidR="00EB146A" w:rsidRPr="00AF74F8" w:rsidRDefault="00EB146A" w:rsidP="00AF74F8">
      <w:pPr>
        <w:pStyle w:val="Heading4"/>
        <w:rPr>
          <w:i/>
        </w:rPr>
      </w:pPr>
      <w:bookmarkStart w:id="38" w:name="_Toc456343395"/>
      <w:r w:rsidRPr="00AF74F8">
        <w:rPr>
          <w:i/>
        </w:rPr>
        <w:t>Councils have a significant number of resource consents to monitor</w:t>
      </w:r>
      <w:bookmarkEnd w:id="38"/>
    </w:p>
    <w:p w14:paraId="796C9FD3" w14:textId="17CB15B7" w:rsidR="006F52DB" w:rsidRPr="00580905" w:rsidRDefault="00EB146A" w:rsidP="000A7A4C">
      <w:pPr>
        <w:pStyle w:val="BodyText"/>
      </w:pPr>
      <w:r w:rsidRPr="00580905">
        <w:t>The NMS records the number of resource consents that councils have determined require monitoring, and the actual number of consents that were monitored for the 201</w:t>
      </w:r>
      <w:r w:rsidR="006F52DB" w:rsidRPr="00580905">
        <w:t xml:space="preserve">4/15 financial year (see Table </w:t>
      </w:r>
      <w:r w:rsidR="00553411">
        <w:t>5</w:t>
      </w:r>
      <w:r w:rsidRPr="00580905">
        <w:t xml:space="preserve"> below)</w:t>
      </w:r>
      <w:r w:rsidR="00164A03" w:rsidRPr="00580905">
        <w:t>.</w:t>
      </w:r>
    </w:p>
    <w:p w14:paraId="29ACB361" w14:textId="09B0129B" w:rsidR="006F52DB" w:rsidRPr="00580905" w:rsidRDefault="006F52DB" w:rsidP="000A7A4C">
      <w:pPr>
        <w:pStyle w:val="Tableheading"/>
        <w:rPr>
          <w:rFonts w:cs="Arial"/>
        </w:rPr>
      </w:pPr>
      <w:bookmarkStart w:id="39" w:name="_Toc473795835"/>
      <w:r w:rsidRPr="00580905">
        <w:t xml:space="preserve">Table </w:t>
      </w:r>
      <w:r w:rsidR="00F32CC6">
        <w:t>5</w:t>
      </w:r>
      <w:r w:rsidRPr="00580905">
        <w:t xml:space="preserve">: </w:t>
      </w:r>
      <w:r w:rsidR="000A7A4C" w:rsidRPr="00580905">
        <w:tab/>
      </w:r>
      <w:r w:rsidRPr="00580905">
        <w:t>Resource consents requiring monitoring by council type (source: NMS 2014/15 data)</w:t>
      </w:r>
      <w:bookmarkEnd w:id="39"/>
    </w:p>
    <w:tbl>
      <w:tblPr>
        <w:tblW w:w="8562" w:type="dxa"/>
        <w:tblInd w:w="93" w:type="dxa"/>
        <w:tblLook w:val="04A0" w:firstRow="1" w:lastRow="0" w:firstColumn="1" w:lastColumn="0" w:noHBand="0" w:noVBand="1"/>
      </w:tblPr>
      <w:tblGrid>
        <w:gridCol w:w="2567"/>
        <w:gridCol w:w="1134"/>
        <w:gridCol w:w="1134"/>
        <w:gridCol w:w="1559"/>
        <w:gridCol w:w="1028"/>
        <w:gridCol w:w="1140"/>
      </w:tblGrid>
      <w:tr w:rsidR="00035408" w:rsidRPr="00580905" w14:paraId="314203D0" w14:textId="77777777" w:rsidTr="00C874F7">
        <w:trPr>
          <w:trHeight w:val="857"/>
        </w:trPr>
        <w:tc>
          <w:tcPr>
            <w:tcW w:w="2567" w:type="dxa"/>
            <w:tcBorders>
              <w:top w:val="single" w:sz="4" w:space="0" w:color="677719"/>
              <w:bottom w:val="single" w:sz="4" w:space="0" w:color="677719"/>
              <w:right w:val="single" w:sz="4" w:space="0" w:color="677719"/>
            </w:tcBorders>
            <w:shd w:val="clear" w:color="000000" w:fill="677719"/>
            <w:vAlign w:val="bottom"/>
            <w:hideMark/>
          </w:tcPr>
          <w:p w14:paraId="616A58C4" w14:textId="77777777" w:rsidR="00035408" w:rsidRPr="00580905" w:rsidRDefault="00035408" w:rsidP="00035408">
            <w:pPr>
              <w:pStyle w:val="TableTextbold"/>
              <w:rPr>
                <w:color w:val="FFFFFF" w:themeColor="background1"/>
              </w:rPr>
            </w:pPr>
            <w:r w:rsidRPr="00580905">
              <w:rPr>
                <w:color w:val="FFFFFF" w:themeColor="background1"/>
              </w:rPr>
              <w:t> </w:t>
            </w:r>
          </w:p>
        </w:tc>
        <w:tc>
          <w:tcPr>
            <w:tcW w:w="1134" w:type="dxa"/>
            <w:tcBorders>
              <w:top w:val="single" w:sz="4" w:space="0" w:color="677719"/>
              <w:left w:val="single" w:sz="4" w:space="0" w:color="677719"/>
              <w:bottom w:val="single" w:sz="4" w:space="0" w:color="677719"/>
              <w:right w:val="single" w:sz="4" w:space="0" w:color="677719"/>
            </w:tcBorders>
            <w:shd w:val="clear" w:color="000000" w:fill="677719"/>
            <w:vAlign w:val="bottom"/>
            <w:hideMark/>
          </w:tcPr>
          <w:p w14:paraId="47DC50D0" w14:textId="77777777" w:rsidR="00035408" w:rsidRPr="00580905" w:rsidRDefault="00035408" w:rsidP="00035408">
            <w:pPr>
              <w:pStyle w:val="TableTextbold"/>
              <w:jc w:val="center"/>
              <w:rPr>
                <w:color w:val="FFFFFF" w:themeColor="background1"/>
              </w:rPr>
            </w:pPr>
            <w:r w:rsidRPr="00580905">
              <w:rPr>
                <w:color w:val="FFFFFF" w:themeColor="background1"/>
              </w:rPr>
              <w:t>Territorial Authorities</w:t>
            </w:r>
          </w:p>
        </w:tc>
        <w:tc>
          <w:tcPr>
            <w:tcW w:w="1134" w:type="dxa"/>
            <w:tcBorders>
              <w:top w:val="single" w:sz="4" w:space="0" w:color="677719"/>
              <w:left w:val="single" w:sz="4" w:space="0" w:color="677719"/>
              <w:bottom w:val="single" w:sz="4" w:space="0" w:color="677719"/>
              <w:right w:val="single" w:sz="4" w:space="0" w:color="677719"/>
            </w:tcBorders>
            <w:shd w:val="clear" w:color="000000" w:fill="677719"/>
            <w:vAlign w:val="bottom"/>
            <w:hideMark/>
          </w:tcPr>
          <w:p w14:paraId="6A150DD5" w14:textId="77777777" w:rsidR="00035408" w:rsidRPr="00580905" w:rsidRDefault="00035408" w:rsidP="00035408">
            <w:pPr>
              <w:pStyle w:val="TableTextbold"/>
              <w:jc w:val="center"/>
              <w:rPr>
                <w:color w:val="FFFFFF" w:themeColor="background1"/>
              </w:rPr>
            </w:pPr>
            <w:r w:rsidRPr="00580905">
              <w:rPr>
                <w:color w:val="FFFFFF" w:themeColor="background1"/>
              </w:rPr>
              <w:t>Regional Councils</w:t>
            </w:r>
          </w:p>
        </w:tc>
        <w:tc>
          <w:tcPr>
            <w:tcW w:w="1559" w:type="dxa"/>
            <w:tcBorders>
              <w:top w:val="single" w:sz="4" w:space="0" w:color="677719"/>
              <w:left w:val="single" w:sz="4" w:space="0" w:color="677719"/>
              <w:bottom w:val="single" w:sz="4" w:space="0" w:color="677719"/>
              <w:right w:val="single" w:sz="4" w:space="0" w:color="677719"/>
            </w:tcBorders>
            <w:shd w:val="clear" w:color="000000" w:fill="677719"/>
            <w:vAlign w:val="bottom"/>
            <w:hideMark/>
          </w:tcPr>
          <w:p w14:paraId="44C08F27" w14:textId="243E7E9C" w:rsidR="00035408" w:rsidRPr="00580905" w:rsidRDefault="00035408" w:rsidP="00035408">
            <w:pPr>
              <w:pStyle w:val="TableTextbold"/>
              <w:jc w:val="center"/>
              <w:rPr>
                <w:color w:val="FFFFFF" w:themeColor="background1"/>
              </w:rPr>
            </w:pPr>
            <w:r w:rsidRPr="00580905">
              <w:rPr>
                <w:color w:val="FFFFFF" w:themeColor="background1"/>
              </w:rPr>
              <w:t>Unitary Authorities (</w:t>
            </w:r>
            <w:proofErr w:type="spellStart"/>
            <w:r w:rsidRPr="00580905">
              <w:rPr>
                <w:color w:val="FFFFFF" w:themeColor="background1"/>
              </w:rPr>
              <w:t>excl</w:t>
            </w:r>
            <w:proofErr w:type="spellEnd"/>
            <w:r w:rsidRPr="00580905">
              <w:rPr>
                <w:color w:val="FFFFFF" w:themeColor="background1"/>
              </w:rPr>
              <w:t xml:space="preserve"> Auckland Council)</w:t>
            </w:r>
          </w:p>
        </w:tc>
        <w:tc>
          <w:tcPr>
            <w:tcW w:w="1028" w:type="dxa"/>
            <w:tcBorders>
              <w:top w:val="single" w:sz="4" w:space="0" w:color="677719"/>
              <w:left w:val="single" w:sz="4" w:space="0" w:color="677719"/>
              <w:bottom w:val="single" w:sz="4" w:space="0" w:color="677719"/>
              <w:right w:val="single" w:sz="4" w:space="0" w:color="677719"/>
            </w:tcBorders>
            <w:shd w:val="clear" w:color="000000" w:fill="677719"/>
            <w:vAlign w:val="bottom"/>
            <w:hideMark/>
          </w:tcPr>
          <w:p w14:paraId="2A409ECA" w14:textId="77777777" w:rsidR="00035408" w:rsidRPr="00580905" w:rsidRDefault="00035408" w:rsidP="00035408">
            <w:pPr>
              <w:pStyle w:val="TableTextbold"/>
              <w:jc w:val="center"/>
              <w:rPr>
                <w:color w:val="FFFFFF" w:themeColor="background1"/>
              </w:rPr>
            </w:pPr>
            <w:r w:rsidRPr="00580905">
              <w:rPr>
                <w:color w:val="FFFFFF" w:themeColor="background1"/>
              </w:rPr>
              <w:t>Auckland Council</w:t>
            </w:r>
          </w:p>
        </w:tc>
        <w:tc>
          <w:tcPr>
            <w:tcW w:w="1140" w:type="dxa"/>
            <w:tcBorders>
              <w:top w:val="single" w:sz="4" w:space="0" w:color="677719"/>
              <w:left w:val="single" w:sz="4" w:space="0" w:color="677719"/>
              <w:bottom w:val="single" w:sz="4" w:space="0" w:color="677719"/>
            </w:tcBorders>
            <w:shd w:val="clear" w:color="000000" w:fill="677719"/>
            <w:vAlign w:val="bottom"/>
            <w:hideMark/>
          </w:tcPr>
          <w:p w14:paraId="0C187A23" w14:textId="107F639C" w:rsidR="00035408" w:rsidRPr="00580905" w:rsidRDefault="00035408" w:rsidP="00035408">
            <w:pPr>
              <w:pStyle w:val="TableTextbold"/>
              <w:jc w:val="center"/>
              <w:rPr>
                <w:color w:val="FFFFFF" w:themeColor="background1"/>
              </w:rPr>
            </w:pPr>
            <w:r w:rsidRPr="00580905">
              <w:rPr>
                <w:color w:val="FFFFFF" w:themeColor="background1"/>
              </w:rPr>
              <w:t>All councils</w:t>
            </w:r>
          </w:p>
        </w:tc>
      </w:tr>
      <w:tr w:rsidR="00035408" w:rsidRPr="00580905" w14:paraId="484F954E" w14:textId="77777777" w:rsidTr="00C874F7">
        <w:trPr>
          <w:trHeight w:val="600"/>
        </w:trPr>
        <w:tc>
          <w:tcPr>
            <w:tcW w:w="2567" w:type="dxa"/>
            <w:tcBorders>
              <w:top w:val="single" w:sz="4" w:space="0" w:color="677719"/>
              <w:bottom w:val="single" w:sz="4" w:space="0" w:color="677719"/>
              <w:right w:val="single" w:sz="4" w:space="0" w:color="677719"/>
            </w:tcBorders>
            <w:shd w:val="clear" w:color="000000" w:fill="auto"/>
            <w:vAlign w:val="bottom"/>
            <w:hideMark/>
          </w:tcPr>
          <w:p w14:paraId="4C98FFB4" w14:textId="1BD47DEA" w:rsidR="00035408" w:rsidRPr="00580905" w:rsidRDefault="00035408" w:rsidP="00035408">
            <w:pPr>
              <w:pStyle w:val="TableTextbold"/>
            </w:pPr>
            <w:r w:rsidRPr="00580905">
              <w:t>Resource consents requiring monitoring (total)</w:t>
            </w:r>
          </w:p>
        </w:tc>
        <w:tc>
          <w:tcPr>
            <w:tcW w:w="1134" w:type="dxa"/>
            <w:tcBorders>
              <w:top w:val="single" w:sz="4" w:space="0" w:color="677719"/>
              <w:left w:val="single" w:sz="4" w:space="0" w:color="677719"/>
              <w:bottom w:val="single" w:sz="4" w:space="0" w:color="677719"/>
              <w:right w:val="single" w:sz="4" w:space="0" w:color="677719"/>
            </w:tcBorders>
            <w:shd w:val="clear" w:color="auto" w:fill="auto"/>
            <w:vAlign w:val="bottom"/>
            <w:hideMark/>
          </w:tcPr>
          <w:p w14:paraId="24967EA0" w14:textId="77777777" w:rsidR="00035408" w:rsidRPr="00580905" w:rsidRDefault="00035408" w:rsidP="00035408">
            <w:pPr>
              <w:pStyle w:val="TableText"/>
              <w:ind w:right="176"/>
              <w:jc w:val="right"/>
            </w:pPr>
            <w:r w:rsidRPr="00580905">
              <w:t>20,840</w:t>
            </w:r>
          </w:p>
        </w:tc>
        <w:tc>
          <w:tcPr>
            <w:tcW w:w="1134" w:type="dxa"/>
            <w:tcBorders>
              <w:top w:val="single" w:sz="4" w:space="0" w:color="677719"/>
              <w:left w:val="single" w:sz="4" w:space="0" w:color="677719"/>
              <w:bottom w:val="single" w:sz="4" w:space="0" w:color="677719"/>
              <w:right w:val="single" w:sz="4" w:space="0" w:color="677719"/>
            </w:tcBorders>
            <w:shd w:val="clear" w:color="auto" w:fill="auto"/>
            <w:vAlign w:val="bottom"/>
            <w:hideMark/>
          </w:tcPr>
          <w:p w14:paraId="3C84789F" w14:textId="77777777" w:rsidR="00035408" w:rsidRPr="00580905" w:rsidRDefault="00035408" w:rsidP="00035408">
            <w:pPr>
              <w:pStyle w:val="TableText"/>
              <w:ind w:right="176"/>
              <w:jc w:val="right"/>
            </w:pPr>
            <w:r w:rsidRPr="00580905">
              <w:t>47,535</w:t>
            </w:r>
          </w:p>
        </w:tc>
        <w:tc>
          <w:tcPr>
            <w:tcW w:w="1559" w:type="dxa"/>
            <w:tcBorders>
              <w:top w:val="single" w:sz="4" w:space="0" w:color="677719"/>
              <w:left w:val="single" w:sz="4" w:space="0" w:color="677719"/>
              <w:bottom w:val="single" w:sz="4" w:space="0" w:color="677719"/>
              <w:right w:val="single" w:sz="4" w:space="0" w:color="677719"/>
            </w:tcBorders>
            <w:shd w:val="clear" w:color="auto" w:fill="auto"/>
            <w:vAlign w:val="bottom"/>
            <w:hideMark/>
          </w:tcPr>
          <w:p w14:paraId="411443F4" w14:textId="77777777" w:rsidR="00035408" w:rsidRPr="00580905" w:rsidRDefault="00035408" w:rsidP="00035408">
            <w:pPr>
              <w:pStyle w:val="TableText"/>
              <w:ind w:right="176"/>
              <w:jc w:val="right"/>
            </w:pPr>
            <w:r w:rsidRPr="00580905">
              <w:t>10,577</w:t>
            </w:r>
          </w:p>
        </w:tc>
        <w:tc>
          <w:tcPr>
            <w:tcW w:w="1028" w:type="dxa"/>
            <w:tcBorders>
              <w:top w:val="single" w:sz="4" w:space="0" w:color="677719"/>
              <w:left w:val="single" w:sz="4" w:space="0" w:color="677719"/>
              <w:bottom w:val="single" w:sz="4" w:space="0" w:color="677719"/>
              <w:right w:val="single" w:sz="4" w:space="0" w:color="677719"/>
            </w:tcBorders>
            <w:shd w:val="clear" w:color="auto" w:fill="auto"/>
            <w:vAlign w:val="bottom"/>
            <w:hideMark/>
          </w:tcPr>
          <w:p w14:paraId="417FB976" w14:textId="77777777" w:rsidR="00035408" w:rsidRPr="00580905" w:rsidRDefault="00035408" w:rsidP="00035408">
            <w:pPr>
              <w:pStyle w:val="TableText"/>
              <w:ind w:right="176"/>
              <w:jc w:val="right"/>
            </w:pPr>
            <w:r w:rsidRPr="00580905">
              <w:t>17,806</w:t>
            </w:r>
          </w:p>
        </w:tc>
        <w:tc>
          <w:tcPr>
            <w:tcW w:w="1140" w:type="dxa"/>
            <w:tcBorders>
              <w:top w:val="single" w:sz="4" w:space="0" w:color="677719"/>
              <w:left w:val="single" w:sz="4" w:space="0" w:color="677719"/>
              <w:bottom w:val="single" w:sz="4" w:space="0" w:color="677719"/>
            </w:tcBorders>
            <w:shd w:val="clear" w:color="auto" w:fill="auto"/>
            <w:vAlign w:val="bottom"/>
            <w:hideMark/>
          </w:tcPr>
          <w:p w14:paraId="5BFACB31" w14:textId="77777777" w:rsidR="00035408" w:rsidRPr="00580905" w:rsidRDefault="00035408" w:rsidP="00035408">
            <w:pPr>
              <w:pStyle w:val="TableText"/>
              <w:ind w:right="176"/>
              <w:jc w:val="right"/>
            </w:pPr>
            <w:r w:rsidRPr="00580905">
              <w:t>96,758</w:t>
            </w:r>
          </w:p>
        </w:tc>
      </w:tr>
      <w:tr w:rsidR="00035408" w:rsidRPr="00580905" w14:paraId="41E6E42A" w14:textId="77777777" w:rsidTr="00C874F7">
        <w:trPr>
          <w:trHeight w:val="600"/>
        </w:trPr>
        <w:tc>
          <w:tcPr>
            <w:tcW w:w="2567" w:type="dxa"/>
            <w:tcBorders>
              <w:top w:val="single" w:sz="4" w:space="0" w:color="677719"/>
              <w:bottom w:val="single" w:sz="4" w:space="0" w:color="677719"/>
              <w:right w:val="single" w:sz="4" w:space="0" w:color="677719"/>
            </w:tcBorders>
            <w:shd w:val="clear" w:color="000000" w:fill="auto"/>
            <w:vAlign w:val="bottom"/>
          </w:tcPr>
          <w:p w14:paraId="25BBB1E0" w14:textId="7F761518" w:rsidR="00035408" w:rsidRPr="00580905" w:rsidRDefault="00035408" w:rsidP="00035408">
            <w:pPr>
              <w:pStyle w:val="TableTextbold"/>
            </w:pPr>
            <w:r w:rsidRPr="00580905">
              <w:t>Resource consents requiring monitoring (average</w:t>
            </w:r>
            <w:r w:rsidR="00826765">
              <w:t xml:space="preserve"> per council type</w:t>
            </w:r>
            <w:r w:rsidRPr="00580905">
              <w:t>)</w:t>
            </w:r>
          </w:p>
        </w:tc>
        <w:tc>
          <w:tcPr>
            <w:tcW w:w="1134" w:type="dxa"/>
            <w:tcBorders>
              <w:top w:val="single" w:sz="4" w:space="0" w:color="677719"/>
              <w:left w:val="single" w:sz="4" w:space="0" w:color="677719"/>
              <w:bottom w:val="single" w:sz="4" w:space="0" w:color="677719"/>
              <w:right w:val="single" w:sz="4" w:space="0" w:color="677719"/>
            </w:tcBorders>
            <w:shd w:val="clear" w:color="auto" w:fill="auto"/>
            <w:vAlign w:val="bottom"/>
          </w:tcPr>
          <w:p w14:paraId="2CA3AFC0" w14:textId="4655C285" w:rsidR="00035408" w:rsidRPr="00580905" w:rsidRDefault="00035408" w:rsidP="00035408">
            <w:pPr>
              <w:pStyle w:val="TableText"/>
              <w:ind w:right="176"/>
              <w:jc w:val="right"/>
            </w:pPr>
            <w:r w:rsidRPr="00580905">
              <w:t>341.6</w:t>
            </w:r>
          </w:p>
        </w:tc>
        <w:tc>
          <w:tcPr>
            <w:tcW w:w="1134" w:type="dxa"/>
            <w:tcBorders>
              <w:top w:val="single" w:sz="4" w:space="0" w:color="677719"/>
              <w:left w:val="single" w:sz="4" w:space="0" w:color="677719"/>
              <w:bottom w:val="single" w:sz="4" w:space="0" w:color="677719"/>
              <w:right w:val="single" w:sz="4" w:space="0" w:color="677719"/>
            </w:tcBorders>
            <w:shd w:val="clear" w:color="auto" w:fill="auto"/>
            <w:vAlign w:val="bottom"/>
          </w:tcPr>
          <w:p w14:paraId="1E9A1645" w14:textId="63144E5E" w:rsidR="00035408" w:rsidRPr="00580905" w:rsidRDefault="00035408" w:rsidP="00035408">
            <w:pPr>
              <w:pStyle w:val="TableText"/>
              <w:ind w:right="176"/>
              <w:jc w:val="right"/>
            </w:pPr>
            <w:r w:rsidRPr="00580905">
              <w:t>4321.4</w:t>
            </w:r>
          </w:p>
        </w:tc>
        <w:tc>
          <w:tcPr>
            <w:tcW w:w="1559" w:type="dxa"/>
            <w:tcBorders>
              <w:top w:val="single" w:sz="4" w:space="0" w:color="677719"/>
              <w:left w:val="single" w:sz="4" w:space="0" w:color="677719"/>
              <w:bottom w:val="single" w:sz="4" w:space="0" w:color="677719"/>
              <w:right w:val="single" w:sz="4" w:space="0" w:color="677719"/>
            </w:tcBorders>
            <w:shd w:val="clear" w:color="auto" w:fill="auto"/>
            <w:vAlign w:val="bottom"/>
          </w:tcPr>
          <w:p w14:paraId="18550D6A" w14:textId="1D0F5520" w:rsidR="00035408" w:rsidRPr="00580905" w:rsidRDefault="00035408" w:rsidP="00035408">
            <w:pPr>
              <w:pStyle w:val="TableText"/>
              <w:ind w:right="176"/>
              <w:jc w:val="right"/>
            </w:pPr>
            <w:r w:rsidRPr="00580905">
              <w:t>2115.4</w:t>
            </w:r>
          </w:p>
        </w:tc>
        <w:tc>
          <w:tcPr>
            <w:tcW w:w="1028" w:type="dxa"/>
            <w:tcBorders>
              <w:top w:val="single" w:sz="4" w:space="0" w:color="677719"/>
              <w:left w:val="single" w:sz="4" w:space="0" w:color="677719"/>
              <w:bottom w:val="single" w:sz="4" w:space="0" w:color="677719"/>
              <w:right w:val="single" w:sz="4" w:space="0" w:color="677719"/>
            </w:tcBorders>
            <w:shd w:val="clear" w:color="auto" w:fill="auto"/>
            <w:vAlign w:val="bottom"/>
          </w:tcPr>
          <w:p w14:paraId="11F065C4" w14:textId="19D0D76F" w:rsidR="00035408" w:rsidRPr="00580905" w:rsidRDefault="00035408" w:rsidP="00035408">
            <w:pPr>
              <w:pStyle w:val="TableText"/>
              <w:ind w:right="176"/>
              <w:jc w:val="right"/>
            </w:pPr>
            <w:r w:rsidRPr="00580905">
              <w:t>17,806</w:t>
            </w:r>
          </w:p>
        </w:tc>
        <w:tc>
          <w:tcPr>
            <w:tcW w:w="1140" w:type="dxa"/>
            <w:tcBorders>
              <w:top w:val="single" w:sz="4" w:space="0" w:color="677719"/>
              <w:left w:val="single" w:sz="4" w:space="0" w:color="677719"/>
              <w:bottom w:val="single" w:sz="4" w:space="0" w:color="677719"/>
            </w:tcBorders>
            <w:shd w:val="clear" w:color="auto" w:fill="auto"/>
            <w:vAlign w:val="bottom"/>
          </w:tcPr>
          <w:p w14:paraId="4E7CC3E7" w14:textId="70417275" w:rsidR="00035408" w:rsidRPr="00580905" w:rsidRDefault="00035408" w:rsidP="00035408">
            <w:pPr>
              <w:pStyle w:val="TableText"/>
              <w:ind w:right="176"/>
              <w:jc w:val="right"/>
            </w:pPr>
            <w:r w:rsidRPr="00580905">
              <w:t>1240.5</w:t>
            </w:r>
          </w:p>
        </w:tc>
      </w:tr>
      <w:tr w:rsidR="00035408" w:rsidRPr="00580905" w14:paraId="7A7B15AF" w14:textId="77777777" w:rsidTr="00C874F7">
        <w:trPr>
          <w:trHeight w:val="600"/>
        </w:trPr>
        <w:tc>
          <w:tcPr>
            <w:tcW w:w="2567" w:type="dxa"/>
            <w:tcBorders>
              <w:top w:val="single" w:sz="4" w:space="0" w:color="677719"/>
              <w:bottom w:val="single" w:sz="4" w:space="0" w:color="677719"/>
              <w:right w:val="single" w:sz="4" w:space="0" w:color="677719"/>
            </w:tcBorders>
            <w:shd w:val="clear" w:color="000000" w:fill="auto"/>
            <w:vAlign w:val="bottom"/>
          </w:tcPr>
          <w:p w14:paraId="3914CDFC" w14:textId="6529281D" w:rsidR="00035408" w:rsidRPr="00580905" w:rsidRDefault="00035408" w:rsidP="00035408">
            <w:pPr>
              <w:pStyle w:val="TableTextbold"/>
            </w:pPr>
            <w:r w:rsidRPr="00580905">
              <w:t>Resource consents monitored (total)</w:t>
            </w:r>
          </w:p>
        </w:tc>
        <w:tc>
          <w:tcPr>
            <w:tcW w:w="1134" w:type="dxa"/>
            <w:tcBorders>
              <w:top w:val="single" w:sz="4" w:space="0" w:color="677719"/>
              <w:left w:val="single" w:sz="4" w:space="0" w:color="677719"/>
              <w:bottom w:val="single" w:sz="4" w:space="0" w:color="677719"/>
              <w:right w:val="single" w:sz="4" w:space="0" w:color="677719"/>
            </w:tcBorders>
            <w:shd w:val="clear" w:color="auto" w:fill="auto"/>
            <w:vAlign w:val="bottom"/>
          </w:tcPr>
          <w:p w14:paraId="6E2F0D8B" w14:textId="76F4D5A5" w:rsidR="00035408" w:rsidRPr="00580905" w:rsidRDefault="00035408" w:rsidP="00035408">
            <w:pPr>
              <w:pStyle w:val="TableText"/>
              <w:ind w:right="176"/>
              <w:jc w:val="right"/>
            </w:pPr>
            <w:r w:rsidRPr="00580905">
              <w:t>14,634</w:t>
            </w:r>
          </w:p>
        </w:tc>
        <w:tc>
          <w:tcPr>
            <w:tcW w:w="1134" w:type="dxa"/>
            <w:tcBorders>
              <w:top w:val="single" w:sz="4" w:space="0" w:color="677719"/>
              <w:left w:val="single" w:sz="4" w:space="0" w:color="677719"/>
              <w:bottom w:val="single" w:sz="4" w:space="0" w:color="677719"/>
              <w:right w:val="single" w:sz="4" w:space="0" w:color="677719"/>
            </w:tcBorders>
            <w:shd w:val="clear" w:color="auto" w:fill="auto"/>
            <w:vAlign w:val="bottom"/>
          </w:tcPr>
          <w:p w14:paraId="1E2774E6" w14:textId="29B51779" w:rsidR="00035408" w:rsidRPr="00580905" w:rsidRDefault="00035408" w:rsidP="00035408">
            <w:pPr>
              <w:pStyle w:val="TableText"/>
              <w:ind w:right="176"/>
              <w:jc w:val="right"/>
            </w:pPr>
            <w:r w:rsidRPr="00580905">
              <w:t>23,435</w:t>
            </w:r>
          </w:p>
        </w:tc>
        <w:tc>
          <w:tcPr>
            <w:tcW w:w="1559" w:type="dxa"/>
            <w:tcBorders>
              <w:top w:val="single" w:sz="4" w:space="0" w:color="677719"/>
              <w:left w:val="single" w:sz="4" w:space="0" w:color="677719"/>
              <w:bottom w:val="single" w:sz="4" w:space="0" w:color="677719"/>
              <w:right w:val="single" w:sz="4" w:space="0" w:color="677719"/>
            </w:tcBorders>
            <w:shd w:val="clear" w:color="auto" w:fill="auto"/>
            <w:vAlign w:val="bottom"/>
          </w:tcPr>
          <w:p w14:paraId="6ABC6881" w14:textId="23525274" w:rsidR="00035408" w:rsidRPr="00580905" w:rsidRDefault="00035408" w:rsidP="00035408">
            <w:pPr>
              <w:pStyle w:val="TableText"/>
              <w:ind w:right="176"/>
              <w:jc w:val="right"/>
            </w:pPr>
            <w:r w:rsidRPr="00580905">
              <w:t>5,749</w:t>
            </w:r>
          </w:p>
        </w:tc>
        <w:tc>
          <w:tcPr>
            <w:tcW w:w="1028" w:type="dxa"/>
            <w:tcBorders>
              <w:top w:val="single" w:sz="4" w:space="0" w:color="677719"/>
              <w:left w:val="single" w:sz="4" w:space="0" w:color="677719"/>
              <w:bottom w:val="single" w:sz="4" w:space="0" w:color="677719"/>
              <w:right w:val="single" w:sz="4" w:space="0" w:color="677719"/>
            </w:tcBorders>
            <w:shd w:val="clear" w:color="auto" w:fill="auto"/>
            <w:vAlign w:val="bottom"/>
          </w:tcPr>
          <w:p w14:paraId="59020B9B" w14:textId="2831E949" w:rsidR="00035408" w:rsidRPr="00580905" w:rsidRDefault="00035408" w:rsidP="00035408">
            <w:pPr>
              <w:pStyle w:val="TableText"/>
              <w:ind w:right="176"/>
              <w:jc w:val="right"/>
            </w:pPr>
            <w:r w:rsidRPr="00580905">
              <w:t>14,428</w:t>
            </w:r>
          </w:p>
        </w:tc>
        <w:tc>
          <w:tcPr>
            <w:tcW w:w="1140" w:type="dxa"/>
            <w:tcBorders>
              <w:top w:val="single" w:sz="4" w:space="0" w:color="677719"/>
              <w:left w:val="single" w:sz="4" w:space="0" w:color="677719"/>
              <w:bottom w:val="single" w:sz="4" w:space="0" w:color="677719"/>
            </w:tcBorders>
            <w:shd w:val="clear" w:color="auto" w:fill="auto"/>
            <w:vAlign w:val="bottom"/>
          </w:tcPr>
          <w:p w14:paraId="3E8424FB" w14:textId="1DCF5164" w:rsidR="00035408" w:rsidRPr="00580905" w:rsidRDefault="00035408" w:rsidP="00035408">
            <w:pPr>
              <w:pStyle w:val="TableText"/>
              <w:ind w:right="176"/>
              <w:jc w:val="right"/>
            </w:pPr>
            <w:r w:rsidRPr="00580905">
              <w:t>58,246</w:t>
            </w:r>
          </w:p>
        </w:tc>
      </w:tr>
      <w:tr w:rsidR="00035408" w:rsidRPr="00580905" w14:paraId="741AEBA3" w14:textId="77777777" w:rsidTr="00C874F7">
        <w:trPr>
          <w:trHeight w:val="600"/>
        </w:trPr>
        <w:tc>
          <w:tcPr>
            <w:tcW w:w="2567" w:type="dxa"/>
            <w:tcBorders>
              <w:top w:val="single" w:sz="4" w:space="0" w:color="677719"/>
              <w:bottom w:val="single" w:sz="4" w:space="0" w:color="677719"/>
              <w:right w:val="single" w:sz="4" w:space="0" w:color="677719"/>
            </w:tcBorders>
            <w:shd w:val="clear" w:color="000000" w:fill="auto"/>
            <w:vAlign w:val="bottom"/>
          </w:tcPr>
          <w:p w14:paraId="1F6D63F7" w14:textId="701436C5" w:rsidR="00035408" w:rsidRPr="00580905" w:rsidRDefault="00035408" w:rsidP="00035408">
            <w:pPr>
              <w:pStyle w:val="TableTextbold"/>
            </w:pPr>
            <w:r w:rsidRPr="00580905">
              <w:t>Resource consents monitored (average</w:t>
            </w:r>
            <w:r w:rsidR="00826765">
              <w:t xml:space="preserve"> per council type</w:t>
            </w:r>
            <w:r w:rsidRPr="00580905">
              <w:t>)</w:t>
            </w:r>
          </w:p>
        </w:tc>
        <w:tc>
          <w:tcPr>
            <w:tcW w:w="1134" w:type="dxa"/>
            <w:tcBorders>
              <w:top w:val="single" w:sz="4" w:space="0" w:color="677719"/>
              <w:left w:val="single" w:sz="4" w:space="0" w:color="677719"/>
              <w:bottom w:val="single" w:sz="4" w:space="0" w:color="677719"/>
              <w:right w:val="single" w:sz="4" w:space="0" w:color="677719"/>
            </w:tcBorders>
            <w:shd w:val="clear" w:color="auto" w:fill="auto"/>
            <w:vAlign w:val="bottom"/>
          </w:tcPr>
          <w:p w14:paraId="42A0B613" w14:textId="30020DA8" w:rsidR="00035408" w:rsidRPr="00580905" w:rsidRDefault="00035408" w:rsidP="00035408">
            <w:pPr>
              <w:pStyle w:val="TableText"/>
              <w:ind w:right="176"/>
              <w:jc w:val="right"/>
            </w:pPr>
            <w:r w:rsidRPr="00580905">
              <w:t>239.9</w:t>
            </w:r>
          </w:p>
        </w:tc>
        <w:tc>
          <w:tcPr>
            <w:tcW w:w="1134" w:type="dxa"/>
            <w:tcBorders>
              <w:top w:val="single" w:sz="4" w:space="0" w:color="677719"/>
              <w:left w:val="single" w:sz="4" w:space="0" w:color="677719"/>
              <w:bottom w:val="single" w:sz="4" w:space="0" w:color="677719"/>
              <w:right w:val="single" w:sz="4" w:space="0" w:color="677719"/>
            </w:tcBorders>
            <w:shd w:val="clear" w:color="auto" w:fill="auto"/>
            <w:vAlign w:val="bottom"/>
          </w:tcPr>
          <w:p w14:paraId="2A75CB59" w14:textId="59D2C138" w:rsidR="00035408" w:rsidRPr="00580905" w:rsidRDefault="00035408" w:rsidP="00035408">
            <w:pPr>
              <w:pStyle w:val="TableText"/>
              <w:ind w:right="176"/>
              <w:jc w:val="right"/>
            </w:pPr>
            <w:r w:rsidRPr="00580905">
              <w:t>2130.5</w:t>
            </w:r>
          </w:p>
        </w:tc>
        <w:tc>
          <w:tcPr>
            <w:tcW w:w="1559" w:type="dxa"/>
            <w:tcBorders>
              <w:top w:val="single" w:sz="4" w:space="0" w:color="677719"/>
              <w:left w:val="single" w:sz="4" w:space="0" w:color="677719"/>
              <w:bottom w:val="single" w:sz="4" w:space="0" w:color="677719"/>
              <w:right w:val="single" w:sz="4" w:space="0" w:color="677719"/>
            </w:tcBorders>
            <w:shd w:val="clear" w:color="auto" w:fill="auto"/>
            <w:vAlign w:val="bottom"/>
          </w:tcPr>
          <w:p w14:paraId="0406E403" w14:textId="054B5D5C" w:rsidR="00035408" w:rsidRPr="00580905" w:rsidRDefault="00035408" w:rsidP="00035408">
            <w:pPr>
              <w:pStyle w:val="TableText"/>
              <w:ind w:right="176"/>
              <w:jc w:val="right"/>
            </w:pPr>
            <w:r w:rsidRPr="00580905">
              <w:t>1149.8</w:t>
            </w:r>
          </w:p>
        </w:tc>
        <w:tc>
          <w:tcPr>
            <w:tcW w:w="1028" w:type="dxa"/>
            <w:tcBorders>
              <w:top w:val="single" w:sz="4" w:space="0" w:color="677719"/>
              <w:left w:val="single" w:sz="4" w:space="0" w:color="677719"/>
              <w:bottom w:val="single" w:sz="4" w:space="0" w:color="677719"/>
              <w:right w:val="single" w:sz="4" w:space="0" w:color="677719"/>
            </w:tcBorders>
            <w:shd w:val="clear" w:color="auto" w:fill="auto"/>
            <w:vAlign w:val="bottom"/>
          </w:tcPr>
          <w:p w14:paraId="1765EFEE" w14:textId="7BE58A92" w:rsidR="00035408" w:rsidRPr="00580905" w:rsidRDefault="00035408" w:rsidP="00035408">
            <w:pPr>
              <w:pStyle w:val="TableText"/>
              <w:ind w:right="176"/>
              <w:jc w:val="right"/>
            </w:pPr>
            <w:r w:rsidRPr="00580905">
              <w:t>14,428</w:t>
            </w:r>
          </w:p>
        </w:tc>
        <w:tc>
          <w:tcPr>
            <w:tcW w:w="1140" w:type="dxa"/>
            <w:tcBorders>
              <w:top w:val="single" w:sz="4" w:space="0" w:color="677719"/>
              <w:left w:val="single" w:sz="4" w:space="0" w:color="677719"/>
              <w:bottom w:val="single" w:sz="4" w:space="0" w:color="677719"/>
            </w:tcBorders>
            <w:shd w:val="clear" w:color="auto" w:fill="auto"/>
            <w:vAlign w:val="bottom"/>
          </w:tcPr>
          <w:p w14:paraId="3CB230B6" w14:textId="374947FF" w:rsidR="00035408" w:rsidRPr="00580905" w:rsidRDefault="00035408" w:rsidP="00035408">
            <w:pPr>
              <w:pStyle w:val="TableText"/>
              <w:ind w:right="176"/>
              <w:jc w:val="right"/>
            </w:pPr>
            <w:r w:rsidRPr="00580905">
              <w:t>746.7</w:t>
            </w:r>
          </w:p>
        </w:tc>
      </w:tr>
    </w:tbl>
    <w:p w14:paraId="3954EF48" w14:textId="6C97A57A" w:rsidR="00A86E76" w:rsidRPr="00580905" w:rsidRDefault="00A86E76" w:rsidP="00D93BC5">
      <w:pPr>
        <w:pStyle w:val="BodyText"/>
        <w:spacing w:before="240"/>
      </w:pPr>
      <w:r w:rsidRPr="00580905">
        <w:t xml:space="preserve">The NMS data shows that councils actually monitor an average of 60 per cent of all resource consents </w:t>
      </w:r>
      <w:r w:rsidR="007A040D" w:rsidRPr="00580905">
        <w:t xml:space="preserve">that </w:t>
      </w:r>
      <w:r w:rsidRPr="00580905">
        <w:t>requir</w:t>
      </w:r>
      <w:r w:rsidR="007A040D" w:rsidRPr="00580905">
        <w:t>e</w:t>
      </w:r>
      <w:r w:rsidRPr="00580905">
        <w:t xml:space="preserve"> monitoring. </w:t>
      </w:r>
      <w:r w:rsidR="00850002">
        <w:t>T</w:t>
      </w:r>
      <w:r w:rsidRPr="00580905">
        <w:t>he rate of consents monitored to consents requiring monitoring varies significantly between councils.</w:t>
      </w:r>
      <w:r w:rsidRPr="00580905">
        <w:rPr>
          <w:rStyle w:val="FootnoteReference"/>
        </w:rPr>
        <w:footnoteReference w:id="31"/>
      </w:r>
      <w:r w:rsidR="00E12034" w:rsidRPr="00580905">
        <w:t xml:space="preserve"> </w:t>
      </w:r>
      <w:r w:rsidR="00850002">
        <w:t>N</w:t>
      </w:r>
      <w:r w:rsidRPr="00580905">
        <w:t>ote that s</w:t>
      </w:r>
      <w:r w:rsidR="00E12034" w:rsidRPr="00580905">
        <w:t xml:space="preserve">ome </w:t>
      </w:r>
      <w:proofErr w:type="gramStart"/>
      <w:r w:rsidR="00E12034" w:rsidRPr="00580905">
        <w:t>councils</w:t>
      </w:r>
      <w:proofErr w:type="gramEnd"/>
      <w:r w:rsidR="00E12034" w:rsidRPr="00580905">
        <w:t xml:space="preserve"> </w:t>
      </w:r>
      <w:r w:rsidRPr="00580905">
        <w:t>did not correctly identify and record some resource consents as requiring monitoring</w:t>
      </w:r>
      <w:r w:rsidR="00146392" w:rsidRPr="00580905">
        <w:t>,</w:t>
      </w:r>
      <w:r w:rsidRPr="00580905">
        <w:t xml:space="preserve"> but subsequently monitored these.</w:t>
      </w:r>
    </w:p>
    <w:p w14:paraId="78C5F676" w14:textId="4C5F76BA" w:rsidR="002024E4" w:rsidRPr="00580905" w:rsidRDefault="00EB146A" w:rsidP="00DD224D">
      <w:pPr>
        <w:pStyle w:val="BodyText"/>
      </w:pPr>
      <w:r w:rsidRPr="00580905">
        <w:t xml:space="preserve">Councils have discretion to determine what resource consents to monitor and how often. </w:t>
      </w:r>
      <w:r w:rsidR="00C14A0E" w:rsidRPr="00580905">
        <w:t>Although most resource consents require monitoring, d</w:t>
      </w:r>
      <w:r w:rsidRPr="00580905">
        <w:t>ue to limited resources available for CME and a significant number of resource consents</w:t>
      </w:r>
      <w:r w:rsidR="00C14A0E" w:rsidRPr="00580905">
        <w:t xml:space="preserve"> to monitor, some councils need</w:t>
      </w:r>
      <w:r w:rsidRPr="00580905">
        <w:t xml:space="preserve"> to prioritise whic</w:t>
      </w:r>
      <w:r w:rsidR="00C14A0E" w:rsidRPr="00580905">
        <w:t xml:space="preserve">h resource consents to monitor. Environment Canterbury, for example, </w:t>
      </w:r>
      <w:r w:rsidR="00A73C8F" w:rsidRPr="00580905">
        <w:t>has</w:t>
      </w:r>
      <w:r w:rsidR="00C14A0E" w:rsidRPr="00580905">
        <w:t xml:space="preserve"> taken a </w:t>
      </w:r>
      <w:r w:rsidR="007F653E" w:rsidRPr="00580905">
        <w:t>targeted</w:t>
      </w:r>
      <w:r w:rsidR="00C14A0E" w:rsidRPr="00580905">
        <w:t xml:space="preserve"> approach to m</w:t>
      </w:r>
      <w:r w:rsidR="00C030FA">
        <w:t xml:space="preserve">onitoring resource consents, </w:t>
      </w:r>
      <w:r w:rsidR="00C14A0E" w:rsidRPr="00580905">
        <w:t>explained below.</w:t>
      </w:r>
    </w:p>
    <w:tbl>
      <w:tblPr>
        <w:tblW w:w="850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hemeFill="accent3" w:themeFillTint="33"/>
        <w:tblLook w:val="04A0" w:firstRow="1" w:lastRow="0" w:firstColumn="1" w:lastColumn="0" w:noHBand="0" w:noVBand="1"/>
      </w:tblPr>
      <w:tblGrid>
        <w:gridCol w:w="8505"/>
      </w:tblGrid>
      <w:tr w:rsidR="000A7370" w:rsidRPr="00580905" w14:paraId="27806096" w14:textId="77777777" w:rsidTr="00A64448">
        <w:trPr>
          <w:cantSplit/>
        </w:trPr>
        <w:tc>
          <w:tcPr>
            <w:tcW w:w="8505" w:type="dxa"/>
            <w:tcBorders>
              <w:top w:val="single" w:sz="4" w:space="0" w:color="677719"/>
              <w:left w:val="single" w:sz="4" w:space="0" w:color="677719"/>
              <w:bottom w:val="nil"/>
              <w:right w:val="single" w:sz="4" w:space="0" w:color="677719"/>
            </w:tcBorders>
            <w:shd w:val="clear" w:color="auto" w:fill="677719"/>
          </w:tcPr>
          <w:p w14:paraId="1E511431" w14:textId="4B9C0F04" w:rsidR="002024E4" w:rsidRPr="00580905" w:rsidDel="00D5390D" w:rsidRDefault="002024E4" w:rsidP="000A7370">
            <w:pPr>
              <w:pStyle w:val="Casestudyheading"/>
              <w:rPr>
                <w:color w:val="FFFFFF" w:themeColor="background1"/>
              </w:rPr>
            </w:pPr>
            <w:r w:rsidRPr="00580905">
              <w:rPr>
                <w:color w:val="FFFFFF" w:themeColor="background1"/>
              </w:rPr>
              <w:t>Case study: environment canterbury’s approach to resource consent</w:t>
            </w:r>
            <w:r w:rsidR="000A7370" w:rsidRPr="00580905">
              <w:rPr>
                <w:color w:val="FFFFFF" w:themeColor="background1"/>
              </w:rPr>
              <w:t> </w:t>
            </w:r>
            <w:r w:rsidRPr="00580905">
              <w:rPr>
                <w:color w:val="FFFFFF" w:themeColor="background1"/>
              </w:rPr>
              <w:t>monitoring</w:t>
            </w:r>
            <w:r w:rsidRPr="00580905">
              <w:rPr>
                <w:rStyle w:val="FootnoteReference"/>
                <w:caps w:val="0"/>
                <w:color w:val="FFFFFF" w:themeColor="background1"/>
              </w:rPr>
              <w:footnoteReference w:id="32"/>
            </w:r>
          </w:p>
        </w:tc>
      </w:tr>
      <w:tr w:rsidR="002024E4" w:rsidRPr="00580905" w14:paraId="7EFF9ED3" w14:textId="77777777" w:rsidTr="00A64448">
        <w:trPr>
          <w:cantSplit/>
        </w:trPr>
        <w:tc>
          <w:tcPr>
            <w:tcW w:w="8505" w:type="dxa"/>
            <w:tcBorders>
              <w:top w:val="nil"/>
              <w:left w:val="single" w:sz="4" w:space="0" w:color="C5C19D"/>
              <w:bottom w:val="single" w:sz="4" w:space="0" w:color="C5C19D"/>
              <w:right w:val="single" w:sz="4" w:space="0" w:color="C5C19D"/>
            </w:tcBorders>
            <w:shd w:val="clear" w:color="auto" w:fill="C5C19D"/>
          </w:tcPr>
          <w:p w14:paraId="53F88656" w14:textId="77777777" w:rsidR="002024E4" w:rsidRPr="00580905" w:rsidRDefault="002024E4" w:rsidP="00C874F7">
            <w:pPr>
              <w:pStyle w:val="Greentext-tables"/>
              <w:spacing w:before="240" w:after="60"/>
            </w:pPr>
            <w:r w:rsidRPr="00580905">
              <w:t>Environment Canterbury Regional Council has recently altered its approach to monitoring to target high-risk resource consents that, if breached, could have significant environmental impacts. This is explained in the 2014/15 Compliance Monitoring Annual Report:</w:t>
            </w:r>
          </w:p>
          <w:p w14:paraId="00467234" w14:textId="77777777" w:rsidR="002024E4" w:rsidRPr="00580905" w:rsidRDefault="002024E4" w:rsidP="00C874F7">
            <w:pPr>
              <w:pStyle w:val="Greentext-tables"/>
              <w:spacing w:after="60"/>
              <w:ind w:left="567" w:right="567"/>
              <w:rPr>
                <w:i/>
              </w:rPr>
            </w:pPr>
            <w:r w:rsidRPr="00580905">
              <w:rPr>
                <w:i/>
              </w:rPr>
              <w:t xml:space="preserve">There are nearly 24,000 resource consents in Canterbury. This number has remained reasonably constant over the last eight years. With this many consents, we need to be very clear about our priorities. Most </w:t>
            </w:r>
            <w:proofErr w:type="gramStart"/>
            <w:r w:rsidRPr="00580905">
              <w:rPr>
                <w:i/>
              </w:rPr>
              <w:t>consents</w:t>
            </w:r>
            <w:proofErr w:type="gramEnd"/>
            <w:r w:rsidRPr="00580905">
              <w:rPr>
                <w:i/>
              </w:rPr>
              <w:t xml:space="preserve"> do not require monitoring every year; however, higher risk consents could require several monitoring events a year.</w:t>
            </w:r>
          </w:p>
          <w:p w14:paraId="1E9CC35E" w14:textId="2997EA04" w:rsidR="002024E4" w:rsidRPr="00580905" w:rsidRDefault="002024E4" w:rsidP="00624F17">
            <w:pPr>
              <w:pStyle w:val="Greentext-tables"/>
              <w:spacing w:after="280"/>
              <w:ind w:left="567" w:right="567"/>
              <w:rPr>
                <w:bCs/>
                <w:iCs/>
                <w:color w:val="595959"/>
              </w:rPr>
            </w:pPr>
            <w:r w:rsidRPr="00580905">
              <w:rPr>
                <w:i/>
              </w:rPr>
              <w:t>Consents are scored according to the scale of the activity, environmental effect, mechanism of damage, compliance history and the quality of management. In the year to 30 June 2015 we monitored 3,990 consents (16%) and undertook 6,890 monitoring events. As part of a more focused approach, we concentrated on consent holders with a history of non-compliance as well as those activities that could have a greater impact on the environment (high-risk sites). This resulted in fewer consents monitored than last year (24% of consents were monitored in 2013–14), a reflection of a more targeted response. There has also been an increase in the number of larger, more complex consents which now include nutrient management provisions.</w:t>
            </w:r>
          </w:p>
        </w:tc>
      </w:tr>
    </w:tbl>
    <w:p w14:paraId="1FE2A861" w14:textId="5C945F0B" w:rsidR="00551C90" w:rsidRDefault="00551C90" w:rsidP="00FC5560">
      <w:pPr>
        <w:pStyle w:val="BodyText"/>
        <w:spacing w:before="240"/>
      </w:pPr>
      <w:r>
        <w:t xml:space="preserve">Federated Farmers believe </w:t>
      </w:r>
      <w:r w:rsidR="00B414F3">
        <w:t>t</w:t>
      </w:r>
      <w:r w:rsidR="00973D0E">
        <w:t xml:space="preserve">hat for some </w:t>
      </w:r>
      <w:proofErr w:type="gramStart"/>
      <w:r w:rsidR="00973D0E">
        <w:t>councils</w:t>
      </w:r>
      <w:proofErr w:type="gramEnd"/>
      <w:r w:rsidR="00973D0E">
        <w:t xml:space="preserve">, </w:t>
      </w:r>
      <w:r w:rsidR="00302884">
        <w:t>too many activities require resource c</w:t>
      </w:r>
      <w:r w:rsidR="001841DF">
        <w:t>onsent</w:t>
      </w:r>
      <w:r w:rsidR="00302884">
        <w:t xml:space="preserve"> w</w:t>
      </w:r>
      <w:r w:rsidR="00D20F8B">
        <w:t xml:space="preserve">hen the activities </w:t>
      </w:r>
      <w:r w:rsidR="00302884">
        <w:t>should be permitted</w:t>
      </w:r>
      <w:r w:rsidR="00D20F8B">
        <w:t>. Having a large number of resource consents to monitor carries the</w:t>
      </w:r>
      <w:r w:rsidR="001B0C85">
        <w:t xml:space="preserve"> risk of councils “losing sight</w:t>
      </w:r>
      <w:r w:rsidR="00302884">
        <w:t xml:space="preserve"> of the goal”</w:t>
      </w:r>
      <w:r w:rsidR="00B414F3">
        <w:t>, as</w:t>
      </w:r>
      <w:r w:rsidR="00302884">
        <w:t xml:space="preserve"> compliance with rules </w:t>
      </w:r>
      <w:r w:rsidR="00D20F8B">
        <w:t xml:space="preserve">becomes the focus of monitoring, </w:t>
      </w:r>
      <w:r w:rsidR="00302884">
        <w:t xml:space="preserve">rather than </w:t>
      </w:r>
      <w:r w:rsidR="00B414F3">
        <w:t xml:space="preserve">providing for </w:t>
      </w:r>
      <w:r w:rsidR="00F20030">
        <w:t xml:space="preserve">good </w:t>
      </w:r>
      <w:r w:rsidR="00302884">
        <w:t xml:space="preserve">environmental outcomes. </w:t>
      </w:r>
    </w:p>
    <w:p w14:paraId="748CD114" w14:textId="0BDF0112" w:rsidR="007F653E" w:rsidRPr="00580905" w:rsidRDefault="007F653E" w:rsidP="000A7370">
      <w:pPr>
        <w:pStyle w:val="BodyText"/>
      </w:pPr>
      <w:r w:rsidRPr="00580905">
        <w:t xml:space="preserve">A number of territorial authorities check resource consent condition compliance related to new physical developments, and once compliance with the consent conditions is established, do not carry out further monitoring. </w:t>
      </w:r>
    </w:p>
    <w:p w14:paraId="35F35956" w14:textId="46628569" w:rsidR="00BE59F5" w:rsidRPr="00580905" w:rsidRDefault="00C030FA" w:rsidP="000A7370">
      <w:pPr>
        <w:pStyle w:val="BodyText"/>
      </w:pPr>
      <w:r>
        <w:t>A number of stakeholders are</w:t>
      </w:r>
      <w:r w:rsidR="00BE59F5" w:rsidRPr="00580905">
        <w:t xml:space="preserve"> concerned </w:t>
      </w:r>
      <w:r w:rsidR="005B1AA0">
        <w:t xml:space="preserve">that not all </w:t>
      </w:r>
      <w:r w:rsidR="00BE59F5" w:rsidRPr="00580905">
        <w:t>resource consent</w:t>
      </w:r>
      <w:r w:rsidR="005B1AA0">
        <w:t xml:space="preserve">s requiring monitoring </w:t>
      </w:r>
      <w:r>
        <w:t xml:space="preserve">are </w:t>
      </w:r>
      <w:r w:rsidR="00BE59F5" w:rsidRPr="00580905">
        <w:t>monitor</w:t>
      </w:r>
      <w:r w:rsidR="005B1AA0">
        <w:t xml:space="preserve">ed </w:t>
      </w:r>
      <w:r w:rsidR="00BE59F5" w:rsidRPr="00580905">
        <w:t xml:space="preserve">by councils, particularly territorial authorities. Waikato-Tainui </w:t>
      </w:r>
      <w:r>
        <w:t xml:space="preserve">and the Environmental Defence Society </w:t>
      </w:r>
      <w:r w:rsidR="00BE59F5" w:rsidRPr="00580905">
        <w:t>questioned the point of having conditions on resource consents if these are not being monitored.</w:t>
      </w:r>
    </w:p>
    <w:p w14:paraId="5B60F0F4" w14:textId="18D72E91" w:rsidR="007F653E" w:rsidRPr="003557B5" w:rsidRDefault="007F653E" w:rsidP="00DD224D">
      <w:pPr>
        <w:pStyle w:val="Heading4"/>
      </w:pPr>
      <w:bookmarkStart w:id="40" w:name="_Toc456343396"/>
      <w:bookmarkStart w:id="41" w:name="_Toc456691114"/>
      <w:r w:rsidRPr="003557B5">
        <w:t>P</w:t>
      </w:r>
      <w:r w:rsidR="005B1AA0">
        <w:t>lan rule (permitted activity) monitoring</w:t>
      </w:r>
      <w:bookmarkEnd w:id="40"/>
      <w:bookmarkEnd w:id="41"/>
    </w:p>
    <w:p w14:paraId="1941E701" w14:textId="6BCB53E6" w:rsidR="008535CE" w:rsidRDefault="00C030FA" w:rsidP="000A7370">
      <w:pPr>
        <w:pStyle w:val="BodyText"/>
      </w:pPr>
      <w:r>
        <w:t xml:space="preserve">It </w:t>
      </w:r>
      <w:r w:rsidR="008535CE">
        <w:t xml:space="preserve">is good practice for councils </w:t>
      </w:r>
      <w:r w:rsidR="00973D0E">
        <w:t>to proactive</w:t>
      </w:r>
      <w:r w:rsidR="00F53E74">
        <w:t>ly</w:t>
      </w:r>
      <w:r w:rsidR="00973D0E">
        <w:t xml:space="preserve"> </w:t>
      </w:r>
      <w:r w:rsidR="00F53E74">
        <w:t xml:space="preserve">monitor </w:t>
      </w:r>
      <w:r w:rsidR="00973D0E">
        <w:t>for compliance with plan rules</w:t>
      </w:r>
      <w:r w:rsidR="005724C7">
        <w:t xml:space="preserve"> to ensure the conditions associated with permitted activities are being complied with. </w:t>
      </w:r>
      <w:r w:rsidR="0057551C">
        <w:t>Councils can include procedures for monitoring the effectiveness of the rules and other methods in their regional and district plans</w:t>
      </w:r>
      <w:r w:rsidR="00D31EA8">
        <w:t>.</w:t>
      </w:r>
    </w:p>
    <w:p w14:paraId="76D34606" w14:textId="3257BFE8" w:rsidR="006F52DB" w:rsidRPr="00580905" w:rsidRDefault="0064032F" w:rsidP="000A7370">
      <w:pPr>
        <w:pStyle w:val="BodyText"/>
      </w:pPr>
      <w:r>
        <w:t>All r</w:t>
      </w:r>
      <w:r w:rsidR="006F52DB" w:rsidRPr="00580905">
        <w:t>egional</w:t>
      </w:r>
      <w:r w:rsidR="005835CC" w:rsidRPr="00580905">
        <w:t xml:space="preserve"> council</w:t>
      </w:r>
      <w:r w:rsidR="006F52DB" w:rsidRPr="00580905">
        <w:t xml:space="preserve"> and unitary </w:t>
      </w:r>
      <w:r w:rsidR="005835CC" w:rsidRPr="00580905">
        <w:t>authorities</w:t>
      </w:r>
      <w:r>
        <w:t xml:space="preserve"> spoken to</w:t>
      </w:r>
      <w:r w:rsidR="005835CC" w:rsidRPr="00580905">
        <w:t xml:space="preserve"> </w:t>
      </w:r>
      <w:r w:rsidR="006F52DB" w:rsidRPr="00580905">
        <w:t>carry out some (albeit limited) permitted activity monitoring.</w:t>
      </w:r>
      <w:r w:rsidR="008F4AC0">
        <w:t xml:space="preserve"> For example, most councils monitor dairy farming</w:t>
      </w:r>
      <w:r w:rsidR="00C030FA">
        <w:t xml:space="preserve"> (although the frequency of monitoring visits varies between councils)</w:t>
      </w:r>
      <w:r w:rsidR="006F52DB" w:rsidRPr="00580905">
        <w:t xml:space="preserve">, due to the significant risks of environmental contamination from effluent and nutrient run-off. </w:t>
      </w:r>
      <w:r w:rsidR="00ED364D">
        <w:t>S</w:t>
      </w:r>
      <w:r w:rsidR="006F52DB" w:rsidRPr="00580905">
        <w:t xml:space="preserve">ome </w:t>
      </w:r>
      <w:proofErr w:type="gramStart"/>
      <w:r w:rsidR="006F52DB" w:rsidRPr="00580905">
        <w:t>councils</w:t>
      </w:r>
      <w:proofErr w:type="gramEnd"/>
      <w:r w:rsidR="006F52DB" w:rsidRPr="00580905">
        <w:t xml:space="preserve"> </w:t>
      </w:r>
      <w:r w:rsidR="00ED364D">
        <w:t xml:space="preserve">carry out monitoring of forestry sector compliance </w:t>
      </w:r>
      <w:r w:rsidR="006F52DB" w:rsidRPr="00580905">
        <w:t>during</w:t>
      </w:r>
      <w:r w:rsidR="00ED364D">
        <w:t xml:space="preserve"> specific high-risk periods, such as during</w:t>
      </w:r>
      <w:r w:rsidR="006F52DB" w:rsidRPr="00580905">
        <w:t xml:space="preserve"> forest harvesting. Other councils rely on complaints to detect non</w:t>
      </w:r>
      <w:r w:rsidR="000A7370" w:rsidRPr="00580905">
        <w:noBreakHyphen/>
      </w:r>
      <w:r w:rsidR="006F52DB" w:rsidRPr="00580905">
        <w:t>compliance in the forestry sector.</w:t>
      </w:r>
    </w:p>
    <w:p w14:paraId="2A21EEC7" w14:textId="2E452980" w:rsidR="005835CC" w:rsidRDefault="00FA6C0B" w:rsidP="000A7370">
      <w:pPr>
        <w:pStyle w:val="BodyText"/>
      </w:pPr>
      <w:r>
        <w:t>T</w:t>
      </w:r>
      <w:r w:rsidR="00134C90" w:rsidRPr="00580905">
        <w:t>erritorial authorit</w:t>
      </w:r>
      <w:r>
        <w:t>y representatives said their councils carry out very little or no permitted activity monitoring</w:t>
      </w:r>
      <w:r w:rsidR="00EF0E1E">
        <w:t xml:space="preserve">. </w:t>
      </w:r>
    </w:p>
    <w:p w14:paraId="3AD8E2D5" w14:textId="217BA9DE" w:rsidR="009D2077" w:rsidRPr="00580905" w:rsidRDefault="009D2077" w:rsidP="000A7370">
      <w:pPr>
        <w:pStyle w:val="BodyText"/>
      </w:pPr>
      <w:r>
        <w:t>One council representative commented that permitted activity monitoring was limited in his area due to the lack of ability</w:t>
      </w:r>
      <w:r w:rsidR="0022291B">
        <w:t xml:space="preserve"> of the council</w:t>
      </w:r>
      <w:r>
        <w:t xml:space="preserve"> to charge for this type of </w:t>
      </w:r>
      <w:r w:rsidR="006C4217">
        <w:t>monitoring. While the costs of</w:t>
      </w:r>
      <w:r>
        <w:t xml:space="preserve"> consent monitoring are covered by the consent holder, no cost recovery mechanisms are provided for plan rule monitoring.</w:t>
      </w:r>
    </w:p>
    <w:p w14:paraId="7336ABD9" w14:textId="5F382DB1" w:rsidR="00134C90" w:rsidRPr="00F52FC6" w:rsidRDefault="009D469C" w:rsidP="00DD224D">
      <w:pPr>
        <w:pStyle w:val="Heading3"/>
      </w:pPr>
      <w:bookmarkStart w:id="42" w:name="_Toc456343397"/>
      <w:r w:rsidRPr="00F52FC6">
        <w:t>Coordination of compliance, monitoring and enforcement activities</w:t>
      </w:r>
      <w:bookmarkEnd w:id="42"/>
    </w:p>
    <w:p w14:paraId="6BB97AF6" w14:textId="491A54C0" w:rsidR="00F67586" w:rsidRPr="00AF74F8" w:rsidRDefault="00E12034" w:rsidP="00AF74F8">
      <w:pPr>
        <w:pStyle w:val="Heading4"/>
        <w:rPr>
          <w:i/>
        </w:rPr>
      </w:pPr>
      <w:bookmarkStart w:id="43" w:name="_Toc456343398"/>
      <w:r w:rsidRPr="00AF74F8">
        <w:rPr>
          <w:i/>
        </w:rPr>
        <w:t>Staff in territorial authorities are not well-connected to national or</w:t>
      </w:r>
      <w:r w:rsidR="008E439F" w:rsidRPr="00AF74F8">
        <w:rPr>
          <w:i/>
        </w:rPr>
        <w:t> </w:t>
      </w:r>
      <w:r w:rsidRPr="00AF74F8">
        <w:rPr>
          <w:i/>
        </w:rPr>
        <w:t>regional networks</w:t>
      </w:r>
      <w:bookmarkEnd w:id="43"/>
    </w:p>
    <w:p w14:paraId="45AF28FA" w14:textId="2D369702" w:rsidR="000A454A" w:rsidRPr="00580905" w:rsidRDefault="000A454A" w:rsidP="000A7370">
      <w:pPr>
        <w:pStyle w:val="BodyText"/>
      </w:pPr>
      <w:r w:rsidRPr="00580905">
        <w:t xml:space="preserve">Regional and unitary councils have </w:t>
      </w:r>
      <w:r w:rsidR="0022291B">
        <w:t xml:space="preserve">developed </w:t>
      </w:r>
      <w:r w:rsidRPr="00580905">
        <w:t>a network to support each other in carrying out</w:t>
      </w:r>
      <w:r w:rsidR="00D77849" w:rsidRPr="00580905">
        <w:t xml:space="preserve"> CME</w:t>
      </w:r>
      <w:r w:rsidRPr="00580905">
        <w:t>. The Compliance and Enforcement Special Interest Group (CESIG), made up of compliance managers from regional councils and unitary authorities, provides a forum for information sharing and discussion of common issues.</w:t>
      </w:r>
    </w:p>
    <w:p w14:paraId="58F4FBEA" w14:textId="686C4EAD" w:rsidR="00505AC1" w:rsidRPr="00580905" w:rsidRDefault="0060638A" w:rsidP="000A7370">
      <w:pPr>
        <w:pStyle w:val="BodyText"/>
      </w:pPr>
      <w:r w:rsidRPr="00580905">
        <w:t>CESIG is working to improve consistency in approaches to CME.</w:t>
      </w:r>
      <w:r w:rsidR="000A454A" w:rsidRPr="00580905">
        <w:t xml:space="preserve"> The </w:t>
      </w:r>
      <w:r w:rsidR="00FA3CC8" w:rsidRPr="00580905">
        <w:t>g</w:t>
      </w:r>
      <w:r w:rsidR="000A454A" w:rsidRPr="00580905">
        <w:t>roup has developed the Regional Sector Strategic Compliance Framework 2016</w:t>
      </w:r>
      <w:r w:rsidR="00FA3CC8" w:rsidRPr="00580905">
        <w:t>–</w:t>
      </w:r>
      <w:r w:rsidR="000A454A" w:rsidRPr="00580905">
        <w:t>18 to improve consistency between councils in approaches to CME.</w:t>
      </w:r>
      <w:r w:rsidR="00580905">
        <w:t xml:space="preserve"> </w:t>
      </w:r>
      <w:r w:rsidR="000A454A" w:rsidRPr="00580905">
        <w:t>The purpose of the CESIG framework is</w:t>
      </w:r>
      <w:r w:rsidR="006424B5" w:rsidRPr="00580905">
        <w:t xml:space="preserve"> to:</w:t>
      </w:r>
    </w:p>
    <w:p w14:paraId="33B1934C" w14:textId="75E38129" w:rsidR="000A454A" w:rsidRPr="00F52FC6" w:rsidRDefault="000A454A" w:rsidP="00F52FC6">
      <w:pPr>
        <w:pStyle w:val="Quote"/>
      </w:pPr>
      <w:r w:rsidRPr="00F52FC6">
        <w:t>Assist councils in using a consistent approach to developing strategic compliance programmes and a range of interventions to fix important problems.</w:t>
      </w:r>
    </w:p>
    <w:p w14:paraId="224BFAC0" w14:textId="0CE3A040" w:rsidR="0022291B" w:rsidRPr="0022291B" w:rsidRDefault="0022291B" w:rsidP="00B32AA9">
      <w:r>
        <w:t xml:space="preserve">The Framework has been agreed by CESIG members, and members are in the process of getting support for implementation from their councils. </w:t>
      </w:r>
      <w:r w:rsidR="000815C1">
        <w:t xml:space="preserve">CESIG intends to use the Framework to carry out audits of </w:t>
      </w:r>
      <w:r w:rsidR="007353F8">
        <w:t xml:space="preserve">councils’ </w:t>
      </w:r>
      <w:r w:rsidR="000815C1">
        <w:t xml:space="preserve">CME approaches, and make recommendations on how councils </w:t>
      </w:r>
      <w:r w:rsidR="007353F8">
        <w:t>can carry out CME more effectively.</w:t>
      </w:r>
    </w:p>
    <w:p w14:paraId="6BC3D12A" w14:textId="20305E40" w:rsidR="000A454A" w:rsidRPr="00580905" w:rsidRDefault="000A454A" w:rsidP="000A7370">
      <w:pPr>
        <w:pStyle w:val="BodyText"/>
      </w:pPr>
      <w:r w:rsidRPr="00580905">
        <w:t xml:space="preserve">Territorial authorities, however, are generally not well connected to each other or </w:t>
      </w:r>
      <w:r w:rsidR="00145096" w:rsidRPr="00580905">
        <w:t xml:space="preserve">to </w:t>
      </w:r>
      <w:r w:rsidRPr="00580905">
        <w:t>regional councils. No similar national cooperation forum exists for territorial councils. A number of</w:t>
      </w:r>
      <w:r w:rsidR="006C4217">
        <w:t xml:space="preserve"> territorial authority</w:t>
      </w:r>
      <w:r w:rsidRPr="00580905">
        <w:t xml:space="preserve"> staff stated they felt they lacke</w:t>
      </w:r>
      <w:r w:rsidR="00D77849" w:rsidRPr="00580905">
        <w:t>d support for carrying out CME.</w:t>
      </w:r>
      <w:r w:rsidRPr="00580905">
        <w:t xml:space="preserve"> Councils in some regions, such as the Waikato, have an informal arrangement where enforcement staff from regional councils and territorial authorities meet regularly to discuss issues. </w:t>
      </w:r>
      <w:r w:rsidR="00145096" w:rsidRPr="00580905">
        <w:t>T</w:t>
      </w:r>
      <w:r w:rsidRPr="00580905">
        <w:t>he majority of territorial authorities</w:t>
      </w:r>
      <w:r w:rsidR="00452CF4">
        <w:t>, however,</w:t>
      </w:r>
      <w:r w:rsidRPr="00580905">
        <w:t xml:space="preserve"> are not linked into such networks.</w:t>
      </w:r>
    </w:p>
    <w:p w14:paraId="523C2A00" w14:textId="418A5673" w:rsidR="00EB4F51" w:rsidRPr="00580905" w:rsidRDefault="006C4217" w:rsidP="000A7370">
      <w:pPr>
        <w:pStyle w:val="BodyText"/>
      </w:pPr>
      <w:r>
        <w:t>The</w:t>
      </w:r>
      <w:r w:rsidR="00EB4F51" w:rsidRPr="00580905">
        <w:t xml:space="preserve"> national </w:t>
      </w:r>
      <w:r>
        <w:t>Environmental Compliance C</w:t>
      </w:r>
      <w:r w:rsidR="00EB4F51" w:rsidRPr="00580905">
        <w:t>onference</w:t>
      </w:r>
      <w:r>
        <w:t xml:space="preserve"> is held annually</w:t>
      </w:r>
      <w:r w:rsidR="00D77849" w:rsidRPr="00580905">
        <w:t xml:space="preserve">, which is attended primarily by council CME staff (as well as stakeholders and other organisations). </w:t>
      </w:r>
      <w:r w:rsidR="00EB4F51" w:rsidRPr="00580905">
        <w:t>This</w:t>
      </w:r>
      <w:r w:rsidR="00D77849" w:rsidRPr="00580905">
        <w:t xml:space="preserve"> conference</w:t>
      </w:r>
      <w:r w:rsidR="00EB4F51" w:rsidRPr="00580905">
        <w:t xml:space="preserve"> is open to all local government compliance staff</w:t>
      </w:r>
      <w:r w:rsidR="00145096" w:rsidRPr="00580905">
        <w:t>,</w:t>
      </w:r>
      <w:r w:rsidR="00EB4F51" w:rsidRPr="00580905">
        <w:t xml:space="preserve"> though </w:t>
      </w:r>
      <w:r w:rsidR="00145096" w:rsidRPr="00580905">
        <w:t>it</w:t>
      </w:r>
      <w:r w:rsidR="00EB4F51" w:rsidRPr="00580905">
        <w:t xml:space="preserve"> tends to be </w:t>
      </w:r>
      <w:r>
        <w:t>attended primarily by regional council and unitary authority staff</w:t>
      </w:r>
      <w:r w:rsidR="00EB4F51" w:rsidRPr="00580905">
        <w:t>.</w:t>
      </w:r>
      <w:r w:rsidR="00580905">
        <w:t xml:space="preserve"> </w:t>
      </w:r>
      <w:r w:rsidR="00EB4F51" w:rsidRPr="00580905">
        <w:t xml:space="preserve">This provides good networking opportunities and the ability to share resources. </w:t>
      </w:r>
    </w:p>
    <w:p w14:paraId="692411A6" w14:textId="286CB2E6" w:rsidR="000A454A" w:rsidRPr="00580905" w:rsidRDefault="000A454A" w:rsidP="000A7370">
      <w:pPr>
        <w:pStyle w:val="BodyText"/>
      </w:pPr>
      <w:r w:rsidRPr="00580905">
        <w:t xml:space="preserve">One </w:t>
      </w:r>
      <w:r w:rsidR="00E93290" w:rsidRPr="00580905">
        <w:t xml:space="preserve">regional </w:t>
      </w:r>
      <w:r w:rsidRPr="00580905">
        <w:t>council provides technical and process advice to territorial authorities on aspects of compliance and enforcement work at an informal level.</w:t>
      </w:r>
      <w:r w:rsidR="00E93290" w:rsidRPr="00580905">
        <w:t xml:space="preserve"> The staff member</w:t>
      </w:r>
      <w:r w:rsidRPr="00580905">
        <w:t xml:space="preserve"> </w:t>
      </w:r>
      <w:r w:rsidR="00E93290" w:rsidRPr="00580905">
        <w:t xml:space="preserve">spoken to </w:t>
      </w:r>
      <w:r w:rsidRPr="00580905">
        <w:t>was concerned that smaller territorial councils wer</w:t>
      </w:r>
      <w:r w:rsidR="000F0F86" w:rsidRPr="00580905">
        <w:t xml:space="preserve">e not well set up for CME work, as </w:t>
      </w:r>
      <w:r w:rsidRPr="00580905">
        <w:t xml:space="preserve">staff </w:t>
      </w:r>
      <w:r w:rsidR="000F0F86" w:rsidRPr="00580905">
        <w:t>did not have appropriate warrants and evidence-recording procedures</w:t>
      </w:r>
      <w:r w:rsidRPr="00580905">
        <w:t>. Another regional council manager expected that territorial councils would seek help from his council if these were contemplating prosecutions</w:t>
      </w:r>
      <w:r w:rsidR="00C24606" w:rsidRPr="00580905">
        <w:t xml:space="preserve">, but </w:t>
      </w:r>
      <w:r w:rsidR="00145096" w:rsidRPr="00580905">
        <w:t>there was</w:t>
      </w:r>
      <w:r w:rsidR="00C24606" w:rsidRPr="00580905">
        <w:t xml:space="preserve"> no formal expertise</w:t>
      </w:r>
      <w:r w:rsidR="00145096" w:rsidRPr="00580905">
        <w:t>-</w:t>
      </w:r>
      <w:r w:rsidR="00C24606" w:rsidRPr="00580905">
        <w:t>sharing arrangement.</w:t>
      </w:r>
    </w:p>
    <w:p w14:paraId="6059CC92" w14:textId="46487A1E" w:rsidR="00EB0446" w:rsidRPr="00580905" w:rsidRDefault="00EB0446" w:rsidP="000A7370">
      <w:pPr>
        <w:pStyle w:val="BodyText"/>
      </w:pPr>
      <w:r w:rsidRPr="00580905">
        <w:t>The Society of Local Government Managers’ list serve is a well-used discussion forum through which staff groups across the local government sector request support and information by email</w:t>
      </w:r>
      <w:r w:rsidR="007C45AD" w:rsidRPr="00580905">
        <w:t>,</w:t>
      </w:r>
      <w:r w:rsidRPr="00580905">
        <w:t xml:space="preserve"> and is used by some </w:t>
      </w:r>
      <w:proofErr w:type="gramStart"/>
      <w:r w:rsidRPr="00580905">
        <w:t>councils</w:t>
      </w:r>
      <w:proofErr w:type="gramEnd"/>
      <w:r w:rsidRPr="00580905">
        <w:t xml:space="preserve"> </w:t>
      </w:r>
      <w:r w:rsidR="007C45AD" w:rsidRPr="00580905">
        <w:t xml:space="preserve">when questions </w:t>
      </w:r>
      <w:r w:rsidRPr="00580905">
        <w:t>around CME arise.</w:t>
      </w:r>
      <w:r w:rsidR="00580905">
        <w:t xml:space="preserve"> </w:t>
      </w:r>
    </w:p>
    <w:p w14:paraId="6EBCE28D" w14:textId="093DC069" w:rsidR="00F67586" w:rsidRPr="00586B5E" w:rsidRDefault="00F67586" w:rsidP="00DD224D">
      <w:pPr>
        <w:pStyle w:val="Heading3"/>
      </w:pPr>
      <w:bookmarkStart w:id="44" w:name="_Toc456343399"/>
      <w:r w:rsidRPr="00F52FC6">
        <w:t>Non-compliance</w:t>
      </w:r>
      <w:r w:rsidRPr="00586B5E">
        <w:t xml:space="preserve"> responses</w:t>
      </w:r>
      <w:bookmarkEnd w:id="44"/>
    </w:p>
    <w:p w14:paraId="5916D78F" w14:textId="04EEBD36" w:rsidR="004754E3" w:rsidRPr="00AF74F8" w:rsidRDefault="00D87D22" w:rsidP="00AF74F8">
      <w:pPr>
        <w:pStyle w:val="Heading4"/>
        <w:rPr>
          <w:i/>
        </w:rPr>
      </w:pPr>
      <w:bookmarkStart w:id="45" w:name="_Toc456343400"/>
      <w:r w:rsidRPr="00AF74F8">
        <w:rPr>
          <w:i/>
        </w:rPr>
        <w:t xml:space="preserve">Use </w:t>
      </w:r>
      <w:r w:rsidR="0066185E" w:rsidRPr="00AF74F8">
        <w:rPr>
          <w:i/>
        </w:rPr>
        <w:t xml:space="preserve">of enforcement </w:t>
      </w:r>
      <w:r w:rsidR="00C46EBD" w:rsidRPr="00AF74F8">
        <w:rPr>
          <w:i/>
        </w:rPr>
        <w:t>actions vary across the country</w:t>
      </w:r>
      <w:bookmarkEnd w:id="45"/>
    </w:p>
    <w:p w14:paraId="6B1D44D0" w14:textId="348731DC" w:rsidR="00E12034" w:rsidRPr="00580905" w:rsidRDefault="00E12034" w:rsidP="000A7370">
      <w:pPr>
        <w:pStyle w:val="BodyText"/>
      </w:pPr>
      <w:r w:rsidRPr="00580905">
        <w:t xml:space="preserve">Table </w:t>
      </w:r>
      <w:r w:rsidR="00553411">
        <w:t>6</w:t>
      </w:r>
      <w:r w:rsidR="00062B0F" w:rsidRPr="00580905">
        <w:t xml:space="preserve"> shows the considerable variation</w:t>
      </w:r>
      <w:r w:rsidR="003D526C" w:rsidRPr="00580905">
        <w:t xml:space="preserve"> </w:t>
      </w:r>
      <w:r w:rsidR="00062B0F" w:rsidRPr="00580905">
        <w:t xml:space="preserve">in </w:t>
      </w:r>
      <w:r w:rsidR="003D526C" w:rsidRPr="00580905">
        <w:t xml:space="preserve">both </w:t>
      </w:r>
      <w:r w:rsidR="004E2CCC" w:rsidRPr="00580905">
        <w:t xml:space="preserve">the </w:t>
      </w:r>
      <w:r w:rsidR="00062B0F" w:rsidRPr="00580905">
        <w:t>number</w:t>
      </w:r>
      <w:r w:rsidR="003D526C" w:rsidRPr="00580905">
        <w:t xml:space="preserve"> and type </w:t>
      </w:r>
      <w:r w:rsidR="002024E4" w:rsidRPr="00580905">
        <w:t>of enforcement actions</w:t>
      </w:r>
      <w:r w:rsidR="00062B0F" w:rsidRPr="00580905">
        <w:t xml:space="preserve"> used by councils. </w:t>
      </w:r>
      <w:r w:rsidR="001A2D42" w:rsidRPr="00580905">
        <w:t>While the</w:t>
      </w:r>
      <w:r w:rsidR="00C61CF4" w:rsidRPr="00580905">
        <w:t>se</w:t>
      </w:r>
      <w:r w:rsidR="001A2D42" w:rsidRPr="00580905">
        <w:t xml:space="preserve"> </w:t>
      </w:r>
      <w:r w:rsidR="00E15323" w:rsidRPr="00580905">
        <w:t xml:space="preserve">differences </w:t>
      </w:r>
      <w:r w:rsidR="001A2D42" w:rsidRPr="00580905">
        <w:t xml:space="preserve">can be explained in part by </w:t>
      </w:r>
      <w:r w:rsidR="00C61CF4" w:rsidRPr="00580905">
        <w:t xml:space="preserve">differing </w:t>
      </w:r>
      <w:r w:rsidR="003D526C" w:rsidRPr="00580905">
        <w:t xml:space="preserve">local </w:t>
      </w:r>
      <w:r w:rsidR="001A2D42" w:rsidRPr="00580905">
        <w:t>activities</w:t>
      </w:r>
      <w:r w:rsidR="003D526C" w:rsidRPr="00580905">
        <w:t xml:space="preserve"> and th</w:t>
      </w:r>
      <w:r w:rsidR="004E2CCC" w:rsidRPr="00580905">
        <w:t xml:space="preserve">e rates </w:t>
      </w:r>
      <w:r w:rsidR="00C61CF4" w:rsidRPr="00580905">
        <w:t xml:space="preserve">of non-compliance in </w:t>
      </w:r>
      <w:r w:rsidR="003D526C" w:rsidRPr="00580905">
        <w:t xml:space="preserve">various </w:t>
      </w:r>
      <w:r w:rsidR="00C61CF4" w:rsidRPr="00580905">
        <w:t>districts</w:t>
      </w:r>
      <w:r w:rsidR="003D526C" w:rsidRPr="00580905">
        <w:t xml:space="preserve"> and </w:t>
      </w:r>
      <w:r w:rsidR="00C61CF4" w:rsidRPr="00580905">
        <w:t>regions, a signif</w:t>
      </w:r>
      <w:r w:rsidR="00E15323" w:rsidRPr="00580905">
        <w:t>i</w:t>
      </w:r>
      <w:r w:rsidR="00C61CF4" w:rsidRPr="00580905">
        <w:t xml:space="preserve">cant </w:t>
      </w:r>
      <w:r w:rsidR="003D526C" w:rsidRPr="00580905">
        <w:t xml:space="preserve">factor is how individual </w:t>
      </w:r>
      <w:r w:rsidR="00E15323" w:rsidRPr="00580905">
        <w:t xml:space="preserve">councils </w:t>
      </w:r>
      <w:r w:rsidR="001E43CA" w:rsidRPr="00580905">
        <w:t>app</w:t>
      </w:r>
      <w:r w:rsidR="003D526C" w:rsidRPr="00580905">
        <w:t xml:space="preserve">ly the various </w:t>
      </w:r>
      <w:r w:rsidR="00C61CF4" w:rsidRPr="00580905">
        <w:t xml:space="preserve">enforcement </w:t>
      </w:r>
      <w:r w:rsidR="00E15323" w:rsidRPr="00580905">
        <w:t>actions</w:t>
      </w:r>
      <w:r w:rsidR="003D526C" w:rsidRPr="00580905">
        <w:t xml:space="preserve"> a</w:t>
      </w:r>
      <w:r w:rsidR="004E2CCC" w:rsidRPr="00580905">
        <w:t>vailable</w:t>
      </w:r>
      <w:r w:rsidR="00E15323" w:rsidRPr="00580905">
        <w:t xml:space="preserve">. </w:t>
      </w:r>
    </w:p>
    <w:p w14:paraId="2871FDA7" w14:textId="2A647B45" w:rsidR="00F14B5B" w:rsidRPr="00580905" w:rsidRDefault="00F14B5B" w:rsidP="000A7370">
      <w:pPr>
        <w:pStyle w:val="Tableheading"/>
        <w:rPr>
          <w:color w:val="000000"/>
        </w:rPr>
      </w:pPr>
      <w:bookmarkStart w:id="46" w:name="_Toc473795836"/>
      <w:r w:rsidRPr="00580905">
        <w:t xml:space="preserve">Table </w:t>
      </w:r>
      <w:r w:rsidR="000969E9">
        <w:t>6</w:t>
      </w:r>
      <w:r w:rsidRPr="00580905">
        <w:t xml:space="preserve">: </w:t>
      </w:r>
      <w:r w:rsidR="000A7370" w:rsidRPr="00580905">
        <w:tab/>
      </w:r>
      <w:r w:rsidRPr="00580905">
        <w:t xml:space="preserve">Number of formal enforcement actions by council type </w:t>
      </w:r>
      <w:r w:rsidRPr="00580905">
        <w:rPr>
          <w:color w:val="000000"/>
        </w:rPr>
        <w:t>(source: NMS 2014/15 data)</w:t>
      </w:r>
      <w:bookmarkEnd w:id="46"/>
    </w:p>
    <w:tbl>
      <w:tblPr>
        <w:tblW w:w="8562" w:type="dxa"/>
        <w:tblInd w:w="113" w:type="dxa"/>
        <w:tblLook w:val="04A0" w:firstRow="1" w:lastRow="0" w:firstColumn="1" w:lastColumn="0" w:noHBand="0" w:noVBand="1"/>
      </w:tblPr>
      <w:tblGrid>
        <w:gridCol w:w="2591"/>
        <w:gridCol w:w="1228"/>
        <w:gridCol w:w="1080"/>
        <w:gridCol w:w="1454"/>
        <w:gridCol w:w="1089"/>
        <w:gridCol w:w="1120"/>
      </w:tblGrid>
      <w:tr w:rsidR="000A7370" w:rsidRPr="00580905" w14:paraId="5FD45135" w14:textId="77777777" w:rsidTr="000A7370">
        <w:tc>
          <w:tcPr>
            <w:tcW w:w="2943" w:type="dxa"/>
            <w:tcBorders>
              <w:top w:val="single" w:sz="4" w:space="0" w:color="677719"/>
              <w:left w:val="single" w:sz="4" w:space="0" w:color="677719"/>
              <w:bottom w:val="single" w:sz="4" w:space="0" w:color="677719"/>
              <w:right w:val="single" w:sz="4" w:space="0" w:color="677719"/>
            </w:tcBorders>
            <w:shd w:val="clear" w:color="auto" w:fill="677719"/>
            <w:vAlign w:val="bottom"/>
          </w:tcPr>
          <w:p w14:paraId="381CA82A" w14:textId="77777777" w:rsidR="00F14B5B" w:rsidRPr="00580905" w:rsidRDefault="00F14B5B" w:rsidP="000A7370">
            <w:pPr>
              <w:pStyle w:val="TableTextbold"/>
              <w:rPr>
                <w:color w:val="FFFFFF" w:themeColor="background1"/>
              </w:rPr>
            </w:pPr>
          </w:p>
        </w:tc>
        <w:tc>
          <w:tcPr>
            <w:tcW w:w="1276" w:type="dxa"/>
            <w:tcBorders>
              <w:top w:val="single" w:sz="4" w:space="0" w:color="677719"/>
              <w:left w:val="single" w:sz="4" w:space="0" w:color="677719"/>
              <w:bottom w:val="single" w:sz="4" w:space="0" w:color="677719"/>
              <w:right w:val="single" w:sz="4" w:space="0" w:color="677719"/>
            </w:tcBorders>
            <w:shd w:val="clear" w:color="auto" w:fill="677719"/>
            <w:vAlign w:val="bottom"/>
          </w:tcPr>
          <w:p w14:paraId="3E6C2B73" w14:textId="77777777" w:rsidR="00F14B5B" w:rsidRPr="00580905" w:rsidRDefault="00F14B5B" w:rsidP="000A7370">
            <w:pPr>
              <w:pStyle w:val="TableTextbold"/>
              <w:jc w:val="center"/>
              <w:rPr>
                <w:color w:val="FFFFFF" w:themeColor="background1"/>
              </w:rPr>
            </w:pPr>
            <w:r w:rsidRPr="00580905">
              <w:rPr>
                <w:color w:val="FFFFFF" w:themeColor="background1"/>
              </w:rPr>
              <w:t>Territorial authorities</w:t>
            </w:r>
          </w:p>
        </w:tc>
        <w:tc>
          <w:tcPr>
            <w:tcW w:w="1134" w:type="dxa"/>
            <w:tcBorders>
              <w:top w:val="single" w:sz="4" w:space="0" w:color="677719"/>
              <w:left w:val="single" w:sz="4" w:space="0" w:color="677719"/>
              <w:bottom w:val="single" w:sz="4" w:space="0" w:color="677719"/>
              <w:right w:val="single" w:sz="4" w:space="0" w:color="677719"/>
            </w:tcBorders>
            <w:shd w:val="clear" w:color="auto" w:fill="677719"/>
            <w:vAlign w:val="bottom"/>
          </w:tcPr>
          <w:p w14:paraId="56CBAC99" w14:textId="77777777" w:rsidR="00F14B5B" w:rsidRPr="00580905" w:rsidRDefault="00F14B5B" w:rsidP="000A7370">
            <w:pPr>
              <w:pStyle w:val="TableTextbold"/>
              <w:jc w:val="center"/>
              <w:rPr>
                <w:color w:val="FFFFFF" w:themeColor="background1"/>
              </w:rPr>
            </w:pPr>
            <w:r w:rsidRPr="00580905">
              <w:rPr>
                <w:color w:val="FFFFFF" w:themeColor="background1"/>
              </w:rPr>
              <w:t>Regional councils</w:t>
            </w:r>
          </w:p>
        </w:tc>
        <w:tc>
          <w:tcPr>
            <w:tcW w:w="1559" w:type="dxa"/>
            <w:tcBorders>
              <w:top w:val="single" w:sz="4" w:space="0" w:color="677719"/>
              <w:left w:val="single" w:sz="4" w:space="0" w:color="677719"/>
              <w:bottom w:val="single" w:sz="4" w:space="0" w:color="677719"/>
              <w:right w:val="single" w:sz="4" w:space="0" w:color="677719"/>
            </w:tcBorders>
            <w:shd w:val="clear" w:color="auto" w:fill="677719"/>
            <w:vAlign w:val="bottom"/>
          </w:tcPr>
          <w:p w14:paraId="5EA950E8" w14:textId="6D17F83F" w:rsidR="00F14B5B" w:rsidRPr="00580905" w:rsidRDefault="00FF3EE3" w:rsidP="000A7370">
            <w:pPr>
              <w:pStyle w:val="TableTextbold"/>
              <w:jc w:val="center"/>
              <w:rPr>
                <w:color w:val="FFFFFF" w:themeColor="background1"/>
              </w:rPr>
            </w:pPr>
            <w:r w:rsidRPr="00580905">
              <w:rPr>
                <w:color w:val="FFFFFF" w:themeColor="background1"/>
              </w:rPr>
              <w:t>Unitary authorities (</w:t>
            </w:r>
            <w:proofErr w:type="spellStart"/>
            <w:r w:rsidRPr="00580905">
              <w:rPr>
                <w:color w:val="FFFFFF" w:themeColor="background1"/>
              </w:rPr>
              <w:t>excl</w:t>
            </w:r>
            <w:proofErr w:type="spellEnd"/>
            <w:r w:rsidR="00F14B5B" w:rsidRPr="00580905">
              <w:rPr>
                <w:color w:val="FFFFFF" w:themeColor="background1"/>
              </w:rPr>
              <w:t xml:space="preserve"> Auckland Council)</w:t>
            </w:r>
          </w:p>
        </w:tc>
        <w:tc>
          <w:tcPr>
            <w:tcW w:w="1134" w:type="dxa"/>
            <w:tcBorders>
              <w:top w:val="single" w:sz="4" w:space="0" w:color="677719"/>
              <w:left w:val="single" w:sz="4" w:space="0" w:color="677719"/>
              <w:bottom w:val="single" w:sz="4" w:space="0" w:color="677719"/>
              <w:right w:val="single" w:sz="4" w:space="0" w:color="677719"/>
            </w:tcBorders>
            <w:shd w:val="clear" w:color="auto" w:fill="677719"/>
            <w:vAlign w:val="bottom"/>
          </w:tcPr>
          <w:p w14:paraId="2091C0A1" w14:textId="02B65121" w:rsidR="00F14B5B" w:rsidRPr="00580905" w:rsidRDefault="00F14B5B" w:rsidP="000A7370">
            <w:pPr>
              <w:pStyle w:val="TableTextbold"/>
              <w:jc w:val="center"/>
              <w:rPr>
                <w:color w:val="FFFFFF" w:themeColor="background1"/>
              </w:rPr>
            </w:pPr>
            <w:r w:rsidRPr="00580905">
              <w:rPr>
                <w:color w:val="FFFFFF" w:themeColor="background1"/>
              </w:rPr>
              <w:t>Auckland Council</w:t>
            </w:r>
            <w:r w:rsidR="00DD7159" w:rsidRPr="00580905">
              <w:rPr>
                <w:rStyle w:val="FootnoteReference"/>
                <w:rFonts w:asciiTheme="minorHAnsi" w:hAnsiTheme="minorHAnsi"/>
                <w:b w:val="0"/>
                <w:color w:val="FFFFFF" w:themeColor="background1"/>
                <w:sz w:val="18"/>
              </w:rPr>
              <w:footnoteReference w:id="33"/>
            </w:r>
          </w:p>
        </w:tc>
        <w:tc>
          <w:tcPr>
            <w:tcW w:w="1196" w:type="dxa"/>
            <w:tcBorders>
              <w:top w:val="single" w:sz="4" w:space="0" w:color="677719"/>
              <w:left w:val="single" w:sz="4" w:space="0" w:color="677719"/>
              <w:bottom w:val="single" w:sz="4" w:space="0" w:color="677719"/>
              <w:right w:val="single" w:sz="4" w:space="0" w:color="677719"/>
            </w:tcBorders>
            <w:shd w:val="clear" w:color="auto" w:fill="677719"/>
            <w:vAlign w:val="bottom"/>
          </w:tcPr>
          <w:p w14:paraId="1297ACFE" w14:textId="2A3A0D72" w:rsidR="00F14B5B" w:rsidRPr="00580905" w:rsidRDefault="00C02EC6" w:rsidP="000A7370">
            <w:pPr>
              <w:pStyle w:val="TableTextbold"/>
              <w:jc w:val="center"/>
              <w:rPr>
                <w:color w:val="FFFFFF" w:themeColor="background1"/>
              </w:rPr>
            </w:pPr>
            <w:r w:rsidRPr="00580905">
              <w:rPr>
                <w:color w:val="FFFFFF" w:themeColor="background1"/>
              </w:rPr>
              <w:t>All councils</w:t>
            </w:r>
          </w:p>
        </w:tc>
      </w:tr>
      <w:tr w:rsidR="00F14B5B" w:rsidRPr="00580905" w14:paraId="37D80A2E" w14:textId="77777777" w:rsidTr="000A7370">
        <w:tc>
          <w:tcPr>
            <w:tcW w:w="2943" w:type="dxa"/>
            <w:tcBorders>
              <w:top w:val="single" w:sz="4" w:space="0" w:color="677719"/>
              <w:left w:val="nil"/>
              <w:bottom w:val="single" w:sz="4" w:space="0" w:color="677719"/>
              <w:right w:val="single" w:sz="4" w:space="0" w:color="677719"/>
            </w:tcBorders>
            <w:shd w:val="clear" w:color="auto" w:fill="auto"/>
          </w:tcPr>
          <w:p w14:paraId="6F3C3C49" w14:textId="3EAD3E89" w:rsidR="00F14B5B" w:rsidRPr="00580905" w:rsidRDefault="00F14B5B" w:rsidP="000A7370">
            <w:pPr>
              <w:pStyle w:val="TableTextbold"/>
            </w:pPr>
            <w:r w:rsidRPr="00580905">
              <w:t>Infringement notices</w:t>
            </w:r>
            <w:r w:rsidR="00DD7159" w:rsidRPr="00580905">
              <w:t xml:space="preserve"> (total)</w:t>
            </w:r>
          </w:p>
        </w:tc>
        <w:tc>
          <w:tcPr>
            <w:tcW w:w="1276" w:type="dxa"/>
            <w:tcBorders>
              <w:top w:val="single" w:sz="4" w:space="0" w:color="677719"/>
              <w:left w:val="single" w:sz="4" w:space="0" w:color="677719"/>
              <w:bottom w:val="single" w:sz="4" w:space="0" w:color="677719"/>
              <w:right w:val="single" w:sz="4" w:space="0" w:color="677719"/>
            </w:tcBorders>
          </w:tcPr>
          <w:p w14:paraId="74E1BB25" w14:textId="77777777" w:rsidR="00F14B5B" w:rsidRPr="00580905" w:rsidRDefault="00F14B5B" w:rsidP="000A7370">
            <w:pPr>
              <w:pStyle w:val="TableText"/>
              <w:ind w:right="172"/>
              <w:jc w:val="right"/>
            </w:pPr>
            <w:r w:rsidRPr="00580905">
              <w:t>344</w:t>
            </w:r>
          </w:p>
        </w:tc>
        <w:tc>
          <w:tcPr>
            <w:tcW w:w="1134" w:type="dxa"/>
            <w:tcBorders>
              <w:top w:val="single" w:sz="4" w:space="0" w:color="677719"/>
              <w:left w:val="single" w:sz="4" w:space="0" w:color="677719"/>
              <w:bottom w:val="single" w:sz="4" w:space="0" w:color="677719"/>
              <w:right w:val="single" w:sz="4" w:space="0" w:color="677719"/>
            </w:tcBorders>
          </w:tcPr>
          <w:p w14:paraId="12D579BF" w14:textId="77777777" w:rsidR="00F14B5B" w:rsidRPr="00580905" w:rsidRDefault="00F14B5B" w:rsidP="000A7370">
            <w:pPr>
              <w:pStyle w:val="TableText"/>
              <w:ind w:right="172"/>
              <w:jc w:val="right"/>
            </w:pPr>
            <w:r w:rsidRPr="00580905">
              <w:t>570</w:t>
            </w:r>
          </w:p>
        </w:tc>
        <w:tc>
          <w:tcPr>
            <w:tcW w:w="1559" w:type="dxa"/>
            <w:tcBorders>
              <w:top w:val="single" w:sz="4" w:space="0" w:color="677719"/>
              <w:left w:val="single" w:sz="4" w:space="0" w:color="677719"/>
              <w:bottom w:val="single" w:sz="4" w:space="0" w:color="677719"/>
              <w:right w:val="single" w:sz="4" w:space="0" w:color="677719"/>
            </w:tcBorders>
          </w:tcPr>
          <w:p w14:paraId="22AC5F3E" w14:textId="77777777" w:rsidR="00F14B5B" w:rsidRPr="00580905" w:rsidRDefault="00F14B5B" w:rsidP="000A7370">
            <w:pPr>
              <w:pStyle w:val="TableText"/>
              <w:ind w:right="172"/>
              <w:jc w:val="right"/>
            </w:pPr>
            <w:r w:rsidRPr="00580905">
              <w:t>61</w:t>
            </w:r>
          </w:p>
        </w:tc>
        <w:tc>
          <w:tcPr>
            <w:tcW w:w="1134" w:type="dxa"/>
            <w:tcBorders>
              <w:top w:val="single" w:sz="4" w:space="0" w:color="677719"/>
              <w:left w:val="single" w:sz="4" w:space="0" w:color="677719"/>
              <w:bottom w:val="single" w:sz="4" w:space="0" w:color="677719"/>
              <w:right w:val="single" w:sz="4" w:space="0" w:color="677719"/>
            </w:tcBorders>
          </w:tcPr>
          <w:p w14:paraId="49CE929B" w14:textId="77777777" w:rsidR="00F14B5B" w:rsidRPr="00580905" w:rsidRDefault="00F14B5B" w:rsidP="000A7370">
            <w:pPr>
              <w:pStyle w:val="TableText"/>
              <w:ind w:right="172"/>
              <w:jc w:val="right"/>
            </w:pPr>
            <w:r w:rsidRPr="00580905">
              <w:t>438</w:t>
            </w:r>
          </w:p>
        </w:tc>
        <w:tc>
          <w:tcPr>
            <w:tcW w:w="1196" w:type="dxa"/>
            <w:tcBorders>
              <w:top w:val="single" w:sz="4" w:space="0" w:color="677719"/>
              <w:left w:val="single" w:sz="4" w:space="0" w:color="677719"/>
              <w:bottom w:val="single" w:sz="4" w:space="0" w:color="677719"/>
              <w:right w:val="nil"/>
            </w:tcBorders>
          </w:tcPr>
          <w:p w14:paraId="14DB3049" w14:textId="77777777" w:rsidR="00F14B5B" w:rsidRPr="00580905" w:rsidRDefault="00F14B5B" w:rsidP="000A7370">
            <w:pPr>
              <w:pStyle w:val="TableText"/>
              <w:ind w:right="172"/>
              <w:jc w:val="right"/>
            </w:pPr>
            <w:r w:rsidRPr="00580905">
              <w:t>1,413</w:t>
            </w:r>
          </w:p>
        </w:tc>
      </w:tr>
      <w:tr w:rsidR="00DD7159" w:rsidRPr="00580905" w14:paraId="5CF3F53D" w14:textId="77777777" w:rsidTr="000A7370">
        <w:tc>
          <w:tcPr>
            <w:tcW w:w="2943" w:type="dxa"/>
            <w:tcBorders>
              <w:top w:val="single" w:sz="4" w:space="0" w:color="677719"/>
              <w:left w:val="nil"/>
              <w:bottom w:val="single" w:sz="4" w:space="0" w:color="677719"/>
              <w:right w:val="single" w:sz="4" w:space="0" w:color="677719"/>
            </w:tcBorders>
            <w:shd w:val="clear" w:color="auto" w:fill="auto"/>
          </w:tcPr>
          <w:p w14:paraId="431468F4" w14:textId="1963C694" w:rsidR="00DD7159" w:rsidRPr="00580905" w:rsidRDefault="00DD7159" w:rsidP="000A7370">
            <w:pPr>
              <w:pStyle w:val="TableTextbold"/>
            </w:pPr>
            <w:r w:rsidRPr="00580905">
              <w:t>Infringement notices (average)</w:t>
            </w:r>
          </w:p>
        </w:tc>
        <w:tc>
          <w:tcPr>
            <w:tcW w:w="1276" w:type="dxa"/>
            <w:tcBorders>
              <w:top w:val="single" w:sz="4" w:space="0" w:color="677719"/>
              <w:left w:val="single" w:sz="4" w:space="0" w:color="677719"/>
              <w:bottom w:val="single" w:sz="4" w:space="0" w:color="677719"/>
              <w:right w:val="single" w:sz="4" w:space="0" w:color="677719"/>
            </w:tcBorders>
          </w:tcPr>
          <w:p w14:paraId="010B1FFA" w14:textId="179B9491" w:rsidR="00DD7159" w:rsidRPr="00580905" w:rsidRDefault="00C02EC6" w:rsidP="000A7370">
            <w:pPr>
              <w:pStyle w:val="TableText"/>
              <w:ind w:right="172"/>
              <w:jc w:val="right"/>
            </w:pPr>
            <w:r w:rsidRPr="00580905">
              <w:t>5.6</w:t>
            </w:r>
          </w:p>
        </w:tc>
        <w:tc>
          <w:tcPr>
            <w:tcW w:w="1134" w:type="dxa"/>
            <w:tcBorders>
              <w:top w:val="single" w:sz="4" w:space="0" w:color="677719"/>
              <w:left w:val="single" w:sz="4" w:space="0" w:color="677719"/>
              <w:bottom w:val="single" w:sz="4" w:space="0" w:color="677719"/>
              <w:right w:val="single" w:sz="4" w:space="0" w:color="677719"/>
            </w:tcBorders>
          </w:tcPr>
          <w:p w14:paraId="22D66A4D" w14:textId="469F3A2B" w:rsidR="00DD7159" w:rsidRPr="00580905" w:rsidRDefault="00C02EC6" w:rsidP="000A7370">
            <w:pPr>
              <w:pStyle w:val="TableText"/>
              <w:ind w:right="172"/>
              <w:jc w:val="right"/>
            </w:pPr>
            <w:r w:rsidRPr="00580905">
              <w:t>51.8</w:t>
            </w:r>
          </w:p>
        </w:tc>
        <w:tc>
          <w:tcPr>
            <w:tcW w:w="1559" w:type="dxa"/>
            <w:tcBorders>
              <w:top w:val="single" w:sz="4" w:space="0" w:color="677719"/>
              <w:left w:val="single" w:sz="4" w:space="0" w:color="677719"/>
              <w:bottom w:val="single" w:sz="4" w:space="0" w:color="677719"/>
              <w:right w:val="single" w:sz="4" w:space="0" w:color="677719"/>
            </w:tcBorders>
          </w:tcPr>
          <w:p w14:paraId="16B8D375" w14:textId="65876600" w:rsidR="00DD7159" w:rsidRPr="00580905" w:rsidRDefault="00C02EC6" w:rsidP="000A7370">
            <w:pPr>
              <w:pStyle w:val="TableText"/>
              <w:ind w:right="172"/>
              <w:jc w:val="right"/>
            </w:pPr>
            <w:r w:rsidRPr="00580905">
              <w:t>12.2</w:t>
            </w:r>
          </w:p>
        </w:tc>
        <w:tc>
          <w:tcPr>
            <w:tcW w:w="1134" w:type="dxa"/>
            <w:tcBorders>
              <w:top w:val="single" w:sz="4" w:space="0" w:color="677719"/>
              <w:left w:val="single" w:sz="4" w:space="0" w:color="677719"/>
              <w:bottom w:val="single" w:sz="4" w:space="0" w:color="677719"/>
              <w:right w:val="single" w:sz="4" w:space="0" w:color="677719"/>
            </w:tcBorders>
          </w:tcPr>
          <w:p w14:paraId="4B94F96C" w14:textId="1660FACC" w:rsidR="00DD7159" w:rsidRPr="00580905" w:rsidRDefault="00C02EC6" w:rsidP="000A7370">
            <w:pPr>
              <w:pStyle w:val="TableText"/>
              <w:ind w:right="172"/>
              <w:jc w:val="right"/>
            </w:pPr>
            <w:r w:rsidRPr="00580905">
              <w:t>438</w:t>
            </w:r>
          </w:p>
        </w:tc>
        <w:tc>
          <w:tcPr>
            <w:tcW w:w="1196" w:type="dxa"/>
            <w:tcBorders>
              <w:top w:val="single" w:sz="4" w:space="0" w:color="677719"/>
              <w:left w:val="single" w:sz="4" w:space="0" w:color="677719"/>
              <w:bottom w:val="single" w:sz="4" w:space="0" w:color="677719"/>
              <w:right w:val="nil"/>
            </w:tcBorders>
          </w:tcPr>
          <w:p w14:paraId="2D317220" w14:textId="51D0BA70" w:rsidR="00DD7159" w:rsidRPr="00580905" w:rsidRDefault="00B56EAA" w:rsidP="000A7370">
            <w:pPr>
              <w:pStyle w:val="TableText"/>
              <w:ind w:right="172"/>
              <w:jc w:val="right"/>
            </w:pPr>
            <w:r w:rsidRPr="00580905">
              <w:t>18.1</w:t>
            </w:r>
          </w:p>
        </w:tc>
      </w:tr>
      <w:tr w:rsidR="00F14B5B" w:rsidRPr="00580905" w14:paraId="741E87EA" w14:textId="77777777" w:rsidTr="000A7370">
        <w:tc>
          <w:tcPr>
            <w:tcW w:w="2943" w:type="dxa"/>
            <w:tcBorders>
              <w:top w:val="single" w:sz="4" w:space="0" w:color="677719"/>
              <w:left w:val="nil"/>
              <w:bottom w:val="single" w:sz="4" w:space="0" w:color="677719"/>
              <w:right w:val="single" w:sz="4" w:space="0" w:color="677719"/>
            </w:tcBorders>
            <w:shd w:val="clear" w:color="auto" w:fill="auto"/>
          </w:tcPr>
          <w:p w14:paraId="760B603F" w14:textId="4F8D307B" w:rsidR="00F14B5B" w:rsidRPr="00580905" w:rsidRDefault="00F14B5B" w:rsidP="000A7370">
            <w:pPr>
              <w:pStyle w:val="TableTextbold"/>
            </w:pPr>
            <w:r w:rsidRPr="00580905">
              <w:t>Abatement notices</w:t>
            </w:r>
            <w:r w:rsidR="00B56EAA" w:rsidRPr="00580905">
              <w:t xml:space="preserve"> (total)</w:t>
            </w:r>
          </w:p>
        </w:tc>
        <w:tc>
          <w:tcPr>
            <w:tcW w:w="1276" w:type="dxa"/>
            <w:tcBorders>
              <w:top w:val="single" w:sz="4" w:space="0" w:color="677719"/>
              <w:left w:val="single" w:sz="4" w:space="0" w:color="677719"/>
              <w:bottom w:val="single" w:sz="4" w:space="0" w:color="677719"/>
              <w:right w:val="single" w:sz="4" w:space="0" w:color="677719"/>
            </w:tcBorders>
          </w:tcPr>
          <w:p w14:paraId="2D78536A" w14:textId="77777777" w:rsidR="00F14B5B" w:rsidRPr="00580905" w:rsidRDefault="00F14B5B" w:rsidP="000A7370">
            <w:pPr>
              <w:pStyle w:val="TableText"/>
              <w:ind w:right="172"/>
              <w:jc w:val="right"/>
            </w:pPr>
            <w:r w:rsidRPr="00580905">
              <w:t>399</w:t>
            </w:r>
          </w:p>
        </w:tc>
        <w:tc>
          <w:tcPr>
            <w:tcW w:w="1134" w:type="dxa"/>
            <w:tcBorders>
              <w:top w:val="single" w:sz="4" w:space="0" w:color="677719"/>
              <w:left w:val="single" w:sz="4" w:space="0" w:color="677719"/>
              <w:bottom w:val="single" w:sz="4" w:space="0" w:color="677719"/>
              <w:right w:val="single" w:sz="4" w:space="0" w:color="677719"/>
            </w:tcBorders>
          </w:tcPr>
          <w:p w14:paraId="7C24CD2A" w14:textId="77777777" w:rsidR="00F14B5B" w:rsidRPr="00580905" w:rsidRDefault="00F14B5B" w:rsidP="000A7370">
            <w:pPr>
              <w:pStyle w:val="TableText"/>
              <w:ind w:right="172"/>
              <w:jc w:val="right"/>
            </w:pPr>
            <w:r w:rsidRPr="00580905">
              <w:t>733</w:t>
            </w:r>
          </w:p>
        </w:tc>
        <w:tc>
          <w:tcPr>
            <w:tcW w:w="1559" w:type="dxa"/>
            <w:tcBorders>
              <w:top w:val="single" w:sz="4" w:space="0" w:color="677719"/>
              <w:left w:val="single" w:sz="4" w:space="0" w:color="677719"/>
              <w:bottom w:val="single" w:sz="4" w:space="0" w:color="677719"/>
              <w:right w:val="single" w:sz="4" w:space="0" w:color="677719"/>
            </w:tcBorders>
          </w:tcPr>
          <w:p w14:paraId="2ADFC549" w14:textId="77777777" w:rsidR="00F14B5B" w:rsidRPr="00580905" w:rsidRDefault="00F14B5B" w:rsidP="000A7370">
            <w:pPr>
              <w:pStyle w:val="TableText"/>
              <w:ind w:right="172"/>
              <w:jc w:val="right"/>
            </w:pPr>
            <w:r w:rsidRPr="00580905">
              <w:t>96</w:t>
            </w:r>
          </w:p>
        </w:tc>
        <w:tc>
          <w:tcPr>
            <w:tcW w:w="1134" w:type="dxa"/>
            <w:tcBorders>
              <w:top w:val="single" w:sz="4" w:space="0" w:color="677719"/>
              <w:left w:val="single" w:sz="4" w:space="0" w:color="677719"/>
              <w:bottom w:val="single" w:sz="4" w:space="0" w:color="677719"/>
              <w:right w:val="single" w:sz="4" w:space="0" w:color="677719"/>
            </w:tcBorders>
          </w:tcPr>
          <w:p w14:paraId="65A05344" w14:textId="77777777" w:rsidR="00F14B5B" w:rsidRPr="00580905" w:rsidRDefault="00F14B5B" w:rsidP="000A7370">
            <w:pPr>
              <w:pStyle w:val="TableText"/>
              <w:ind w:right="172"/>
              <w:jc w:val="right"/>
            </w:pPr>
            <w:r w:rsidRPr="00580905">
              <w:t>697</w:t>
            </w:r>
          </w:p>
        </w:tc>
        <w:tc>
          <w:tcPr>
            <w:tcW w:w="1196" w:type="dxa"/>
            <w:tcBorders>
              <w:top w:val="single" w:sz="4" w:space="0" w:color="677719"/>
              <w:left w:val="single" w:sz="4" w:space="0" w:color="677719"/>
              <w:bottom w:val="single" w:sz="4" w:space="0" w:color="677719"/>
              <w:right w:val="nil"/>
            </w:tcBorders>
          </w:tcPr>
          <w:p w14:paraId="52A7380F" w14:textId="294E3FBE" w:rsidR="00F14B5B" w:rsidRPr="00580905" w:rsidRDefault="002B6FF5" w:rsidP="000A7370">
            <w:pPr>
              <w:pStyle w:val="TableText"/>
              <w:ind w:right="172"/>
              <w:jc w:val="right"/>
            </w:pPr>
            <w:r w:rsidRPr="00580905">
              <w:t>1,925</w:t>
            </w:r>
          </w:p>
        </w:tc>
      </w:tr>
      <w:tr w:rsidR="00DD7159" w:rsidRPr="00580905" w14:paraId="51AB9304" w14:textId="77777777" w:rsidTr="000A7370">
        <w:tc>
          <w:tcPr>
            <w:tcW w:w="2943" w:type="dxa"/>
            <w:tcBorders>
              <w:top w:val="single" w:sz="4" w:space="0" w:color="677719"/>
              <w:left w:val="nil"/>
              <w:bottom w:val="single" w:sz="4" w:space="0" w:color="677719"/>
              <w:right w:val="single" w:sz="4" w:space="0" w:color="677719"/>
            </w:tcBorders>
            <w:shd w:val="clear" w:color="auto" w:fill="auto"/>
          </w:tcPr>
          <w:p w14:paraId="3653FB77" w14:textId="7689B7B2" w:rsidR="00DD7159" w:rsidRPr="00580905" w:rsidRDefault="00B56EAA" w:rsidP="000A7370">
            <w:pPr>
              <w:pStyle w:val="TableTextbold"/>
            </w:pPr>
            <w:r w:rsidRPr="00580905">
              <w:t>Abatement notices (average)</w:t>
            </w:r>
          </w:p>
        </w:tc>
        <w:tc>
          <w:tcPr>
            <w:tcW w:w="1276" w:type="dxa"/>
            <w:tcBorders>
              <w:top w:val="single" w:sz="4" w:space="0" w:color="677719"/>
              <w:left w:val="single" w:sz="4" w:space="0" w:color="677719"/>
              <w:bottom w:val="single" w:sz="4" w:space="0" w:color="677719"/>
              <w:right w:val="single" w:sz="4" w:space="0" w:color="677719"/>
            </w:tcBorders>
          </w:tcPr>
          <w:p w14:paraId="4EE2C75E" w14:textId="1C591FC7" w:rsidR="00DD7159" w:rsidRPr="00580905" w:rsidRDefault="00B56EAA" w:rsidP="000A7370">
            <w:pPr>
              <w:pStyle w:val="TableText"/>
              <w:ind w:right="172"/>
              <w:jc w:val="right"/>
            </w:pPr>
            <w:r w:rsidRPr="00580905">
              <w:t>6.5</w:t>
            </w:r>
          </w:p>
        </w:tc>
        <w:tc>
          <w:tcPr>
            <w:tcW w:w="1134" w:type="dxa"/>
            <w:tcBorders>
              <w:top w:val="single" w:sz="4" w:space="0" w:color="677719"/>
              <w:left w:val="single" w:sz="4" w:space="0" w:color="677719"/>
              <w:bottom w:val="single" w:sz="4" w:space="0" w:color="677719"/>
              <w:right w:val="single" w:sz="4" w:space="0" w:color="677719"/>
            </w:tcBorders>
          </w:tcPr>
          <w:p w14:paraId="6D073165" w14:textId="2224CF5D" w:rsidR="00DD7159" w:rsidRPr="00580905" w:rsidRDefault="00B56EAA" w:rsidP="000A7370">
            <w:pPr>
              <w:pStyle w:val="TableText"/>
              <w:ind w:right="172"/>
              <w:jc w:val="right"/>
            </w:pPr>
            <w:r w:rsidRPr="00580905">
              <w:t>66.6</w:t>
            </w:r>
          </w:p>
        </w:tc>
        <w:tc>
          <w:tcPr>
            <w:tcW w:w="1559" w:type="dxa"/>
            <w:tcBorders>
              <w:top w:val="single" w:sz="4" w:space="0" w:color="677719"/>
              <w:left w:val="single" w:sz="4" w:space="0" w:color="677719"/>
              <w:bottom w:val="single" w:sz="4" w:space="0" w:color="677719"/>
              <w:right w:val="single" w:sz="4" w:space="0" w:color="677719"/>
            </w:tcBorders>
          </w:tcPr>
          <w:p w14:paraId="47FEDE23" w14:textId="7933F3DB" w:rsidR="00DD7159" w:rsidRPr="00580905" w:rsidRDefault="00B56EAA" w:rsidP="000A7370">
            <w:pPr>
              <w:pStyle w:val="TableText"/>
              <w:ind w:right="172"/>
              <w:jc w:val="right"/>
            </w:pPr>
            <w:r w:rsidRPr="00580905">
              <w:t>19.2</w:t>
            </w:r>
          </w:p>
        </w:tc>
        <w:tc>
          <w:tcPr>
            <w:tcW w:w="1134" w:type="dxa"/>
            <w:tcBorders>
              <w:top w:val="single" w:sz="4" w:space="0" w:color="677719"/>
              <w:left w:val="single" w:sz="4" w:space="0" w:color="677719"/>
              <w:bottom w:val="single" w:sz="4" w:space="0" w:color="677719"/>
              <w:right w:val="single" w:sz="4" w:space="0" w:color="677719"/>
            </w:tcBorders>
          </w:tcPr>
          <w:p w14:paraId="179CB484" w14:textId="591F06ED" w:rsidR="00DD7159" w:rsidRPr="00580905" w:rsidRDefault="00B56EAA" w:rsidP="000A7370">
            <w:pPr>
              <w:pStyle w:val="TableText"/>
              <w:ind w:right="172"/>
              <w:jc w:val="right"/>
            </w:pPr>
            <w:r w:rsidRPr="00580905">
              <w:t>697</w:t>
            </w:r>
          </w:p>
        </w:tc>
        <w:tc>
          <w:tcPr>
            <w:tcW w:w="1196" w:type="dxa"/>
            <w:tcBorders>
              <w:top w:val="single" w:sz="4" w:space="0" w:color="677719"/>
              <w:left w:val="single" w:sz="4" w:space="0" w:color="677719"/>
              <w:bottom w:val="single" w:sz="4" w:space="0" w:color="677719"/>
              <w:right w:val="nil"/>
            </w:tcBorders>
          </w:tcPr>
          <w:p w14:paraId="71C5F096" w14:textId="3BA89FF8" w:rsidR="00DD7159" w:rsidRPr="00580905" w:rsidRDefault="00FF3EE3" w:rsidP="000A7370">
            <w:pPr>
              <w:pStyle w:val="TableText"/>
              <w:ind w:right="172"/>
              <w:jc w:val="right"/>
            </w:pPr>
            <w:r w:rsidRPr="00580905">
              <w:t>24.7</w:t>
            </w:r>
          </w:p>
        </w:tc>
      </w:tr>
      <w:tr w:rsidR="00F14B5B" w:rsidRPr="00580905" w14:paraId="50E34D54" w14:textId="77777777" w:rsidTr="000A7370">
        <w:tc>
          <w:tcPr>
            <w:tcW w:w="2943" w:type="dxa"/>
            <w:tcBorders>
              <w:top w:val="single" w:sz="4" w:space="0" w:color="677719"/>
              <w:left w:val="nil"/>
              <w:bottom w:val="single" w:sz="4" w:space="0" w:color="677719"/>
              <w:right w:val="single" w:sz="4" w:space="0" w:color="677719"/>
            </w:tcBorders>
            <w:shd w:val="clear" w:color="auto" w:fill="auto"/>
          </w:tcPr>
          <w:p w14:paraId="52510E7F" w14:textId="0E2BAF99" w:rsidR="00F14B5B" w:rsidRPr="00580905" w:rsidRDefault="00F14B5B" w:rsidP="000A7370">
            <w:pPr>
              <w:pStyle w:val="TableTextbold"/>
            </w:pPr>
            <w:r w:rsidRPr="00580905">
              <w:rPr>
                <w:bCs/>
              </w:rPr>
              <w:t>Enforcement order applications (including interim)</w:t>
            </w:r>
            <w:r w:rsidR="00FF3EE3" w:rsidRPr="00580905">
              <w:rPr>
                <w:bCs/>
              </w:rPr>
              <w:t xml:space="preserve"> (total)</w:t>
            </w:r>
          </w:p>
        </w:tc>
        <w:tc>
          <w:tcPr>
            <w:tcW w:w="1276" w:type="dxa"/>
            <w:tcBorders>
              <w:top w:val="single" w:sz="4" w:space="0" w:color="677719"/>
              <w:left w:val="single" w:sz="4" w:space="0" w:color="677719"/>
              <w:bottom w:val="single" w:sz="4" w:space="0" w:color="677719"/>
              <w:right w:val="single" w:sz="4" w:space="0" w:color="677719"/>
            </w:tcBorders>
          </w:tcPr>
          <w:p w14:paraId="0AA60CF6" w14:textId="77777777" w:rsidR="00F14B5B" w:rsidRPr="00580905" w:rsidRDefault="00F14B5B" w:rsidP="000A7370">
            <w:pPr>
              <w:pStyle w:val="TableText"/>
              <w:ind w:right="172"/>
              <w:jc w:val="right"/>
            </w:pPr>
            <w:r w:rsidRPr="00580905">
              <w:t>8</w:t>
            </w:r>
          </w:p>
        </w:tc>
        <w:tc>
          <w:tcPr>
            <w:tcW w:w="1134" w:type="dxa"/>
            <w:tcBorders>
              <w:top w:val="single" w:sz="4" w:space="0" w:color="677719"/>
              <w:left w:val="single" w:sz="4" w:space="0" w:color="677719"/>
              <w:bottom w:val="single" w:sz="4" w:space="0" w:color="677719"/>
              <w:right w:val="single" w:sz="4" w:space="0" w:color="677719"/>
            </w:tcBorders>
          </w:tcPr>
          <w:p w14:paraId="1F4BDF49" w14:textId="77777777" w:rsidR="00F14B5B" w:rsidRPr="00580905" w:rsidRDefault="00F14B5B" w:rsidP="000A7370">
            <w:pPr>
              <w:pStyle w:val="TableText"/>
              <w:ind w:right="172"/>
              <w:jc w:val="right"/>
            </w:pPr>
            <w:r w:rsidRPr="00580905">
              <w:t>11</w:t>
            </w:r>
          </w:p>
        </w:tc>
        <w:tc>
          <w:tcPr>
            <w:tcW w:w="1559" w:type="dxa"/>
            <w:tcBorders>
              <w:top w:val="single" w:sz="4" w:space="0" w:color="677719"/>
              <w:left w:val="single" w:sz="4" w:space="0" w:color="677719"/>
              <w:bottom w:val="single" w:sz="4" w:space="0" w:color="677719"/>
              <w:right w:val="single" w:sz="4" w:space="0" w:color="677719"/>
            </w:tcBorders>
          </w:tcPr>
          <w:p w14:paraId="3CC1A38D" w14:textId="0AC255BF" w:rsidR="00F14B5B" w:rsidRPr="00580905" w:rsidRDefault="00FF3EE3" w:rsidP="000A7370">
            <w:pPr>
              <w:pStyle w:val="TableText"/>
              <w:ind w:right="172"/>
              <w:jc w:val="right"/>
            </w:pPr>
            <w:r w:rsidRPr="00580905">
              <w:t>0</w:t>
            </w:r>
          </w:p>
        </w:tc>
        <w:tc>
          <w:tcPr>
            <w:tcW w:w="1134" w:type="dxa"/>
            <w:tcBorders>
              <w:top w:val="single" w:sz="4" w:space="0" w:color="677719"/>
              <w:left w:val="single" w:sz="4" w:space="0" w:color="677719"/>
              <w:bottom w:val="single" w:sz="4" w:space="0" w:color="677719"/>
              <w:right w:val="single" w:sz="4" w:space="0" w:color="677719"/>
            </w:tcBorders>
          </w:tcPr>
          <w:p w14:paraId="6BAC1C41" w14:textId="77777777" w:rsidR="00F14B5B" w:rsidRPr="00580905" w:rsidRDefault="00F14B5B" w:rsidP="000A7370">
            <w:pPr>
              <w:pStyle w:val="TableText"/>
              <w:ind w:right="172"/>
              <w:jc w:val="right"/>
            </w:pPr>
            <w:r w:rsidRPr="00580905">
              <w:t>1</w:t>
            </w:r>
          </w:p>
        </w:tc>
        <w:tc>
          <w:tcPr>
            <w:tcW w:w="1196" w:type="dxa"/>
            <w:tcBorders>
              <w:top w:val="single" w:sz="4" w:space="0" w:color="677719"/>
              <w:left w:val="single" w:sz="4" w:space="0" w:color="677719"/>
              <w:bottom w:val="single" w:sz="4" w:space="0" w:color="677719"/>
              <w:right w:val="nil"/>
            </w:tcBorders>
          </w:tcPr>
          <w:p w14:paraId="44C4E71E" w14:textId="77777777" w:rsidR="00F14B5B" w:rsidRPr="00580905" w:rsidRDefault="00F14B5B" w:rsidP="000A7370">
            <w:pPr>
              <w:pStyle w:val="TableText"/>
              <w:ind w:right="172"/>
              <w:jc w:val="right"/>
            </w:pPr>
            <w:r w:rsidRPr="00580905">
              <w:t>20</w:t>
            </w:r>
          </w:p>
        </w:tc>
      </w:tr>
      <w:tr w:rsidR="00DD7159" w:rsidRPr="00580905" w14:paraId="3489EFF1" w14:textId="77777777" w:rsidTr="000A7370">
        <w:tc>
          <w:tcPr>
            <w:tcW w:w="2943" w:type="dxa"/>
            <w:tcBorders>
              <w:top w:val="single" w:sz="4" w:space="0" w:color="677719"/>
              <w:left w:val="nil"/>
              <w:bottom w:val="single" w:sz="4" w:space="0" w:color="677719"/>
              <w:right w:val="single" w:sz="4" w:space="0" w:color="677719"/>
            </w:tcBorders>
            <w:shd w:val="clear" w:color="auto" w:fill="auto"/>
          </w:tcPr>
          <w:p w14:paraId="356D6876" w14:textId="3CFC37F4" w:rsidR="00DD7159" w:rsidRPr="00580905" w:rsidRDefault="00FF3EE3" w:rsidP="000A7370">
            <w:pPr>
              <w:pStyle w:val="TableTextbold"/>
              <w:rPr>
                <w:bCs/>
              </w:rPr>
            </w:pPr>
            <w:r w:rsidRPr="00580905">
              <w:rPr>
                <w:bCs/>
              </w:rPr>
              <w:t>Enforcement order applications (including interim) (average)</w:t>
            </w:r>
          </w:p>
        </w:tc>
        <w:tc>
          <w:tcPr>
            <w:tcW w:w="1276" w:type="dxa"/>
            <w:tcBorders>
              <w:top w:val="single" w:sz="4" w:space="0" w:color="677719"/>
              <w:left w:val="single" w:sz="4" w:space="0" w:color="677719"/>
              <w:bottom w:val="single" w:sz="4" w:space="0" w:color="677719"/>
              <w:right w:val="single" w:sz="4" w:space="0" w:color="677719"/>
            </w:tcBorders>
          </w:tcPr>
          <w:p w14:paraId="414D532E" w14:textId="57A34270" w:rsidR="00DD7159" w:rsidRPr="00580905" w:rsidRDefault="00FF3EE3" w:rsidP="000A7370">
            <w:pPr>
              <w:pStyle w:val="TableText"/>
              <w:ind w:right="172"/>
              <w:jc w:val="right"/>
            </w:pPr>
            <w:r w:rsidRPr="00580905">
              <w:t>0.1</w:t>
            </w:r>
          </w:p>
        </w:tc>
        <w:tc>
          <w:tcPr>
            <w:tcW w:w="1134" w:type="dxa"/>
            <w:tcBorders>
              <w:top w:val="single" w:sz="4" w:space="0" w:color="677719"/>
              <w:left w:val="single" w:sz="4" w:space="0" w:color="677719"/>
              <w:bottom w:val="single" w:sz="4" w:space="0" w:color="677719"/>
              <w:right w:val="single" w:sz="4" w:space="0" w:color="677719"/>
            </w:tcBorders>
          </w:tcPr>
          <w:p w14:paraId="4E7CE89F" w14:textId="2D389722" w:rsidR="00DD7159" w:rsidRPr="00580905" w:rsidRDefault="00FF3EE3" w:rsidP="000A7370">
            <w:pPr>
              <w:pStyle w:val="TableText"/>
              <w:ind w:right="172"/>
              <w:jc w:val="right"/>
            </w:pPr>
            <w:r w:rsidRPr="00580905">
              <w:t>1</w:t>
            </w:r>
          </w:p>
        </w:tc>
        <w:tc>
          <w:tcPr>
            <w:tcW w:w="1559" w:type="dxa"/>
            <w:tcBorders>
              <w:top w:val="single" w:sz="4" w:space="0" w:color="677719"/>
              <w:left w:val="single" w:sz="4" w:space="0" w:color="677719"/>
              <w:bottom w:val="single" w:sz="4" w:space="0" w:color="677719"/>
              <w:right w:val="single" w:sz="4" w:space="0" w:color="677719"/>
            </w:tcBorders>
          </w:tcPr>
          <w:p w14:paraId="28F4FE98" w14:textId="5C6033B6" w:rsidR="00DD7159" w:rsidRPr="00580905" w:rsidRDefault="00FF3EE3" w:rsidP="000A7370">
            <w:pPr>
              <w:pStyle w:val="TableText"/>
              <w:ind w:right="172"/>
              <w:jc w:val="right"/>
            </w:pPr>
            <w:r w:rsidRPr="00580905">
              <w:t>0</w:t>
            </w:r>
          </w:p>
        </w:tc>
        <w:tc>
          <w:tcPr>
            <w:tcW w:w="1134" w:type="dxa"/>
            <w:tcBorders>
              <w:top w:val="single" w:sz="4" w:space="0" w:color="677719"/>
              <w:left w:val="single" w:sz="4" w:space="0" w:color="677719"/>
              <w:bottom w:val="single" w:sz="4" w:space="0" w:color="677719"/>
              <w:right w:val="single" w:sz="4" w:space="0" w:color="677719"/>
            </w:tcBorders>
          </w:tcPr>
          <w:p w14:paraId="59D7D719" w14:textId="71ACB737" w:rsidR="00DD7159" w:rsidRPr="00580905" w:rsidRDefault="00FF3EE3" w:rsidP="000A7370">
            <w:pPr>
              <w:pStyle w:val="TableText"/>
              <w:ind w:right="172"/>
              <w:jc w:val="right"/>
            </w:pPr>
            <w:r w:rsidRPr="00580905">
              <w:t>1</w:t>
            </w:r>
          </w:p>
        </w:tc>
        <w:tc>
          <w:tcPr>
            <w:tcW w:w="1196" w:type="dxa"/>
            <w:tcBorders>
              <w:top w:val="single" w:sz="4" w:space="0" w:color="677719"/>
              <w:left w:val="single" w:sz="4" w:space="0" w:color="677719"/>
              <w:bottom w:val="single" w:sz="4" w:space="0" w:color="677719"/>
              <w:right w:val="nil"/>
            </w:tcBorders>
          </w:tcPr>
          <w:p w14:paraId="4863B7AB" w14:textId="76698F96" w:rsidR="00DD7159" w:rsidRPr="00580905" w:rsidRDefault="0059110B" w:rsidP="000A7370">
            <w:pPr>
              <w:pStyle w:val="TableText"/>
              <w:ind w:right="172"/>
              <w:jc w:val="right"/>
            </w:pPr>
            <w:r w:rsidRPr="00580905">
              <w:t>0.26</w:t>
            </w:r>
          </w:p>
        </w:tc>
      </w:tr>
      <w:tr w:rsidR="00F14B5B" w:rsidRPr="00580905" w14:paraId="49D844CF" w14:textId="77777777" w:rsidTr="000A7370">
        <w:tc>
          <w:tcPr>
            <w:tcW w:w="2943" w:type="dxa"/>
            <w:tcBorders>
              <w:top w:val="single" w:sz="4" w:space="0" w:color="677719"/>
              <w:left w:val="nil"/>
              <w:bottom w:val="single" w:sz="4" w:space="0" w:color="677719"/>
              <w:right w:val="single" w:sz="4" w:space="0" w:color="677719"/>
            </w:tcBorders>
            <w:shd w:val="clear" w:color="auto" w:fill="auto"/>
          </w:tcPr>
          <w:p w14:paraId="3B1A6AC7" w14:textId="32FB6E66" w:rsidR="00F14B5B" w:rsidRPr="00580905" w:rsidRDefault="00F14B5B" w:rsidP="000A7370">
            <w:pPr>
              <w:pStyle w:val="TableTextbold"/>
            </w:pPr>
            <w:r w:rsidRPr="00580905">
              <w:rPr>
                <w:bCs/>
              </w:rPr>
              <w:t>Prosecutions initiated</w:t>
            </w:r>
            <w:r w:rsidR="00FF3EE3" w:rsidRPr="00580905">
              <w:rPr>
                <w:bCs/>
              </w:rPr>
              <w:t xml:space="preserve"> (total)</w:t>
            </w:r>
          </w:p>
        </w:tc>
        <w:tc>
          <w:tcPr>
            <w:tcW w:w="1276" w:type="dxa"/>
            <w:tcBorders>
              <w:top w:val="single" w:sz="4" w:space="0" w:color="677719"/>
              <w:left w:val="single" w:sz="4" w:space="0" w:color="677719"/>
              <w:bottom w:val="single" w:sz="4" w:space="0" w:color="677719"/>
              <w:right w:val="single" w:sz="4" w:space="0" w:color="677719"/>
            </w:tcBorders>
          </w:tcPr>
          <w:p w14:paraId="7F7F3745" w14:textId="77777777" w:rsidR="00F14B5B" w:rsidRPr="00580905" w:rsidRDefault="00F14B5B" w:rsidP="000A7370">
            <w:pPr>
              <w:pStyle w:val="TableText"/>
              <w:ind w:right="172"/>
              <w:jc w:val="right"/>
            </w:pPr>
            <w:r w:rsidRPr="00580905">
              <w:t>31</w:t>
            </w:r>
          </w:p>
        </w:tc>
        <w:tc>
          <w:tcPr>
            <w:tcW w:w="1134" w:type="dxa"/>
            <w:tcBorders>
              <w:top w:val="single" w:sz="4" w:space="0" w:color="677719"/>
              <w:left w:val="single" w:sz="4" w:space="0" w:color="677719"/>
              <w:bottom w:val="single" w:sz="4" w:space="0" w:color="677719"/>
              <w:right w:val="single" w:sz="4" w:space="0" w:color="677719"/>
            </w:tcBorders>
          </w:tcPr>
          <w:p w14:paraId="4E78503F" w14:textId="77777777" w:rsidR="00F14B5B" w:rsidRPr="00580905" w:rsidRDefault="00F14B5B" w:rsidP="000A7370">
            <w:pPr>
              <w:pStyle w:val="TableText"/>
              <w:ind w:right="172"/>
              <w:jc w:val="right"/>
            </w:pPr>
            <w:r w:rsidRPr="00580905">
              <w:t>48</w:t>
            </w:r>
          </w:p>
        </w:tc>
        <w:tc>
          <w:tcPr>
            <w:tcW w:w="1559" w:type="dxa"/>
            <w:tcBorders>
              <w:top w:val="single" w:sz="4" w:space="0" w:color="677719"/>
              <w:left w:val="single" w:sz="4" w:space="0" w:color="677719"/>
              <w:bottom w:val="single" w:sz="4" w:space="0" w:color="677719"/>
              <w:right w:val="single" w:sz="4" w:space="0" w:color="677719"/>
            </w:tcBorders>
          </w:tcPr>
          <w:p w14:paraId="78AB563A" w14:textId="77777777" w:rsidR="00F14B5B" w:rsidRPr="00580905" w:rsidRDefault="00F14B5B" w:rsidP="000A7370">
            <w:pPr>
              <w:pStyle w:val="TableText"/>
              <w:ind w:right="172"/>
              <w:jc w:val="right"/>
            </w:pPr>
            <w:r w:rsidRPr="00580905">
              <w:t>12</w:t>
            </w:r>
          </w:p>
        </w:tc>
        <w:tc>
          <w:tcPr>
            <w:tcW w:w="1134" w:type="dxa"/>
            <w:tcBorders>
              <w:top w:val="single" w:sz="4" w:space="0" w:color="677719"/>
              <w:left w:val="single" w:sz="4" w:space="0" w:color="677719"/>
              <w:bottom w:val="single" w:sz="4" w:space="0" w:color="677719"/>
              <w:right w:val="single" w:sz="4" w:space="0" w:color="677719"/>
            </w:tcBorders>
          </w:tcPr>
          <w:p w14:paraId="6017EB00" w14:textId="77777777" w:rsidR="00F14B5B" w:rsidRPr="00580905" w:rsidRDefault="00F14B5B" w:rsidP="000A7370">
            <w:pPr>
              <w:pStyle w:val="TableText"/>
              <w:ind w:right="172"/>
              <w:jc w:val="right"/>
            </w:pPr>
            <w:r w:rsidRPr="00580905">
              <w:t>6</w:t>
            </w:r>
          </w:p>
        </w:tc>
        <w:tc>
          <w:tcPr>
            <w:tcW w:w="1196" w:type="dxa"/>
            <w:tcBorders>
              <w:top w:val="single" w:sz="4" w:space="0" w:color="677719"/>
              <w:left w:val="single" w:sz="4" w:space="0" w:color="677719"/>
              <w:bottom w:val="single" w:sz="4" w:space="0" w:color="677719"/>
              <w:right w:val="nil"/>
            </w:tcBorders>
          </w:tcPr>
          <w:p w14:paraId="109F49A0" w14:textId="3B971AD1" w:rsidR="00F14B5B" w:rsidRPr="00580905" w:rsidRDefault="002D109E" w:rsidP="000A7370">
            <w:pPr>
              <w:pStyle w:val="TableText"/>
              <w:ind w:right="172"/>
              <w:jc w:val="right"/>
            </w:pPr>
            <w:r w:rsidRPr="00580905">
              <w:t>9</w:t>
            </w:r>
            <w:r w:rsidR="00F14B5B" w:rsidRPr="00580905">
              <w:t>7</w:t>
            </w:r>
          </w:p>
        </w:tc>
      </w:tr>
      <w:tr w:rsidR="00DD7159" w:rsidRPr="00580905" w14:paraId="06B6E843" w14:textId="77777777" w:rsidTr="000A7370">
        <w:tc>
          <w:tcPr>
            <w:tcW w:w="2943" w:type="dxa"/>
            <w:tcBorders>
              <w:top w:val="single" w:sz="4" w:space="0" w:color="677719"/>
              <w:left w:val="nil"/>
              <w:bottom w:val="single" w:sz="4" w:space="0" w:color="677719"/>
              <w:right w:val="single" w:sz="4" w:space="0" w:color="677719"/>
            </w:tcBorders>
            <w:shd w:val="clear" w:color="auto" w:fill="auto"/>
          </w:tcPr>
          <w:p w14:paraId="77C1CD9B" w14:textId="72C701F6" w:rsidR="00DD7159" w:rsidRPr="00580905" w:rsidRDefault="00FF3EE3" w:rsidP="000A7370">
            <w:pPr>
              <w:pStyle w:val="TableTextbold"/>
              <w:rPr>
                <w:bCs/>
              </w:rPr>
            </w:pPr>
            <w:r w:rsidRPr="00580905">
              <w:rPr>
                <w:bCs/>
              </w:rPr>
              <w:t>Prosecutions initiated (average)</w:t>
            </w:r>
          </w:p>
        </w:tc>
        <w:tc>
          <w:tcPr>
            <w:tcW w:w="1276" w:type="dxa"/>
            <w:tcBorders>
              <w:top w:val="single" w:sz="4" w:space="0" w:color="677719"/>
              <w:left w:val="single" w:sz="4" w:space="0" w:color="677719"/>
              <w:bottom w:val="single" w:sz="4" w:space="0" w:color="677719"/>
              <w:right w:val="single" w:sz="4" w:space="0" w:color="677719"/>
            </w:tcBorders>
          </w:tcPr>
          <w:p w14:paraId="60F9A892" w14:textId="4AB669F3" w:rsidR="00DD7159" w:rsidRPr="00580905" w:rsidRDefault="0059110B" w:rsidP="000A7370">
            <w:pPr>
              <w:pStyle w:val="TableText"/>
              <w:ind w:right="172"/>
              <w:jc w:val="right"/>
            </w:pPr>
            <w:r w:rsidRPr="00580905">
              <w:t>0.5</w:t>
            </w:r>
          </w:p>
        </w:tc>
        <w:tc>
          <w:tcPr>
            <w:tcW w:w="1134" w:type="dxa"/>
            <w:tcBorders>
              <w:top w:val="single" w:sz="4" w:space="0" w:color="677719"/>
              <w:left w:val="single" w:sz="4" w:space="0" w:color="677719"/>
              <w:bottom w:val="single" w:sz="4" w:space="0" w:color="677719"/>
              <w:right w:val="single" w:sz="4" w:space="0" w:color="677719"/>
            </w:tcBorders>
          </w:tcPr>
          <w:p w14:paraId="64C4CD37" w14:textId="530B5DE0" w:rsidR="00DD7159" w:rsidRPr="00580905" w:rsidRDefault="0059110B" w:rsidP="000A7370">
            <w:pPr>
              <w:pStyle w:val="TableText"/>
              <w:ind w:right="172"/>
              <w:jc w:val="right"/>
            </w:pPr>
            <w:r w:rsidRPr="00580905">
              <w:t>4.4</w:t>
            </w:r>
          </w:p>
        </w:tc>
        <w:tc>
          <w:tcPr>
            <w:tcW w:w="1559" w:type="dxa"/>
            <w:tcBorders>
              <w:top w:val="single" w:sz="4" w:space="0" w:color="677719"/>
              <w:left w:val="single" w:sz="4" w:space="0" w:color="677719"/>
              <w:bottom w:val="single" w:sz="4" w:space="0" w:color="677719"/>
              <w:right w:val="single" w:sz="4" w:space="0" w:color="677719"/>
            </w:tcBorders>
          </w:tcPr>
          <w:p w14:paraId="6D01B190" w14:textId="761D48F7" w:rsidR="00DD7159" w:rsidRPr="00580905" w:rsidRDefault="0059110B" w:rsidP="000A7370">
            <w:pPr>
              <w:pStyle w:val="TableText"/>
              <w:ind w:right="172"/>
              <w:jc w:val="right"/>
            </w:pPr>
            <w:r w:rsidRPr="00580905">
              <w:t>2.4</w:t>
            </w:r>
          </w:p>
        </w:tc>
        <w:tc>
          <w:tcPr>
            <w:tcW w:w="1134" w:type="dxa"/>
            <w:tcBorders>
              <w:top w:val="single" w:sz="4" w:space="0" w:color="677719"/>
              <w:left w:val="single" w:sz="4" w:space="0" w:color="677719"/>
              <w:bottom w:val="single" w:sz="4" w:space="0" w:color="677719"/>
              <w:right w:val="single" w:sz="4" w:space="0" w:color="677719"/>
            </w:tcBorders>
          </w:tcPr>
          <w:p w14:paraId="7505C171" w14:textId="5C852FD4" w:rsidR="00DD7159" w:rsidRPr="00580905" w:rsidRDefault="0059110B" w:rsidP="000A7370">
            <w:pPr>
              <w:pStyle w:val="TableText"/>
              <w:ind w:right="172"/>
              <w:jc w:val="right"/>
            </w:pPr>
            <w:r w:rsidRPr="00580905">
              <w:t>6</w:t>
            </w:r>
          </w:p>
        </w:tc>
        <w:tc>
          <w:tcPr>
            <w:tcW w:w="1196" w:type="dxa"/>
            <w:tcBorders>
              <w:top w:val="single" w:sz="4" w:space="0" w:color="677719"/>
              <w:left w:val="single" w:sz="4" w:space="0" w:color="677719"/>
              <w:bottom w:val="single" w:sz="4" w:space="0" w:color="677719"/>
              <w:right w:val="nil"/>
            </w:tcBorders>
          </w:tcPr>
          <w:p w14:paraId="78DB0E0C" w14:textId="7C88BAD8" w:rsidR="00DD7159" w:rsidRPr="00580905" w:rsidRDefault="0059110B" w:rsidP="000A7370">
            <w:pPr>
              <w:pStyle w:val="TableText"/>
              <w:ind w:right="172"/>
              <w:jc w:val="right"/>
            </w:pPr>
            <w:r w:rsidRPr="00580905">
              <w:t>1.2</w:t>
            </w:r>
          </w:p>
        </w:tc>
      </w:tr>
      <w:tr w:rsidR="00F14B5B" w:rsidRPr="00580905" w14:paraId="572AFE5A" w14:textId="77777777" w:rsidTr="000A7370">
        <w:tc>
          <w:tcPr>
            <w:tcW w:w="2943" w:type="dxa"/>
            <w:tcBorders>
              <w:top w:val="single" w:sz="4" w:space="0" w:color="677719"/>
              <w:left w:val="nil"/>
              <w:bottom w:val="single" w:sz="4" w:space="0" w:color="677719"/>
              <w:right w:val="single" w:sz="4" w:space="0" w:color="677719"/>
            </w:tcBorders>
            <w:shd w:val="clear" w:color="auto" w:fill="auto"/>
          </w:tcPr>
          <w:p w14:paraId="08D49032" w14:textId="77777777" w:rsidR="00F14B5B" w:rsidRPr="00580905" w:rsidRDefault="00F14B5B" w:rsidP="000A7370">
            <w:pPr>
              <w:pStyle w:val="TableTextbold"/>
              <w:rPr>
                <w:bCs/>
              </w:rPr>
            </w:pPr>
            <w:r w:rsidRPr="00580905">
              <w:rPr>
                <w:bCs/>
              </w:rPr>
              <w:t>Total</w:t>
            </w:r>
          </w:p>
        </w:tc>
        <w:tc>
          <w:tcPr>
            <w:tcW w:w="1276" w:type="dxa"/>
            <w:tcBorders>
              <w:top w:val="single" w:sz="4" w:space="0" w:color="677719"/>
              <w:left w:val="single" w:sz="4" w:space="0" w:color="677719"/>
              <w:bottom w:val="single" w:sz="4" w:space="0" w:color="677719"/>
              <w:right w:val="single" w:sz="4" w:space="0" w:color="677719"/>
            </w:tcBorders>
          </w:tcPr>
          <w:p w14:paraId="5DAC7D38" w14:textId="77777777" w:rsidR="00F14B5B" w:rsidRPr="00580905" w:rsidRDefault="00F14B5B" w:rsidP="000A7370">
            <w:pPr>
              <w:pStyle w:val="TableText"/>
              <w:ind w:right="172"/>
              <w:jc w:val="right"/>
            </w:pPr>
            <w:r w:rsidRPr="00580905">
              <w:t>782</w:t>
            </w:r>
          </w:p>
        </w:tc>
        <w:tc>
          <w:tcPr>
            <w:tcW w:w="1134" w:type="dxa"/>
            <w:tcBorders>
              <w:top w:val="single" w:sz="4" w:space="0" w:color="677719"/>
              <w:left w:val="single" w:sz="4" w:space="0" w:color="677719"/>
              <w:bottom w:val="single" w:sz="4" w:space="0" w:color="677719"/>
              <w:right w:val="single" w:sz="4" w:space="0" w:color="677719"/>
            </w:tcBorders>
          </w:tcPr>
          <w:p w14:paraId="3D4CA9E1" w14:textId="77777777" w:rsidR="00F14B5B" w:rsidRPr="00580905" w:rsidRDefault="00F14B5B" w:rsidP="000A7370">
            <w:pPr>
              <w:pStyle w:val="TableText"/>
              <w:ind w:right="172"/>
              <w:jc w:val="right"/>
            </w:pPr>
            <w:r w:rsidRPr="00580905">
              <w:t>1,362</w:t>
            </w:r>
          </w:p>
        </w:tc>
        <w:tc>
          <w:tcPr>
            <w:tcW w:w="1559" w:type="dxa"/>
            <w:tcBorders>
              <w:top w:val="single" w:sz="4" w:space="0" w:color="677719"/>
              <w:left w:val="single" w:sz="4" w:space="0" w:color="677719"/>
              <w:bottom w:val="single" w:sz="4" w:space="0" w:color="677719"/>
              <w:right w:val="single" w:sz="4" w:space="0" w:color="677719"/>
            </w:tcBorders>
          </w:tcPr>
          <w:p w14:paraId="411E0317" w14:textId="77777777" w:rsidR="00F14B5B" w:rsidRPr="00580905" w:rsidRDefault="00F14B5B" w:rsidP="000A7370">
            <w:pPr>
              <w:pStyle w:val="TableText"/>
              <w:ind w:right="172"/>
              <w:jc w:val="right"/>
            </w:pPr>
            <w:r w:rsidRPr="00580905">
              <w:t>169</w:t>
            </w:r>
          </w:p>
        </w:tc>
        <w:tc>
          <w:tcPr>
            <w:tcW w:w="1134" w:type="dxa"/>
            <w:tcBorders>
              <w:top w:val="single" w:sz="4" w:space="0" w:color="677719"/>
              <w:left w:val="single" w:sz="4" w:space="0" w:color="677719"/>
              <w:bottom w:val="single" w:sz="4" w:space="0" w:color="677719"/>
              <w:right w:val="single" w:sz="4" w:space="0" w:color="677719"/>
            </w:tcBorders>
          </w:tcPr>
          <w:p w14:paraId="376967D7" w14:textId="2D892DFF" w:rsidR="00F14B5B" w:rsidRPr="00580905" w:rsidRDefault="00F14B5B" w:rsidP="000A7370">
            <w:pPr>
              <w:pStyle w:val="TableText"/>
              <w:ind w:right="172"/>
              <w:jc w:val="right"/>
            </w:pPr>
            <w:r w:rsidRPr="00580905">
              <w:t>1,143</w:t>
            </w:r>
          </w:p>
        </w:tc>
        <w:tc>
          <w:tcPr>
            <w:tcW w:w="1196" w:type="dxa"/>
            <w:tcBorders>
              <w:top w:val="single" w:sz="4" w:space="0" w:color="677719"/>
              <w:left w:val="single" w:sz="4" w:space="0" w:color="677719"/>
              <w:bottom w:val="single" w:sz="4" w:space="0" w:color="677719"/>
              <w:right w:val="nil"/>
            </w:tcBorders>
          </w:tcPr>
          <w:p w14:paraId="61C17ED1" w14:textId="10930AEB" w:rsidR="00F14B5B" w:rsidRPr="00580905" w:rsidRDefault="002B6FF5" w:rsidP="000A7370">
            <w:pPr>
              <w:pStyle w:val="TableText"/>
              <w:ind w:right="172"/>
              <w:jc w:val="right"/>
            </w:pPr>
            <w:r w:rsidRPr="00580905">
              <w:t>3,456</w:t>
            </w:r>
          </w:p>
        </w:tc>
      </w:tr>
    </w:tbl>
    <w:p w14:paraId="276CA826" w14:textId="23BD004A" w:rsidR="00F14B5B" w:rsidRPr="00580905" w:rsidRDefault="001E43CA" w:rsidP="00DD39C1">
      <w:pPr>
        <w:pStyle w:val="BodyText"/>
        <w:spacing w:before="240"/>
      </w:pPr>
      <w:r w:rsidRPr="00580905">
        <w:t xml:space="preserve">The majority (77.4 per cent) of all formal enforcement actions are taken by regional councils and unitary authorities (including Auckland Council). Territorial authorities take comparatively fewer enforcement actions. </w:t>
      </w:r>
      <w:r w:rsidR="00A86E76" w:rsidRPr="00580905">
        <w:t>Territorial authority staff spoken to explained that they</w:t>
      </w:r>
      <w:r w:rsidRPr="00580905">
        <w:t xml:space="preserve"> </w:t>
      </w:r>
      <w:r w:rsidR="007D343A" w:rsidRPr="00580905">
        <w:t>prefer to resolve non-compliance through</w:t>
      </w:r>
      <w:r w:rsidR="00A86E76" w:rsidRPr="00580905">
        <w:t xml:space="preserve"> </w:t>
      </w:r>
      <w:r w:rsidRPr="00580905">
        <w:t>‘softer’ methods</w:t>
      </w:r>
      <w:r w:rsidR="007D343A" w:rsidRPr="00580905">
        <w:t>,</w:t>
      </w:r>
      <w:r w:rsidRPr="00580905">
        <w:t xml:space="preserve"> such as explaining how the landowner can remedy the breach, rather than using formal enforcement actions. </w:t>
      </w:r>
    </w:p>
    <w:p w14:paraId="3C3A4038" w14:textId="55DD66E8" w:rsidR="00BE7DFC" w:rsidRPr="00580905" w:rsidRDefault="002C05FC" w:rsidP="00001984">
      <w:pPr>
        <w:pStyle w:val="BodyText"/>
      </w:pPr>
      <w:r>
        <w:t>The r</w:t>
      </w:r>
      <w:r w:rsidR="00BE7DFC" w:rsidRPr="00580905">
        <w:t xml:space="preserve">easons for low numbers of enforcement actions taken by councils </w:t>
      </w:r>
      <w:r>
        <w:t xml:space="preserve">(as explained by council staff) </w:t>
      </w:r>
      <w:r w:rsidR="00BE7DFC" w:rsidRPr="00580905">
        <w:t>include:</w:t>
      </w:r>
    </w:p>
    <w:p w14:paraId="21BE7F02" w14:textId="19C5E40F" w:rsidR="00BE7DFC" w:rsidRPr="00580905" w:rsidRDefault="00145096" w:rsidP="00FB32C5">
      <w:pPr>
        <w:pStyle w:val="Bullet"/>
        <w:numPr>
          <w:ilvl w:val="0"/>
          <w:numId w:val="15"/>
        </w:numPr>
        <w:spacing w:after="100"/>
      </w:pPr>
      <w:r w:rsidRPr="00580905">
        <w:t>t</w:t>
      </w:r>
      <w:r w:rsidR="007C45AD" w:rsidRPr="00580905">
        <w:t>he council</w:t>
      </w:r>
      <w:r w:rsidRPr="00580905">
        <w:t>’</w:t>
      </w:r>
      <w:r w:rsidR="00BE7DFC" w:rsidRPr="00580905">
        <w:t>s (either the staff or councillors, or both) focus on ‘community service’ and reluctance to take a more heavy-handed approach</w:t>
      </w:r>
    </w:p>
    <w:p w14:paraId="241B4153" w14:textId="57CAD9A8" w:rsidR="00BE7DFC" w:rsidRPr="00580905" w:rsidRDefault="00145096" w:rsidP="00FB32C5">
      <w:pPr>
        <w:pStyle w:val="Bullet"/>
        <w:numPr>
          <w:ilvl w:val="0"/>
          <w:numId w:val="15"/>
        </w:numPr>
        <w:spacing w:after="100"/>
      </w:pPr>
      <w:r w:rsidRPr="00580905">
        <w:t>a</w:t>
      </w:r>
      <w:r w:rsidR="00BE7DFC" w:rsidRPr="00580905">
        <w:t xml:space="preserve"> lack of understanding of the enforcement tools and how they should be used</w:t>
      </w:r>
    </w:p>
    <w:p w14:paraId="44A5DF93" w14:textId="4C867233" w:rsidR="00BE7DFC" w:rsidRDefault="00145096" w:rsidP="00FB32C5">
      <w:pPr>
        <w:pStyle w:val="Bullet"/>
        <w:numPr>
          <w:ilvl w:val="0"/>
          <w:numId w:val="15"/>
        </w:numPr>
        <w:spacing w:after="100"/>
      </w:pPr>
      <w:r w:rsidRPr="00580905">
        <w:t>a</w:t>
      </w:r>
      <w:r w:rsidR="00BE7DFC" w:rsidRPr="00580905">
        <w:t xml:space="preserve"> lack of experienced staff or legal expertise</w:t>
      </w:r>
      <w:r w:rsidR="009F67AD">
        <w:t>, or both,</w:t>
      </w:r>
      <w:r w:rsidR="00BE7DFC" w:rsidRPr="00580905">
        <w:t xml:space="preserve"> available to apply for more complicated enforcement actions – enforcement orders and prosecutions</w:t>
      </w:r>
    </w:p>
    <w:p w14:paraId="4AC96147" w14:textId="5CD7DB7A" w:rsidR="00186855" w:rsidRPr="00580905" w:rsidRDefault="00186855" w:rsidP="00FB32C5">
      <w:pPr>
        <w:pStyle w:val="Bullet"/>
        <w:numPr>
          <w:ilvl w:val="0"/>
          <w:numId w:val="15"/>
        </w:numPr>
        <w:spacing w:after="100"/>
      </w:pPr>
      <w:r>
        <w:t>a lack of evidence</w:t>
      </w:r>
      <w:r w:rsidR="009F67AD">
        <w:t xml:space="preserve"> and </w:t>
      </w:r>
      <w:r>
        <w:t>uncertainty about the risk of being unsuccessful (for prosecutions)</w:t>
      </w:r>
    </w:p>
    <w:p w14:paraId="2A7EDCC0" w14:textId="357E1E9F" w:rsidR="00BE7DFC" w:rsidRDefault="00145096" w:rsidP="00FB32C5">
      <w:pPr>
        <w:pStyle w:val="Bullet"/>
        <w:numPr>
          <w:ilvl w:val="0"/>
          <w:numId w:val="15"/>
        </w:numPr>
        <w:spacing w:after="100"/>
      </w:pPr>
      <w:proofErr w:type="gramStart"/>
      <w:r w:rsidRPr="00580905">
        <w:t>a</w:t>
      </w:r>
      <w:proofErr w:type="gramEnd"/>
      <w:r w:rsidR="00BE7DFC" w:rsidRPr="00580905">
        <w:t xml:space="preserve"> lack of resources to take enforcement orders or prosecutions (the costs incurred by councils as a result of taking a prosecution are significant – see discussion below).</w:t>
      </w:r>
    </w:p>
    <w:p w14:paraId="116A339D" w14:textId="46E27291" w:rsidR="00183285" w:rsidRPr="00DD224D" w:rsidRDefault="00201399" w:rsidP="00DD224D">
      <w:pPr>
        <w:pStyle w:val="Heading4"/>
      </w:pPr>
      <w:r w:rsidRPr="00DD224D">
        <w:t>Prosecutions</w:t>
      </w:r>
    </w:p>
    <w:p w14:paraId="005ADEF7" w14:textId="47D5F4F3" w:rsidR="00EB3BDD" w:rsidRPr="00580905" w:rsidRDefault="00EB3BDD" w:rsidP="00001984">
      <w:pPr>
        <w:pStyle w:val="BodyText"/>
      </w:pPr>
      <w:r w:rsidRPr="00580905">
        <w:t>Prosecutions make up only a small proportion (around three per</w:t>
      </w:r>
      <w:r w:rsidR="00B36B68">
        <w:t xml:space="preserve"> </w:t>
      </w:r>
      <w:r w:rsidRPr="00580905">
        <w:t>cent) of all</w:t>
      </w:r>
      <w:r w:rsidR="00832923">
        <w:t xml:space="preserve"> abatement notices, infringement notices, enforcement orders and prosecutions</w:t>
      </w:r>
      <w:r w:rsidRPr="00580905">
        <w:t xml:space="preserve">. Regional councils and unitary authorities take more prosecutions than territorial authorities, largely due to the significant costs involved and the ability of the council to afford these. In the 2014/15 financial year, only </w:t>
      </w:r>
      <w:r w:rsidR="00531E47" w:rsidRPr="00580905">
        <w:t xml:space="preserve">31 prosecutions were initiated </w:t>
      </w:r>
      <w:r w:rsidRPr="00580905">
        <w:t>by 62 territorial autho</w:t>
      </w:r>
      <w:r w:rsidR="00A21AF3">
        <w:t>rities.</w:t>
      </w:r>
    </w:p>
    <w:p w14:paraId="324AC2F0" w14:textId="76D20133" w:rsidR="00183285" w:rsidRPr="00580905" w:rsidRDefault="00201399" w:rsidP="00001984">
      <w:pPr>
        <w:pStyle w:val="BodyText"/>
      </w:pPr>
      <w:r w:rsidRPr="00580905">
        <w:t xml:space="preserve">Some </w:t>
      </w:r>
      <w:proofErr w:type="gramStart"/>
      <w:r w:rsidRPr="00580905">
        <w:t>councils</w:t>
      </w:r>
      <w:proofErr w:type="gramEnd"/>
      <w:r w:rsidRPr="00580905">
        <w:t xml:space="preserve"> take prosecutions only in the most serious cases of of</w:t>
      </w:r>
      <w:r w:rsidR="007D343A" w:rsidRPr="00580905">
        <w:t>fending, resulting in few prosecutions being taken</w:t>
      </w:r>
      <w:r w:rsidR="007859A0" w:rsidRPr="00580905">
        <w:t xml:space="preserve"> by these councils</w:t>
      </w:r>
      <w:r w:rsidR="00494A25">
        <w:t>. This may explain, in part, the low number of prosecutions taken by territorial authorities</w:t>
      </w:r>
      <w:r w:rsidR="007D343A" w:rsidRPr="00580905">
        <w:t xml:space="preserve">. </w:t>
      </w:r>
      <w:r w:rsidR="00145096" w:rsidRPr="00580905">
        <w:t>O</w:t>
      </w:r>
      <w:r w:rsidR="007859A0" w:rsidRPr="00580905">
        <w:t>ther councils</w:t>
      </w:r>
      <w:r w:rsidR="007D343A" w:rsidRPr="00580905">
        <w:t xml:space="preserve"> </w:t>
      </w:r>
      <w:r w:rsidR="007859A0" w:rsidRPr="00580905">
        <w:t>use prosecutions more readily</w:t>
      </w:r>
      <w:r w:rsidR="00145096" w:rsidRPr="00580905">
        <w:t>, however,</w:t>
      </w:r>
      <w:r w:rsidR="007859A0" w:rsidRPr="00580905">
        <w:t xml:space="preserve"> to </w:t>
      </w:r>
      <w:r w:rsidR="00FD09ED">
        <w:t>penalise</w:t>
      </w:r>
      <w:r w:rsidR="007859A0" w:rsidRPr="00580905">
        <w:t xml:space="preserve"> and deter offending. These councils (which are primarily regional councils</w:t>
      </w:r>
      <w:r w:rsidR="00A21AF3">
        <w:t xml:space="preserve"> and unitary authorities</w:t>
      </w:r>
      <w:r w:rsidR="007859A0" w:rsidRPr="00580905">
        <w:t xml:space="preserve">) </w:t>
      </w:r>
      <w:r w:rsidR="00E53F8D" w:rsidRPr="00580905">
        <w:t>file</w:t>
      </w:r>
      <w:r w:rsidRPr="00580905">
        <w:t xml:space="preserve"> charges against an offender where it is considered necessary, taking into account:</w:t>
      </w:r>
      <w:r w:rsidR="005B0C28" w:rsidRPr="00580905">
        <w:rPr>
          <w:rStyle w:val="FootnoteReference"/>
        </w:rPr>
        <w:footnoteReference w:id="34"/>
      </w:r>
    </w:p>
    <w:p w14:paraId="562A8E89" w14:textId="241F8107" w:rsidR="005B0C28" w:rsidRPr="00580905" w:rsidRDefault="00D3262B" w:rsidP="00FB32C5">
      <w:pPr>
        <w:pStyle w:val="Bullet"/>
        <w:numPr>
          <w:ilvl w:val="0"/>
          <w:numId w:val="15"/>
        </w:numPr>
        <w:spacing w:after="100"/>
      </w:pPr>
      <w:r w:rsidRPr="00580905">
        <w:rPr>
          <w:rFonts w:cs="Arial"/>
        </w:rPr>
        <w:t>t</w:t>
      </w:r>
      <w:r w:rsidR="005B0C28" w:rsidRPr="00580905">
        <w:rPr>
          <w:rFonts w:cs="Arial"/>
        </w:rPr>
        <w:t>he</w:t>
      </w:r>
      <w:r w:rsidR="005B0C28" w:rsidRPr="00580905">
        <w:t xml:space="preserve"> actual or potential adverse environmental effects</w:t>
      </w:r>
    </w:p>
    <w:p w14:paraId="39AAFF54" w14:textId="59C4809F" w:rsidR="005B0C28" w:rsidRPr="00580905" w:rsidRDefault="00D3262B" w:rsidP="00FB32C5">
      <w:pPr>
        <w:pStyle w:val="Bullet"/>
        <w:numPr>
          <w:ilvl w:val="0"/>
          <w:numId w:val="15"/>
        </w:numPr>
        <w:spacing w:after="100"/>
      </w:pPr>
      <w:r w:rsidRPr="00580905">
        <w:rPr>
          <w:rFonts w:cs="Arial"/>
        </w:rPr>
        <w:t>t</w:t>
      </w:r>
      <w:r w:rsidR="005B0C28" w:rsidRPr="00580905">
        <w:rPr>
          <w:rFonts w:cs="Arial"/>
        </w:rPr>
        <w:t>he</w:t>
      </w:r>
      <w:r w:rsidR="005B0C28" w:rsidRPr="00580905">
        <w:t xml:space="preserve"> value or sensitivity of the receiving environment </w:t>
      </w:r>
    </w:p>
    <w:p w14:paraId="70120005" w14:textId="79D2DD3F" w:rsidR="005B0C28" w:rsidRPr="00580905" w:rsidRDefault="00D3262B" w:rsidP="00FB32C5">
      <w:pPr>
        <w:pStyle w:val="Bullet"/>
        <w:numPr>
          <w:ilvl w:val="0"/>
          <w:numId w:val="15"/>
        </w:numPr>
        <w:spacing w:after="100"/>
      </w:pPr>
      <w:r w:rsidRPr="00580905">
        <w:rPr>
          <w:rFonts w:cs="Arial"/>
        </w:rPr>
        <w:t>t</w:t>
      </w:r>
      <w:r w:rsidR="005B0C28" w:rsidRPr="00580905">
        <w:rPr>
          <w:rFonts w:cs="Arial"/>
        </w:rPr>
        <w:t>he</w:t>
      </w:r>
      <w:r w:rsidR="005B0C28" w:rsidRPr="00580905">
        <w:t xml:space="preserve"> toxicity of the discharge </w:t>
      </w:r>
    </w:p>
    <w:p w14:paraId="7D97BD18" w14:textId="7F4843FE" w:rsidR="005B0C28" w:rsidRPr="00580905" w:rsidRDefault="00D3262B" w:rsidP="00FB32C5">
      <w:pPr>
        <w:pStyle w:val="Bullet"/>
        <w:numPr>
          <w:ilvl w:val="0"/>
          <w:numId w:val="15"/>
        </w:numPr>
        <w:spacing w:after="100"/>
      </w:pPr>
      <w:r w:rsidRPr="00580905">
        <w:rPr>
          <w:rFonts w:cs="Arial"/>
        </w:rPr>
        <w:t>w</w:t>
      </w:r>
      <w:r w:rsidR="00183285" w:rsidRPr="00580905">
        <w:rPr>
          <w:rFonts w:cs="Arial"/>
        </w:rPr>
        <w:t>hether</w:t>
      </w:r>
      <w:r w:rsidR="00183285" w:rsidRPr="00580905">
        <w:t xml:space="preserve"> </w:t>
      </w:r>
      <w:r w:rsidR="005B0C28" w:rsidRPr="00580905">
        <w:t xml:space="preserve">there </w:t>
      </w:r>
      <w:r w:rsidR="00183285" w:rsidRPr="00580905">
        <w:t xml:space="preserve">was </w:t>
      </w:r>
      <w:r w:rsidR="005B0C28" w:rsidRPr="00580905">
        <w:t>any profit or benefit gained by the alleged offender(s)</w:t>
      </w:r>
    </w:p>
    <w:p w14:paraId="413E3688" w14:textId="58001C54" w:rsidR="005B0C28" w:rsidRDefault="00D3262B" w:rsidP="00FB32C5">
      <w:pPr>
        <w:pStyle w:val="Bullet"/>
        <w:numPr>
          <w:ilvl w:val="0"/>
          <w:numId w:val="15"/>
        </w:numPr>
        <w:spacing w:after="100"/>
      </w:pPr>
      <w:proofErr w:type="gramStart"/>
      <w:r w:rsidRPr="00580905">
        <w:rPr>
          <w:rFonts w:cs="Arial"/>
        </w:rPr>
        <w:t>w</w:t>
      </w:r>
      <w:r w:rsidR="00183285" w:rsidRPr="00580905">
        <w:rPr>
          <w:rFonts w:cs="Arial"/>
        </w:rPr>
        <w:t>hether</w:t>
      </w:r>
      <w:proofErr w:type="gramEnd"/>
      <w:r w:rsidR="00183285" w:rsidRPr="00580905">
        <w:t xml:space="preserve"> the incident was a repeat non-compliance</w:t>
      </w:r>
      <w:r w:rsidR="00EB3BDD" w:rsidRPr="00580905">
        <w:t>.</w:t>
      </w:r>
    </w:p>
    <w:p w14:paraId="1EFE3993" w14:textId="77777777" w:rsidR="000969E9" w:rsidRDefault="000969E9">
      <w:pPr>
        <w:rPr>
          <w:rFonts w:ascii="Arial" w:hAnsi="Arial" w:cs="Arial"/>
          <w:b/>
          <w:iCs/>
        </w:rPr>
      </w:pPr>
      <w:r>
        <w:rPr>
          <w:b/>
          <w:i/>
        </w:rPr>
        <w:br w:type="page"/>
      </w:r>
    </w:p>
    <w:p w14:paraId="3B6F19E8" w14:textId="6BD9D646" w:rsidR="002A1DEF" w:rsidRPr="00F810A5" w:rsidRDefault="003521CF" w:rsidP="00AF74F8">
      <w:pPr>
        <w:pStyle w:val="Heading4"/>
      </w:pPr>
      <w:r w:rsidRPr="00F810A5">
        <w:t>C</w:t>
      </w:r>
      <w:r w:rsidR="007C6FCD" w:rsidRPr="00F810A5">
        <w:t>ost</w:t>
      </w:r>
      <w:r w:rsidR="002A1DEF" w:rsidRPr="00F810A5">
        <w:t xml:space="preserve"> of prosecutions</w:t>
      </w:r>
    </w:p>
    <w:p w14:paraId="6C3DDD9F" w14:textId="38D27E29" w:rsidR="00F07205" w:rsidRPr="00F810A5" w:rsidRDefault="00F07205" w:rsidP="00F810A5">
      <w:pPr>
        <w:pStyle w:val="Heading4"/>
        <w:rPr>
          <w:i/>
        </w:rPr>
      </w:pPr>
      <w:r w:rsidRPr="00F810A5">
        <w:rPr>
          <w:i/>
        </w:rPr>
        <w:t>The costs incurred by councils from taking prosecutions are significant</w:t>
      </w:r>
    </w:p>
    <w:p w14:paraId="54D8A50D" w14:textId="06EA5E62" w:rsidR="00201399" w:rsidRPr="00580905" w:rsidRDefault="002A708E" w:rsidP="00001984">
      <w:pPr>
        <w:pStyle w:val="BodyText"/>
      </w:pPr>
      <w:r w:rsidRPr="00580905">
        <w:t>Currently councils are</w:t>
      </w:r>
      <w:r w:rsidR="00D61032" w:rsidRPr="00580905">
        <w:t xml:space="preserve"> responsible </w:t>
      </w:r>
      <w:r w:rsidRPr="00580905">
        <w:t xml:space="preserve">for funding the </w:t>
      </w:r>
      <w:r w:rsidR="00D61032" w:rsidRPr="00580905">
        <w:t xml:space="preserve">costs </w:t>
      </w:r>
      <w:r w:rsidRPr="00580905">
        <w:t xml:space="preserve">of prosecution, which </w:t>
      </w:r>
      <w:r w:rsidR="008F558E" w:rsidRPr="00580905">
        <w:t xml:space="preserve">can be </w:t>
      </w:r>
      <w:r w:rsidRPr="00580905">
        <w:t>considerable.</w:t>
      </w:r>
      <w:r w:rsidR="00580905">
        <w:t xml:space="preserve"> </w:t>
      </w:r>
      <w:r w:rsidR="00BB358D" w:rsidRPr="00580905">
        <w:t>For example, a</w:t>
      </w:r>
      <w:r w:rsidR="008F558E" w:rsidRPr="00580905">
        <w:t xml:space="preserve"> simple legal opinion prior to filing charging documents may cost </w:t>
      </w:r>
      <w:r w:rsidR="0049512B" w:rsidRPr="00580905">
        <w:t>around</w:t>
      </w:r>
      <w:r w:rsidR="008F558E" w:rsidRPr="00580905">
        <w:t xml:space="preserve"> $3</w:t>
      </w:r>
      <w:r w:rsidR="00BB358D" w:rsidRPr="00580905">
        <w:t>000</w:t>
      </w:r>
      <w:r w:rsidR="00F523A1" w:rsidRPr="00580905">
        <w:t>–</w:t>
      </w:r>
      <w:r w:rsidR="008F558E" w:rsidRPr="00580905">
        <w:t>$5000.</w:t>
      </w:r>
      <w:r w:rsidR="00580905">
        <w:t xml:space="preserve"> </w:t>
      </w:r>
      <w:r w:rsidR="008F558E" w:rsidRPr="00580905">
        <w:t>A</w:t>
      </w:r>
      <w:r w:rsidR="00495305" w:rsidRPr="00580905">
        <w:t xml:space="preserve"> case involving a</w:t>
      </w:r>
      <w:r w:rsidR="008F558E" w:rsidRPr="00580905">
        <w:t>n early guilty plea by a single defendant facing a single charge may be resolved with legal expen</w:t>
      </w:r>
      <w:r w:rsidR="00BB358D" w:rsidRPr="00580905">
        <w:t xml:space="preserve">ses to council of less than $10,000. </w:t>
      </w:r>
      <w:r w:rsidR="0049512B" w:rsidRPr="00580905">
        <w:t>I</w:t>
      </w:r>
      <w:r w:rsidR="008F558E" w:rsidRPr="00580905">
        <w:t xml:space="preserve">f charges are defended and the matter is </w:t>
      </w:r>
      <w:r w:rsidR="00F12507" w:rsidRPr="00580905">
        <w:t>particularly</w:t>
      </w:r>
      <w:r w:rsidR="008F558E" w:rsidRPr="00580905">
        <w:t xml:space="preserve"> complex</w:t>
      </w:r>
      <w:r w:rsidR="0049512B" w:rsidRPr="00580905">
        <w:t>, however,</w:t>
      </w:r>
      <w:r w:rsidR="008F558E" w:rsidRPr="00580905">
        <w:t xml:space="preserve"> then legal expenses can easily run to six figures.</w:t>
      </w:r>
      <w:r w:rsidR="00580905">
        <w:t xml:space="preserve"> </w:t>
      </w:r>
    </w:p>
    <w:p w14:paraId="0454171D" w14:textId="10C108CA" w:rsidR="00B87A9A" w:rsidRPr="00580905" w:rsidRDefault="00495305" w:rsidP="00001984">
      <w:pPr>
        <w:pStyle w:val="BodyText"/>
      </w:pPr>
      <w:r w:rsidRPr="00580905">
        <w:t>Any fine</w:t>
      </w:r>
      <w:r w:rsidR="00847E8F" w:rsidRPr="00580905">
        <w:t xml:space="preserve"> imposed by the </w:t>
      </w:r>
      <w:r w:rsidR="00644DB8" w:rsidRPr="00580905">
        <w:t>c</w:t>
      </w:r>
      <w:r w:rsidR="00847E8F" w:rsidRPr="00580905">
        <w:t xml:space="preserve">ourt </w:t>
      </w:r>
      <w:r w:rsidRPr="00580905">
        <w:t xml:space="preserve">is not paid directly to the prosecuting council. </w:t>
      </w:r>
      <w:r w:rsidR="00CF625D" w:rsidRPr="00580905">
        <w:t xml:space="preserve">The </w:t>
      </w:r>
      <w:r w:rsidRPr="00580905">
        <w:t>Ministry of Justice is responsible for recovering the fine and forwarding it on to the council.</w:t>
      </w:r>
      <w:r w:rsidR="00580905">
        <w:t xml:space="preserve"> </w:t>
      </w:r>
      <w:r w:rsidR="00B87A9A" w:rsidRPr="00580905">
        <w:t>Fines owing to c</w:t>
      </w:r>
      <w:r w:rsidR="00C91DF8" w:rsidRPr="00580905">
        <w:t>ouncil following RMA cases are</w:t>
      </w:r>
      <w:r w:rsidR="00B87A9A" w:rsidRPr="00580905">
        <w:t xml:space="preserve"> only one of many fines that the Ministry of Justice</w:t>
      </w:r>
      <w:r w:rsidR="00C91DF8" w:rsidRPr="00580905">
        <w:t xml:space="preserve"> is required to recover</w:t>
      </w:r>
      <w:r w:rsidR="00B87A9A" w:rsidRPr="00580905">
        <w:t xml:space="preserve"> and s</w:t>
      </w:r>
      <w:r w:rsidR="006D22FE" w:rsidRPr="00580905">
        <w:t>ome fine recovery takes many years.</w:t>
      </w:r>
      <w:r w:rsidR="00580905">
        <w:t xml:space="preserve"> </w:t>
      </w:r>
      <w:r w:rsidR="00C91DF8" w:rsidRPr="00580905">
        <w:t xml:space="preserve">There </w:t>
      </w:r>
      <w:r w:rsidR="006C482A">
        <w:t xml:space="preserve">are </w:t>
      </w:r>
      <w:r w:rsidR="00F12507" w:rsidRPr="00580905">
        <w:t xml:space="preserve">a number of substantial </w:t>
      </w:r>
      <w:r w:rsidR="00C91DF8" w:rsidRPr="00580905">
        <w:t xml:space="preserve">RMA fines </w:t>
      </w:r>
      <w:r w:rsidR="00644DB8" w:rsidRPr="00580905">
        <w:t>that</w:t>
      </w:r>
      <w:r w:rsidR="00C91DF8" w:rsidRPr="00580905">
        <w:t xml:space="preserve"> h</w:t>
      </w:r>
      <w:r w:rsidR="00B87A9A" w:rsidRPr="00580905">
        <w:t>a</w:t>
      </w:r>
      <w:r w:rsidR="00F12507" w:rsidRPr="00580905">
        <w:t xml:space="preserve">ve never been recovered by the </w:t>
      </w:r>
      <w:r w:rsidR="00B87A9A" w:rsidRPr="00580905">
        <w:t xml:space="preserve">Ministry of Justice </w:t>
      </w:r>
      <w:r w:rsidR="00C91DF8" w:rsidRPr="00580905">
        <w:t>and the fines have been ‘remitted’</w:t>
      </w:r>
      <w:r w:rsidR="00EB2B63" w:rsidRPr="00580905">
        <w:t>, often due to a company going into liquidation or receivership, or the offender absconding.</w:t>
      </w:r>
    </w:p>
    <w:p w14:paraId="68E6A2ED" w14:textId="03424C65" w:rsidR="00BE7DFC" w:rsidRPr="00580905" w:rsidRDefault="007B46D8" w:rsidP="00001984">
      <w:pPr>
        <w:pStyle w:val="BodyText"/>
      </w:pPr>
      <w:r w:rsidRPr="00580905">
        <w:t xml:space="preserve">Councils generally do not </w:t>
      </w:r>
      <w:r w:rsidR="00B87A9A" w:rsidRPr="00580905">
        <w:t>recover the full costs of taking a prosecution, as the fines awarded by the District Court (of which 90</w:t>
      </w:r>
      <w:r w:rsidR="00644DB8" w:rsidRPr="00580905">
        <w:t xml:space="preserve"> per cent</w:t>
      </w:r>
      <w:r w:rsidR="00F12507" w:rsidRPr="00580905">
        <w:t xml:space="preserve"> is generally ordered </w:t>
      </w:r>
      <w:r w:rsidR="00B87A9A" w:rsidRPr="00580905">
        <w:t>to be paid to councils) is normally less than the costs of an investigation and subsequent prosecution.</w:t>
      </w:r>
      <w:r w:rsidR="00EB2B63" w:rsidRPr="00580905">
        <w:t xml:space="preserve"> In the decision of </w:t>
      </w:r>
      <w:r w:rsidR="00EB2B63" w:rsidRPr="00580905">
        <w:rPr>
          <w:i/>
        </w:rPr>
        <w:t>Bay of Plenty Regional Council v Mobil Oil New Zealand Ltd</w:t>
      </w:r>
      <w:r w:rsidR="00644DB8" w:rsidRPr="00580905">
        <w:t>,</w:t>
      </w:r>
      <w:r w:rsidR="00EB2B63" w:rsidRPr="00580905">
        <w:rPr>
          <w:rStyle w:val="FootnoteReference"/>
        </w:rPr>
        <w:footnoteReference w:id="35"/>
      </w:r>
      <w:r w:rsidR="008543EA" w:rsidRPr="00580905">
        <w:t xml:space="preserve"> where the company was prosecuted for an oil spill into the Tauranga Harbour,</w:t>
      </w:r>
      <w:r w:rsidR="00EB2B63" w:rsidRPr="00580905">
        <w:t xml:space="preserve"> </w:t>
      </w:r>
      <w:r w:rsidR="008543EA" w:rsidRPr="00580905">
        <w:t>the District Court recognised the dif</w:t>
      </w:r>
      <w:r w:rsidR="00183285" w:rsidRPr="00580905">
        <w:t>f</w:t>
      </w:r>
      <w:r w:rsidR="008543EA" w:rsidRPr="00580905">
        <w:t xml:space="preserve">iculty placed on councils in taking prosecutions. </w:t>
      </w:r>
      <w:r w:rsidR="007C1093" w:rsidRPr="00580905">
        <w:t xml:space="preserve">While the company was fined $288,000, the </w:t>
      </w:r>
      <w:r w:rsidR="00644DB8" w:rsidRPr="00580905">
        <w:t>c</w:t>
      </w:r>
      <w:r w:rsidR="008543EA" w:rsidRPr="00580905">
        <w:t>ouncil incurred ove</w:t>
      </w:r>
      <w:r w:rsidR="007C1093" w:rsidRPr="00580905">
        <w:t>r $3</w:t>
      </w:r>
      <w:r w:rsidR="00867E81">
        <w:t>50</w:t>
      </w:r>
      <w:r w:rsidR="007C1093" w:rsidRPr="00580905">
        <w:t>,000 in prosecution costs</w:t>
      </w:r>
      <w:r w:rsidR="008543EA" w:rsidRPr="00580905">
        <w:t xml:space="preserve">. </w:t>
      </w:r>
      <w:r w:rsidR="006424B5" w:rsidRPr="00580905">
        <w:t xml:space="preserve">The </w:t>
      </w:r>
      <w:r w:rsidR="00644DB8" w:rsidRPr="00580905">
        <w:t>c</w:t>
      </w:r>
      <w:r w:rsidR="006424B5" w:rsidRPr="00580905">
        <w:t>ourt stated that:</w:t>
      </w:r>
    </w:p>
    <w:p w14:paraId="61F070B3" w14:textId="463B1A5A" w:rsidR="00CF1A06" w:rsidRPr="00580905" w:rsidRDefault="007C1093" w:rsidP="00001984">
      <w:pPr>
        <w:pStyle w:val="Quote"/>
      </w:pPr>
      <w:r w:rsidRPr="00580905">
        <w:t xml:space="preserve">There may need to be some </w:t>
      </w:r>
      <w:r w:rsidRPr="00580905">
        <w:rPr>
          <w:i/>
          <w:color w:val="000000"/>
        </w:rPr>
        <w:t>review</w:t>
      </w:r>
      <w:r w:rsidRPr="00580905">
        <w:t xml:space="preserve"> of the legislation in due course to take into account that these costs are otherwise borne by the rate payers through no cause of their own.</w:t>
      </w:r>
    </w:p>
    <w:p w14:paraId="13DEE462" w14:textId="1252FC2D" w:rsidR="00072289" w:rsidRPr="00580905" w:rsidRDefault="00EF0E1E" w:rsidP="00F12507">
      <w:pPr>
        <w:pStyle w:val="BodyText"/>
      </w:pPr>
      <w:r>
        <w:t>Most</w:t>
      </w:r>
      <w:r w:rsidR="00EF7086">
        <w:t xml:space="preserve"> </w:t>
      </w:r>
      <w:proofErr w:type="gramStart"/>
      <w:r w:rsidR="00EF7086">
        <w:t>councils</w:t>
      </w:r>
      <w:proofErr w:type="gramEnd"/>
      <w:r w:rsidR="00EF7086">
        <w:t xml:space="preserve"> have caps on their </w:t>
      </w:r>
      <w:r w:rsidR="00495305" w:rsidRPr="00580905">
        <w:t>enforcement budgets</w:t>
      </w:r>
      <w:r w:rsidR="00644DB8" w:rsidRPr="00580905">
        <w:t>,</w:t>
      </w:r>
      <w:r w:rsidR="00495305" w:rsidRPr="00580905">
        <w:t xml:space="preserve"> </w:t>
      </w:r>
      <w:r w:rsidR="00072289" w:rsidRPr="00580905">
        <w:t>which means they have</w:t>
      </w:r>
      <w:r w:rsidR="00495305" w:rsidRPr="00580905">
        <w:t xml:space="preserve"> to </w:t>
      </w:r>
      <w:r w:rsidR="00072289" w:rsidRPr="00580905">
        <w:t xml:space="preserve">choose which </w:t>
      </w:r>
      <w:r w:rsidR="00495305" w:rsidRPr="00580905">
        <w:t>prosecutions they take.</w:t>
      </w:r>
      <w:r w:rsidR="00580905">
        <w:t xml:space="preserve"> </w:t>
      </w:r>
      <w:r w:rsidR="00072289" w:rsidRPr="00580905">
        <w:t xml:space="preserve">Other </w:t>
      </w:r>
      <w:r w:rsidR="00495305" w:rsidRPr="00580905">
        <w:t>councils take a more principled approach</w:t>
      </w:r>
      <w:r w:rsidR="00072289" w:rsidRPr="00580905">
        <w:t>,</w:t>
      </w:r>
      <w:r w:rsidR="00495305" w:rsidRPr="00580905">
        <w:t xml:space="preserve"> taking the prosecution if it is warranted</w:t>
      </w:r>
      <w:r w:rsidR="00644DB8" w:rsidRPr="00580905">
        <w:t>,</w:t>
      </w:r>
      <w:r w:rsidR="00495305" w:rsidRPr="00580905">
        <w:t xml:space="preserve"> regardless of potential costs to council or (partial) cost recovery through fines.</w:t>
      </w:r>
      <w:r w:rsidR="00580905">
        <w:t xml:space="preserve"> </w:t>
      </w:r>
    </w:p>
    <w:p w14:paraId="18BF42DE" w14:textId="3E91DD98" w:rsidR="00491C94" w:rsidRDefault="00072289" w:rsidP="00F12507">
      <w:pPr>
        <w:pStyle w:val="BodyText"/>
      </w:pPr>
      <w:r w:rsidRPr="00580905">
        <w:t xml:space="preserve">In </w:t>
      </w:r>
      <w:r w:rsidR="00D61032" w:rsidRPr="00580905">
        <w:t xml:space="preserve">many cases there are benefits </w:t>
      </w:r>
      <w:r w:rsidR="00B02366" w:rsidRPr="00580905">
        <w:t>from</w:t>
      </w:r>
      <w:r w:rsidR="00D61032" w:rsidRPr="00580905">
        <w:t xml:space="preserve"> the prosecution process beyond the community </w:t>
      </w:r>
      <w:r w:rsidR="00B02366" w:rsidRPr="00580905">
        <w:t>that</w:t>
      </w:r>
      <w:r w:rsidR="00D61032" w:rsidRPr="00580905">
        <w:t xml:space="preserve"> the</w:t>
      </w:r>
      <w:r w:rsidR="00A64191">
        <w:t> </w:t>
      </w:r>
      <w:r w:rsidR="00D61032" w:rsidRPr="00580905">
        <w:t>council is respons</w:t>
      </w:r>
      <w:r w:rsidR="00CF1A06" w:rsidRPr="00580905">
        <w:t>i</w:t>
      </w:r>
      <w:r w:rsidR="00D61032" w:rsidRPr="00580905">
        <w:t>ble f</w:t>
      </w:r>
      <w:r w:rsidR="00183285" w:rsidRPr="00580905">
        <w:t>or, for example</w:t>
      </w:r>
      <w:r w:rsidR="008A7463">
        <w:t>,</w:t>
      </w:r>
      <w:r w:rsidR="00D61032" w:rsidRPr="00580905">
        <w:t xml:space="preserve"> when the prosecuted party is operating in more than one </w:t>
      </w:r>
      <w:r w:rsidR="00E93582" w:rsidRPr="00580905">
        <w:t>jurisdiction</w:t>
      </w:r>
      <w:r w:rsidR="00D61032" w:rsidRPr="00580905">
        <w:t>, or where the breach affects parties beyond the council’s immediate community.</w:t>
      </w:r>
      <w:r w:rsidR="00580905">
        <w:t xml:space="preserve"> </w:t>
      </w:r>
      <w:r w:rsidR="00D61032" w:rsidRPr="00580905">
        <w:t>Deter</w:t>
      </w:r>
      <w:r w:rsidR="00735846" w:rsidRPr="00580905">
        <w:t>r</w:t>
      </w:r>
      <w:r w:rsidR="00D61032" w:rsidRPr="00580905">
        <w:t>en</w:t>
      </w:r>
      <w:r w:rsidR="00B02366" w:rsidRPr="00580905">
        <w:t>t</w:t>
      </w:r>
      <w:r w:rsidR="00D61032" w:rsidRPr="00580905">
        <w:t xml:space="preserve"> effects of a prosecution can also spread more widely than the council’s immediate sphere of i</w:t>
      </w:r>
      <w:r w:rsidR="00735846" w:rsidRPr="00580905">
        <w:t>nfl</w:t>
      </w:r>
      <w:r w:rsidR="00D61032" w:rsidRPr="00580905">
        <w:t xml:space="preserve">uence. </w:t>
      </w:r>
    </w:p>
    <w:p w14:paraId="02BD7D28" w14:textId="587ADB50" w:rsidR="00BD736D" w:rsidRPr="006C482A" w:rsidRDefault="00617397" w:rsidP="006C482A">
      <w:pPr>
        <w:pStyle w:val="BodyText"/>
      </w:pPr>
      <w:r>
        <w:t xml:space="preserve">A number of councils stated that they </w:t>
      </w:r>
      <w:r w:rsidR="00DD63BE">
        <w:t xml:space="preserve">use </w:t>
      </w:r>
      <w:r>
        <w:t>restorative justice</w:t>
      </w:r>
      <w:r w:rsidR="00E05B0D">
        <w:t xml:space="preserve"> as an a</w:t>
      </w:r>
      <w:r w:rsidR="00267BED">
        <w:t>lternative to a full court hearing and court-imposed penalty</w:t>
      </w:r>
      <w:r w:rsidR="00E6035C">
        <w:t xml:space="preserve">. </w:t>
      </w:r>
      <w:r w:rsidR="00BD736D">
        <w:t>Restorative justice</w:t>
      </w:r>
      <w:r w:rsidR="00064C04">
        <w:t xml:space="preserve"> </w:t>
      </w:r>
      <w:r w:rsidR="00BD736D">
        <w:t xml:space="preserve">involves community-based processes which offer a way of dealing with offenders and victims of crime through facilitated meetings. </w:t>
      </w:r>
      <w:r w:rsidR="00E05B0D">
        <w:t xml:space="preserve">The process normally leads to councils recovering costs in full and ensures the offender carries out the necessary remediation works at their own cost. </w:t>
      </w:r>
    </w:p>
    <w:p w14:paraId="145EE66C" w14:textId="210B3F35" w:rsidR="00F67586" w:rsidRPr="00315EEF" w:rsidRDefault="00F67586" w:rsidP="00DD224D">
      <w:pPr>
        <w:pStyle w:val="Heading3"/>
      </w:pPr>
      <w:bookmarkStart w:id="47" w:name="_Toc456343402"/>
      <w:r w:rsidRPr="00315EEF">
        <w:t>Decision-making processes about enforcement actions</w:t>
      </w:r>
      <w:bookmarkEnd w:id="47"/>
      <w:r w:rsidRPr="00315EEF">
        <w:t xml:space="preserve"> </w:t>
      </w:r>
    </w:p>
    <w:p w14:paraId="37357EA6" w14:textId="7CAD3D87" w:rsidR="007B3147" w:rsidRPr="00AF74F8" w:rsidRDefault="009A5C29" w:rsidP="00AF74F8">
      <w:pPr>
        <w:pStyle w:val="Heading4"/>
        <w:rPr>
          <w:i/>
        </w:rPr>
      </w:pPr>
      <w:bookmarkStart w:id="48" w:name="_Toc456343403"/>
      <w:r w:rsidRPr="00AF74F8">
        <w:rPr>
          <w:i/>
        </w:rPr>
        <w:t>Decision-making processes on enforcement decision vary between</w:t>
      </w:r>
      <w:r w:rsidR="00624F17" w:rsidRPr="00AF74F8">
        <w:rPr>
          <w:i/>
        </w:rPr>
        <w:t> </w:t>
      </w:r>
      <w:r w:rsidRPr="00AF74F8">
        <w:rPr>
          <w:i/>
        </w:rPr>
        <w:t>councils</w:t>
      </w:r>
      <w:bookmarkEnd w:id="48"/>
    </w:p>
    <w:p w14:paraId="4D1D595A" w14:textId="3BEEE8EE" w:rsidR="00F61DAB" w:rsidRPr="00580905" w:rsidRDefault="00F07205" w:rsidP="00624F17">
      <w:pPr>
        <w:pStyle w:val="BodyText"/>
      </w:pPr>
      <w:r>
        <w:t>There a</w:t>
      </w:r>
      <w:r w:rsidR="008C46E8" w:rsidRPr="00580905">
        <w:t>re</w:t>
      </w:r>
      <w:r w:rsidR="00D82078" w:rsidRPr="00580905">
        <w:t xml:space="preserve"> significant variation</w:t>
      </w:r>
      <w:r w:rsidR="008C46E8" w:rsidRPr="00580905">
        <w:t>s</w:t>
      </w:r>
      <w:r w:rsidR="00D82078" w:rsidRPr="00580905">
        <w:t xml:space="preserve"> in council decision-ma</w:t>
      </w:r>
      <w:r w:rsidR="005C2F5E" w:rsidRPr="00580905">
        <w:t xml:space="preserve">king about enforcement actions. </w:t>
      </w:r>
      <w:r w:rsidR="0096446B" w:rsidRPr="00580905">
        <w:t>For most</w:t>
      </w:r>
      <w:r w:rsidR="00B326A3" w:rsidRPr="00580905">
        <w:t xml:space="preserve"> </w:t>
      </w:r>
      <w:proofErr w:type="gramStart"/>
      <w:r w:rsidR="00B326A3" w:rsidRPr="00580905">
        <w:t>councils</w:t>
      </w:r>
      <w:proofErr w:type="gramEnd"/>
      <w:r w:rsidR="0096446B" w:rsidRPr="00580905">
        <w:t xml:space="preserve">, </w:t>
      </w:r>
      <w:r w:rsidR="00D04108" w:rsidRPr="00580905">
        <w:t xml:space="preserve">delegation for decision-making on enforcement actions either sits with frontline compliance staff or frontline </w:t>
      </w:r>
      <w:r w:rsidR="005C2F5E" w:rsidRPr="00580905">
        <w:t xml:space="preserve">staff make recommendations </w:t>
      </w:r>
      <w:r w:rsidR="00D04108" w:rsidRPr="00580905">
        <w:t>to more senior staff or a panel of senior staff, who make the final decision</w:t>
      </w:r>
      <w:r w:rsidR="00E21EE4">
        <w:t xml:space="preserve"> based upon agreed council policy</w:t>
      </w:r>
      <w:r w:rsidR="00D04108" w:rsidRPr="00580905">
        <w:t>.</w:t>
      </w:r>
      <w:r w:rsidR="00B326A3" w:rsidRPr="00580905">
        <w:t xml:space="preserve"> </w:t>
      </w:r>
      <w:r w:rsidR="00F61DAB" w:rsidRPr="00580905">
        <w:t xml:space="preserve">Some </w:t>
      </w:r>
      <w:proofErr w:type="gramStart"/>
      <w:r w:rsidR="00F61DAB" w:rsidRPr="00580905">
        <w:t>councils</w:t>
      </w:r>
      <w:proofErr w:type="gramEnd"/>
      <w:r w:rsidR="00F61DAB" w:rsidRPr="00580905">
        <w:t xml:space="preserve"> have mechanisms set up for an independent legal </w:t>
      </w:r>
      <w:r w:rsidR="00B326A3" w:rsidRPr="00580905">
        <w:t xml:space="preserve">(either in-house or external) </w:t>
      </w:r>
      <w:r w:rsidR="00F61DAB" w:rsidRPr="00580905">
        <w:t>review of decisions to issue/apply for abatement notices, infringement notices, enforcement actions and prosecutions.</w:t>
      </w:r>
    </w:p>
    <w:p w14:paraId="02A5FDA9" w14:textId="50152997" w:rsidR="004474E8" w:rsidRPr="00580905" w:rsidRDefault="00B34BC8" w:rsidP="00624F17">
      <w:pPr>
        <w:pStyle w:val="BodyText"/>
      </w:pPr>
      <w:r w:rsidRPr="00580905">
        <w:t>F</w:t>
      </w:r>
      <w:r w:rsidR="0044773C" w:rsidRPr="00580905">
        <w:t>or some territorial authorities,</w:t>
      </w:r>
      <w:r w:rsidR="00A82F1B" w:rsidRPr="00580905">
        <w:t xml:space="preserve"> </w:t>
      </w:r>
      <w:r w:rsidRPr="00580905">
        <w:t xml:space="preserve">however, </w:t>
      </w:r>
      <w:r w:rsidR="0044773C" w:rsidRPr="00580905">
        <w:t xml:space="preserve">decisions about whether to take an enforcement action are made </w:t>
      </w:r>
      <w:r w:rsidR="003B6014" w:rsidRPr="00580905">
        <w:t xml:space="preserve">by </w:t>
      </w:r>
      <w:r w:rsidR="00A82F1B" w:rsidRPr="00580905">
        <w:t>councillor</w:t>
      </w:r>
      <w:r w:rsidR="0044773C" w:rsidRPr="00580905">
        <w:t>s</w:t>
      </w:r>
      <w:r w:rsidR="00A82F1B" w:rsidRPr="00580905">
        <w:t>, despite the existence of guidelines condemn</w:t>
      </w:r>
      <w:r w:rsidR="00D6296E" w:rsidRPr="00580905">
        <w:t>ing such practice</w:t>
      </w:r>
      <w:r w:rsidR="000423D8" w:rsidRPr="00580905">
        <w:t xml:space="preserve"> (explained below).</w:t>
      </w:r>
      <w:r w:rsidR="00453A70" w:rsidRPr="00580905">
        <w:t xml:space="preserve"> While it is appropriate for councillors to be involved in decision-making about </w:t>
      </w:r>
      <w:r w:rsidR="00E21EE4">
        <w:t xml:space="preserve">compliance policy or </w:t>
      </w:r>
      <w:r w:rsidR="00453A70" w:rsidRPr="00580905">
        <w:t xml:space="preserve">operation expenditure for CME activities, involvement in day-to-day decisions on enforcement actions carries significant risk of </w:t>
      </w:r>
      <w:r w:rsidR="00E21EE4">
        <w:t xml:space="preserve">the perception of politicised </w:t>
      </w:r>
      <w:r w:rsidR="00B31575">
        <w:t xml:space="preserve">compliance or </w:t>
      </w:r>
      <w:r w:rsidR="00453A70" w:rsidRPr="00580905">
        <w:t>decisions being skewed in favour of certain groups/individuals.</w:t>
      </w:r>
    </w:p>
    <w:tbl>
      <w:tblPr>
        <w:tblW w:w="8505" w:type="dxa"/>
        <w:tblInd w:w="113" w:type="dxa"/>
        <w:tblBorders>
          <w:top w:val="single" w:sz="4" w:space="0" w:color="C5C19D"/>
          <w:left w:val="single" w:sz="4" w:space="0" w:color="C5C19D"/>
          <w:bottom w:val="single" w:sz="4" w:space="0" w:color="C5C19D"/>
          <w:right w:val="single" w:sz="4" w:space="0" w:color="C5C19D"/>
        </w:tblBorders>
        <w:shd w:val="clear" w:color="auto" w:fill="C5C19D"/>
        <w:tblLook w:val="00A0" w:firstRow="1" w:lastRow="0" w:firstColumn="1" w:lastColumn="0" w:noHBand="0" w:noVBand="0"/>
      </w:tblPr>
      <w:tblGrid>
        <w:gridCol w:w="8505"/>
      </w:tblGrid>
      <w:tr w:rsidR="007E3472" w:rsidRPr="00580905" w14:paraId="3A71D343" w14:textId="77777777" w:rsidTr="00A64448">
        <w:tc>
          <w:tcPr>
            <w:tcW w:w="8505" w:type="dxa"/>
            <w:shd w:val="clear" w:color="auto" w:fill="C5C19D"/>
          </w:tcPr>
          <w:p w14:paraId="6256179A" w14:textId="0AE28BAB" w:rsidR="007E3472" w:rsidRPr="00580905" w:rsidRDefault="007E3472" w:rsidP="00157F7C">
            <w:pPr>
              <w:pStyle w:val="Greenheading-tables"/>
              <w:spacing w:before="280"/>
            </w:pPr>
            <w:r w:rsidRPr="00580905">
              <w:t>The need for independence decision-making on enforcement actions</w:t>
            </w:r>
          </w:p>
          <w:p w14:paraId="20CE3CB7" w14:textId="3851D353" w:rsidR="007E3472" w:rsidRPr="00580905" w:rsidRDefault="007E3472" w:rsidP="00176E6E">
            <w:pPr>
              <w:pStyle w:val="Greentext-tables"/>
              <w:spacing w:after="0"/>
            </w:pPr>
            <w:r w:rsidRPr="00580905">
              <w:t>The 2013 Solicitor General Prosecution Guidelines stress the need for independence in taking prosecution</w:t>
            </w:r>
            <w:r w:rsidR="006829F8">
              <w:t>s</w:t>
            </w:r>
            <w:r w:rsidRPr="00580905">
              <w:t>:</w:t>
            </w:r>
            <w:r w:rsidR="00415ED8" w:rsidRPr="00580905">
              <w:rPr>
                <w:rStyle w:val="FootnoteReference"/>
              </w:rPr>
              <w:footnoteReference w:id="36"/>
            </w:r>
          </w:p>
          <w:p w14:paraId="22FC03EF" w14:textId="77777777" w:rsidR="007E3472" w:rsidRPr="00580905" w:rsidRDefault="007E3472" w:rsidP="00176E6E">
            <w:pPr>
              <w:pStyle w:val="Greentext-tables"/>
              <w:ind w:left="567" w:right="567"/>
              <w:rPr>
                <w:i/>
              </w:rPr>
            </w:pPr>
            <w:r w:rsidRPr="00580905">
              <w:rPr>
                <w:i/>
              </w:rPr>
              <w:t>In practice in New Zealand, the independence of the prosecutor refers to freedom from undue or improper pressure from any source, political or otherwise. All government agencies should ensure the necessary processes are in place to protect the independence of the initial prosecution decision.</w:t>
            </w:r>
          </w:p>
          <w:p w14:paraId="392FBE4B" w14:textId="2AED8E1D" w:rsidR="007E3472" w:rsidRPr="00580905" w:rsidRDefault="007E3472" w:rsidP="007E3472">
            <w:pPr>
              <w:pStyle w:val="Greentext-tables"/>
            </w:pPr>
            <w:r w:rsidRPr="00580905">
              <w:t>In an earlier report</w:t>
            </w:r>
            <w:r w:rsidR="00415ED8" w:rsidRPr="00580905">
              <w:rPr>
                <w:rStyle w:val="FootnoteReference"/>
              </w:rPr>
              <w:footnoteReference w:id="37"/>
            </w:r>
            <w:r w:rsidR="00580905">
              <w:t xml:space="preserve"> </w:t>
            </w:r>
            <w:r w:rsidRPr="00580905">
              <w:t>on freshwater management, the Auditor-General also recommended councils review their delegations and procedures for prosecuting to</w:t>
            </w:r>
            <w:r w:rsidR="008E439F">
              <w:t> </w:t>
            </w:r>
            <w:r w:rsidRPr="00580905">
              <w:t>ensure that any decision about prosecution is free from actual or perceived political bias.</w:t>
            </w:r>
          </w:p>
          <w:p w14:paraId="1BD44BEF" w14:textId="77A40E3F" w:rsidR="007E3472" w:rsidRPr="00580905" w:rsidRDefault="007E3472" w:rsidP="00157F7C">
            <w:pPr>
              <w:pStyle w:val="Greentext-tables"/>
              <w:spacing w:after="240"/>
            </w:pPr>
            <w:r w:rsidRPr="00580905">
              <w:t>Not all councils have amended their procedures to be consistent with these directions.</w:t>
            </w:r>
          </w:p>
        </w:tc>
      </w:tr>
    </w:tbl>
    <w:p w14:paraId="025B126F" w14:textId="1A2CAA6B" w:rsidR="00BF7CFE" w:rsidRPr="00F810A5" w:rsidRDefault="00707B5C" w:rsidP="00F810A5">
      <w:pPr>
        <w:pStyle w:val="Heading4"/>
        <w:rPr>
          <w:i/>
        </w:rPr>
      </w:pPr>
      <w:bookmarkStart w:id="49" w:name="_Toc456343404"/>
      <w:r w:rsidRPr="00F810A5">
        <w:rPr>
          <w:i/>
        </w:rPr>
        <w:t xml:space="preserve">There is </w:t>
      </w:r>
      <w:r w:rsidR="00BF7CFE" w:rsidRPr="00F810A5">
        <w:rPr>
          <w:i/>
        </w:rPr>
        <w:t>political influence in the enforcement</w:t>
      </w:r>
      <w:r w:rsidR="00157F7C" w:rsidRPr="00F810A5">
        <w:rPr>
          <w:i/>
        </w:rPr>
        <w:t> </w:t>
      </w:r>
      <w:r w:rsidR="00BF7CFE" w:rsidRPr="00F810A5">
        <w:rPr>
          <w:i/>
        </w:rPr>
        <w:t>processes</w:t>
      </w:r>
      <w:bookmarkEnd w:id="49"/>
      <w:r w:rsidRPr="00F810A5">
        <w:rPr>
          <w:i/>
        </w:rPr>
        <w:t xml:space="preserve"> in some councils</w:t>
      </w:r>
    </w:p>
    <w:p w14:paraId="7ADEE9B0" w14:textId="14A10565" w:rsidR="00BF7CFE" w:rsidRPr="00580905" w:rsidRDefault="00BF7CFE" w:rsidP="00157F7C">
      <w:pPr>
        <w:pStyle w:val="BodyText"/>
      </w:pPr>
      <w:r w:rsidRPr="00580905">
        <w:t>The importance of independence of political influence in day-to-day CME activities was recognised by mos</w:t>
      </w:r>
      <w:r w:rsidR="006B00BA" w:rsidRPr="00580905">
        <w:t>t council</w:t>
      </w:r>
      <w:r w:rsidR="00F42B0E" w:rsidRPr="00580905">
        <w:t xml:space="preserve"> </w:t>
      </w:r>
      <w:r w:rsidR="00EF0E1E">
        <w:t xml:space="preserve">representatives </w:t>
      </w:r>
      <w:r w:rsidR="00F42B0E" w:rsidRPr="00580905">
        <w:t xml:space="preserve">spoken to. Despite this, </w:t>
      </w:r>
      <w:r w:rsidRPr="00580905">
        <w:t>political involvement</w:t>
      </w:r>
      <w:r w:rsidR="005B3235" w:rsidRPr="00580905">
        <w:t xml:space="preserve"> seems to</w:t>
      </w:r>
      <w:r w:rsidR="00A64191">
        <w:t> </w:t>
      </w:r>
      <w:r w:rsidR="005B3235" w:rsidRPr="00580905">
        <w:t>be an issue for some</w:t>
      </w:r>
      <w:r w:rsidR="009E58B7" w:rsidRPr="00580905">
        <w:t xml:space="preserve"> </w:t>
      </w:r>
      <w:proofErr w:type="gramStart"/>
      <w:r w:rsidR="005B3235" w:rsidRPr="00580905">
        <w:t>councils</w:t>
      </w:r>
      <w:proofErr w:type="gramEnd"/>
      <w:r w:rsidR="005B3235" w:rsidRPr="00580905">
        <w:t>.</w:t>
      </w:r>
    </w:p>
    <w:p w14:paraId="2425758A" w14:textId="62C6BDBF" w:rsidR="006C035E" w:rsidRPr="00580905" w:rsidRDefault="00ED5FBC" w:rsidP="00157F7C">
      <w:pPr>
        <w:pStyle w:val="BodyText"/>
      </w:pPr>
      <w:r w:rsidRPr="00580905">
        <w:t xml:space="preserve">While most regional councils and unitary authorities </w:t>
      </w:r>
      <w:r w:rsidR="006D22FE" w:rsidRPr="00580905">
        <w:t xml:space="preserve">appear to </w:t>
      </w:r>
      <w:r w:rsidRPr="00580905">
        <w:t xml:space="preserve">have </w:t>
      </w:r>
      <w:r w:rsidR="003A6790" w:rsidRPr="00580905">
        <w:t>good written policies</w:t>
      </w:r>
      <w:r w:rsidR="009D0CAE" w:rsidRPr="00580905">
        <w:t xml:space="preserve"> and</w:t>
      </w:r>
      <w:r w:rsidR="00A64191">
        <w:t> </w:t>
      </w:r>
      <w:r w:rsidRPr="00580905">
        <w:t>processes</w:t>
      </w:r>
      <w:r w:rsidR="00384987" w:rsidRPr="00580905">
        <w:t xml:space="preserve"> </w:t>
      </w:r>
      <w:r w:rsidR="003E0D38" w:rsidRPr="00580905">
        <w:t>that</w:t>
      </w:r>
      <w:r w:rsidR="00384987" w:rsidRPr="00580905">
        <w:t xml:space="preserve"> are free </w:t>
      </w:r>
      <w:r w:rsidR="003E0D38" w:rsidRPr="00580905">
        <w:t>of</w:t>
      </w:r>
      <w:r w:rsidR="00384987" w:rsidRPr="00580905">
        <w:t xml:space="preserve"> political i</w:t>
      </w:r>
      <w:r w:rsidR="00CC1145" w:rsidRPr="00580905">
        <w:t>nput</w:t>
      </w:r>
      <w:r w:rsidRPr="00580905">
        <w:t xml:space="preserve">, the procedures in </w:t>
      </w:r>
      <w:r w:rsidR="00384987" w:rsidRPr="00580905">
        <w:t xml:space="preserve">some councils (particularly territorial authorities) have not been amended in accordance with the </w:t>
      </w:r>
      <w:r w:rsidR="00407F38" w:rsidRPr="00580905">
        <w:t xml:space="preserve">Auditor-General’s recommendations. </w:t>
      </w:r>
    </w:p>
    <w:p w14:paraId="5324A54E" w14:textId="57A8E460" w:rsidR="003728D1" w:rsidRPr="00580905" w:rsidRDefault="004360CF" w:rsidP="00157F7C">
      <w:pPr>
        <w:pStyle w:val="BodyText"/>
      </w:pPr>
      <w:r w:rsidRPr="00580905">
        <w:t>A number of council representatives gave examples</w:t>
      </w:r>
      <w:r w:rsidR="006C035E" w:rsidRPr="00580905">
        <w:t xml:space="preserve"> </w:t>
      </w:r>
      <w:r w:rsidR="0026502F" w:rsidRPr="00580905">
        <w:t xml:space="preserve">of </w:t>
      </w:r>
      <w:r w:rsidR="0057551C">
        <w:t xml:space="preserve">what they saw to be </w:t>
      </w:r>
      <w:r w:rsidR="0026502F" w:rsidRPr="00580905">
        <w:t xml:space="preserve">incidences of political interference with enforcement decision-making. </w:t>
      </w:r>
      <w:r w:rsidR="00C558AF">
        <w:t>For several council staff members</w:t>
      </w:r>
      <w:r w:rsidR="00C558AF" w:rsidRPr="00580905">
        <w:t xml:space="preserve"> spoken to, incidences of councillors placing pressure on enforcement staff when deciding how to respond to non-compliance were common.</w:t>
      </w:r>
      <w:r w:rsidR="00C558AF">
        <w:t xml:space="preserve"> </w:t>
      </w:r>
      <w:r w:rsidR="008E2F12" w:rsidRPr="00580905">
        <w:t xml:space="preserve">Some </w:t>
      </w:r>
      <w:proofErr w:type="gramStart"/>
      <w:r w:rsidR="008E2F12" w:rsidRPr="00580905">
        <w:t>councils</w:t>
      </w:r>
      <w:proofErr w:type="gramEnd"/>
      <w:r w:rsidR="008E2F12" w:rsidRPr="00580905">
        <w:t xml:space="preserve"> reported incidences of direct involvement of councillors in investigations and enforcement decisions. For example, in one council</w:t>
      </w:r>
      <w:r w:rsidR="00CE3284" w:rsidRPr="00580905">
        <w:t>,</w:t>
      </w:r>
      <w:r w:rsidR="008E2F12" w:rsidRPr="00580905">
        <w:t xml:space="preserve"> </w:t>
      </w:r>
      <w:r w:rsidR="00673466" w:rsidRPr="00580905">
        <w:t xml:space="preserve">decisions on enforcement actions </w:t>
      </w:r>
      <w:r w:rsidR="00750573" w:rsidRPr="00580905">
        <w:t>are</w:t>
      </w:r>
      <w:r w:rsidR="00673466" w:rsidRPr="00580905">
        <w:t xml:space="preserve"> made by councillors themselves, on advice from enforcement staff.</w:t>
      </w:r>
      <w:r w:rsidR="00750573" w:rsidRPr="00580905">
        <w:t xml:space="preserve"> </w:t>
      </w:r>
      <w:r w:rsidR="00D94414" w:rsidRPr="00580905">
        <w:t>These councils explained that the councillors were involved in decision-making due the significant costs involved with prosecuting. M</w:t>
      </w:r>
      <w:r w:rsidR="003728D1" w:rsidRPr="00580905">
        <w:t>any staff commented that</w:t>
      </w:r>
      <w:r w:rsidR="007F5B9E" w:rsidRPr="00580905">
        <w:t xml:space="preserve"> councillors</w:t>
      </w:r>
      <w:r w:rsidR="00C467D4" w:rsidRPr="00580905">
        <w:t xml:space="preserve"> </w:t>
      </w:r>
      <w:r w:rsidR="003728D1" w:rsidRPr="00580905">
        <w:t xml:space="preserve">were </w:t>
      </w:r>
      <w:r w:rsidR="00C476E9" w:rsidRPr="00580905">
        <w:t xml:space="preserve">often </w:t>
      </w:r>
      <w:r w:rsidR="003728D1" w:rsidRPr="00580905">
        <w:t xml:space="preserve">reluctant to take prosecutions due to </w:t>
      </w:r>
      <w:r w:rsidR="0079350B" w:rsidRPr="00580905">
        <w:t xml:space="preserve">the costs involved and </w:t>
      </w:r>
      <w:r w:rsidR="00C476E9" w:rsidRPr="00580905">
        <w:t>a reluctance to prosecute their constituents</w:t>
      </w:r>
      <w:r w:rsidR="003728D1" w:rsidRPr="00580905">
        <w:t xml:space="preserve">. </w:t>
      </w:r>
    </w:p>
    <w:p w14:paraId="3EAD710D" w14:textId="054E11EB" w:rsidR="00AE28CE" w:rsidRPr="00580905" w:rsidRDefault="00AE28CE" w:rsidP="00157F7C">
      <w:pPr>
        <w:pStyle w:val="BodyText"/>
      </w:pPr>
      <w:r w:rsidRPr="00580905">
        <w:t xml:space="preserve">In one regional council, councillors have significantly influenced the council’s CME procedures. In this council, some councillors have stated that they stood for council to amend the council’s enforcement practices upon election/re-election. </w:t>
      </w:r>
    </w:p>
    <w:p w14:paraId="1ED6C389" w14:textId="627D95C1" w:rsidR="00AE28CE" w:rsidRPr="00580905" w:rsidRDefault="00AE28CE" w:rsidP="00157F7C">
      <w:pPr>
        <w:pStyle w:val="BodyText"/>
      </w:pPr>
      <w:r w:rsidRPr="00580905">
        <w:t>As a result of the political pressure, inspection practices in this council have c</w:t>
      </w:r>
      <w:r w:rsidR="00157F7C" w:rsidRPr="00580905">
        <w:t>hanged –</w:t>
      </w:r>
      <w:r w:rsidRPr="00580905">
        <w:t xml:space="preserve"> the council is no long</w:t>
      </w:r>
      <w:r w:rsidR="00157F7C" w:rsidRPr="00580905">
        <w:t>er able to use certain modes of</w:t>
      </w:r>
      <w:r w:rsidRPr="00580905">
        <w:t xml:space="preserve"> monitoring and the </w:t>
      </w:r>
      <w:proofErr w:type="gramStart"/>
      <w:r w:rsidRPr="00580905">
        <w:t>staff are</w:t>
      </w:r>
      <w:proofErr w:type="gramEnd"/>
      <w:r w:rsidRPr="00580905">
        <w:t xml:space="preserve"> required to give prior</w:t>
      </w:r>
      <w:r w:rsidR="003C3797" w:rsidRPr="00580905">
        <w:t xml:space="preserve"> </w:t>
      </w:r>
      <w:r w:rsidRPr="00580905">
        <w:t>warning before inspecting sites. Unannounced inspection visits are now only authorised under specific circumstances</w:t>
      </w:r>
      <w:r w:rsidR="003C3797" w:rsidRPr="00580905">
        <w:t>,</w:t>
      </w:r>
      <w:r w:rsidRPr="00580905">
        <w:t xml:space="preserve"> such as when there have been complaints about a specific property, contact information is unknown</w:t>
      </w:r>
      <w:r w:rsidR="003C3797" w:rsidRPr="00580905">
        <w:t>,</w:t>
      </w:r>
      <w:r w:rsidRPr="00580905">
        <w:t xml:space="preserve"> or access cannot be reasonably negotiated with the farmer. Staff at this council stated that data on incidences of non-compliance can no longer be confidently confirmed as accurate as a result of the change in approach to monitoring</w:t>
      </w:r>
      <w:r w:rsidR="003C3797" w:rsidRPr="00580905">
        <w:t>,</w:t>
      </w:r>
      <w:r w:rsidRPr="00580905">
        <w:t xml:space="preserve"> and have the potential to mislead the community. </w:t>
      </w:r>
    </w:p>
    <w:p w14:paraId="2F8B8349" w14:textId="5F44BDCE" w:rsidR="00BF7CFE" w:rsidRPr="00580905" w:rsidRDefault="00BF7CFE" w:rsidP="00157F7C">
      <w:pPr>
        <w:pStyle w:val="BodyText"/>
      </w:pPr>
      <w:r w:rsidRPr="00580905">
        <w:t xml:space="preserve">One council has taken formal steps to ensure that there is no direct political influence over operational compliance issues. </w:t>
      </w:r>
      <w:r w:rsidR="00A94071" w:rsidRPr="00580905">
        <w:t xml:space="preserve">Compliance </w:t>
      </w:r>
      <w:proofErr w:type="gramStart"/>
      <w:r w:rsidR="00A94071" w:rsidRPr="00580905">
        <w:t>staff communicate</w:t>
      </w:r>
      <w:proofErr w:type="gramEnd"/>
      <w:r w:rsidR="00A94071" w:rsidRPr="00580905">
        <w:t xml:space="preserve"> with councillors on CME through an intermediary, and</w:t>
      </w:r>
      <w:r w:rsidRPr="00580905">
        <w:t xml:space="preserve"> staff are not permitted to talk directly to </w:t>
      </w:r>
      <w:r w:rsidR="00A94071" w:rsidRPr="00580905">
        <w:t>councillors</w:t>
      </w:r>
      <w:r w:rsidR="00654CEF" w:rsidRPr="00580905">
        <w:t>. This</w:t>
      </w:r>
      <w:r w:rsidRPr="00580905">
        <w:t xml:space="preserve"> </w:t>
      </w:r>
      <w:r w:rsidR="00654CEF" w:rsidRPr="00580905">
        <w:t xml:space="preserve">reduces the risk of </w:t>
      </w:r>
      <w:r w:rsidRPr="00580905">
        <w:t xml:space="preserve">direct political influence. </w:t>
      </w:r>
    </w:p>
    <w:p w14:paraId="1F395820" w14:textId="4206D2D4" w:rsidR="00BA5608" w:rsidRDefault="00BA5608" w:rsidP="009E58B7">
      <w:pPr>
        <w:pStyle w:val="BodyText"/>
      </w:pPr>
      <w:r w:rsidRPr="00580905">
        <w:t xml:space="preserve">The Environmental Defence Society </w:t>
      </w:r>
      <w:r w:rsidR="006D2DFB">
        <w:t>expressed</w:t>
      </w:r>
      <w:r w:rsidRPr="00580905">
        <w:t xml:space="preserve"> concern about the level of councillor involvement in enforcement approaches and decision-making</w:t>
      </w:r>
      <w:r w:rsidR="00FA2134">
        <w:t>.</w:t>
      </w:r>
      <w:r w:rsidRPr="00580905">
        <w:t xml:space="preserve"> </w:t>
      </w:r>
      <w:r w:rsidR="006B00BA" w:rsidRPr="00580905">
        <w:t xml:space="preserve">The Society </w:t>
      </w:r>
      <w:r w:rsidR="001F68D7" w:rsidRPr="00580905">
        <w:t xml:space="preserve">states </w:t>
      </w:r>
      <w:r w:rsidRPr="00580905">
        <w:t xml:space="preserve">that dominant interests </w:t>
      </w:r>
      <w:r w:rsidR="001F68D7" w:rsidRPr="00580905">
        <w:t xml:space="preserve">often </w:t>
      </w:r>
      <w:r w:rsidRPr="00580905">
        <w:t>influence focus areas fo</w:t>
      </w:r>
      <w:r w:rsidR="001F68D7" w:rsidRPr="00580905">
        <w:t>r council CME functions. They believe that</w:t>
      </w:r>
      <w:r w:rsidRPr="00580905">
        <w:t xml:space="preserve"> this is inappropriate. </w:t>
      </w:r>
    </w:p>
    <w:p w14:paraId="7D5C8A6A" w14:textId="52693C75" w:rsidR="00C558AF" w:rsidRPr="00580905" w:rsidRDefault="00C558AF" w:rsidP="009E58B7">
      <w:pPr>
        <w:pStyle w:val="BodyText"/>
      </w:pPr>
      <w:r w:rsidRPr="00580905">
        <w:t>A number of councils reported that they will inform councillors about proposed decisions to prosecute as a form of courtesy. The councillors will ask questions about the decisions, but not directly influence this decision.</w:t>
      </w:r>
      <w:r>
        <w:t xml:space="preserve"> </w:t>
      </w:r>
    </w:p>
    <w:p w14:paraId="68E96072" w14:textId="66504C9E" w:rsidR="004160F3" w:rsidRPr="00F810A5" w:rsidRDefault="004160F3" w:rsidP="00F810A5">
      <w:pPr>
        <w:pStyle w:val="Heading4"/>
        <w:rPr>
          <w:i/>
        </w:rPr>
      </w:pPr>
      <w:bookmarkStart w:id="50" w:name="_Toc456343405"/>
      <w:r w:rsidRPr="00F810A5">
        <w:rPr>
          <w:i/>
        </w:rPr>
        <w:t>Close community links affect the independence of enforcement officers</w:t>
      </w:r>
      <w:r w:rsidR="00157F7C" w:rsidRPr="00F810A5">
        <w:rPr>
          <w:i/>
        </w:rPr>
        <w:t> </w:t>
      </w:r>
      <w:r w:rsidRPr="00F810A5">
        <w:rPr>
          <w:i/>
        </w:rPr>
        <w:t>in small councils</w:t>
      </w:r>
      <w:bookmarkEnd w:id="50"/>
    </w:p>
    <w:p w14:paraId="5C25DE63" w14:textId="5270574B" w:rsidR="004160F3" w:rsidRPr="00580905" w:rsidRDefault="004160F3" w:rsidP="00157F7C">
      <w:pPr>
        <w:pStyle w:val="BodyText"/>
      </w:pPr>
      <w:r w:rsidRPr="00580905">
        <w:t xml:space="preserve">CME </w:t>
      </w:r>
      <w:proofErr w:type="gramStart"/>
      <w:r w:rsidRPr="00580905">
        <w:t>staff</w:t>
      </w:r>
      <w:proofErr w:type="gramEnd"/>
      <w:r w:rsidRPr="00580905">
        <w:t xml:space="preserve"> in small councils (most of which are territorial authorities) are normally closely connected to their communities and often know the people responsible for RMA non-compliance. This affects the independence of council staff as there may be pressure to take a more informal approach to CME and give more favourable treatment to familiar people.</w:t>
      </w:r>
      <w:r w:rsidR="00DB3154" w:rsidRPr="00580905">
        <w:t xml:space="preserve"> One </w:t>
      </w:r>
      <w:r w:rsidR="007F534E" w:rsidRPr="00580905">
        <w:t xml:space="preserve">representative </w:t>
      </w:r>
      <w:r w:rsidR="00DB3154" w:rsidRPr="00580905">
        <w:t>said: “</w:t>
      </w:r>
      <w:r w:rsidR="007F534E" w:rsidRPr="00580905">
        <w:t>y</w:t>
      </w:r>
      <w:r w:rsidR="00DB3154" w:rsidRPr="00580905">
        <w:t xml:space="preserve">ou will run into people who are breaking rules in the supermarket, pub, or </w:t>
      </w:r>
      <w:proofErr w:type="spellStart"/>
      <w:r w:rsidR="00DB3154" w:rsidRPr="00580905">
        <w:t>sportsfield</w:t>
      </w:r>
      <w:proofErr w:type="spellEnd"/>
      <w:r w:rsidR="00DB3154" w:rsidRPr="00580905">
        <w:t xml:space="preserve"> and you are aware of your community relations with them.” </w:t>
      </w:r>
    </w:p>
    <w:p w14:paraId="0D4B386F" w14:textId="29C9EA2C" w:rsidR="003C73E0" w:rsidRPr="00580905" w:rsidRDefault="00FC7991" w:rsidP="00157F7C">
      <w:pPr>
        <w:pStyle w:val="BodyText"/>
      </w:pPr>
      <w:r w:rsidRPr="00580905">
        <w:t>One territorial authority representative stated that her council’s key priori</w:t>
      </w:r>
      <w:r w:rsidR="003C73E0" w:rsidRPr="00580905">
        <w:t>ty was supporting the community</w:t>
      </w:r>
      <w:r w:rsidRPr="00580905">
        <w:t>. If non-compliance is detected, this council works with the community to resolve issues.</w:t>
      </w:r>
      <w:r w:rsidR="00A976DF">
        <w:t xml:space="preserve"> The staff member spoken to thought that this is the most effective way of achieving compliance.</w:t>
      </w:r>
      <w:r w:rsidRPr="00580905">
        <w:t xml:space="preserve"> This council has never issued infringement notices, or taken a prosecution. </w:t>
      </w:r>
    </w:p>
    <w:p w14:paraId="47F9F27B" w14:textId="72070A7A" w:rsidR="00FC7991" w:rsidRPr="00580905" w:rsidRDefault="00FC7991" w:rsidP="00157F7C">
      <w:pPr>
        <w:pStyle w:val="BodyText"/>
      </w:pPr>
      <w:r w:rsidRPr="00580905">
        <w:t xml:space="preserve">Another </w:t>
      </w:r>
      <w:r w:rsidR="006C482A">
        <w:t>council representative</w:t>
      </w:r>
      <w:r w:rsidRPr="00580905">
        <w:t xml:space="preserve"> said that enforcement doesn’t sit well with councillors and their aspirations to have a helpful, positive council culture. </w:t>
      </w:r>
      <w:r w:rsidR="00443DC6">
        <w:t>Som</w:t>
      </w:r>
      <w:r w:rsidR="00F17A55" w:rsidRPr="00580905">
        <w:t xml:space="preserve">e councillors don’t seem to understand the importance of CME activities in ensuring that policies and rules are being adhered to. </w:t>
      </w:r>
      <w:r w:rsidR="00DB3154" w:rsidRPr="00580905">
        <w:t>This can result in c</w:t>
      </w:r>
      <w:r w:rsidRPr="00580905">
        <w:t xml:space="preserve">ouncillors </w:t>
      </w:r>
      <w:r w:rsidR="00DB3154" w:rsidRPr="00580905">
        <w:t xml:space="preserve">giving insufficient </w:t>
      </w:r>
      <w:r w:rsidRPr="00580905">
        <w:t xml:space="preserve">funding to CME activities. </w:t>
      </w:r>
    </w:p>
    <w:p w14:paraId="13C3A842" w14:textId="64D5657F" w:rsidR="007614D4" w:rsidRPr="00580905" w:rsidRDefault="004160F3" w:rsidP="00157F7C">
      <w:pPr>
        <w:pStyle w:val="BodyText"/>
      </w:pPr>
      <w:r w:rsidRPr="00580905">
        <w:t>There can be tension between wider compliance (</w:t>
      </w:r>
      <w:proofErr w:type="spellStart"/>
      <w:r w:rsidRPr="00580905">
        <w:t>eg</w:t>
      </w:r>
      <w:proofErr w:type="spellEnd"/>
      <w:r w:rsidR="00C51524" w:rsidRPr="00580905">
        <w:t>,</w:t>
      </w:r>
      <w:r w:rsidRPr="00580905">
        <w:t xml:space="preserve"> through education and advocacy activities) and enforcement roles. Many council </w:t>
      </w:r>
      <w:r w:rsidR="00EF0E1E">
        <w:t xml:space="preserve">representatives </w:t>
      </w:r>
      <w:r w:rsidRPr="00580905">
        <w:t xml:space="preserve">agreed that both roles are necessary, but the emphasis of approaches varies across the country and some council </w:t>
      </w:r>
      <w:r w:rsidR="00EF0E1E">
        <w:t xml:space="preserve">staff </w:t>
      </w:r>
      <w:r w:rsidRPr="00580905">
        <w:t>believed that it is difficult for the same staff members to carry out both roles.</w:t>
      </w:r>
      <w:r w:rsidR="00580905">
        <w:t xml:space="preserve"> </w:t>
      </w:r>
    </w:p>
    <w:p w14:paraId="706F5B47" w14:textId="4738739D" w:rsidR="004160F3" w:rsidRPr="00580905" w:rsidRDefault="003A5A48" w:rsidP="00157F7C">
      <w:pPr>
        <w:pStyle w:val="BodyText"/>
      </w:pPr>
      <w:r>
        <w:t>However, o</w:t>
      </w:r>
      <w:r w:rsidR="007F534E" w:rsidRPr="00580905">
        <w:t xml:space="preserve">ther councils </w:t>
      </w:r>
      <w:r w:rsidR="004160F3" w:rsidRPr="00580905">
        <w:t>said that community relations do not affect the approach of enforcement officers</w:t>
      </w:r>
      <w:r w:rsidR="0050678C" w:rsidRPr="00580905">
        <w:t xml:space="preserve">, and council </w:t>
      </w:r>
      <w:proofErr w:type="gramStart"/>
      <w:r w:rsidR="0050678C" w:rsidRPr="00580905">
        <w:t>staff understand</w:t>
      </w:r>
      <w:proofErr w:type="gramEnd"/>
      <w:r w:rsidR="0050678C" w:rsidRPr="00580905">
        <w:t xml:space="preserve"> the importance of acting independently</w:t>
      </w:r>
      <w:r w:rsidR="007F534E" w:rsidRPr="00580905">
        <w:t>. One territorial authority</w:t>
      </w:r>
      <w:r w:rsidR="004F7553" w:rsidRPr="00580905">
        <w:t xml:space="preserve"> representative stated </w:t>
      </w:r>
      <w:r w:rsidR="004160F3" w:rsidRPr="00580905">
        <w:t xml:space="preserve">“many of our compliance staff </w:t>
      </w:r>
      <w:proofErr w:type="gramStart"/>
      <w:r w:rsidR="004160F3" w:rsidRPr="00580905">
        <w:t>are</w:t>
      </w:r>
      <w:proofErr w:type="gramEnd"/>
      <w:r w:rsidR="004160F3" w:rsidRPr="00580905">
        <w:t xml:space="preserve"> former Police officers, and they know how to separate the personal from t</w:t>
      </w:r>
      <w:r w:rsidR="0098246E" w:rsidRPr="00580905">
        <w:t xml:space="preserve">he professional in their work.” Another council emphasised the importance of ‘depersonalising’ compliance approaches, for example by emphasising that </w:t>
      </w:r>
      <w:r w:rsidR="004F7553" w:rsidRPr="00580905">
        <w:t>the council is taking an enforcement action, not the particular enforcement officer. Subtle changes in language</w:t>
      </w:r>
      <w:r w:rsidR="00735F33">
        <w:t xml:space="preserve"> as well as training</w:t>
      </w:r>
      <w:r w:rsidR="004F7553" w:rsidRPr="00580905">
        <w:t xml:space="preserve"> can help to achieve this purpose.</w:t>
      </w:r>
    </w:p>
    <w:p w14:paraId="1C823C8C" w14:textId="68756421" w:rsidR="00443DC6" w:rsidRPr="00F810A5" w:rsidRDefault="00443DC6" w:rsidP="00F810A5">
      <w:pPr>
        <w:pStyle w:val="Heading4"/>
        <w:rPr>
          <w:i/>
        </w:rPr>
      </w:pPr>
      <w:r w:rsidRPr="00F810A5">
        <w:rPr>
          <w:i/>
        </w:rPr>
        <w:t>Councils should hold themselves to the same standard as the public</w:t>
      </w:r>
    </w:p>
    <w:p w14:paraId="3C513FB7" w14:textId="2580F923" w:rsidR="0001230A" w:rsidRPr="00580905" w:rsidRDefault="00ED62CD" w:rsidP="009E58B7">
      <w:pPr>
        <w:pStyle w:val="BodyText"/>
      </w:pPr>
      <w:r w:rsidRPr="00580905">
        <w:t>Councils are often criticised in the media for failure to take an enforcement action against themselves</w:t>
      </w:r>
      <w:r w:rsidR="00153F59" w:rsidRPr="00580905">
        <w:t>,</w:t>
      </w:r>
      <w:r w:rsidRPr="00580905">
        <w:t xml:space="preserve"> o</w:t>
      </w:r>
      <w:r w:rsidR="00153F59" w:rsidRPr="00580905">
        <w:t>r</w:t>
      </w:r>
      <w:r w:rsidRPr="00580905">
        <w:t xml:space="preserve"> other councils</w:t>
      </w:r>
      <w:r w:rsidR="00153F59" w:rsidRPr="00580905">
        <w:t>,</w:t>
      </w:r>
      <w:r w:rsidRPr="00580905">
        <w:t xml:space="preserve"> in re</w:t>
      </w:r>
      <w:r w:rsidR="009E58B7" w:rsidRPr="00580905">
        <w:t>s</w:t>
      </w:r>
      <w:r w:rsidRPr="00580905">
        <w:t>ponse to non-compliance.</w:t>
      </w:r>
      <w:r w:rsidRPr="00580905">
        <w:rPr>
          <w:rStyle w:val="FootnoteReference"/>
          <w:color w:val="000000"/>
        </w:rPr>
        <w:footnoteReference w:id="38"/>
      </w:r>
      <w:r w:rsidRPr="00580905">
        <w:t xml:space="preserve"> </w:t>
      </w:r>
      <w:r w:rsidR="006104F2" w:rsidRPr="00580905">
        <w:t>For example, Horizons and Greater Wellington Regional Councils at various times have come under media and political pressure as a result of compliance of wastewater plants in their regions.</w:t>
      </w:r>
    </w:p>
    <w:p w14:paraId="1EBAB632" w14:textId="34816BF4" w:rsidR="00D50D02" w:rsidRDefault="00A60916" w:rsidP="009E58B7">
      <w:pPr>
        <w:pStyle w:val="BodyText"/>
      </w:pPr>
      <w:r w:rsidRPr="00580905">
        <w:t xml:space="preserve">Most </w:t>
      </w:r>
      <w:r w:rsidR="0081765F" w:rsidRPr="00580905">
        <w:t xml:space="preserve">council staff stated they are prepared to </w:t>
      </w:r>
      <w:r w:rsidR="0001230A" w:rsidRPr="00580905">
        <w:t xml:space="preserve">hold </w:t>
      </w:r>
      <w:r w:rsidR="0081765F" w:rsidRPr="00580905">
        <w:t xml:space="preserve">themselves or other councils accountable </w:t>
      </w:r>
      <w:r w:rsidR="00F352CE" w:rsidRPr="00580905">
        <w:t>for non-compliance</w:t>
      </w:r>
      <w:r w:rsidR="0001230A" w:rsidRPr="00580905">
        <w:t xml:space="preserve">. </w:t>
      </w:r>
      <w:r w:rsidR="0081765F" w:rsidRPr="00580905">
        <w:t>Several examples</w:t>
      </w:r>
      <w:r w:rsidR="002A14DE" w:rsidRPr="00580905">
        <w:t xml:space="preserve"> of council responses to their own non-compliance were</w:t>
      </w:r>
      <w:r w:rsidR="00157F7C" w:rsidRPr="00580905">
        <w:t> </w:t>
      </w:r>
      <w:r w:rsidR="002A14DE" w:rsidRPr="00580905">
        <w:t xml:space="preserve">provided. One council issued </w:t>
      </w:r>
      <w:r w:rsidR="0001230A" w:rsidRPr="00580905">
        <w:t xml:space="preserve">an infringement notice to a council contractor </w:t>
      </w:r>
      <w:r w:rsidR="002A14DE" w:rsidRPr="00580905">
        <w:t>for non</w:t>
      </w:r>
      <w:r w:rsidR="008E439F">
        <w:noBreakHyphen/>
      </w:r>
      <w:r w:rsidR="002A14DE" w:rsidRPr="00580905">
        <w:t xml:space="preserve">compliance in respect of earthworks. </w:t>
      </w:r>
      <w:r w:rsidR="001B4A5A" w:rsidRPr="00580905">
        <w:t>A</w:t>
      </w:r>
      <w:r w:rsidRPr="00580905">
        <w:t xml:space="preserve"> staff member </w:t>
      </w:r>
      <w:r w:rsidR="001B4A5A" w:rsidRPr="00580905">
        <w:t xml:space="preserve">from another council </w:t>
      </w:r>
      <w:r w:rsidR="00E243F6">
        <w:t>explained</w:t>
      </w:r>
      <w:r w:rsidR="00737F09" w:rsidRPr="00580905">
        <w:t xml:space="preserve"> that</w:t>
      </w:r>
      <w:r w:rsidR="006103D1">
        <w:t> </w:t>
      </w:r>
      <w:r w:rsidR="00737F09" w:rsidRPr="00580905">
        <w:t xml:space="preserve">council works and asset management departments historically may have got away with RMA breaches, but </w:t>
      </w:r>
      <w:r w:rsidRPr="00580905">
        <w:t xml:space="preserve">emphasised that </w:t>
      </w:r>
      <w:r w:rsidR="009E58B7" w:rsidRPr="00580905">
        <w:t xml:space="preserve">expectations have changed and </w:t>
      </w:r>
      <w:r w:rsidR="00737F09" w:rsidRPr="00580905">
        <w:t xml:space="preserve">requirements </w:t>
      </w:r>
      <w:r w:rsidR="00F53176" w:rsidRPr="00580905">
        <w:t>to comply are now clearer.</w:t>
      </w:r>
    </w:p>
    <w:p w14:paraId="4E74C697" w14:textId="62BF2F95" w:rsidR="00D50D02" w:rsidRPr="00443DC6" w:rsidRDefault="00C558AF" w:rsidP="009E58B7">
      <w:pPr>
        <w:pStyle w:val="BodyText"/>
      </w:pPr>
      <w:r>
        <w:t xml:space="preserve">However, stakeholders expressed concerns that often the council may not hold themselves accountable for non-compliance to the same standard as the public. </w:t>
      </w:r>
      <w:r w:rsidR="00D50D02">
        <w:t xml:space="preserve">Federated Farmers emphasised the importance of councils </w:t>
      </w:r>
      <w:r w:rsidR="00397A41">
        <w:t>taking enforcement actions in response to their own or other councils’ non-compliance as failure to do so creates an “uneven playing field” between co</w:t>
      </w:r>
      <w:r w:rsidR="00443DC6">
        <w:t>uncils and other resource users</w:t>
      </w:r>
      <w:r w:rsidR="006A1C65">
        <w:t>.</w:t>
      </w:r>
      <w:r w:rsidR="00443DC6" w:rsidRPr="00443DC6">
        <w:t xml:space="preserve"> </w:t>
      </w:r>
    </w:p>
    <w:p w14:paraId="31ECD027" w14:textId="1E906F2A" w:rsidR="001B66A7" w:rsidRPr="00DD224D" w:rsidRDefault="001B66A7" w:rsidP="0029058E">
      <w:pPr>
        <w:pStyle w:val="Heading2"/>
      </w:pPr>
      <w:bookmarkStart w:id="51" w:name="_Toc458001911"/>
      <w:r w:rsidRPr="00DD224D">
        <w:t>3.2 Effectiveness of council compliance, monitoring and enforcement</w:t>
      </w:r>
      <w:bookmarkEnd w:id="51"/>
      <w:r w:rsidRPr="00DD224D">
        <w:t xml:space="preserve"> </w:t>
      </w:r>
    </w:p>
    <w:p w14:paraId="25E8F452" w14:textId="77777777" w:rsidR="00662DB7" w:rsidRDefault="00D4380D" w:rsidP="00FB5DA0">
      <w:r w:rsidRPr="00D4380D">
        <w:rPr>
          <w:color w:val="000000" w:themeColor="text1"/>
        </w:rPr>
        <w:t>The purpose of CME activities</w:t>
      </w:r>
      <w:r w:rsidR="003032A1">
        <w:rPr>
          <w:color w:val="000000" w:themeColor="text1"/>
        </w:rPr>
        <w:t>, as stated in Part 1,</w:t>
      </w:r>
      <w:r>
        <w:rPr>
          <w:color w:val="000000" w:themeColor="text1"/>
        </w:rPr>
        <w:t xml:space="preserve"> </w:t>
      </w:r>
      <w:r w:rsidR="00B66B46" w:rsidRPr="008A3DE5">
        <w:rPr>
          <w:color w:val="000000" w:themeColor="text1"/>
        </w:rPr>
        <w:t>is to achieve the purpose of the RMA – sustainable management of natural and physical resources</w:t>
      </w:r>
      <w:r w:rsidR="007D46B5">
        <w:rPr>
          <w:color w:val="000000" w:themeColor="text1"/>
        </w:rPr>
        <w:t xml:space="preserve">. </w:t>
      </w:r>
      <w:r w:rsidR="007D46B5">
        <w:t>The effectiveness of CME depends on the extent to which the purpose of the legislation is met.</w:t>
      </w:r>
      <w:r w:rsidR="00662DB7">
        <w:t xml:space="preserve"> </w:t>
      </w:r>
    </w:p>
    <w:p w14:paraId="510AA4D5" w14:textId="28296E7B" w:rsidR="0064641A" w:rsidRDefault="008F5DF3" w:rsidP="00FB5DA0">
      <w:r>
        <w:t>T</w:t>
      </w:r>
      <w:r w:rsidR="0064641A">
        <w:t xml:space="preserve">he effectiveness of CME is </w:t>
      </w:r>
      <w:r w:rsidR="005D3024">
        <w:t>very difficult to measure due to</w:t>
      </w:r>
      <w:r w:rsidR="0064641A">
        <w:t>:</w:t>
      </w:r>
    </w:p>
    <w:p w14:paraId="7C4C7029" w14:textId="77777777" w:rsidR="0064641A" w:rsidRDefault="00CF02E8" w:rsidP="00FB32C5">
      <w:pPr>
        <w:pStyle w:val="ListParagraph"/>
        <w:numPr>
          <w:ilvl w:val="0"/>
          <w:numId w:val="19"/>
        </w:numPr>
      </w:pPr>
      <w:r>
        <w:t xml:space="preserve">the </w:t>
      </w:r>
      <w:r w:rsidR="00DE357D">
        <w:t>l</w:t>
      </w:r>
      <w:r w:rsidR="00402056">
        <w:t xml:space="preserve">ack of </w:t>
      </w:r>
      <w:r w:rsidR="00A40AF7">
        <w:t xml:space="preserve">baseline data </w:t>
      </w:r>
      <w:r w:rsidR="00402056">
        <w:t>(</w:t>
      </w:r>
      <w:r w:rsidR="00A40AF7">
        <w:t xml:space="preserve">for example, </w:t>
      </w:r>
      <w:r w:rsidR="00402056">
        <w:t>only 22 out of 78 councils monitor the state of the env</w:t>
      </w:r>
      <w:r>
        <w:t>ir</w:t>
      </w:r>
      <w:r w:rsidR="0064641A">
        <w:t>onment, according to NMS data)</w:t>
      </w:r>
    </w:p>
    <w:p w14:paraId="101DCC75" w14:textId="5880395A" w:rsidR="0064641A" w:rsidRDefault="00CF02E8" w:rsidP="00FB32C5">
      <w:pPr>
        <w:pStyle w:val="ListParagraph"/>
        <w:numPr>
          <w:ilvl w:val="0"/>
          <w:numId w:val="19"/>
        </w:numPr>
      </w:pPr>
      <w:r>
        <w:t xml:space="preserve">the </w:t>
      </w:r>
      <w:r w:rsidR="00DE357D">
        <w:t>l</w:t>
      </w:r>
      <w:r w:rsidR="0064641A">
        <w:t xml:space="preserve">ack of data on </w:t>
      </w:r>
      <w:r w:rsidR="00C82CE1">
        <w:t xml:space="preserve">overall rates of </w:t>
      </w:r>
      <w:r w:rsidR="0064641A">
        <w:t>non-compliance</w:t>
      </w:r>
      <w:r w:rsidR="008F5DF3">
        <w:t>, and temporal trends in non-compliance</w:t>
      </w:r>
    </w:p>
    <w:p w14:paraId="291D02DD" w14:textId="0FEFEC63" w:rsidR="00C82CE1" w:rsidRDefault="00C82CE1" w:rsidP="00FB32C5">
      <w:pPr>
        <w:pStyle w:val="ListParagraph"/>
        <w:numPr>
          <w:ilvl w:val="0"/>
          <w:numId w:val="19"/>
        </w:numPr>
      </w:pPr>
      <w:r>
        <w:t>difficulties in measuring the overall effect of non-compliance incidents on environmental outcomes</w:t>
      </w:r>
    </w:p>
    <w:p w14:paraId="62858FE7" w14:textId="44E21472" w:rsidR="00FB5DA0" w:rsidRDefault="00361C26" w:rsidP="00FB32C5">
      <w:pPr>
        <w:pStyle w:val="ListParagraph"/>
        <w:numPr>
          <w:ilvl w:val="0"/>
          <w:numId w:val="19"/>
        </w:numPr>
      </w:pPr>
      <w:proofErr w:type="gramStart"/>
      <w:r>
        <w:t>environmental</w:t>
      </w:r>
      <w:proofErr w:type="gramEnd"/>
      <w:r>
        <w:t xml:space="preserve"> lag times, which </w:t>
      </w:r>
      <w:r w:rsidR="00FB5DA0">
        <w:t>mean that the impact of activities on the environment cannot be measured immediately.</w:t>
      </w:r>
    </w:p>
    <w:p w14:paraId="639654BF" w14:textId="2EA14CC4" w:rsidR="009A6FD9" w:rsidRPr="0064641A" w:rsidRDefault="009A6FD9" w:rsidP="009A6FD9">
      <w:r>
        <w:t xml:space="preserve">The NMS collects data on rates of non-compliance detected through resource consent monitoring. The 2014/15 data shows that of the 60 per cent of resource consents requiring monitoring that were monitored, 21 per cent were determined to be non-compliant. </w:t>
      </w:r>
      <w:r w:rsidR="006211D6">
        <w:t xml:space="preserve">However, the rate </w:t>
      </w:r>
      <w:r>
        <w:t>of non-compliance with resource consents only gives an indication on rates of non-compliance overall. This figure does not take into account non-compliance detected outside of resource consent monitoring (through permitted activity monitoring, for example). Further, the interpretation of ‘non-compliance’ varies from council to council.</w:t>
      </w:r>
    </w:p>
    <w:p w14:paraId="43EBDE58" w14:textId="459A747F" w:rsidR="0040531D" w:rsidRPr="00F810A5" w:rsidRDefault="009A6FD9" w:rsidP="00F810A5">
      <w:pPr>
        <w:pStyle w:val="Heading4"/>
        <w:rPr>
          <w:i/>
        </w:rPr>
      </w:pPr>
      <w:r w:rsidRPr="00F810A5">
        <w:rPr>
          <w:i/>
        </w:rPr>
        <w:t>S</w:t>
      </w:r>
      <w:r w:rsidR="00C82CE1" w:rsidRPr="00F810A5">
        <w:rPr>
          <w:i/>
        </w:rPr>
        <w:t>o</w:t>
      </w:r>
      <w:r w:rsidR="0040531D" w:rsidRPr="00F810A5">
        <w:rPr>
          <w:i/>
        </w:rPr>
        <w:t>me council representatives believe compliance is improving in their areas</w:t>
      </w:r>
    </w:p>
    <w:p w14:paraId="0CF4739A" w14:textId="263A01A5" w:rsidR="00D4380D" w:rsidRDefault="00CF09D4" w:rsidP="00ED741F">
      <w:r w:rsidRPr="007D7D47">
        <w:t xml:space="preserve">When asked about the effectiveness of </w:t>
      </w:r>
      <w:r w:rsidR="00754DBA" w:rsidRPr="007D7D47">
        <w:t xml:space="preserve">CME activities, </w:t>
      </w:r>
      <w:r w:rsidR="00F31B3E">
        <w:t>around half of the</w:t>
      </w:r>
      <w:r w:rsidR="00754DBA" w:rsidRPr="007D7D47">
        <w:t xml:space="preserve"> councils </w:t>
      </w:r>
      <w:r w:rsidR="00F31B3E">
        <w:t xml:space="preserve">spoken to </w:t>
      </w:r>
      <w:proofErr w:type="gramStart"/>
      <w:r w:rsidR="004C7F31" w:rsidRPr="007D7D47">
        <w:t>stated</w:t>
      </w:r>
      <w:proofErr w:type="gramEnd"/>
      <w:r w:rsidR="004C7F31" w:rsidRPr="007D7D47">
        <w:t xml:space="preserve"> that they believed</w:t>
      </w:r>
      <w:r w:rsidR="00754DBA" w:rsidRPr="007D7D47">
        <w:t xml:space="preserve"> compliance was improving in their areas</w:t>
      </w:r>
      <w:r w:rsidR="007D7D47">
        <w:t>. The reasons cited for this were:</w:t>
      </w:r>
    </w:p>
    <w:p w14:paraId="5ECFCE50" w14:textId="13DF4C77" w:rsidR="007D7D47" w:rsidRDefault="00A64603" w:rsidP="00FB32C5">
      <w:pPr>
        <w:pStyle w:val="Bullet"/>
        <w:numPr>
          <w:ilvl w:val="0"/>
          <w:numId w:val="15"/>
        </w:numPr>
        <w:spacing w:after="100"/>
      </w:pPr>
      <w:r>
        <w:t>a</w:t>
      </w:r>
      <w:r w:rsidR="00F31B3E">
        <w:t xml:space="preserve"> stronger</w:t>
      </w:r>
      <w:r w:rsidR="007D7D47">
        <w:t xml:space="preserve"> focus </w:t>
      </w:r>
      <w:r w:rsidR="00877560">
        <w:t>by council</w:t>
      </w:r>
      <w:r w:rsidR="007C0B5F">
        <w:t>s</w:t>
      </w:r>
      <w:r w:rsidR="00877560">
        <w:t xml:space="preserve"> </w:t>
      </w:r>
      <w:r w:rsidR="007D7D47">
        <w:t>on ‘softer’</w:t>
      </w:r>
      <w:r w:rsidR="00877560">
        <w:t xml:space="preserve"> measures for achieving</w:t>
      </w:r>
      <w:r w:rsidR="007D7D47">
        <w:t xml:space="preserve"> compliance, such as education, advocacy and on-site support</w:t>
      </w:r>
    </w:p>
    <w:p w14:paraId="73C62C16" w14:textId="78E8F057" w:rsidR="004C7F31" w:rsidRDefault="00A64603" w:rsidP="00FB32C5">
      <w:pPr>
        <w:pStyle w:val="Bullet"/>
        <w:numPr>
          <w:ilvl w:val="0"/>
          <w:numId w:val="15"/>
        </w:numPr>
        <w:spacing w:after="100"/>
      </w:pPr>
      <w:r>
        <w:t>i</w:t>
      </w:r>
      <w:r w:rsidR="00F31B3E">
        <w:t xml:space="preserve">ncreased support for compliance </w:t>
      </w:r>
      <w:r w:rsidR="0071050C">
        <w:t xml:space="preserve">by some </w:t>
      </w:r>
      <w:r w:rsidR="00F31B3E">
        <w:t>industries (see</w:t>
      </w:r>
      <w:r>
        <w:t xml:space="preserve"> </w:t>
      </w:r>
      <w:r w:rsidR="00F31B3E">
        <w:t>the case study below on compliance in the dairy sector</w:t>
      </w:r>
      <w:r>
        <w:t>, for example</w:t>
      </w:r>
      <w:r w:rsidR="0071050C">
        <w:t>)</w:t>
      </w:r>
    </w:p>
    <w:p w14:paraId="1B59425A" w14:textId="2B7B228E" w:rsidR="0040531D" w:rsidRDefault="0040531D" w:rsidP="00FB32C5">
      <w:pPr>
        <w:pStyle w:val="Bullet"/>
        <w:numPr>
          <w:ilvl w:val="0"/>
          <w:numId w:val="15"/>
        </w:numPr>
        <w:ind w:left="357" w:hanging="357"/>
      </w:pPr>
      <w:proofErr w:type="gramStart"/>
      <w:r>
        <w:t>compliance</w:t>
      </w:r>
      <w:proofErr w:type="gramEnd"/>
      <w:r>
        <w:t xml:space="preserve"> promotion </w:t>
      </w:r>
      <w:r w:rsidR="001801A2">
        <w:t xml:space="preserve">initiatives </w:t>
      </w:r>
      <w:r w:rsidR="00D314DA">
        <w:t>by council and communities (see</w:t>
      </w:r>
      <w:r w:rsidR="009862EF">
        <w:t xml:space="preserve"> the </w:t>
      </w:r>
      <w:r w:rsidR="00D314DA">
        <w:t>case study below on the Taranaki Riparian Management Programme, for example).</w:t>
      </w:r>
    </w:p>
    <w:p w14:paraId="28B8EA8F" w14:textId="475DD476" w:rsidR="003E33AD" w:rsidRDefault="003E33AD" w:rsidP="00ED741F">
      <w:r>
        <w:t>Other councils</w:t>
      </w:r>
      <w:r w:rsidR="00D268C4">
        <w:t xml:space="preserve"> spoken were unsure as to whether compliance was improving, primarily due to lack of monitoring and data on rates of non-compliance. Two councils spoken to suspected compliance may be decreasing, due to significant development in the area and lack of staff capacity to carry out CME.</w:t>
      </w:r>
    </w:p>
    <w:p w14:paraId="4F1124F5" w14:textId="20154147" w:rsidR="003E33AD" w:rsidRDefault="003E33AD" w:rsidP="00ED741F">
      <w:r>
        <w:t>A number of councils spoken to</w:t>
      </w:r>
      <w:r w:rsidRPr="009D6516">
        <w:t xml:space="preserve"> </w:t>
      </w:r>
      <w:r>
        <w:t xml:space="preserve">explained that they have changed their approach to </w:t>
      </w:r>
      <w:r w:rsidR="006211D6">
        <w:t xml:space="preserve">CME </w:t>
      </w:r>
      <w:r>
        <w:t>in recent years, by focussing more on compliance promotion, such as education and environmental enhancement programmes</w:t>
      </w:r>
      <w:r w:rsidRPr="009D6516">
        <w:t xml:space="preserve">. </w:t>
      </w:r>
      <w:r>
        <w:t>Those councils stated that the ‘stick’ provided by enforcement actions is necessary as a deterrent, but they believed that often ‘softer’, non-regulatory measures are more effective in achieving compliance. An example of effective use of non-regulatory measures to improve compliance is shown below, in the case study on the Taranaki Riparian Planting Programme.</w:t>
      </w:r>
    </w:p>
    <w:p w14:paraId="6BCED5B2" w14:textId="7AF6A0D9" w:rsidR="0040531D" w:rsidRDefault="0040531D" w:rsidP="00ED741F"/>
    <w:tbl>
      <w:tblPr>
        <w:tblW w:w="758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hemeFill="accent3" w:themeFillTint="33"/>
        <w:tblLook w:val="04A0" w:firstRow="1" w:lastRow="0" w:firstColumn="1" w:lastColumn="0" w:noHBand="0" w:noVBand="1"/>
      </w:tblPr>
      <w:tblGrid>
        <w:gridCol w:w="7587"/>
      </w:tblGrid>
      <w:tr w:rsidR="001B410B" w:rsidRPr="00580905" w14:paraId="016FCE1D" w14:textId="77777777" w:rsidTr="00C832F6">
        <w:trPr>
          <w:cantSplit/>
          <w:trHeight w:val="418"/>
        </w:trPr>
        <w:tc>
          <w:tcPr>
            <w:tcW w:w="7587" w:type="dxa"/>
            <w:tcBorders>
              <w:top w:val="single" w:sz="4" w:space="0" w:color="677719"/>
              <w:left w:val="single" w:sz="4" w:space="0" w:color="677719"/>
              <w:bottom w:val="nil"/>
              <w:right w:val="single" w:sz="4" w:space="0" w:color="677719"/>
            </w:tcBorders>
            <w:shd w:val="clear" w:color="auto" w:fill="677719"/>
          </w:tcPr>
          <w:p w14:paraId="66AFCD9C" w14:textId="77777777" w:rsidR="001B410B" w:rsidRPr="00580905" w:rsidDel="00D5390D" w:rsidRDefault="001B410B" w:rsidP="00C832F6">
            <w:pPr>
              <w:pStyle w:val="Casestudyheading"/>
              <w:rPr>
                <w:color w:val="FFFFFF" w:themeColor="background1"/>
              </w:rPr>
            </w:pPr>
            <w:r w:rsidRPr="00580905">
              <w:rPr>
                <w:color w:val="FFFFFF" w:themeColor="background1"/>
              </w:rPr>
              <w:t xml:space="preserve">Case study: </w:t>
            </w:r>
            <w:r>
              <w:rPr>
                <w:color w:val="FFFFFF" w:themeColor="background1"/>
              </w:rPr>
              <w:t>improvements in dairy farm compliance</w:t>
            </w:r>
          </w:p>
        </w:tc>
      </w:tr>
      <w:tr w:rsidR="001B410B" w:rsidRPr="00580905" w14:paraId="5F0765E4" w14:textId="77777777" w:rsidTr="00C832F6">
        <w:trPr>
          <w:cantSplit/>
          <w:trHeight w:val="7996"/>
        </w:trPr>
        <w:tc>
          <w:tcPr>
            <w:tcW w:w="7587" w:type="dxa"/>
            <w:tcBorders>
              <w:top w:val="nil"/>
              <w:left w:val="single" w:sz="4" w:space="0" w:color="C5C19D"/>
              <w:bottom w:val="nil"/>
              <w:right w:val="single" w:sz="4" w:space="0" w:color="C5C19D"/>
            </w:tcBorders>
            <w:shd w:val="clear" w:color="auto" w:fill="C5C19D"/>
          </w:tcPr>
          <w:p w14:paraId="3942EC5A" w14:textId="77777777" w:rsidR="001B410B" w:rsidRDefault="001B410B" w:rsidP="00C832F6">
            <w:pPr>
              <w:pStyle w:val="Greentext-tables"/>
              <w:spacing w:before="240"/>
              <w:ind w:left="313"/>
            </w:pPr>
            <w:r>
              <w:t xml:space="preserve">Rates of non-compliance in the dairy industry have decreased in recent years, due to increased industry support, increased farmer awareness of RMA responsibilities, and considerable farmer investment in effluent management infrastructure. </w:t>
            </w:r>
            <w:proofErr w:type="spellStart"/>
            <w:r>
              <w:t>DairyNZ</w:t>
            </w:r>
            <w:proofErr w:type="spellEnd"/>
            <w:r>
              <w:t xml:space="preserve"> explain</w:t>
            </w:r>
            <w:r w:rsidRPr="00580905">
              <w:t>ed that significant non-compliance had progressively decreased from around 11 per cent in 2010/11 to 5.8 per cent in 2014/15.</w:t>
            </w:r>
            <w:r>
              <w:t xml:space="preserve"> However, </w:t>
            </w:r>
            <w:proofErr w:type="spellStart"/>
            <w:r>
              <w:t>DairyNZ</w:t>
            </w:r>
            <w:proofErr w:type="spellEnd"/>
            <w:r>
              <w:t xml:space="preserve"> and councils commented that there is still significant work to be done to improve compliance in the sector.</w:t>
            </w:r>
          </w:p>
          <w:p w14:paraId="57720CEA" w14:textId="77777777" w:rsidR="001B410B" w:rsidRDefault="001B410B" w:rsidP="00C832F6">
            <w:pPr>
              <w:pStyle w:val="Greentext-tables"/>
            </w:pPr>
            <w:r w:rsidRPr="00580905">
              <w:t>The Sustainable Dairying: Water Accord was established in 2013,</w:t>
            </w:r>
            <w:r w:rsidRPr="00580905">
              <w:rPr>
                <w:rStyle w:val="FootnoteReference"/>
              </w:rPr>
              <w:footnoteReference w:id="39"/>
            </w:r>
            <w:r w:rsidRPr="00580905">
              <w:t xml:space="preserve"> to improve the management of risks to waterways posed by dairying. It established national good manageme</w:t>
            </w:r>
            <w:r>
              <w:t>nt practice benchmarks, and set</w:t>
            </w:r>
            <w:r w:rsidRPr="00580905">
              <w:t xml:space="preserve"> a target for all stock to be excluded from waterways (through fencing</w:t>
            </w:r>
            <w:r>
              <w:t xml:space="preserve"> or other means) by 2017. Ninety-six per cent of the waterways on New Zealand dairy farms are now excluded from dairy cattle (</w:t>
            </w:r>
            <w:proofErr w:type="spellStart"/>
            <w:r>
              <w:t>DairyNZ</w:t>
            </w:r>
            <w:proofErr w:type="spellEnd"/>
            <w:r>
              <w:t>, 2016).</w:t>
            </w:r>
          </w:p>
          <w:p w14:paraId="4D66589B" w14:textId="099AE0FD" w:rsidR="001B410B" w:rsidRDefault="001B410B" w:rsidP="00C832F6">
            <w:pPr>
              <w:pStyle w:val="Greentext-tables"/>
            </w:pPr>
            <w:r>
              <w:t xml:space="preserve">Farmers have invested heavily in effluent infrastructure. A 2015 nationwide survey of dairy farmers by Federated Farmers and </w:t>
            </w:r>
            <w:proofErr w:type="spellStart"/>
            <w:r>
              <w:t>DairyNZ</w:t>
            </w:r>
            <w:proofErr w:type="spellEnd"/>
            <w:r>
              <w:t xml:space="preserve"> found that the collective expenditure on environmental initiatives by dairy farmers was more than one billion dollars over the last five years (Dairy NZ, 2016). Dairy NZ have also established a ‘warrant of fitness’ programme to check farmers’ effluent management systems are compliant with the RMA.</w:t>
            </w:r>
          </w:p>
          <w:p w14:paraId="6A6205DA" w14:textId="77777777" w:rsidR="001B410B" w:rsidRDefault="001B410B" w:rsidP="00C832F6">
            <w:pPr>
              <w:pStyle w:val="Greentext-tables"/>
            </w:pPr>
            <w:r w:rsidRPr="00580905">
              <w:t xml:space="preserve">In 2007, </w:t>
            </w:r>
            <w:proofErr w:type="spellStart"/>
            <w:r w:rsidRPr="00580905">
              <w:t>DairyNZ</w:t>
            </w:r>
            <w:proofErr w:type="spellEnd"/>
            <w:r w:rsidRPr="00580905">
              <w:t xml:space="preserve">, unitary authorities and regional councils agreed on consistent criteria for defining significant non-compliance in dealing with dairy effluent. Councils have initiated regular peer audits to determine whether they are assigning compliance ratings consistent with the criteria. </w:t>
            </w:r>
          </w:p>
          <w:p w14:paraId="4D876A57" w14:textId="77777777" w:rsidR="001B410B" w:rsidRPr="00580905" w:rsidRDefault="001B410B" w:rsidP="00C832F6">
            <w:pPr>
              <w:pStyle w:val="Greentext-tables"/>
              <w:spacing w:after="240"/>
              <w:ind w:left="313"/>
              <w:rPr>
                <w:bCs/>
                <w:iCs/>
                <w:color w:val="595959"/>
              </w:rPr>
            </w:pPr>
            <w:r>
              <w:t xml:space="preserve">Despite the existence of the criteria, there is still considerable variation in council monitoring of the dairy industry, as explained by </w:t>
            </w:r>
            <w:proofErr w:type="spellStart"/>
            <w:r>
              <w:t>DairyNZ</w:t>
            </w:r>
            <w:proofErr w:type="spellEnd"/>
            <w:r>
              <w:t xml:space="preserve">. </w:t>
            </w:r>
            <w:r w:rsidRPr="00580905">
              <w:t>For example, some councils visit all dairy farms at least once a year, while others determine visit frequency depending on the risk of non-compliance of a particular farm (referring to a farm’s record of non-compliance).</w:t>
            </w:r>
            <w:r>
              <w:t xml:space="preserve"> Approaches to prior notification of inspections also vary. </w:t>
            </w:r>
          </w:p>
        </w:tc>
      </w:tr>
    </w:tbl>
    <w:p w14:paraId="48BF893E" w14:textId="1604A8A0" w:rsidR="009862EF" w:rsidRDefault="009862EF" w:rsidP="00D26EBC">
      <w:bookmarkStart w:id="52" w:name="_Toc456343406"/>
    </w:p>
    <w:tbl>
      <w:tblPr>
        <w:tblW w:w="758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hemeFill="accent3" w:themeFillTint="33"/>
        <w:tblLook w:val="04A0" w:firstRow="1" w:lastRow="0" w:firstColumn="1" w:lastColumn="0" w:noHBand="0" w:noVBand="1"/>
      </w:tblPr>
      <w:tblGrid>
        <w:gridCol w:w="7587"/>
      </w:tblGrid>
      <w:tr w:rsidR="00D314DA" w:rsidRPr="00580905" w14:paraId="07680283" w14:textId="77777777" w:rsidTr="005513F9">
        <w:trPr>
          <w:cantSplit/>
          <w:trHeight w:val="418"/>
        </w:trPr>
        <w:tc>
          <w:tcPr>
            <w:tcW w:w="7587" w:type="dxa"/>
            <w:tcBorders>
              <w:top w:val="single" w:sz="4" w:space="0" w:color="677719"/>
              <w:left w:val="single" w:sz="4" w:space="0" w:color="677719"/>
              <w:bottom w:val="nil"/>
              <w:right w:val="single" w:sz="4" w:space="0" w:color="677719"/>
            </w:tcBorders>
            <w:shd w:val="clear" w:color="auto" w:fill="677719"/>
          </w:tcPr>
          <w:p w14:paraId="0A84100A" w14:textId="1AF390A1" w:rsidR="00D314DA" w:rsidRPr="00580905" w:rsidDel="00D5390D" w:rsidRDefault="00D314DA" w:rsidP="00D314DA">
            <w:pPr>
              <w:pStyle w:val="Casestudyheading"/>
              <w:rPr>
                <w:color w:val="FFFFFF" w:themeColor="background1"/>
              </w:rPr>
            </w:pPr>
            <w:r w:rsidRPr="00580905">
              <w:rPr>
                <w:color w:val="FFFFFF" w:themeColor="background1"/>
              </w:rPr>
              <w:t xml:space="preserve">Case study: </w:t>
            </w:r>
            <w:r>
              <w:rPr>
                <w:color w:val="FFFFFF" w:themeColor="background1"/>
              </w:rPr>
              <w:t>tARANAKI RIPARIAN PLANTING PROGRAMME</w:t>
            </w:r>
            <w:r w:rsidR="006321A3">
              <w:rPr>
                <w:color w:val="FFFFFF" w:themeColor="background1"/>
              </w:rPr>
              <w:t xml:space="preserve"> </w:t>
            </w:r>
          </w:p>
        </w:tc>
      </w:tr>
      <w:tr w:rsidR="00D314DA" w:rsidRPr="00580905" w14:paraId="7C682BBE" w14:textId="77777777" w:rsidTr="00F61730">
        <w:trPr>
          <w:cantSplit/>
          <w:trHeight w:val="5749"/>
        </w:trPr>
        <w:tc>
          <w:tcPr>
            <w:tcW w:w="7587" w:type="dxa"/>
            <w:tcBorders>
              <w:top w:val="nil"/>
              <w:left w:val="single" w:sz="4" w:space="0" w:color="C5C19D"/>
              <w:bottom w:val="nil"/>
              <w:right w:val="single" w:sz="4" w:space="0" w:color="C5C19D"/>
            </w:tcBorders>
            <w:shd w:val="clear" w:color="auto" w:fill="C5C19D"/>
          </w:tcPr>
          <w:p w14:paraId="090C1E48" w14:textId="7B843683" w:rsidR="002340BD" w:rsidRDefault="00F94C82" w:rsidP="00D314DA">
            <w:pPr>
              <w:rPr>
                <w:color w:val="4F6228" w:themeColor="accent3" w:themeShade="80"/>
              </w:rPr>
            </w:pPr>
            <w:r w:rsidRPr="009862EF">
              <w:rPr>
                <w:color w:val="4F6228" w:themeColor="accent3" w:themeShade="80"/>
              </w:rPr>
              <w:t xml:space="preserve">The Taranaki Regional Council is working with land owners and resource users to ensure </w:t>
            </w:r>
            <w:r w:rsidR="006567A2">
              <w:rPr>
                <w:color w:val="4F6228" w:themeColor="accent3" w:themeShade="80"/>
              </w:rPr>
              <w:t>Taranaki stream</w:t>
            </w:r>
            <w:r w:rsidRPr="009862EF">
              <w:rPr>
                <w:color w:val="4F6228" w:themeColor="accent3" w:themeShade="80"/>
              </w:rPr>
              <w:t xml:space="preserve"> are protected by riparian fencing and planting in Taranaki</w:t>
            </w:r>
            <w:r w:rsidR="008F5DF3">
              <w:rPr>
                <w:color w:val="4F6228" w:themeColor="accent3" w:themeShade="80"/>
              </w:rPr>
              <w:t>.</w:t>
            </w:r>
            <w:r w:rsidR="008F5DF3">
              <w:rPr>
                <w:rStyle w:val="FootnoteReference"/>
                <w:color w:val="4F6228" w:themeColor="accent3" w:themeShade="80"/>
              </w:rPr>
              <w:footnoteReference w:id="40"/>
            </w:r>
            <w:r w:rsidR="008F5DF3">
              <w:rPr>
                <w:color w:val="4F6228" w:themeColor="accent3" w:themeShade="80"/>
              </w:rPr>
              <w:t xml:space="preserve"> </w:t>
            </w:r>
            <w:r w:rsidR="002340BD">
              <w:rPr>
                <w:color w:val="4F6228" w:themeColor="accent3" w:themeShade="80"/>
              </w:rPr>
              <w:t>The Programme is voluntary –</w:t>
            </w:r>
            <w:r w:rsidR="008163AD">
              <w:rPr>
                <w:color w:val="4F6228" w:themeColor="accent3" w:themeShade="80"/>
              </w:rPr>
              <w:t xml:space="preserve"> the Council encourages land owners </w:t>
            </w:r>
            <w:r w:rsidR="002340BD">
              <w:rPr>
                <w:color w:val="4F6228" w:themeColor="accent3" w:themeShade="80"/>
              </w:rPr>
              <w:t xml:space="preserve">to participate </w:t>
            </w:r>
            <w:r w:rsidR="008163AD">
              <w:rPr>
                <w:color w:val="4F6228" w:themeColor="accent3" w:themeShade="80"/>
              </w:rPr>
              <w:t xml:space="preserve">through </w:t>
            </w:r>
            <w:r w:rsidR="002340BD" w:rsidRPr="009862EF">
              <w:rPr>
                <w:color w:val="4F6228" w:themeColor="accent3" w:themeShade="80"/>
              </w:rPr>
              <w:t>pre</w:t>
            </w:r>
            <w:r w:rsidR="008163AD">
              <w:rPr>
                <w:color w:val="4F6228" w:themeColor="accent3" w:themeShade="80"/>
              </w:rPr>
              <w:t xml:space="preserve">paring </w:t>
            </w:r>
            <w:r w:rsidR="002340BD" w:rsidRPr="009862EF">
              <w:rPr>
                <w:color w:val="4F6228" w:themeColor="accent3" w:themeShade="80"/>
              </w:rPr>
              <w:t>property-specific riparian plans,</w:t>
            </w:r>
            <w:r w:rsidR="008163AD">
              <w:rPr>
                <w:color w:val="4F6228" w:themeColor="accent3" w:themeShade="80"/>
              </w:rPr>
              <w:t xml:space="preserve"> providing</w:t>
            </w:r>
            <w:r w:rsidR="002340BD" w:rsidRPr="009862EF">
              <w:rPr>
                <w:color w:val="4F6228" w:themeColor="accent3" w:themeShade="80"/>
              </w:rPr>
              <w:t xml:space="preserve"> access to low-cost rip</w:t>
            </w:r>
            <w:r w:rsidR="00FC2EAF">
              <w:rPr>
                <w:color w:val="4F6228" w:themeColor="accent3" w:themeShade="80"/>
              </w:rPr>
              <w:t xml:space="preserve">arian plants, and </w:t>
            </w:r>
            <w:r w:rsidR="008163AD">
              <w:rPr>
                <w:color w:val="4F6228" w:themeColor="accent3" w:themeShade="80"/>
              </w:rPr>
              <w:t xml:space="preserve">providing </w:t>
            </w:r>
            <w:r w:rsidR="002340BD" w:rsidRPr="009862EF">
              <w:rPr>
                <w:color w:val="4F6228" w:themeColor="accent3" w:themeShade="80"/>
              </w:rPr>
              <w:t xml:space="preserve">ongoing advice and assistance. </w:t>
            </w:r>
          </w:p>
          <w:p w14:paraId="0351C806" w14:textId="7993A61F" w:rsidR="00F94C82" w:rsidRPr="009862EF" w:rsidRDefault="007027C4" w:rsidP="00D314DA">
            <w:pPr>
              <w:rPr>
                <w:color w:val="4F6228" w:themeColor="accent3" w:themeShade="80"/>
              </w:rPr>
            </w:pPr>
            <w:r w:rsidRPr="009862EF">
              <w:rPr>
                <w:color w:val="4F6228" w:themeColor="accent3" w:themeShade="80"/>
              </w:rPr>
              <w:t>T</w:t>
            </w:r>
            <w:r w:rsidR="00A71158" w:rsidRPr="009862EF">
              <w:rPr>
                <w:color w:val="4F6228" w:themeColor="accent3" w:themeShade="80"/>
              </w:rPr>
              <w:t>he Programme has progressed to a stage where, for many land owners, the cost of establishing and maintaining their riparian zone is a normal part of the farm budgeting, a</w:t>
            </w:r>
            <w:r w:rsidR="00797415" w:rsidRPr="009862EF">
              <w:rPr>
                <w:color w:val="4F6228" w:themeColor="accent3" w:themeShade="80"/>
              </w:rPr>
              <w:t xml:space="preserve">longside other essential costs. Council </w:t>
            </w:r>
            <w:r w:rsidR="002340BD">
              <w:rPr>
                <w:color w:val="4F6228" w:themeColor="accent3" w:themeShade="80"/>
              </w:rPr>
              <w:t xml:space="preserve">also provide financial </w:t>
            </w:r>
            <w:r w:rsidR="00797415" w:rsidRPr="009862EF">
              <w:rPr>
                <w:color w:val="4F6228" w:themeColor="accent3" w:themeShade="80"/>
              </w:rPr>
              <w:t xml:space="preserve">support for the Programme </w:t>
            </w:r>
            <w:r w:rsidR="002340BD">
              <w:rPr>
                <w:color w:val="4F6228" w:themeColor="accent3" w:themeShade="80"/>
              </w:rPr>
              <w:t>(</w:t>
            </w:r>
            <w:r w:rsidR="00797415" w:rsidRPr="009862EF">
              <w:rPr>
                <w:color w:val="4F6228" w:themeColor="accent3" w:themeShade="80"/>
              </w:rPr>
              <w:t>around $1 million of rates each year</w:t>
            </w:r>
            <w:r w:rsidR="002340BD">
              <w:rPr>
                <w:color w:val="4F6228" w:themeColor="accent3" w:themeShade="80"/>
              </w:rPr>
              <w:t>)</w:t>
            </w:r>
            <w:r w:rsidR="00797415" w:rsidRPr="009862EF">
              <w:rPr>
                <w:color w:val="4F6228" w:themeColor="accent3" w:themeShade="80"/>
              </w:rPr>
              <w:t xml:space="preserve"> in recognition of the wider public benefits derived from efforts to maintain or improve the region’s water quality. </w:t>
            </w:r>
          </w:p>
          <w:p w14:paraId="10C54EAE" w14:textId="75F3275C" w:rsidR="00D314DA" w:rsidRPr="00F61730" w:rsidRDefault="00FC2EAF" w:rsidP="00F61730">
            <w:pPr>
              <w:rPr>
                <w:color w:val="4F6228" w:themeColor="accent3" w:themeShade="80"/>
              </w:rPr>
            </w:pPr>
            <w:r w:rsidRPr="009862EF">
              <w:rPr>
                <w:color w:val="4F6228" w:themeColor="accent3" w:themeShade="80"/>
              </w:rPr>
              <w:t>Since the beginning of the Programme in the mid-1990s, the Council has prepared more than 2360 riparian plans for farmers</w:t>
            </w:r>
            <w:r>
              <w:rPr>
                <w:color w:val="4F6228" w:themeColor="accent3" w:themeShade="80"/>
              </w:rPr>
              <w:t>,</w:t>
            </w:r>
            <w:r w:rsidRPr="009862EF">
              <w:rPr>
                <w:color w:val="4F6228" w:themeColor="accent3" w:themeShade="80"/>
              </w:rPr>
              <w:t xml:space="preserve"> covering the region’s most intensively farmed land. </w:t>
            </w:r>
            <w:r w:rsidR="00B661A4" w:rsidRPr="009862EF">
              <w:rPr>
                <w:color w:val="4F6228" w:themeColor="accent3" w:themeShade="80"/>
              </w:rPr>
              <w:t>The Council</w:t>
            </w:r>
            <w:r w:rsidR="00D314DA" w:rsidRPr="009862EF">
              <w:rPr>
                <w:color w:val="4F6228" w:themeColor="accent3" w:themeShade="80"/>
              </w:rPr>
              <w:t>’s latest state of the</w:t>
            </w:r>
            <w:r w:rsidR="002654FB">
              <w:rPr>
                <w:color w:val="4F6228" w:themeColor="accent3" w:themeShade="80"/>
              </w:rPr>
              <w:t xml:space="preserve"> environment report (2015) shows that freshwater quality has improved </w:t>
            </w:r>
            <w:r w:rsidR="00384494">
              <w:rPr>
                <w:color w:val="4F6228" w:themeColor="accent3" w:themeShade="80"/>
              </w:rPr>
              <w:t xml:space="preserve">at most of the monitored sites </w:t>
            </w:r>
            <w:r w:rsidR="00AB40A8">
              <w:rPr>
                <w:color w:val="4F6228" w:themeColor="accent3" w:themeShade="80"/>
              </w:rPr>
              <w:t>since the mid-1990s.</w:t>
            </w:r>
          </w:p>
        </w:tc>
      </w:tr>
    </w:tbl>
    <w:p w14:paraId="401BBC3E" w14:textId="77777777" w:rsidR="00443DC6" w:rsidRPr="00F810A5" w:rsidRDefault="00443DC6" w:rsidP="00F810A5">
      <w:pPr>
        <w:pStyle w:val="Heading4"/>
        <w:rPr>
          <w:i/>
        </w:rPr>
      </w:pPr>
      <w:r w:rsidRPr="00F810A5">
        <w:rPr>
          <w:i/>
        </w:rPr>
        <w:t>Approaches to compliance monitoring and enforcement are often not transparent</w:t>
      </w:r>
      <w:bookmarkEnd w:id="52"/>
    </w:p>
    <w:p w14:paraId="03116F3E" w14:textId="6C8A136C" w:rsidR="00443DC6" w:rsidRDefault="00443DC6" w:rsidP="00443DC6">
      <w:pPr>
        <w:pStyle w:val="BodyText"/>
      </w:pPr>
      <w:r w:rsidRPr="00580905">
        <w:t xml:space="preserve">There is </w:t>
      </w:r>
      <w:r w:rsidR="003A5A48">
        <w:t xml:space="preserve">limited </w:t>
      </w:r>
      <w:r w:rsidRPr="00580905">
        <w:t>publicly available informat</w:t>
      </w:r>
      <w:r w:rsidR="008F5DF3">
        <w:t>ion on councils’ CME activities.</w:t>
      </w:r>
      <w:r w:rsidRPr="00580905">
        <w:rPr>
          <w:rStyle w:val="FootnoteReference"/>
          <w:rFonts w:asciiTheme="minorHAnsi" w:hAnsiTheme="minorHAnsi"/>
        </w:rPr>
        <w:footnoteReference w:id="41"/>
      </w:r>
      <w:r w:rsidRPr="00580905">
        <w:t xml:space="preserve"> </w:t>
      </w:r>
      <w:r w:rsidR="008F5DF3">
        <w:t xml:space="preserve">Most </w:t>
      </w:r>
      <w:proofErr w:type="gramStart"/>
      <w:r w:rsidR="008F5DF3">
        <w:t>councils</w:t>
      </w:r>
      <w:proofErr w:type="gramEnd"/>
      <w:r w:rsidR="008F5DF3">
        <w:t xml:space="preserve"> </w:t>
      </w:r>
      <w:r w:rsidRPr="00580905">
        <w:t>do not publish CME</w:t>
      </w:r>
      <w:r>
        <w:t> </w:t>
      </w:r>
      <w:r w:rsidRPr="00580905">
        <w:t xml:space="preserve">strategies, information on CME priorities or objectives, or CME reports. </w:t>
      </w:r>
      <w:r w:rsidR="008F5DF3">
        <w:t xml:space="preserve">There </w:t>
      </w:r>
      <w:r w:rsidR="003A5A48">
        <w:t xml:space="preserve">is no specific requirement in the RMA for councils to report on CME, </w:t>
      </w:r>
      <w:r w:rsidR="008F5DF3">
        <w:t xml:space="preserve">however </w:t>
      </w:r>
      <w:r w:rsidRPr="00580905">
        <w:t>section 35 of the RMA for councils to make information on the monitoring of the “efficiency and effectiveness” of policies, rules and plans (which CME activities is part of) publicly available</w:t>
      </w:r>
      <w:r w:rsidR="003A5A48">
        <w:t xml:space="preserve">. </w:t>
      </w:r>
    </w:p>
    <w:p w14:paraId="4EE55365" w14:textId="600BC610" w:rsidR="00443DC6" w:rsidRPr="00580905" w:rsidRDefault="00443DC6" w:rsidP="00443DC6">
      <w:pPr>
        <w:pStyle w:val="BodyText"/>
      </w:pPr>
      <w:r w:rsidRPr="00580905">
        <w:t xml:space="preserve">Some </w:t>
      </w:r>
      <w:proofErr w:type="gramStart"/>
      <w:r w:rsidRPr="00580905">
        <w:t>councils</w:t>
      </w:r>
      <w:proofErr w:type="gramEnd"/>
      <w:r w:rsidRPr="00580905">
        <w:t>, such as Tasman District Council,</w:t>
      </w:r>
      <w:r w:rsidRPr="00580905">
        <w:rPr>
          <w:rStyle w:val="FootnoteReference"/>
          <w:rFonts w:asciiTheme="minorHAnsi" w:hAnsiTheme="minorHAnsi"/>
        </w:rPr>
        <w:footnoteReference w:id="42"/>
      </w:r>
      <w:r w:rsidRPr="00580905">
        <w:t xml:space="preserve"> have published CME strategies</w:t>
      </w:r>
      <w:r w:rsidR="00B41023">
        <w:t xml:space="preserve"> and </w:t>
      </w:r>
      <w:r w:rsidRPr="00580905">
        <w:t>guidelines on their websites. These strategies provide information to the community about how councils approach CME activities, including when a council may investigate a site, what circumstances justify an enforcement action and when a prosecution may be taken. Such a document gives greater certainty to the public on how a council is likely to respond to non-compliance. It may also help the public to better understand what they can do to comply.</w:t>
      </w:r>
    </w:p>
    <w:p w14:paraId="4C7B7961" w14:textId="2C070789" w:rsidR="00443DC6" w:rsidRDefault="00443DC6" w:rsidP="00443DC6">
      <w:pPr>
        <w:pStyle w:val="BodyText"/>
      </w:pPr>
      <w:r w:rsidRPr="00580905">
        <w:t>Some regional councils and unitary authorities publish regular CME reports that give an overview of, for example, approaches to monitoring, how many enforcement actions have been taken, and common non-compliant activities.</w:t>
      </w:r>
      <w:r w:rsidRPr="00580905">
        <w:rPr>
          <w:rStyle w:val="FootnoteReference"/>
          <w:rFonts w:asciiTheme="minorHAnsi" w:hAnsiTheme="minorHAnsi"/>
        </w:rPr>
        <w:footnoteReference w:id="43"/>
      </w:r>
      <w:r w:rsidRPr="00580905">
        <w:t xml:space="preserve"> These documents allow the public to scrutinise council approaches to CME, enabling greater transparency and accountability of council activ</w:t>
      </w:r>
      <w:r w:rsidR="003F5AD4">
        <w:t>ities. In</w:t>
      </w:r>
      <w:r w:rsidR="00F87C5B">
        <w:t xml:space="preserve"> most </w:t>
      </w:r>
      <w:proofErr w:type="gramStart"/>
      <w:r w:rsidR="00F87C5B">
        <w:t>councils</w:t>
      </w:r>
      <w:proofErr w:type="gramEnd"/>
      <w:r w:rsidR="00F87C5B">
        <w:t xml:space="preserve"> included in this study, council staff</w:t>
      </w:r>
      <w:r w:rsidRPr="00580905">
        <w:t xml:space="preserve"> provide regular updates to councillors on CME activities, and this information is made publicly available.</w:t>
      </w:r>
    </w:p>
    <w:p w14:paraId="067C7A12" w14:textId="48835147" w:rsidR="00155236" w:rsidRDefault="007A7653" w:rsidP="00155236">
      <w:pPr>
        <w:pStyle w:val="BodyText"/>
      </w:pPr>
      <w:r>
        <w:t xml:space="preserve">The NMS provides publicly available data on CME. </w:t>
      </w:r>
      <w:r w:rsidR="00155236">
        <w:t xml:space="preserve">The NMS collects data annually on: </w:t>
      </w:r>
    </w:p>
    <w:p w14:paraId="1C8BFA2D" w14:textId="63F12435" w:rsidR="00155236" w:rsidRDefault="00155236" w:rsidP="00FB32C5">
      <w:pPr>
        <w:pStyle w:val="BodyText"/>
        <w:numPr>
          <w:ilvl w:val="0"/>
          <w:numId w:val="20"/>
        </w:numPr>
        <w:spacing w:after="0"/>
        <w:ind w:left="714" w:hanging="357"/>
      </w:pPr>
      <w:r>
        <w:t>Numbers of enforcement actions taking by councils for RMA breaches</w:t>
      </w:r>
    </w:p>
    <w:p w14:paraId="2D1D9BDC" w14:textId="5AB76F94" w:rsidR="00155236" w:rsidRDefault="004D6D3D" w:rsidP="00FB32C5">
      <w:pPr>
        <w:pStyle w:val="BodyText"/>
        <w:numPr>
          <w:ilvl w:val="0"/>
          <w:numId w:val="20"/>
        </w:numPr>
        <w:spacing w:after="0"/>
        <w:ind w:left="714" w:hanging="357"/>
      </w:pPr>
      <w:r>
        <w:t>Levels of monitoring of resource consents, and non-compliance with resource consents</w:t>
      </w:r>
    </w:p>
    <w:p w14:paraId="55739F99" w14:textId="4A406E63" w:rsidR="004D6D3D" w:rsidRDefault="004D6D3D" w:rsidP="00FB32C5">
      <w:pPr>
        <w:pStyle w:val="BodyText"/>
        <w:numPr>
          <w:ilvl w:val="0"/>
          <w:numId w:val="20"/>
        </w:numPr>
        <w:spacing w:after="0"/>
        <w:ind w:left="714" w:hanging="357"/>
      </w:pPr>
      <w:r>
        <w:t>Levels of CME staff</w:t>
      </w:r>
    </w:p>
    <w:p w14:paraId="76223436" w14:textId="10D7DBFE" w:rsidR="00155236" w:rsidRPr="00580905" w:rsidRDefault="004D6D3D" w:rsidP="007A7653">
      <w:pPr>
        <w:pStyle w:val="BodyText"/>
      </w:pPr>
      <w:r>
        <w:t xml:space="preserve">However, improvements need to be made to the NMS for the Ministry to be able to better assess council CME performance. </w:t>
      </w:r>
    </w:p>
    <w:p w14:paraId="0C0006F0" w14:textId="77777777" w:rsidR="00E93582" w:rsidRPr="00F810A5" w:rsidRDefault="00E93582" w:rsidP="00F810A5">
      <w:pPr>
        <w:pStyle w:val="Heading4"/>
        <w:rPr>
          <w:i/>
        </w:rPr>
      </w:pPr>
      <w:r w:rsidRPr="00F810A5">
        <w:rPr>
          <w:i/>
        </w:rPr>
        <w:t>It is important that plan rules and resource consent conditions can be monitored and enforced</w:t>
      </w:r>
    </w:p>
    <w:p w14:paraId="230DDF80" w14:textId="61C621F9" w:rsidR="00E775A2" w:rsidRDefault="00265409" w:rsidP="00E93582">
      <w:pPr>
        <w:pStyle w:val="BodyText"/>
      </w:pPr>
      <w:r>
        <w:t xml:space="preserve">To achieve </w:t>
      </w:r>
      <w:r w:rsidR="002A13E9">
        <w:t>the purpose of the RMA, it is essential that</w:t>
      </w:r>
      <w:r w:rsidR="00E775A2">
        <w:t xml:space="preserve"> </w:t>
      </w:r>
      <w:r w:rsidR="00E93582" w:rsidRPr="00580905">
        <w:t>any rules and conditions</w:t>
      </w:r>
      <w:r w:rsidR="00E775A2">
        <w:t xml:space="preserve"> in plans and resource consents are</w:t>
      </w:r>
      <w:r w:rsidR="00E93582" w:rsidRPr="00580905">
        <w:t xml:space="preserve"> clear, measurable and enforceable. Councils and stakeholders expressed concerns about plan rules and resource consent conditions that were difficult to measure and enforce. Forest and Bird were also concerned about the difficulties of ensuring compliance with plans, when the rules are highly complex and difficult to understand. </w:t>
      </w:r>
    </w:p>
    <w:p w14:paraId="7816D750" w14:textId="1F83A221" w:rsidR="00E93582" w:rsidRPr="00580905" w:rsidRDefault="00E93582" w:rsidP="00E93582">
      <w:pPr>
        <w:pStyle w:val="BodyText"/>
      </w:pPr>
      <w:r w:rsidRPr="00580905">
        <w:t xml:space="preserve">Most council staff spoken to recognised the relevance of feedback from </w:t>
      </w:r>
      <w:r w:rsidR="007A7653">
        <w:t xml:space="preserve">CME </w:t>
      </w:r>
      <w:r w:rsidRPr="00580905">
        <w:t xml:space="preserve">into RMA policy and plan development, and reviews of policies and plans. Staff stated that feedback from </w:t>
      </w:r>
      <w:r w:rsidR="007A7653">
        <w:t xml:space="preserve">CME </w:t>
      </w:r>
      <w:r w:rsidRPr="00580905">
        <w:t xml:space="preserve">staff is being used by consenting staff so that relevant and workable conditions are being included in consents. In some councils, resource consent processing staff and CME staff often work in the same section or department, and council </w:t>
      </w:r>
      <w:r w:rsidR="00EF0E1E">
        <w:t xml:space="preserve">representatives </w:t>
      </w:r>
      <w:r w:rsidRPr="00580905">
        <w:t xml:space="preserve">say there are good informal and formal links between the consenting and compliance activities. </w:t>
      </w:r>
    </w:p>
    <w:p w14:paraId="1F4F05C3" w14:textId="77777777" w:rsidR="00E93582" w:rsidRPr="00580905" w:rsidRDefault="00E93582" w:rsidP="00E93582">
      <w:pPr>
        <w:pStyle w:val="BodyText"/>
      </w:pPr>
      <w:r w:rsidRPr="00580905">
        <w:t>Information sharing between resource consent, planning and CME teams appears to be stronger in smaller councils than larger ones, primarily due to the physical separation of staff into different departments in larger councils. In smaller councils, all three functions are sometimes performed by the same team or staff members, resulting in strong communication.</w:t>
      </w:r>
    </w:p>
    <w:p w14:paraId="359CBA52" w14:textId="38450B94" w:rsidR="00E93582" w:rsidRPr="00580905" w:rsidRDefault="00265409" w:rsidP="00E93582">
      <w:pPr>
        <w:pStyle w:val="BodyText"/>
      </w:pPr>
      <w:proofErr w:type="spellStart"/>
      <w:r>
        <w:t>DairyNZ</w:t>
      </w:r>
      <w:proofErr w:type="spellEnd"/>
      <w:r w:rsidR="004C4D11">
        <w:t>, however</w:t>
      </w:r>
      <w:r w:rsidR="00ED40B2">
        <w:t>,</w:t>
      </w:r>
      <w:r w:rsidR="00E93582" w:rsidRPr="00580905">
        <w:t xml:space="preserve"> </w:t>
      </w:r>
      <w:r w:rsidR="007A7653">
        <w:t xml:space="preserve">expressed concerns about </w:t>
      </w:r>
      <w:r>
        <w:t>silo issues</w:t>
      </w:r>
      <w:r w:rsidR="004C4D11">
        <w:t>.</w:t>
      </w:r>
      <w:r w:rsidR="00E93582" w:rsidRPr="00580905">
        <w:t xml:space="preserve">  </w:t>
      </w:r>
      <w:r w:rsidR="004C4D11">
        <w:t>Their</w:t>
      </w:r>
      <w:r w:rsidR="004C4D11" w:rsidRPr="00580905">
        <w:t xml:space="preserve"> </w:t>
      </w:r>
      <w:r w:rsidR="007A7653">
        <w:t xml:space="preserve">spokesperson is </w:t>
      </w:r>
      <w:r w:rsidR="00E93582" w:rsidRPr="00580905">
        <w:t xml:space="preserve">concerned about the operation of internal council feedback loops and that </w:t>
      </w:r>
      <w:proofErr w:type="gramStart"/>
      <w:r w:rsidR="00E93582" w:rsidRPr="00580905">
        <w:t>compliance,</w:t>
      </w:r>
      <w:proofErr w:type="gramEnd"/>
      <w:r w:rsidR="00E93582" w:rsidRPr="00580905">
        <w:t xml:space="preserve"> consenting and plan-making staff often do not appear to communicate effectively with each other.</w:t>
      </w:r>
    </w:p>
    <w:p w14:paraId="58A4A345" w14:textId="4557C973" w:rsidR="00E93582" w:rsidRDefault="00F87C5B" w:rsidP="00E93582">
      <w:pPr>
        <w:pStyle w:val="BodyText"/>
      </w:pPr>
      <w:r>
        <w:t>Council representatives</w:t>
      </w:r>
      <w:r w:rsidR="00E93582" w:rsidRPr="00580905">
        <w:t xml:space="preserve"> also stated that a lack of plan agility meant that some rules in plans cannot easily be amended upon the advice of CME staff.</w:t>
      </w:r>
      <w:r w:rsidR="00E93582">
        <w:t xml:space="preserve"> </w:t>
      </w:r>
      <w:r w:rsidR="00E93582" w:rsidRPr="00580905">
        <w:t xml:space="preserve">Plan reviews often take a long time, and sub-optimal rules may remain in district and regional plans for a long time depending on review programmes and priorities. </w:t>
      </w:r>
    </w:p>
    <w:p w14:paraId="69131FCD" w14:textId="16A2E362" w:rsidR="00662DB7" w:rsidRPr="00F810A5" w:rsidRDefault="00662DB7" w:rsidP="00F810A5">
      <w:pPr>
        <w:pStyle w:val="Heading4"/>
        <w:rPr>
          <w:i/>
        </w:rPr>
      </w:pPr>
      <w:r w:rsidRPr="00F810A5">
        <w:rPr>
          <w:i/>
        </w:rPr>
        <w:t>Regional councils and unitary authorities are undergoi</w:t>
      </w:r>
      <w:r w:rsidR="0036178B" w:rsidRPr="00F810A5">
        <w:rPr>
          <w:i/>
        </w:rPr>
        <w:t>ng voluntary audits of their compliance monitoring and enforcement</w:t>
      </w:r>
      <w:r w:rsidRPr="00F810A5">
        <w:rPr>
          <w:i/>
        </w:rPr>
        <w:t xml:space="preserve"> practice</w:t>
      </w:r>
    </w:p>
    <w:p w14:paraId="1DB7EB31" w14:textId="77777777" w:rsidR="00662DB7" w:rsidRDefault="00662DB7" w:rsidP="00662DB7">
      <w:pPr>
        <w:pStyle w:val="BodyText"/>
      </w:pPr>
      <w:r>
        <w:t>The CESIG network recently agreed to carry out audits of other councils’ CME activities, to identify opportunities for strengthening practice at a national level. These audits would be initiated voluntarily, on the part of the council being audited, and carried out by council staff in the CESIG network (from regional and unitary councils). It is anticipated that all regional and unitary councils will take advantage of this review opportunity over the next three years.  </w:t>
      </w:r>
    </w:p>
    <w:p w14:paraId="1995D40A" w14:textId="678BCBDB" w:rsidR="001B66A7" w:rsidRDefault="00662DB7" w:rsidP="00156852">
      <w:pPr>
        <w:pStyle w:val="BodyText"/>
      </w:pPr>
      <w:r>
        <w:t>This idea of auditing council CME practices was sparked by an independent review in 2015 of the Waikato Regional Council’s enforcement practices.  The review panel concluded the Council’s practices are “appropriate, robust, lawful and up to date”, and made a number of recommendations for technical amendments to be made to the Council’s CME practice. The council staff involved in this investigation agreed that the process was helpful, and they have now implemented all of the panel’s recommendations.  This process has been seen as a helpful benchmark f</w:t>
      </w:r>
      <w:r w:rsidR="00F65F53">
        <w:t>or others to gauge their practic</w:t>
      </w:r>
      <w:r>
        <w:t xml:space="preserve">es on. </w:t>
      </w:r>
    </w:p>
    <w:p w14:paraId="5C2F3BB6" w14:textId="585E8818" w:rsidR="009D5A2F" w:rsidRPr="00580905" w:rsidRDefault="009D5A2F" w:rsidP="00156852">
      <w:pPr>
        <w:pStyle w:val="BodyText"/>
      </w:pPr>
      <w:r w:rsidRPr="00580905">
        <w:br w:type="page"/>
      </w:r>
    </w:p>
    <w:p w14:paraId="46FCA697" w14:textId="261DB180" w:rsidR="00505219" w:rsidRPr="00580905" w:rsidRDefault="009D5A2F" w:rsidP="000969E9">
      <w:pPr>
        <w:pStyle w:val="Heading1"/>
        <w:tabs>
          <w:tab w:val="clear" w:pos="851"/>
        </w:tabs>
        <w:ind w:left="0" w:firstLine="0"/>
      </w:pPr>
      <w:bookmarkStart w:id="53" w:name="_Toc456343408"/>
      <w:bookmarkStart w:id="54" w:name="_Toc458001912"/>
      <w:r w:rsidRPr="00580905">
        <w:t xml:space="preserve">Part 4: </w:t>
      </w:r>
      <w:r w:rsidR="0001230A" w:rsidRPr="00580905">
        <w:t xml:space="preserve">Looking forward – opportunities </w:t>
      </w:r>
      <w:r w:rsidR="007B3FD4" w:rsidRPr="00580905">
        <w:t>for improvement</w:t>
      </w:r>
      <w:bookmarkEnd w:id="53"/>
      <w:bookmarkEnd w:id="54"/>
    </w:p>
    <w:p w14:paraId="6F8FD4F8" w14:textId="0EF24E04" w:rsidR="001F68D7" w:rsidRPr="00580905" w:rsidRDefault="001F68D7" w:rsidP="00156852">
      <w:pPr>
        <w:pStyle w:val="BodyText"/>
      </w:pPr>
      <w:r w:rsidRPr="00580905">
        <w:t>This section outlines opportunities for improvement</w:t>
      </w:r>
      <w:r w:rsidR="001E1F67">
        <w:t xml:space="preserve"> to CME</w:t>
      </w:r>
      <w:r w:rsidRPr="00580905">
        <w:t xml:space="preserve">, as suggested by councils and stakeholders. </w:t>
      </w:r>
    </w:p>
    <w:p w14:paraId="73D3A96D" w14:textId="4561B631" w:rsidR="008267E1" w:rsidRPr="008A3DE5" w:rsidRDefault="008267E1" w:rsidP="00DD224D">
      <w:pPr>
        <w:pStyle w:val="Heading2"/>
      </w:pPr>
      <w:bookmarkStart w:id="55" w:name="_Toc458001913"/>
      <w:bookmarkStart w:id="56" w:name="_Toc456343409"/>
      <w:r>
        <w:t xml:space="preserve">4.1 </w:t>
      </w:r>
      <w:r w:rsidR="00EE4D28">
        <w:t>C</w:t>
      </w:r>
      <w:r w:rsidRPr="008267E1">
        <w:t>oordination</w:t>
      </w:r>
      <w:r w:rsidR="00EE4D28">
        <w:t xml:space="preserve"> of compliance activities</w:t>
      </w:r>
      <w:bookmarkEnd w:id="55"/>
      <w:r w:rsidRPr="008A3DE5">
        <w:t xml:space="preserve"> </w:t>
      </w:r>
    </w:p>
    <w:bookmarkEnd w:id="56"/>
    <w:p w14:paraId="55F3DEC7" w14:textId="05E952D3" w:rsidR="0053222E" w:rsidRPr="00F810A5" w:rsidRDefault="00F12F6A" w:rsidP="00F810A5">
      <w:pPr>
        <w:pStyle w:val="Heading4"/>
        <w:rPr>
          <w:i/>
        </w:rPr>
      </w:pPr>
      <w:r w:rsidRPr="00F810A5">
        <w:rPr>
          <w:i/>
        </w:rPr>
        <w:t>C</w:t>
      </w:r>
      <w:r w:rsidR="001F68D7" w:rsidRPr="00F810A5">
        <w:rPr>
          <w:i/>
        </w:rPr>
        <w:t xml:space="preserve">ouncils and stakeholders recognised the </w:t>
      </w:r>
      <w:r w:rsidR="00957411" w:rsidRPr="00F810A5">
        <w:rPr>
          <w:i/>
        </w:rPr>
        <w:t>pote</w:t>
      </w:r>
      <w:r w:rsidRPr="00F810A5">
        <w:rPr>
          <w:i/>
        </w:rPr>
        <w:t>ntial</w:t>
      </w:r>
      <w:r w:rsidR="0036178B" w:rsidRPr="00F810A5">
        <w:rPr>
          <w:i/>
        </w:rPr>
        <w:t xml:space="preserve"> for greater coordination of compliance monitoring and enforcement</w:t>
      </w:r>
    </w:p>
    <w:p w14:paraId="47CB6CA4" w14:textId="77777777" w:rsidR="001734D1" w:rsidRPr="00580905" w:rsidRDefault="001734D1" w:rsidP="00156852">
      <w:pPr>
        <w:pStyle w:val="BodyText"/>
      </w:pPr>
      <w:r w:rsidRPr="00580905">
        <w:t>While some council staff supported the idea of having a national network of CME staff that meets annually or biannually, a number of staff rejected this idea as being impractical. Staff in small territorial authorities often balance a number of different roles, and may not have time available for networking meetings.</w:t>
      </w:r>
    </w:p>
    <w:p w14:paraId="07B65D4D" w14:textId="2A2AE7A7" w:rsidR="00FD68BD" w:rsidRDefault="00F12F6A" w:rsidP="00156852">
      <w:pPr>
        <w:pStyle w:val="BodyText"/>
      </w:pPr>
      <w:r>
        <w:t>An</w:t>
      </w:r>
      <w:r w:rsidR="00FD68BD" w:rsidRPr="00580905">
        <w:t xml:space="preserve"> alternative suggested by</w:t>
      </w:r>
      <w:r w:rsidR="0025077C" w:rsidRPr="00580905">
        <w:t xml:space="preserve"> a number of</w:t>
      </w:r>
      <w:r w:rsidR="00FD68BD" w:rsidRPr="00580905">
        <w:t xml:space="preserve"> council staff is regional CME networks, </w:t>
      </w:r>
      <w:r w:rsidR="00310A84" w:rsidRPr="00580905">
        <w:t xml:space="preserve">in </w:t>
      </w:r>
      <w:r w:rsidR="00FD68BD" w:rsidRPr="00580905">
        <w:t>which experiences and information could be shared</w:t>
      </w:r>
      <w:r w:rsidR="00310A84" w:rsidRPr="00580905">
        <w:t xml:space="preserve"> between territorial authorities and regional councils</w:t>
      </w:r>
      <w:r w:rsidR="00FD68BD" w:rsidRPr="00580905">
        <w:t xml:space="preserve">. This type of arrangement exists informally in a number of regions, such as Waikato. A regional grouping would also provide opportunities for councils to share staff with particular specialist skills, including preparing prosecutions. Representatives of such groups could also co-ordinate activities at a national level. </w:t>
      </w:r>
    </w:p>
    <w:p w14:paraId="06D4AA2C" w14:textId="1E377BF4" w:rsidR="00E42CB5" w:rsidRPr="00FD09ED" w:rsidRDefault="00E42CB5" w:rsidP="0029058E">
      <w:pPr>
        <w:pStyle w:val="Heading2"/>
      </w:pPr>
      <w:bookmarkStart w:id="57" w:name="_Toc458001914"/>
      <w:r w:rsidRPr="008A3DE5">
        <w:t xml:space="preserve">4.2 </w:t>
      </w:r>
      <w:r w:rsidRPr="00DD224D">
        <w:t>Community</w:t>
      </w:r>
      <w:r w:rsidRPr="008A3DE5">
        <w:t xml:space="preserve"> and iwi involvement</w:t>
      </w:r>
      <w:bookmarkEnd w:id="57"/>
    </w:p>
    <w:p w14:paraId="44D45143" w14:textId="049B19A2" w:rsidR="001E1F67" w:rsidRPr="00F810A5" w:rsidRDefault="001E1F67" w:rsidP="00F810A5">
      <w:pPr>
        <w:pStyle w:val="Heading4"/>
        <w:rPr>
          <w:i/>
        </w:rPr>
      </w:pPr>
      <w:r w:rsidRPr="00F810A5">
        <w:rPr>
          <w:i/>
        </w:rPr>
        <w:t>I</w:t>
      </w:r>
      <w:r w:rsidR="00E42CB5" w:rsidRPr="00F810A5">
        <w:rPr>
          <w:i/>
        </w:rPr>
        <w:t xml:space="preserve">wi </w:t>
      </w:r>
      <w:r w:rsidRPr="00F810A5">
        <w:rPr>
          <w:i/>
        </w:rPr>
        <w:t xml:space="preserve">representatives signalled an </w:t>
      </w:r>
      <w:r w:rsidR="00E42CB5" w:rsidRPr="00F810A5">
        <w:rPr>
          <w:i/>
        </w:rPr>
        <w:t>interest</w:t>
      </w:r>
      <w:r w:rsidR="0036178B" w:rsidRPr="00F810A5">
        <w:rPr>
          <w:i/>
        </w:rPr>
        <w:t xml:space="preserve"> in being more involved with compliance monitoring and enforcement</w:t>
      </w:r>
    </w:p>
    <w:p w14:paraId="018207C5" w14:textId="6BF22F91" w:rsidR="00E42CB5" w:rsidRPr="00580905" w:rsidRDefault="00E42CB5" w:rsidP="00E42CB5">
      <w:pPr>
        <w:pStyle w:val="BodyText"/>
      </w:pPr>
      <w:r w:rsidRPr="00580905">
        <w:t xml:space="preserve">Waikato-Tainui, </w:t>
      </w:r>
      <w:proofErr w:type="spellStart"/>
      <w:r w:rsidRPr="00580905">
        <w:t>Ngati</w:t>
      </w:r>
      <w:proofErr w:type="spellEnd"/>
      <w:r w:rsidRPr="00580905">
        <w:t xml:space="preserve"> </w:t>
      </w:r>
      <w:proofErr w:type="spellStart"/>
      <w:r w:rsidRPr="00580905">
        <w:t>Raukawa</w:t>
      </w:r>
      <w:proofErr w:type="spellEnd"/>
      <w:r w:rsidRPr="00580905">
        <w:t xml:space="preserve"> and </w:t>
      </w:r>
      <w:proofErr w:type="spellStart"/>
      <w:r w:rsidRPr="00580905">
        <w:t>Ngati</w:t>
      </w:r>
      <w:proofErr w:type="spellEnd"/>
      <w:r w:rsidRPr="00580905">
        <w:t xml:space="preserve"> </w:t>
      </w:r>
      <w:proofErr w:type="spellStart"/>
      <w:r w:rsidRPr="00580905">
        <w:t>Maniapoto</w:t>
      </w:r>
      <w:proofErr w:type="spellEnd"/>
      <w:r w:rsidRPr="00580905">
        <w:t xml:space="preserve"> have Joint Management Agreements (JMAs) with the regional and territorial authorities in their </w:t>
      </w:r>
      <w:proofErr w:type="spellStart"/>
      <w:r w:rsidRPr="00580905">
        <w:t>rohe</w:t>
      </w:r>
      <w:proofErr w:type="spellEnd"/>
      <w:r w:rsidRPr="00580905">
        <w:t xml:space="preserve">, which require the councils to meet with them on a regular basis and discuss CME. </w:t>
      </w:r>
    </w:p>
    <w:p w14:paraId="7470BC8C" w14:textId="722E9763" w:rsidR="00E42CB5" w:rsidRPr="00580905" w:rsidRDefault="00E42CB5" w:rsidP="00E42CB5">
      <w:pPr>
        <w:pStyle w:val="BodyText"/>
      </w:pPr>
      <w:r w:rsidRPr="00580905">
        <w:t>All three iwi authorities stated they are keen to become more directly involved in CME. They said iwi, with knowledge of local areas developed over many years,</w:t>
      </w:r>
      <w:r w:rsidR="00F12F6A">
        <w:t xml:space="preserve"> are invaluable in the RMA context</w:t>
      </w:r>
      <w:r w:rsidRPr="00580905">
        <w:t xml:space="preserve">. </w:t>
      </w:r>
      <w:proofErr w:type="spellStart"/>
      <w:r w:rsidRPr="00580905">
        <w:t>Raukawa</w:t>
      </w:r>
      <w:proofErr w:type="spellEnd"/>
      <w:r w:rsidRPr="00580905">
        <w:t xml:space="preserve"> explained that they don’t want the iwi to carry out CME work themselves, but they would like to see </w:t>
      </w:r>
      <w:proofErr w:type="spellStart"/>
      <w:r w:rsidRPr="00580905">
        <w:t>matauranga</w:t>
      </w:r>
      <w:proofErr w:type="spellEnd"/>
      <w:r w:rsidRPr="00580905">
        <w:t xml:space="preserve"> Māori</w:t>
      </w:r>
      <w:r w:rsidR="00F12F6A">
        <w:t xml:space="preserve"> techniques used for monitoring.</w:t>
      </w:r>
    </w:p>
    <w:p w14:paraId="351384F0" w14:textId="48DFC7B9" w:rsidR="00E77BED" w:rsidRDefault="00E42CB5" w:rsidP="00156852">
      <w:pPr>
        <w:pStyle w:val="BodyText"/>
      </w:pPr>
      <w:r w:rsidRPr="00580905">
        <w:t xml:space="preserve">Waikato-Tainui would like communities to be more involved in monitoring and suggested that councils use section 33 of the RMA to delegate some CME functions to iwi. No council has done this yet, but Waikato-Tainui </w:t>
      </w:r>
      <w:proofErr w:type="gramStart"/>
      <w:r w:rsidRPr="00580905">
        <w:t>believe</w:t>
      </w:r>
      <w:proofErr w:type="gramEnd"/>
      <w:r w:rsidRPr="00580905">
        <w:t xml:space="preserve"> such a delegation would empower local people to monitor in their communities. </w:t>
      </w:r>
      <w:r>
        <w:t xml:space="preserve"> Federated Farmers disagrees with this suggestion. They believe it is inappropriate for councils to delegate CME functions to </w:t>
      </w:r>
      <w:r w:rsidR="00024821">
        <w:t>community or iwi groups</w:t>
      </w:r>
      <w:r>
        <w:t>. In their</w:t>
      </w:r>
      <w:r w:rsidR="001A3FB8">
        <w:t xml:space="preserve"> view, the opportunity for </w:t>
      </w:r>
      <w:r w:rsidR="00024821">
        <w:t xml:space="preserve">community and </w:t>
      </w:r>
      <w:r w:rsidR="001A3FB8">
        <w:t>iwi interest</w:t>
      </w:r>
      <w:r>
        <w:t xml:space="preserve">s </w:t>
      </w:r>
      <w:r w:rsidR="00024821">
        <w:t>is best</w:t>
      </w:r>
      <w:r>
        <w:t xml:space="preserve"> taken into account during plan-making.</w:t>
      </w:r>
    </w:p>
    <w:p w14:paraId="225814A1" w14:textId="230932C0" w:rsidR="003F5F23" w:rsidRPr="008A3DE5" w:rsidRDefault="008267E1" w:rsidP="00DD224D">
      <w:pPr>
        <w:pStyle w:val="Heading2"/>
      </w:pPr>
      <w:bookmarkStart w:id="58" w:name="_Toc456343410"/>
      <w:bookmarkStart w:id="59" w:name="_Toc458001915"/>
      <w:r w:rsidRPr="008267E1">
        <w:t>4.</w:t>
      </w:r>
      <w:r w:rsidR="00E42CB5">
        <w:t>3</w:t>
      </w:r>
      <w:r w:rsidRPr="008A3DE5">
        <w:t xml:space="preserve"> </w:t>
      </w:r>
      <w:bookmarkEnd w:id="58"/>
      <w:r w:rsidR="006A220D">
        <w:t>Role of central government</w:t>
      </w:r>
      <w:bookmarkEnd w:id="59"/>
    </w:p>
    <w:p w14:paraId="32ECA58D" w14:textId="3B97D5BC" w:rsidR="006A220D" w:rsidRPr="006A220D" w:rsidRDefault="006A220D">
      <w:pPr>
        <w:pStyle w:val="Heading3"/>
      </w:pPr>
      <w:r w:rsidRPr="00DD224D">
        <w:t>National</w:t>
      </w:r>
      <w:r w:rsidRPr="006A220D">
        <w:t xml:space="preserve"> direction and guidance</w:t>
      </w:r>
    </w:p>
    <w:p w14:paraId="3A1BC3CD" w14:textId="77777777" w:rsidR="006A220D" w:rsidRPr="00F810A5" w:rsidRDefault="00B27736" w:rsidP="00F810A5">
      <w:pPr>
        <w:pStyle w:val="Heading4"/>
        <w:rPr>
          <w:i/>
        </w:rPr>
      </w:pPr>
      <w:r w:rsidRPr="00F810A5">
        <w:rPr>
          <w:i/>
        </w:rPr>
        <w:t>Some councils and stakeholders expressed support for national direction</w:t>
      </w:r>
    </w:p>
    <w:p w14:paraId="654910C9" w14:textId="57002FA2" w:rsidR="00B27736" w:rsidRPr="00580905" w:rsidRDefault="00B27736" w:rsidP="00156852">
      <w:pPr>
        <w:pStyle w:val="BodyText"/>
      </w:pPr>
      <w:r w:rsidRPr="00580905">
        <w:t>National direction could focus on CME generally, or be focused on activities such as quarrying, stock access to waterways and gravel extraction.</w:t>
      </w:r>
    </w:p>
    <w:p w14:paraId="3F15DA51" w14:textId="24529C0D" w:rsidR="00B27736" w:rsidRPr="00580905" w:rsidRDefault="00B27736" w:rsidP="00156852">
      <w:pPr>
        <w:pStyle w:val="BodyText"/>
      </w:pPr>
      <w:r w:rsidRPr="00580905">
        <w:t>Others did not believe there was a need for increased central government direction.</w:t>
      </w:r>
      <w:r w:rsidR="00580905">
        <w:t xml:space="preserve"> </w:t>
      </w:r>
      <w:r w:rsidRPr="00580905">
        <w:t>One council rejected the idea of a</w:t>
      </w:r>
      <w:r w:rsidR="002C2BD6" w:rsidRPr="00580905">
        <w:t>n</w:t>
      </w:r>
      <w:r w:rsidRPr="00580905">
        <w:t xml:space="preserve"> NES/NPS on CME or specific activities</w:t>
      </w:r>
      <w:r w:rsidR="002C2BD6" w:rsidRPr="00580905">
        <w:t>,</w:t>
      </w:r>
      <w:r w:rsidRPr="00580905">
        <w:t xml:space="preserve"> due to possible inflexibilities of such policies/standards and adapting them to local circumstances. A territorial authority staff member said a ‘one size fit all’ approach to </w:t>
      </w:r>
      <w:r w:rsidR="006A220D">
        <w:t xml:space="preserve">CME </w:t>
      </w:r>
      <w:r w:rsidR="009119CD">
        <w:t>will not work.</w:t>
      </w:r>
      <w:r w:rsidRPr="00580905">
        <w:t xml:space="preserve"> </w:t>
      </w:r>
    </w:p>
    <w:p w14:paraId="2CC538DD" w14:textId="68363F77" w:rsidR="007F1DE4" w:rsidRPr="00580905" w:rsidRDefault="007F1DE4" w:rsidP="00156852">
      <w:pPr>
        <w:pStyle w:val="BodyText"/>
      </w:pPr>
      <w:r w:rsidRPr="00580905">
        <w:t xml:space="preserve">A number of </w:t>
      </w:r>
      <w:r w:rsidR="00915B5A" w:rsidRPr="00580905">
        <w:t xml:space="preserve">council </w:t>
      </w:r>
      <w:r w:rsidRPr="00580905">
        <w:t>staff and s</w:t>
      </w:r>
      <w:r w:rsidRPr="00580905">
        <w:rPr>
          <w:color w:val="000000"/>
        </w:rPr>
        <w:t xml:space="preserve">takeholders expressed support for national guidance or best practice to be developed. </w:t>
      </w:r>
      <w:r w:rsidRPr="00580905">
        <w:t xml:space="preserve">In lieu of a national guidance document, </w:t>
      </w:r>
      <w:r w:rsidR="00050798" w:rsidRPr="00580905">
        <w:t xml:space="preserve">some councils use the Waikato Regional Council </w:t>
      </w:r>
      <w:r w:rsidR="002C2BD6" w:rsidRPr="00580905">
        <w:t>(2016)</w:t>
      </w:r>
      <w:r w:rsidR="00050798" w:rsidRPr="00580905">
        <w:t xml:space="preserve"> guidance manual on </w:t>
      </w:r>
      <w:r w:rsidR="00050798" w:rsidRPr="00580905">
        <w:rPr>
          <w:i/>
        </w:rPr>
        <w:t>Basic Investigative Skills for Local Government.</w:t>
      </w:r>
      <w:r w:rsidR="00050798" w:rsidRPr="00580905">
        <w:rPr>
          <w:rStyle w:val="FootnoteReference"/>
          <w:rFonts w:asciiTheme="minorHAnsi" w:hAnsiTheme="minorHAnsi"/>
        </w:rPr>
        <w:footnoteReference w:id="44"/>
      </w:r>
      <w:r w:rsidR="00050798" w:rsidRPr="00580905">
        <w:t xml:space="preserve"> Others </w:t>
      </w:r>
      <w:r w:rsidRPr="00580905">
        <w:t>refer to the Quality Planning website for guidance on CME.</w:t>
      </w:r>
      <w:r w:rsidRPr="00580905">
        <w:rPr>
          <w:rStyle w:val="FootnoteReference"/>
          <w:rFonts w:asciiTheme="minorHAnsi" w:hAnsiTheme="minorHAnsi"/>
        </w:rPr>
        <w:footnoteReference w:id="45"/>
      </w:r>
      <w:r w:rsidRPr="00580905">
        <w:t xml:space="preserve"> </w:t>
      </w:r>
      <w:r w:rsidR="002C2BD6" w:rsidRPr="00580905">
        <w:t>T</w:t>
      </w:r>
      <w:r w:rsidR="00915B5A" w:rsidRPr="00580905">
        <w:t xml:space="preserve">his guidance </w:t>
      </w:r>
      <w:r w:rsidR="004E76E7" w:rsidRPr="00580905">
        <w:t xml:space="preserve">has not been updated </w:t>
      </w:r>
      <w:r w:rsidR="00050798" w:rsidRPr="00580905">
        <w:t xml:space="preserve">since 2013, </w:t>
      </w:r>
      <w:r w:rsidR="002C2BD6" w:rsidRPr="00580905">
        <w:t xml:space="preserve">however, </w:t>
      </w:r>
      <w:r w:rsidR="00915B5A" w:rsidRPr="00580905">
        <w:t>and contains some gaps.</w:t>
      </w:r>
      <w:r w:rsidR="00135707" w:rsidRPr="00580905">
        <w:rPr>
          <w:rStyle w:val="FootnoteReference"/>
          <w:rFonts w:asciiTheme="minorHAnsi" w:hAnsiTheme="minorHAnsi"/>
        </w:rPr>
        <w:footnoteReference w:id="46"/>
      </w:r>
      <w:r w:rsidR="00915B5A" w:rsidRPr="00580905">
        <w:t xml:space="preserve"> </w:t>
      </w:r>
    </w:p>
    <w:p w14:paraId="04C1A503" w14:textId="13E42355" w:rsidR="00DD5B17" w:rsidRPr="00DD224D" w:rsidRDefault="00DD5B17" w:rsidP="00C3361B">
      <w:pPr>
        <w:pStyle w:val="Heading3"/>
      </w:pPr>
      <w:r w:rsidRPr="00DD224D">
        <w:t xml:space="preserve">National enforcement agency </w:t>
      </w:r>
    </w:p>
    <w:p w14:paraId="01D6F239" w14:textId="00DC5C29" w:rsidR="00D521C8" w:rsidRPr="00F810A5" w:rsidRDefault="00324B64" w:rsidP="00F810A5">
      <w:pPr>
        <w:pStyle w:val="Heading4"/>
        <w:rPr>
          <w:i/>
        </w:rPr>
      </w:pPr>
      <w:r w:rsidRPr="00F810A5">
        <w:rPr>
          <w:i/>
        </w:rPr>
        <w:t>There were mixed views on the efficacy of a national enforcement agency</w:t>
      </w:r>
    </w:p>
    <w:p w14:paraId="7DDCB24D" w14:textId="1CF3BD40" w:rsidR="001D7E48" w:rsidRPr="00580905" w:rsidRDefault="00146679" w:rsidP="009E58B7">
      <w:pPr>
        <w:pStyle w:val="BodyText"/>
      </w:pPr>
      <w:r w:rsidRPr="00580905">
        <w:t>Th</w:t>
      </w:r>
      <w:r w:rsidR="00A537E2" w:rsidRPr="00580905">
        <w:t>e potential for</w:t>
      </w:r>
      <w:r w:rsidR="00E15D8B" w:rsidRPr="00580905">
        <w:t xml:space="preserve"> council </w:t>
      </w:r>
      <w:r w:rsidR="00D521C8">
        <w:t xml:space="preserve">RMA </w:t>
      </w:r>
      <w:r w:rsidR="00E15D8B" w:rsidRPr="00580905">
        <w:t>enforcement functions to be transferred to</w:t>
      </w:r>
      <w:r w:rsidR="00A537E2" w:rsidRPr="00580905">
        <w:t xml:space="preserve"> a </w:t>
      </w:r>
      <w:r w:rsidR="000E6B94" w:rsidRPr="00580905">
        <w:t>national</w:t>
      </w:r>
      <w:r w:rsidR="00A537E2" w:rsidRPr="00580905">
        <w:t xml:space="preserve"> </w:t>
      </w:r>
      <w:r w:rsidR="000E6B94" w:rsidRPr="00580905">
        <w:t xml:space="preserve">agency </w:t>
      </w:r>
      <w:r w:rsidR="00A537E2" w:rsidRPr="00580905">
        <w:t>(such as the Environment Protection Authority, Ministry for t</w:t>
      </w:r>
      <w:r w:rsidR="00E15D8B" w:rsidRPr="00580905">
        <w:t>he Environment</w:t>
      </w:r>
      <w:r w:rsidR="00CF5561" w:rsidRPr="00580905">
        <w:t>,</w:t>
      </w:r>
      <w:r w:rsidR="00E15D8B" w:rsidRPr="00580905">
        <w:t xml:space="preserve"> or another new agency)</w:t>
      </w:r>
      <w:r w:rsidRPr="00580905">
        <w:t xml:space="preserve"> was raised</w:t>
      </w:r>
      <w:r w:rsidR="00D521C8">
        <w:t xml:space="preserve"> by stakeholders and council representatives</w:t>
      </w:r>
      <w:r w:rsidR="00FC1252" w:rsidRPr="00580905">
        <w:t>. E</w:t>
      </w:r>
      <w:r w:rsidR="00F21E2E" w:rsidRPr="00580905">
        <w:t xml:space="preserve">nforcement work is carried out by a central government agency in a number of other countries, such as </w:t>
      </w:r>
      <w:r w:rsidRPr="00580905">
        <w:t>the United Kingdom</w:t>
      </w:r>
      <w:r w:rsidR="00FC1252" w:rsidRPr="00580905">
        <w:rPr>
          <w:rStyle w:val="FootnoteReference"/>
          <w:rFonts w:asciiTheme="minorHAnsi" w:hAnsiTheme="minorHAnsi"/>
          <w:color w:val="000000"/>
        </w:rPr>
        <w:footnoteReference w:id="47"/>
      </w:r>
      <w:r w:rsidRPr="00580905">
        <w:t xml:space="preserve"> and Sweden</w:t>
      </w:r>
      <w:r w:rsidR="00FA7B45" w:rsidRPr="00580905">
        <w:t xml:space="preserve">. </w:t>
      </w:r>
      <w:r w:rsidR="00533A51" w:rsidRPr="00580905">
        <w:t>S</w:t>
      </w:r>
      <w:r w:rsidR="001F0657" w:rsidRPr="00580905">
        <w:t>upport was expressed for such an approach</w:t>
      </w:r>
      <w:r w:rsidR="00FF036A" w:rsidRPr="00580905">
        <w:t xml:space="preserve"> </w:t>
      </w:r>
      <w:r w:rsidR="001F0657" w:rsidRPr="00580905">
        <w:t xml:space="preserve">by </w:t>
      </w:r>
      <w:r w:rsidR="00B84400" w:rsidRPr="00580905">
        <w:t xml:space="preserve">a number of council staff and stakeholders. </w:t>
      </w:r>
      <w:r w:rsidR="00750CAB" w:rsidRPr="00580905">
        <w:t xml:space="preserve">For example, </w:t>
      </w:r>
      <w:r w:rsidR="001F0657" w:rsidRPr="00580905">
        <w:t>Waikato-Tainui</w:t>
      </w:r>
      <w:r w:rsidR="00B84400" w:rsidRPr="00580905">
        <w:t xml:space="preserve"> believes</w:t>
      </w:r>
      <w:r w:rsidR="001D7E48" w:rsidRPr="00580905">
        <w:t xml:space="preserve"> a national agency would take away the political element from </w:t>
      </w:r>
      <w:r w:rsidR="00E15D8B" w:rsidRPr="00580905">
        <w:t>enforcement decisions</w:t>
      </w:r>
      <w:r w:rsidR="00B84400" w:rsidRPr="00580905">
        <w:t>, insuring greater independence</w:t>
      </w:r>
      <w:r w:rsidR="00750CAB" w:rsidRPr="00580905">
        <w:t xml:space="preserve"> and consistency</w:t>
      </w:r>
      <w:r w:rsidR="00B84400" w:rsidRPr="00580905">
        <w:t xml:space="preserve"> in decision-m</w:t>
      </w:r>
      <w:r w:rsidR="00750CAB" w:rsidRPr="00580905">
        <w:t>aking across the country.</w:t>
      </w:r>
      <w:r w:rsidR="00FE2CD5">
        <w:t xml:space="preserve"> </w:t>
      </w:r>
    </w:p>
    <w:p w14:paraId="4F6B6800" w14:textId="042DAD1F" w:rsidR="00DD3E8D" w:rsidRPr="00580905" w:rsidRDefault="00716010" w:rsidP="009E58B7">
      <w:pPr>
        <w:pStyle w:val="BodyText"/>
      </w:pPr>
      <w:r w:rsidRPr="00580905">
        <w:t>Other</w:t>
      </w:r>
      <w:r w:rsidR="00DD3E8D" w:rsidRPr="00580905">
        <w:t xml:space="preserve">s </w:t>
      </w:r>
      <w:r w:rsidR="00251421" w:rsidRPr="00580905">
        <w:t>were sceptical</w:t>
      </w:r>
      <w:r w:rsidR="00146679" w:rsidRPr="00580905">
        <w:t xml:space="preserve"> about </w:t>
      </w:r>
      <w:r w:rsidR="006B1FC8" w:rsidRPr="00580905">
        <w:t>the</w:t>
      </w:r>
      <w:r w:rsidR="00146679" w:rsidRPr="00580905">
        <w:t xml:space="preserve"> effectiveness</w:t>
      </w:r>
      <w:r w:rsidR="006B1FC8" w:rsidRPr="00580905">
        <w:t xml:space="preserve"> of such a model</w:t>
      </w:r>
      <w:r w:rsidR="00251421" w:rsidRPr="00580905">
        <w:t xml:space="preserve">. </w:t>
      </w:r>
      <w:r w:rsidR="00750CAB" w:rsidRPr="00580905">
        <w:t xml:space="preserve">Some </w:t>
      </w:r>
      <w:r w:rsidR="00DD3E8D" w:rsidRPr="00580905">
        <w:t xml:space="preserve">council representatives </w:t>
      </w:r>
      <w:r w:rsidR="00750CAB" w:rsidRPr="00580905">
        <w:t>thought that staff in a</w:t>
      </w:r>
      <w:r w:rsidR="00146679" w:rsidRPr="00580905">
        <w:t xml:space="preserve"> national </w:t>
      </w:r>
      <w:r w:rsidR="00E15D8B" w:rsidRPr="00580905">
        <w:t xml:space="preserve">enforcement </w:t>
      </w:r>
      <w:r w:rsidR="00146679" w:rsidRPr="00580905">
        <w:t xml:space="preserve">agency would </w:t>
      </w:r>
      <w:r w:rsidR="00B84400" w:rsidRPr="00580905">
        <w:t xml:space="preserve">lack </w:t>
      </w:r>
      <w:r w:rsidR="00251421" w:rsidRPr="00580905">
        <w:t xml:space="preserve">local knowledge and </w:t>
      </w:r>
      <w:r w:rsidR="00B84400" w:rsidRPr="00580905">
        <w:t xml:space="preserve">an </w:t>
      </w:r>
      <w:r w:rsidR="00146679" w:rsidRPr="00580905">
        <w:t>understand</w:t>
      </w:r>
      <w:r w:rsidR="00B84400" w:rsidRPr="00580905">
        <w:t>ing</w:t>
      </w:r>
      <w:r w:rsidR="00146679" w:rsidRPr="00580905">
        <w:t xml:space="preserve"> </w:t>
      </w:r>
      <w:r w:rsidR="00135707" w:rsidRPr="00580905">
        <w:t xml:space="preserve">of </w:t>
      </w:r>
      <w:r w:rsidR="00146679" w:rsidRPr="00580905">
        <w:t xml:space="preserve">local </w:t>
      </w:r>
      <w:r w:rsidR="00E15D8B" w:rsidRPr="00580905">
        <w:t>context</w:t>
      </w:r>
      <w:r w:rsidR="00DD3E8D" w:rsidRPr="00580905">
        <w:t xml:space="preserve">. Others </w:t>
      </w:r>
      <w:r w:rsidR="00B84400" w:rsidRPr="00580905">
        <w:t xml:space="preserve">were concerned about the costs of such a model, and raised questions around how </w:t>
      </w:r>
      <w:r w:rsidR="00CF5561" w:rsidRPr="00580905">
        <w:t>it</w:t>
      </w:r>
      <w:r w:rsidR="00B84400" w:rsidRPr="00580905">
        <w:t xml:space="preserve"> could be funded.</w:t>
      </w:r>
      <w:r w:rsidR="00DD3E8D" w:rsidRPr="00580905">
        <w:t xml:space="preserve"> The Productivity Commission</w:t>
      </w:r>
      <w:r w:rsidR="00017F78" w:rsidRPr="00580905">
        <w:t xml:space="preserve"> stated that</w:t>
      </w:r>
      <w:r w:rsidR="00DD3E8D" w:rsidRPr="00580905">
        <w:t xml:space="preserve"> </w:t>
      </w:r>
      <w:r w:rsidR="00017F78" w:rsidRPr="00580905">
        <w:t xml:space="preserve">a clear case to justify </w:t>
      </w:r>
      <w:r w:rsidR="007051C8" w:rsidRPr="00580905">
        <w:t xml:space="preserve">shifting monitoring functions to a central agency </w:t>
      </w:r>
      <w:r w:rsidR="00017F78" w:rsidRPr="00580905">
        <w:t xml:space="preserve">would be required, and the Commission is not </w:t>
      </w:r>
      <w:r w:rsidR="00DD3E8D" w:rsidRPr="00580905">
        <w:t>convin</w:t>
      </w:r>
      <w:r w:rsidR="007051C8" w:rsidRPr="00580905">
        <w:t>ced there is sufficient evidence to support this</w:t>
      </w:r>
      <w:r w:rsidR="00017F78" w:rsidRPr="00580905">
        <w:t xml:space="preserve">. </w:t>
      </w:r>
    </w:p>
    <w:p w14:paraId="09F1CB17" w14:textId="192CD98A" w:rsidR="00D22891" w:rsidRPr="00580905" w:rsidRDefault="00DD3E8D" w:rsidP="009E58B7">
      <w:pPr>
        <w:pStyle w:val="BodyText"/>
      </w:pPr>
      <w:r w:rsidRPr="00580905">
        <w:t xml:space="preserve">The Environmental Defence Society acknowledged that a national agency could provide greater consistency </w:t>
      </w:r>
      <w:r w:rsidR="00743D9A" w:rsidRPr="00580905">
        <w:t>in decision-making about enforcement</w:t>
      </w:r>
      <w:r w:rsidRPr="00580905">
        <w:t>, but noted there was a balance that needed to be struck as some aspects of compliance (proactive education) may be best delivered locally.</w:t>
      </w:r>
      <w:r w:rsidR="00716010" w:rsidRPr="00580905">
        <w:t xml:space="preserve"> </w:t>
      </w:r>
    </w:p>
    <w:p w14:paraId="15EADBEC" w14:textId="77777777" w:rsidR="00533A51" w:rsidRPr="00DD224D" w:rsidRDefault="00533A51" w:rsidP="00C3361B">
      <w:pPr>
        <w:pStyle w:val="Heading3"/>
      </w:pPr>
      <w:r w:rsidRPr="00DD224D">
        <w:t>Training</w:t>
      </w:r>
      <w:r w:rsidR="007F1EEE" w:rsidRPr="00DD224D">
        <w:t>, funding</w:t>
      </w:r>
      <w:r w:rsidR="00C25221" w:rsidRPr="00DD224D">
        <w:t xml:space="preserve"> </w:t>
      </w:r>
      <w:r w:rsidR="00320209" w:rsidRPr="00DD224D">
        <w:t>and support</w:t>
      </w:r>
    </w:p>
    <w:p w14:paraId="20C84AE4" w14:textId="542647DB" w:rsidR="00324B64" w:rsidRPr="00F810A5" w:rsidRDefault="00324B64" w:rsidP="00F810A5">
      <w:pPr>
        <w:pStyle w:val="Heading4"/>
        <w:rPr>
          <w:i/>
        </w:rPr>
      </w:pPr>
      <w:r w:rsidRPr="00F810A5">
        <w:rPr>
          <w:i/>
        </w:rPr>
        <w:t>C</w:t>
      </w:r>
      <w:r w:rsidR="00F558C9" w:rsidRPr="00F810A5">
        <w:rPr>
          <w:i/>
        </w:rPr>
        <w:t xml:space="preserve">ouncils and stakeholders identified opportunities for </w:t>
      </w:r>
      <w:r w:rsidRPr="00F810A5">
        <w:rPr>
          <w:i/>
        </w:rPr>
        <w:t>greater training, funding and support</w:t>
      </w:r>
    </w:p>
    <w:p w14:paraId="060CC6F6" w14:textId="0438D180" w:rsidR="00B27736" w:rsidRPr="00580905" w:rsidRDefault="00B51297" w:rsidP="009E58B7">
      <w:pPr>
        <w:pStyle w:val="BodyText"/>
      </w:pPr>
      <w:r w:rsidRPr="00580905">
        <w:t>An alternative to a national enforcement agency, suggested by one</w:t>
      </w:r>
      <w:r w:rsidR="00B27736" w:rsidRPr="00580905">
        <w:t xml:space="preserve"> council representative</w:t>
      </w:r>
      <w:r w:rsidR="001E4BD9" w:rsidRPr="00580905">
        <w:t>,</w:t>
      </w:r>
      <w:r w:rsidR="00B27736" w:rsidRPr="00580905">
        <w:t xml:space="preserve"> </w:t>
      </w:r>
      <w:r w:rsidRPr="00580905">
        <w:t xml:space="preserve">is a national support unit </w:t>
      </w:r>
      <w:r w:rsidR="00667A8E" w:rsidRPr="00580905">
        <w:t>that</w:t>
      </w:r>
      <w:r w:rsidRPr="00580905">
        <w:t xml:space="preserve"> provides guidance to councils on CME</w:t>
      </w:r>
      <w:r w:rsidR="00B27736" w:rsidRPr="00580905">
        <w:t xml:space="preserve">. A national support unit could be operated by experienced CME staff </w:t>
      </w:r>
      <w:proofErr w:type="gramStart"/>
      <w:r w:rsidR="00B27736" w:rsidRPr="00580905">
        <w:t>who</w:t>
      </w:r>
      <w:proofErr w:type="gramEnd"/>
      <w:r w:rsidR="00B27736" w:rsidRPr="00580905">
        <w:t xml:space="preserve"> are able to give targeted guidance to CME staff about appropriate courses of action in certain circumstances via phone</w:t>
      </w:r>
      <w:r w:rsidR="00717578" w:rsidRPr="00580905">
        <w:t>,</w:t>
      </w:r>
      <w:r w:rsidR="00B27736" w:rsidRPr="00580905">
        <w:t xml:space="preserve"> or site visit, where necessary. These staff could also provide a national training programme for CME staff. </w:t>
      </w:r>
      <w:r w:rsidR="00FE2CD5">
        <w:t xml:space="preserve">There are a number of models which could be drawn upon, such as the programmes for training of Department of Conservation and Fish &amp; Game rangers. </w:t>
      </w:r>
      <w:r w:rsidR="00717578" w:rsidRPr="00580905">
        <w:t>A</w:t>
      </w:r>
      <w:r w:rsidR="00B27736" w:rsidRPr="00580905">
        <w:t xml:space="preserve">nother council representative disagreed with this approach, </w:t>
      </w:r>
      <w:r w:rsidR="00717578" w:rsidRPr="00580905">
        <w:t xml:space="preserve">however, </w:t>
      </w:r>
      <w:r w:rsidR="00B27736" w:rsidRPr="00580905">
        <w:t>as it would be difficult to find people with appropriate experience and knowledge of local circumstances.</w:t>
      </w:r>
    </w:p>
    <w:p w14:paraId="2AAC4B53" w14:textId="31C4D26B" w:rsidR="000F2ACA" w:rsidRPr="00580905" w:rsidRDefault="007F1EEE" w:rsidP="009E58B7">
      <w:pPr>
        <w:pStyle w:val="BodyText"/>
      </w:pPr>
      <w:r w:rsidRPr="00580905">
        <w:t xml:space="preserve">One council suggested the Ministry </w:t>
      </w:r>
      <w:r w:rsidR="000F2ACA" w:rsidRPr="00580905">
        <w:t xml:space="preserve">for the Environment </w:t>
      </w:r>
      <w:r w:rsidRPr="00580905">
        <w:t xml:space="preserve">organise forums on CME to help raise skills, increase national consistency, </w:t>
      </w:r>
      <w:r w:rsidR="001E4BD9" w:rsidRPr="00580905">
        <w:t xml:space="preserve">and to assist with removing </w:t>
      </w:r>
      <w:r w:rsidRPr="00580905">
        <w:t xml:space="preserve">political elements from </w:t>
      </w:r>
      <w:r w:rsidR="00537A7B" w:rsidRPr="00580905">
        <w:t xml:space="preserve">CME </w:t>
      </w:r>
      <w:r w:rsidRPr="00580905">
        <w:t xml:space="preserve">work. </w:t>
      </w:r>
      <w:r w:rsidR="00E50DFF" w:rsidRPr="00580905">
        <w:t>The Env</w:t>
      </w:r>
      <w:r w:rsidR="001E4BD9" w:rsidRPr="00580905">
        <w:t xml:space="preserve">ironmental Defence Society </w:t>
      </w:r>
      <w:r w:rsidR="00E50DFF" w:rsidRPr="00580905">
        <w:t>sugg</w:t>
      </w:r>
      <w:r w:rsidR="00653F59" w:rsidRPr="00580905">
        <w:t>e</w:t>
      </w:r>
      <w:r w:rsidR="00E50DFF" w:rsidRPr="00580905">
        <w:t>sted the Min</w:t>
      </w:r>
      <w:r w:rsidR="00653F59" w:rsidRPr="00580905">
        <w:t>i</w:t>
      </w:r>
      <w:r w:rsidR="00E50DFF" w:rsidRPr="00580905">
        <w:t>stry</w:t>
      </w:r>
      <w:r w:rsidR="00653F59" w:rsidRPr="00580905">
        <w:t xml:space="preserve"> </w:t>
      </w:r>
      <w:r w:rsidR="00E50DFF" w:rsidRPr="00580905">
        <w:t xml:space="preserve">or </w:t>
      </w:r>
      <w:r w:rsidR="00251421" w:rsidRPr="00580905">
        <w:t>an</w:t>
      </w:r>
      <w:r w:rsidR="004230C5" w:rsidRPr="00580905">
        <w:t xml:space="preserve">other organisation </w:t>
      </w:r>
      <w:r w:rsidR="00E50DFF" w:rsidRPr="00580905">
        <w:t xml:space="preserve">provide </w:t>
      </w:r>
      <w:r w:rsidR="005C2DC3" w:rsidRPr="00580905">
        <w:t>training</w:t>
      </w:r>
      <w:r w:rsidR="00E50DFF" w:rsidRPr="00580905">
        <w:t xml:space="preserve"> </w:t>
      </w:r>
      <w:r w:rsidR="005C2DC3" w:rsidRPr="00580905">
        <w:t xml:space="preserve">for </w:t>
      </w:r>
      <w:r w:rsidR="004230C5" w:rsidRPr="00580905">
        <w:t xml:space="preserve">all </w:t>
      </w:r>
      <w:r w:rsidR="005C2DC3" w:rsidRPr="00580905">
        <w:t xml:space="preserve">new </w:t>
      </w:r>
      <w:r w:rsidR="004230C5" w:rsidRPr="00580905">
        <w:t xml:space="preserve">CME staff </w:t>
      </w:r>
      <w:r w:rsidR="00C23D78" w:rsidRPr="00580905">
        <w:t>in councils</w:t>
      </w:r>
      <w:r w:rsidR="00952243" w:rsidRPr="00580905">
        <w:t>. This could help these staff to be successful in this area of work</w:t>
      </w:r>
      <w:r w:rsidR="00AB0906" w:rsidRPr="00580905">
        <w:t>,</w:t>
      </w:r>
      <w:r w:rsidR="00952243" w:rsidRPr="00580905">
        <w:t xml:space="preserve"> which is</w:t>
      </w:r>
      <w:r w:rsidR="00580905">
        <w:t xml:space="preserve"> </w:t>
      </w:r>
      <w:r w:rsidR="005C2DC3" w:rsidRPr="00580905">
        <w:t xml:space="preserve">highly specialised, with complex processes requiring accurate and precise approaches. </w:t>
      </w:r>
    </w:p>
    <w:p w14:paraId="5FA41896" w14:textId="431FAACD" w:rsidR="004230C5" w:rsidRPr="00580905" w:rsidRDefault="004230C5" w:rsidP="00156852">
      <w:pPr>
        <w:pStyle w:val="BodyText"/>
      </w:pPr>
      <w:r w:rsidRPr="00580905">
        <w:t xml:space="preserve">Specific New Zealand Qualifications Authority compliance training modules are currently </w:t>
      </w:r>
      <w:r w:rsidR="00AB0906" w:rsidRPr="00580905">
        <w:t>being developed</w:t>
      </w:r>
      <w:r w:rsidRPr="00580905">
        <w:t xml:space="preserve"> by the Ministry of Business, Innovation and Employment, with support from other central government agencies and local government. The standards will help to lift the capability of staff working in CME, and increase the status with which the work is regarded. A challenge will be finding a provider and assessor to support the qualifications. </w:t>
      </w:r>
    </w:p>
    <w:p w14:paraId="4B5038E9" w14:textId="2A203A73" w:rsidR="004230C5" w:rsidRPr="00580905" w:rsidRDefault="004230C5" w:rsidP="00156852">
      <w:pPr>
        <w:pStyle w:val="BodyText"/>
      </w:pPr>
      <w:r w:rsidRPr="00580905">
        <w:t>A CME training course is currently provided on an ad hoc and voluntary basis by the Waikato Regional Council. This course is designed for frontline CME staff, and gives an overview of investigation best practice, exhibit handling, witness interviews and statements and use of enforcement options. Council staff suggested this programme</w:t>
      </w:r>
      <w:r w:rsidR="007C12CB" w:rsidRPr="00580905">
        <w:t xml:space="preserve"> could</w:t>
      </w:r>
      <w:r w:rsidRPr="00580905">
        <w:t xml:space="preserve"> be better supported or funded by central government.</w:t>
      </w:r>
    </w:p>
    <w:p w14:paraId="1D372F46" w14:textId="70902D6E" w:rsidR="00E3080C" w:rsidRDefault="00320209" w:rsidP="00156852">
      <w:pPr>
        <w:pStyle w:val="BodyText"/>
      </w:pPr>
      <w:r w:rsidRPr="00580905">
        <w:t xml:space="preserve">Forest and </w:t>
      </w:r>
      <w:r w:rsidR="00537A7B" w:rsidRPr="00580905">
        <w:t>Bird emphasised</w:t>
      </w:r>
      <w:r w:rsidR="007F1EEE" w:rsidRPr="00580905">
        <w:t xml:space="preserve"> the need for </w:t>
      </w:r>
      <w:r w:rsidRPr="00580905">
        <w:t xml:space="preserve">greater national funding and support for councils to undertake CME </w:t>
      </w:r>
      <w:r w:rsidR="00CE35C1" w:rsidRPr="00580905">
        <w:t>functions, considering the</w:t>
      </w:r>
      <w:r w:rsidRPr="00580905">
        <w:t xml:space="preserve"> national benefits of this work. </w:t>
      </w:r>
      <w:r w:rsidR="00CE35C1" w:rsidRPr="00580905">
        <w:t>Funding and support could be targeted at m</w:t>
      </w:r>
      <w:r w:rsidRPr="00580905">
        <w:t>atters such as biodiversity and water quality</w:t>
      </w:r>
      <w:r w:rsidR="00CE35C1" w:rsidRPr="00580905">
        <w:t>,</w:t>
      </w:r>
      <w:r w:rsidRPr="00580905">
        <w:t xml:space="preserve"> where the benefits of CME</w:t>
      </w:r>
      <w:r w:rsidR="00156852" w:rsidRPr="00580905">
        <w:t> </w:t>
      </w:r>
      <w:r w:rsidRPr="00580905">
        <w:t>activities spread beyond t</w:t>
      </w:r>
      <w:r w:rsidR="00CE35C1" w:rsidRPr="00580905">
        <w:t>he immediate local communities.</w:t>
      </w:r>
      <w:r w:rsidRPr="00580905">
        <w:t xml:space="preserve"> </w:t>
      </w:r>
      <w:r w:rsidR="00CE35C1" w:rsidRPr="00580905">
        <w:t xml:space="preserve">Council representatives also suggested a national fund be set up for councils to take </w:t>
      </w:r>
      <w:r w:rsidR="002C1632" w:rsidRPr="00580905">
        <w:t>prosecutions, where the circumstances justify a prosecution</w:t>
      </w:r>
      <w:r w:rsidR="002C1632" w:rsidRPr="00580905">
        <w:rPr>
          <w:rStyle w:val="FootnoteReference"/>
          <w:rFonts w:asciiTheme="minorHAnsi" w:hAnsiTheme="minorHAnsi"/>
          <w:color w:val="000000"/>
        </w:rPr>
        <w:footnoteReference w:id="48"/>
      </w:r>
      <w:r w:rsidR="002C1632" w:rsidRPr="00580905">
        <w:t xml:space="preserve"> and the council would otherwise struggle to afford </w:t>
      </w:r>
      <w:r w:rsidR="00D21B34" w:rsidRPr="00580905">
        <w:t>it</w:t>
      </w:r>
      <w:r w:rsidR="002C1632" w:rsidRPr="00580905">
        <w:t>.</w:t>
      </w:r>
      <w:r w:rsidR="001F05BF">
        <w:t xml:space="preserve"> Federated </w:t>
      </w:r>
      <w:r w:rsidR="00024821">
        <w:t xml:space="preserve">Farmers </w:t>
      </w:r>
      <w:r w:rsidR="001F05BF">
        <w:t>do not believe there is a need for national funding – the requirement on councils to use their own funds ensures the money is used efficiently and effectively.</w:t>
      </w:r>
    </w:p>
    <w:p w14:paraId="016E75FE" w14:textId="5B15E4CF" w:rsidR="00D71A07" w:rsidRPr="008A3DE5" w:rsidRDefault="008267E1" w:rsidP="00DD224D">
      <w:pPr>
        <w:pStyle w:val="Heading2"/>
      </w:pPr>
      <w:bookmarkStart w:id="60" w:name="_Toc458001916"/>
      <w:r w:rsidRPr="008267E1">
        <w:t>4.</w:t>
      </w:r>
      <w:r w:rsidR="00E42CB5">
        <w:t>4</w:t>
      </w:r>
      <w:r w:rsidR="00D71A07" w:rsidRPr="008A3DE5">
        <w:t xml:space="preserve"> </w:t>
      </w:r>
      <w:r w:rsidR="004D02DA">
        <w:t>Consequences of non-compliance</w:t>
      </w:r>
      <w:bookmarkEnd w:id="60"/>
    </w:p>
    <w:p w14:paraId="02B379C9" w14:textId="5C72BA77" w:rsidR="003D424F" w:rsidRPr="00DD224D" w:rsidRDefault="003D424F">
      <w:pPr>
        <w:pStyle w:val="Heading3"/>
      </w:pPr>
      <w:r w:rsidRPr="00DD224D">
        <w:t>Enforcement options</w:t>
      </w:r>
    </w:p>
    <w:p w14:paraId="52FC9626" w14:textId="2AD3763D" w:rsidR="00F558C9" w:rsidRPr="00F810A5" w:rsidRDefault="00F558C9" w:rsidP="00F810A5">
      <w:pPr>
        <w:pStyle w:val="Heading4"/>
        <w:rPr>
          <w:i/>
        </w:rPr>
      </w:pPr>
      <w:r w:rsidRPr="00F810A5">
        <w:rPr>
          <w:i/>
        </w:rPr>
        <w:t>Councils and stakeholders suggested some changes to enforcement options</w:t>
      </w:r>
    </w:p>
    <w:p w14:paraId="0A0F9C49" w14:textId="604383F5" w:rsidR="003A1D83" w:rsidRPr="00580905" w:rsidRDefault="007B503F" w:rsidP="008A3DE5">
      <w:pPr>
        <w:pStyle w:val="BodyText"/>
        <w:rPr>
          <w:i/>
        </w:rPr>
      </w:pPr>
      <w:r w:rsidRPr="00580905">
        <w:t>C</w:t>
      </w:r>
      <w:r w:rsidR="00046D40" w:rsidRPr="00580905">
        <w:t xml:space="preserve">ouncil </w:t>
      </w:r>
      <w:r w:rsidR="00EF0E1E">
        <w:t xml:space="preserve">representatives </w:t>
      </w:r>
      <w:r w:rsidR="00046D40" w:rsidRPr="00580905">
        <w:t xml:space="preserve">and stakeholders </w:t>
      </w:r>
      <w:r w:rsidR="001F1577" w:rsidRPr="00580905">
        <w:t>spoken to</w:t>
      </w:r>
      <w:r w:rsidRPr="00580905">
        <w:t xml:space="preserve"> were</w:t>
      </w:r>
      <w:r w:rsidR="001F1577" w:rsidRPr="00580905">
        <w:t xml:space="preserve"> generally satisfied with the r</w:t>
      </w:r>
      <w:r w:rsidR="00785FA5" w:rsidRPr="00580905">
        <w:t xml:space="preserve">ange of </w:t>
      </w:r>
      <w:r w:rsidR="00D71A07">
        <w:t xml:space="preserve">enforcement </w:t>
      </w:r>
      <w:r w:rsidR="00785FA5" w:rsidRPr="00580905">
        <w:t xml:space="preserve">tools available. </w:t>
      </w:r>
      <w:r w:rsidR="00F558C9">
        <w:t>However, s</w:t>
      </w:r>
      <w:r w:rsidR="00D71A07">
        <w:t>ome changes were suggested</w:t>
      </w:r>
      <w:r w:rsidR="00F558C9">
        <w:t>.</w:t>
      </w:r>
    </w:p>
    <w:p w14:paraId="3021BD67" w14:textId="32658296" w:rsidR="004B78B4" w:rsidRDefault="004318E2" w:rsidP="00156852">
      <w:pPr>
        <w:pStyle w:val="BodyText"/>
      </w:pPr>
      <w:r w:rsidRPr="00580905">
        <w:t xml:space="preserve">Infringement fines are seen as effective and efficient instruments. These fines can help to deter non-compliance and </w:t>
      </w:r>
      <w:r w:rsidR="00FD09ED">
        <w:t>penalise</w:t>
      </w:r>
      <w:r w:rsidRPr="00580905">
        <w:t xml:space="preserve"> offending without the need</w:t>
      </w:r>
      <w:r w:rsidR="00CA0104">
        <w:t xml:space="preserve"> for the council</w:t>
      </w:r>
      <w:r w:rsidRPr="00580905">
        <w:t xml:space="preserve"> to apply to a court or other body</w:t>
      </w:r>
      <w:r w:rsidR="00156852" w:rsidRPr="00580905">
        <w:t> </w:t>
      </w:r>
      <w:r w:rsidR="00075FCE">
        <w:t>for approval. However, a</w:t>
      </w:r>
      <w:r w:rsidRPr="00580905">
        <w:t xml:space="preserve"> number of councils</w:t>
      </w:r>
      <w:r w:rsidR="004B62B1" w:rsidRPr="00580905">
        <w:t xml:space="preserve"> and stakeholders</w:t>
      </w:r>
      <w:r w:rsidR="004B78B4">
        <w:t xml:space="preserve"> believe the maximum level of</w:t>
      </w:r>
      <w:r w:rsidRPr="00580905">
        <w:t xml:space="preserve"> infringement fines</w:t>
      </w:r>
      <w:r w:rsidR="004B78B4">
        <w:t xml:space="preserve"> ($1000) is too low. There is currently a significant difference in the </w:t>
      </w:r>
      <w:r w:rsidR="00901E6A">
        <w:t>maximum fines</w:t>
      </w:r>
      <w:r w:rsidR="004B78B4">
        <w:t xml:space="preserve"> available through infringement notices and prosecutions. </w:t>
      </w:r>
    </w:p>
    <w:p w14:paraId="77FBB069" w14:textId="4C16659A" w:rsidR="00745BAE" w:rsidRDefault="004B78B4" w:rsidP="00156852">
      <w:pPr>
        <w:pStyle w:val="BodyText"/>
      </w:pPr>
      <w:r>
        <w:t xml:space="preserve">Some suggested the fines available through infringement notices </w:t>
      </w:r>
      <w:r w:rsidR="004318E2" w:rsidRPr="00580905">
        <w:t xml:space="preserve">should be greater </w:t>
      </w:r>
      <w:r>
        <w:t xml:space="preserve">for companies </w:t>
      </w:r>
      <w:r w:rsidR="004318E2" w:rsidRPr="00580905">
        <w:t xml:space="preserve">– this would be consistent with the penalties available through prosecutions and would provide a more effective deterrent for companies. </w:t>
      </w:r>
      <w:r w:rsidR="00745BAE" w:rsidRPr="00580905">
        <w:t xml:space="preserve">The Productivity Commission noted in </w:t>
      </w:r>
      <w:r w:rsidR="002B6A6E" w:rsidRPr="00580905">
        <w:t>its</w:t>
      </w:r>
      <w:r w:rsidR="00745BAE" w:rsidRPr="00580905">
        <w:t xml:space="preserve"> 2013 report that </w:t>
      </w:r>
      <w:r w:rsidR="002B6A6E" w:rsidRPr="00580905">
        <w:t>the</w:t>
      </w:r>
      <w:r w:rsidR="00745BAE" w:rsidRPr="00580905">
        <w:t xml:space="preserve"> “low level of fines that have not been reviewed for many years, are reducing the effectiveness of enforcement strategies”.</w:t>
      </w:r>
      <w:r w:rsidR="00745BAE" w:rsidRPr="00580905">
        <w:rPr>
          <w:rStyle w:val="FootnoteReference"/>
        </w:rPr>
        <w:footnoteReference w:id="49"/>
      </w:r>
      <w:r w:rsidR="004318E2" w:rsidRPr="00580905">
        <w:t xml:space="preserve"> The level of infringement fines have not been reviewed since 1999.</w:t>
      </w:r>
    </w:p>
    <w:p w14:paraId="0BF18997" w14:textId="1FE72CEE" w:rsidR="003D424F" w:rsidRPr="00580905" w:rsidRDefault="003D424F" w:rsidP="003D424F">
      <w:pPr>
        <w:pStyle w:val="Bullet"/>
        <w:numPr>
          <w:ilvl w:val="0"/>
          <w:numId w:val="0"/>
        </w:numPr>
      </w:pPr>
      <w:r w:rsidRPr="006A220D">
        <w:t>Federated Farmers expressed concern that RMA offences are strict liability offences, and that a low threshold is required in order for an offence that is subject to the prosecutions regime to be committed. RMA offences are classified as Category 3 criminal offences which are ranked alongside other very serious offences. They have suggested that a civil penalties regime be introduced, which could be administered by local authorities, with the criminal prosecutions regime changed to require intent to be demonstrated before a criminal offence is committed, and prosecutions being able to be brought only by an independent authority, such as the Police or the EPA.</w:t>
      </w:r>
    </w:p>
    <w:p w14:paraId="1F01A516" w14:textId="77777777" w:rsidR="003A1D83" w:rsidRPr="00DD224D" w:rsidRDefault="003A1D83" w:rsidP="00C3361B">
      <w:pPr>
        <w:pStyle w:val="Heading3"/>
      </w:pPr>
      <w:r w:rsidRPr="00DD224D">
        <w:t>Insurance against RMA fines</w:t>
      </w:r>
    </w:p>
    <w:p w14:paraId="5C0CE725" w14:textId="69E3933C" w:rsidR="008B5096" w:rsidRPr="00F810A5" w:rsidRDefault="008B5096" w:rsidP="00F810A5">
      <w:pPr>
        <w:pStyle w:val="Heading4"/>
        <w:rPr>
          <w:i/>
        </w:rPr>
      </w:pPr>
      <w:r w:rsidRPr="00F810A5">
        <w:rPr>
          <w:i/>
        </w:rPr>
        <w:t>Some suggested removing the ability to insure against RMA fines</w:t>
      </w:r>
    </w:p>
    <w:p w14:paraId="51F8FAF1" w14:textId="192A3FD3" w:rsidR="003A1D83" w:rsidRPr="00580905" w:rsidRDefault="003A1D83" w:rsidP="009E58B7">
      <w:pPr>
        <w:pStyle w:val="BodyText"/>
      </w:pPr>
      <w:r w:rsidRPr="00580905">
        <w:t xml:space="preserve">A number of council </w:t>
      </w:r>
      <w:r w:rsidR="00EF0E1E">
        <w:t xml:space="preserve">representatives </w:t>
      </w:r>
      <w:r w:rsidRPr="00580905">
        <w:t xml:space="preserve">expressed frustration over the ability of individuals and companies to insure against fines imposed by the </w:t>
      </w:r>
      <w:r w:rsidR="002B6A6E" w:rsidRPr="00580905">
        <w:t>c</w:t>
      </w:r>
      <w:r w:rsidRPr="00580905">
        <w:t>ourt in prosecutions taken by councils. The ability to insure is seen as reducing the seriousness of RMA offending</w:t>
      </w:r>
      <w:r w:rsidR="002B6A6E" w:rsidRPr="00580905">
        <w:t>,</w:t>
      </w:r>
      <w:r w:rsidRPr="00580905">
        <w:t xml:space="preserve"> and undermining the deterren</w:t>
      </w:r>
      <w:r w:rsidR="002B6A6E" w:rsidRPr="00580905">
        <w:t>t</w:t>
      </w:r>
      <w:r w:rsidRPr="00580905">
        <w:t xml:space="preserve"> effect of enforcement. There is also concern over the principle of insuring against criminal activity, which is inconsistent with other legislation imposing criminal penalties.</w:t>
      </w:r>
    </w:p>
    <w:p w14:paraId="7A5F97B4" w14:textId="02355632" w:rsidR="003A1D83" w:rsidRPr="00580905" w:rsidRDefault="003A1D83" w:rsidP="009E58B7">
      <w:pPr>
        <w:pStyle w:val="BodyText"/>
      </w:pPr>
      <w:r w:rsidRPr="00580905">
        <w:t>Many councils spoken to, as well as Forest and Bird and Local Government New Zealand</w:t>
      </w:r>
      <w:r w:rsidR="002B6A6E" w:rsidRPr="00580905">
        <w:t>,</w:t>
      </w:r>
      <w:r w:rsidRPr="00580905">
        <w:t xml:space="preserve"> would like to see the ability to insure against RMA fines removed. Such a prohibition could mirror a similar provision in Health and Safety legislation.</w:t>
      </w:r>
      <w:r w:rsidRPr="00580905">
        <w:rPr>
          <w:rStyle w:val="FootnoteReference"/>
          <w:rFonts w:asciiTheme="minorHAnsi" w:hAnsiTheme="minorHAnsi"/>
        </w:rPr>
        <w:footnoteReference w:id="50"/>
      </w:r>
      <w:r w:rsidR="00580905">
        <w:t xml:space="preserve"> </w:t>
      </w:r>
    </w:p>
    <w:p w14:paraId="57D88FD0" w14:textId="5AD8006F" w:rsidR="00D801B9" w:rsidRDefault="002B6A6E" w:rsidP="009E58B7">
      <w:pPr>
        <w:pStyle w:val="BodyText"/>
      </w:pPr>
      <w:r w:rsidRPr="00580905">
        <w:t>O</w:t>
      </w:r>
      <w:r w:rsidR="003A1D83" w:rsidRPr="00580905">
        <w:t>ne council manager noted that although insurance against RMA fines reduces the punitive element of enforcement actions, fines and council costs are often paid more promptly. When there is no insurance, it can take a long time for fines to be paid and for councils to recover costs. If the insurance option is closed off, legislative amendments to allow faster recovering of</w:t>
      </w:r>
      <w:r w:rsidR="00A927B5">
        <w:t> </w:t>
      </w:r>
      <w:r w:rsidR="003A1D83" w:rsidRPr="00580905">
        <w:t>fines and costs may need to be considered.</w:t>
      </w:r>
      <w:r w:rsidR="00580905">
        <w:t xml:space="preserve"> </w:t>
      </w:r>
    </w:p>
    <w:p w14:paraId="62DAC516" w14:textId="73EEDF45" w:rsidR="00B05A72" w:rsidRPr="00DD224D" w:rsidRDefault="00B05A72" w:rsidP="00C3361B">
      <w:pPr>
        <w:pStyle w:val="Heading3"/>
      </w:pPr>
      <w:r w:rsidRPr="00DD224D">
        <w:t>Cost</w:t>
      </w:r>
      <w:r w:rsidR="002B6A6E" w:rsidRPr="00DD224D">
        <w:t>-</w:t>
      </w:r>
      <w:r w:rsidRPr="00DD224D">
        <w:t>recovery mechanisms</w:t>
      </w:r>
    </w:p>
    <w:p w14:paraId="09ABA5E9" w14:textId="1B14ADCB" w:rsidR="008B5096" w:rsidRPr="00F810A5" w:rsidRDefault="008B5096" w:rsidP="00F810A5">
      <w:pPr>
        <w:pStyle w:val="Heading4"/>
        <w:rPr>
          <w:i/>
        </w:rPr>
      </w:pPr>
      <w:r w:rsidRPr="00F810A5">
        <w:rPr>
          <w:i/>
        </w:rPr>
        <w:t>Councils and stakeholders suggested improvements to cost recovery mechanisms</w:t>
      </w:r>
    </w:p>
    <w:p w14:paraId="012D314C" w14:textId="1093DC67" w:rsidR="005A70C4" w:rsidRPr="00580905" w:rsidRDefault="00932FDF" w:rsidP="009E58B7">
      <w:pPr>
        <w:pStyle w:val="BodyText"/>
      </w:pPr>
      <w:r w:rsidRPr="00580905">
        <w:t>L</w:t>
      </w:r>
      <w:r w:rsidR="00F355D7" w:rsidRPr="00580905">
        <w:t xml:space="preserve">ocal Government New Zealand </w:t>
      </w:r>
      <w:r w:rsidR="00503FC5" w:rsidRPr="00580905">
        <w:t xml:space="preserve">suggested </w:t>
      </w:r>
      <w:r w:rsidR="00412724" w:rsidRPr="00580905">
        <w:t>a legislation change be considered to provide for cost recovery by councils for monitoring activities that do not require consent</w:t>
      </w:r>
      <w:r w:rsidR="008225B5">
        <w:t xml:space="preserve"> (such as permitted activities)</w:t>
      </w:r>
      <w:r w:rsidR="00412724" w:rsidRPr="00580905">
        <w:t>, as councils currently recover only a part of the cost of CME activ</w:t>
      </w:r>
      <w:r w:rsidR="00F355D7" w:rsidRPr="00580905">
        <w:t>i</w:t>
      </w:r>
      <w:r w:rsidR="00412724" w:rsidRPr="00580905">
        <w:t>ties from resource users</w:t>
      </w:r>
      <w:r w:rsidR="00D34C0A" w:rsidRPr="00580905">
        <w:t>.</w:t>
      </w:r>
      <w:r w:rsidR="001A604B" w:rsidRPr="00580905">
        <w:rPr>
          <w:rStyle w:val="FootnoteReference"/>
        </w:rPr>
        <w:footnoteReference w:id="51"/>
      </w:r>
      <w:r w:rsidR="00D34C0A" w:rsidRPr="00580905">
        <w:t xml:space="preserve"> </w:t>
      </w:r>
    </w:p>
    <w:p w14:paraId="742911F5" w14:textId="04DF31C3" w:rsidR="009F03AB" w:rsidRDefault="00503FC5" w:rsidP="009E58B7">
      <w:pPr>
        <w:pStyle w:val="BodyText"/>
      </w:pPr>
      <w:r w:rsidRPr="00580905">
        <w:t xml:space="preserve">A council representative suggested </w:t>
      </w:r>
      <w:r w:rsidR="00EC1E45" w:rsidRPr="00580905">
        <w:t>that where</w:t>
      </w:r>
      <w:r w:rsidR="00330AE9" w:rsidRPr="00580905">
        <w:t xml:space="preserve"> an abatement notice is issued and compliance is not achieved by a certain specified date, </w:t>
      </w:r>
      <w:r w:rsidRPr="00580905">
        <w:t xml:space="preserve">councils </w:t>
      </w:r>
      <w:r w:rsidR="00330AE9" w:rsidRPr="00580905">
        <w:t>shou</w:t>
      </w:r>
      <w:r w:rsidR="00A9245A" w:rsidRPr="00580905">
        <w:t>l</w:t>
      </w:r>
      <w:r w:rsidR="00330AE9" w:rsidRPr="00580905">
        <w:t xml:space="preserve">d be able </w:t>
      </w:r>
      <w:r w:rsidRPr="00580905">
        <w:t>to undertake necessary remediation works</w:t>
      </w:r>
      <w:r w:rsidR="00A9245A" w:rsidRPr="00580905">
        <w:t>,</w:t>
      </w:r>
      <w:r w:rsidR="00330AE9" w:rsidRPr="00580905">
        <w:t xml:space="preserve"> and reclaim </w:t>
      </w:r>
      <w:r w:rsidR="00A9245A" w:rsidRPr="00580905">
        <w:t>the costs from the person/company issued with the</w:t>
      </w:r>
      <w:r w:rsidR="00156852" w:rsidRPr="00580905">
        <w:t> </w:t>
      </w:r>
      <w:r w:rsidR="00A9245A" w:rsidRPr="00580905">
        <w:t>notice.</w:t>
      </w:r>
      <w:r w:rsidR="009021CB" w:rsidRPr="00580905">
        <w:t xml:space="preserve"> </w:t>
      </w:r>
      <w:r w:rsidR="00EC1E45" w:rsidRPr="00580905">
        <w:t>T</w:t>
      </w:r>
      <w:r w:rsidR="009021CB" w:rsidRPr="00580905">
        <w:t>his would avoid further costs</w:t>
      </w:r>
      <w:r w:rsidR="00EC1E45" w:rsidRPr="00580905">
        <w:t xml:space="preserve"> (such as the costs of applying to the Environment Court for an enforcement order)</w:t>
      </w:r>
      <w:r w:rsidR="009021CB" w:rsidRPr="00580905">
        <w:t xml:space="preserve"> being</w:t>
      </w:r>
      <w:r w:rsidR="00EC1E45" w:rsidRPr="00580905">
        <w:t xml:space="preserve"> incurred by councils</w:t>
      </w:r>
      <w:r w:rsidR="009021CB" w:rsidRPr="00580905">
        <w:t xml:space="preserve"> as a result of the non-compliance </w:t>
      </w:r>
      <w:r w:rsidR="00981A55" w:rsidRPr="00580905">
        <w:t xml:space="preserve">The RMA currently allows councils to undertake works </w:t>
      </w:r>
      <w:r w:rsidR="00F30220" w:rsidRPr="00580905">
        <w:t xml:space="preserve">in their jurisdiction in cases where an </w:t>
      </w:r>
      <w:r w:rsidR="00487752" w:rsidRPr="00580905">
        <w:t xml:space="preserve">immediate </w:t>
      </w:r>
      <w:r w:rsidR="00F30220" w:rsidRPr="00580905">
        <w:t>measure is needed to prevent or remediate adverse environmental affects,</w:t>
      </w:r>
      <w:r w:rsidR="00F30220" w:rsidRPr="00580905">
        <w:rPr>
          <w:rStyle w:val="FootnoteReference"/>
        </w:rPr>
        <w:footnoteReference w:id="52"/>
      </w:r>
      <w:r w:rsidR="00F30220" w:rsidRPr="00580905">
        <w:t xml:space="preserve"> but</w:t>
      </w:r>
      <w:r w:rsidR="00156852" w:rsidRPr="00580905">
        <w:t> </w:t>
      </w:r>
      <w:r w:rsidR="00F30220" w:rsidRPr="00580905">
        <w:t>there is currently no mechanism for recovering the costs of this work.</w:t>
      </w:r>
    </w:p>
    <w:p w14:paraId="6376B323" w14:textId="77777777" w:rsidR="003D424F" w:rsidRPr="00DD224D" w:rsidRDefault="003D424F" w:rsidP="00C3361B">
      <w:pPr>
        <w:pStyle w:val="Heading3"/>
      </w:pPr>
      <w:r w:rsidRPr="00DD224D">
        <w:t>Resource consent applications</w:t>
      </w:r>
    </w:p>
    <w:p w14:paraId="792A366C" w14:textId="782A79E9" w:rsidR="003D424F" w:rsidRPr="00580905" w:rsidRDefault="003D424F" w:rsidP="009E58B7">
      <w:pPr>
        <w:pStyle w:val="BodyText"/>
      </w:pPr>
      <w:r w:rsidRPr="00580905">
        <w:t>The Environmental Defence Society and Local Government New Zealand suggested introducing mechanisms in the RMA to allow for applications for resource consent</w:t>
      </w:r>
      <w:r w:rsidR="008225B5">
        <w:t xml:space="preserve"> or renewals</w:t>
      </w:r>
      <w:r w:rsidRPr="00580905">
        <w:t xml:space="preserve"> to be declined where the applicant has a history of offences against the RMA.</w:t>
      </w:r>
      <w:r>
        <w:t xml:space="preserve"> </w:t>
      </w:r>
      <w:r w:rsidRPr="00580905">
        <w:t>One regional council expressed frustration that they had received an application from a local intensive farmer and were not able to consider his lengthy history of RMA non-compliance, including convictions, when considering his application.</w:t>
      </w:r>
      <w:r>
        <w:t xml:space="preserve"> </w:t>
      </w:r>
    </w:p>
    <w:p w14:paraId="38803169" w14:textId="77777777" w:rsidR="00F32CC6" w:rsidRDefault="00F32CC6">
      <w:pPr>
        <w:rPr>
          <w:b/>
          <w:bCs/>
          <w:color w:val="387C2B"/>
          <w:sz w:val="32"/>
          <w:szCs w:val="32"/>
        </w:rPr>
      </w:pPr>
      <w:bookmarkStart w:id="61" w:name="_Toc458001917"/>
      <w:bookmarkStart w:id="62" w:name="_Toc456343412"/>
      <w:r>
        <w:br w:type="page"/>
      </w:r>
    </w:p>
    <w:p w14:paraId="31A96909" w14:textId="6AB18D22" w:rsidR="00EE4D28" w:rsidRPr="00A067C6" w:rsidRDefault="00EE4D28" w:rsidP="00DD224D">
      <w:pPr>
        <w:pStyle w:val="Heading2"/>
      </w:pPr>
      <w:r w:rsidRPr="00EE4D28">
        <w:t>4.</w:t>
      </w:r>
      <w:r w:rsidR="00E42CB5">
        <w:t>5</w:t>
      </w:r>
      <w:r w:rsidRPr="00A067C6">
        <w:t xml:space="preserve"> Monitoring</w:t>
      </w:r>
      <w:r>
        <w:t xml:space="preserve"> approaches</w:t>
      </w:r>
      <w:bookmarkEnd w:id="61"/>
    </w:p>
    <w:bookmarkEnd w:id="62"/>
    <w:p w14:paraId="41DC5773" w14:textId="11D3F420" w:rsidR="004D389B" w:rsidRPr="00F810A5" w:rsidRDefault="004D389B" w:rsidP="00F810A5">
      <w:pPr>
        <w:pStyle w:val="Heading4"/>
        <w:rPr>
          <w:i/>
        </w:rPr>
      </w:pPr>
      <w:r w:rsidRPr="00F810A5">
        <w:rPr>
          <w:i/>
        </w:rPr>
        <w:t xml:space="preserve">Changes </w:t>
      </w:r>
      <w:r w:rsidR="00DA3F51" w:rsidRPr="00F810A5">
        <w:rPr>
          <w:i/>
        </w:rPr>
        <w:t xml:space="preserve">to monitoring </w:t>
      </w:r>
      <w:r w:rsidRPr="00F810A5">
        <w:rPr>
          <w:i/>
        </w:rPr>
        <w:t xml:space="preserve">practice </w:t>
      </w:r>
      <w:r w:rsidR="00DA3F51" w:rsidRPr="00F810A5">
        <w:rPr>
          <w:i/>
        </w:rPr>
        <w:t>were suggested</w:t>
      </w:r>
      <w:r w:rsidR="00D30465" w:rsidRPr="00F810A5">
        <w:rPr>
          <w:i/>
        </w:rPr>
        <w:t xml:space="preserve"> </w:t>
      </w:r>
    </w:p>
    <w:p w14:paraId="3FB14FAD" w14:textId="17E235A8" w:rsidR="00387224" w:rsidRPr="00580905" w:rsidRDefault="003468FB" w:rsidP="00156852">
      <w:pPr>
        <w:pStyle w:val="BodyText"/>
        <w:keepNext/>
      </w:pPr>
      <w:r w:rsidRPr="00580905">
        <w:t>T</w:t>
      </w:r>
      <w:r w:rsidR="00DA3F51" w:rsidRPr="00580905">
        <w:t xml:space="preserve">he Productivity Commission recognised that changes </w:t>
      </w:r>
      <w:r w:rsidR="005645BC" w:rsidRPr="00580905">
        <w:t xml:space="preserve">to monitoring </w:t>
      </w:r>
      <w:r w:rsidR="00DA3F51" w:rsidRPr="00580905">
        <w:t>could be made by:</w:t>
      </w:r>
    </w:p>
    <w:p w14:paraId="52D7DDDC" w14:textId="2DF840DF" w:rsidR="00DA3F51" w:rsidRPr="00580905" w:rsidRDefault="008E0E3A" w:rsidP="00FB32C5">
      <w:pPr>
        <w:pStyle w:val="Bullet"/>
        <w:numPr>
          <w:ilvl w:val="0"/>
          <w:numId w:val="15"/>
        </w:numPr>
        <w:spacing w:after="100"/>
      </w:pPr>
      <w:r w:rsidRPr="00580905">
        <w:t>p</w:t>
      </w:r>
      <w:r w:rsidR="00DA3F51" w:rsidRPr="00580905">
        <w:t xml:space="preserve">roviding greater stability in monitoring staff </w:t>
      </w:r>
      <w:r w:rsidR="00455BDF" w:rsidRPr="00580905">
        <w:t>–</w:t>
      </w:r>
      <w:r w:rsidR="00DA3F51" w:rsidRPr="00580905">
        <w:t xml:space="preserve"> </w:t>
      </w:r>
      <w:r w:rsidR="003468FB" w:rsidRPr="00580905">
        <w:t xml:space="preserve">the Commission acknowledged that </w:t>
      </w:r>
      <w:r w:rsidR="00455BDF" w:rsidRPr="00580905">
        <w:t>staff turnover in CME is high, and councils should put greater efforts into retaining CME staff and training new staff</w:t>
      </w:r>
    </w:p>
    <w:p w14:paraId="07C86568" w14:textId="27DD6695" w:rsidR="00DA3F51" w:rsidRPr="00580905" w:rsidRDefault="008E0E3A" w:rsidP="00FB32C5">
      <w:pPr>
        <w:pStyle w:val="Bullet"/>
        <w:numPr>
          <w:ilvl w:val="0"/>
          <w:numId w:val="15"/>
        </w:numPr>
        <w:spacing w:after="100"/>
      </w:pPr>
      <w:r w:rsidRPr="00580905">
        <w:t>m</w:t>
      </w:r>
      <w:r w:rsidR="00DA3F51" w:rsidRPr="00580905">
        <w:t>aking closer links between policy and monitoring staff</w:t>
      </w:r>
      <w:r w:rsidR="00455BDF" w:rsidRPr="00580905">
        <w:t xml:space="preserve"> </w:t>
      </w:r>
      <w:r w:rsidR="00075500" w:rsidRPr="00580905">
        <w:t>–</w:t>
      </w:r>
      <w:r w:rsidR="00455BDF" w:rsidRPr="00580905">
        <w:t xml:space="preserve"> </w:t>
      </w:r>
      <w:r w:rsidR="00075500" w:rsidRPr="00580905">
        <w:t>the Commission observe</w:t>
      </w:r>
      <w:r w:rsidR="000D5A99" w:rsidRPr="00580905">
        <w:t xml:space="preserve">s </w:t>
      </w:r>
      <w:r w:rsidR="00075500" w:rsidRPr="00580905">
        <w:t>the importance of strong links between CME and policy/planning staff</w:t>
      </w:r>
      <w:r w:rsidRPr="00580905">
        <w:t>,</w:t>
      </w:r>
      <w:r w:rsidR="00075500" w:rsidRPr="00580905">
        <w:t xml:space="preserve"> and recommends that some monitoring responsibilities are formally allocated to relevant policy teams within departments</w:t>
      </w:r>
      <w:r w:rsidR="005645BC" w:rsidRPr="00580905">
        <w:t xml:space="preserve"> to ensure better integration</w:t>
      </w:r>
    </w:p>
    <w:p w14:paraId="6AEC2958" w14:textId="595756E3" w:rsidR="00CC0DF3" w:rsidRDefault="008E0E3A" w:rsidP="00FB32C5">
      <w:pPr>
        <w:pStyle w:val="Bullet"/>
        <w:numPr>
          <w:ilvl w:val="0"/>
          <w:numId w:val="15"/>
        </w:numPr>
        <w:spacing w:after="100"/>
      </w:pPr>
      <w:proofErr w:type="gramStart"/>
      <w:r w:rsidRPr="00580905">
        <w:t>a</w:t>
      </w:r>
      <w:r w:rsidR="005645BC" w:rsidRPr="00580905">
        <w:t>dopting</w:t>
      </w:r>
      <w:proofErr w:type="gramEnd"/>
      <w:r w:rsidR="005645BC" w:rsidRPr="00580905">
        <w:t xml:space="preserve"> risk-</w:t>
      </w:r>
      <w:r w:rsidR="00DA3F51" w:rsidRPr="00580905">
        <w:t>based monitoring</w:t>
      </w:r>
      <w:r w:rsidR="000D5A99" w:rsidRPr="00580905">
        <w:t xml:space="preserve"> (for th</w:t>
      </w:r>
      <w:r w:rsidR="005645BC" w:rsidRPr="00580905">
        <w:t xml:space="preserve">e councils that do not already use </w:t>
      </w:r>
      <w:r w:rsidR="000D5A99" w:rsidRPr="00580905">
        <w:t>such an approach)</w:t>
      </w:r>
      <w:r w:rsidR="00D30465" w:rsidRPr="00580905">
        <w:t>.</w:t>
      </w:r>
      <w:r w:rsidR="003468FB" w:rsidRPr="00580905">
        <w:rPr>
          <w:rStyle w:val="FootnoteReference"/>
          <w:rFonts w:asciiTheme="minorHAnsi" w:hAnsiTheme="minorHAnsi" w:cs="Arial"/>
        </w:rPr>
        <w:footnoteReference w:id="53"/>
      </w:r>
    </w:p>
    <w:p w14:paraId="53947AF2" w14:textId="35AE83B2" w:rsidR="004D389B" w:rsidRDefault="004D389B" w:rsidP="00EF4475">
      <w:pPr>
        <w:pStyle w:val="Bullet"/>
        <w:numPr>
          <w:ilvl w:val="0"/>
          <w:numId w:val="0"/>
        </w:numPr>
        <w:spacing w:after="100"/>
      </w:pPr>
      <w:r>
        <w:t>Many councils and stakeholders believed that monitoring practices need to be more consistent throughout the country –</w:t>
      </w:r>
      <w:r w:rsidR="0020285D">
        <w:t xml:space="preserve"> to provide</w:t>
      </w:r>
      <w:r>
        <w:t xml:space="preserve"> greater consistency in data collection (</w:t>
      </w:r>
      <w:r w:rsidR="0020285D">
        <w:t>some representatives noted the difficulty comparing</w:t>
      </w:r>
      <w:r>
        <w:t xml:space="preserve"> </w:t>
      </w:r>
      <w:r w:rsidR="0020285D">
        <w:t>rates of non-compliance across different areas</w:t>
      </w:r>
      <w:r>
        <w:t>, when monitoring practices are different)</w:t>
      </w:r>
      <w:r w:rsidR="0020285D">
        <w:t xml:space="preserve"> and greater certainty for the public. </w:t>
      </w:r>
    </w:p>
    <w:p w14:paraId="1236FD1D" w14:textId="77777777" w:rsidR="00387224" w:rsidRPr="00DD224D" w:rsidRDefault="00387224" w:rsidP="00C3361B">
      <w:pPr>
        <w:pStyle w:val="Heading3"/>
      </w:pPr>
      <w:r w:rsidRPr="00DD224D">
        <w:t>Transparency and accountability</w:t>
      </w:r>
    </w:p>
    <w:p w14:paraId="4BC4B9F2" w14:textId="5B5C0513" w:rsidR="0020285D" w:rsidRPr="00F810A5" w:rsidRDefault="0020285D" w:rsidP="00F810A5">
      <w:pPr>
        <w:pStyle w:val="Heading4"/>
        <w:rPr>
          <w:i/>
        </w:rPr>
      </w:pPr>
      <w:r w:rsidRPr="00F810A5">
        <w:rPr>
          <w:i/>
        </w:rPr>
        <w:t xml:space="preserve">Many </w:t>
      </w:r>
      <w:r w:rsidR="00743D9A" w:rsidRPr="00F810A5">
        <w:rPr>
          <w:i/>
        </w:rPr>
        <w:t>s</w:t>
      </w:r>
      <w:r w:rsidR="0036178B" w:rsidRPr="00F810A5">
        <w:rPr>
          <w:i/>
        </w:rPr>
        <w:t xml:space="preserve">takeholders believe council compliance monitoring and enforcement </w:t>
      </w:r>
      <w:r w:rsidR="00743D9A" w:rsidRPr="00F810A5">
        <w:rPr>
          <w:i/>
        </w:rPr>
        <w:t>should be more transparent</w:t>
      </w:r>
    </w:p>
    <w:p w14:paraId="0004D656" w14:textId="7CB7BA9D" w:rsidR="00743D9A" w:rsidRPr="00580905" w:rsidRDefault="00143F22" w:rsidP="00150172">
      <w:pPr>
        <w:pStyle w:val="BodyText"/>
      </w:pPr>
      <w:r>
        <w:t xml:space="preserve">Stakeholders were particularly concerned with council inspection practices </w:t>
      </w:r>
      <w:r w:rsidR="00743D9A" w:rsidRPr="00580905">
        <w:t xml:space="preserve">and </w:t>
      </w:r>
      <w:r>
        <w:t xml:space="preserve">decision-making </w:t>
      </w:r>
      <w:r w:rsidR="00743D9A" w:rsidRPr="00580905">
        <w:t xml:space="preserve">on enforcement actions. </w:t>
      </w:r>
      <w:r>
        <w:t>These representatives believe g</w:t>
      </w:r>
      <w:r w:rsidR="00743D9A" w:rsidRPr="00580905">
        <w:t>reater transparency would provide certainty to resource users on wh</w:t>
      </w:r>
      <w:r w:rsidR="009F2815" w:rsidRPr="00580905">
        <w:t xml:space="preserve">en to expect monitoring visits or </w:t>
      </w:r>
      <w:r w:rsidR="00743D9A" w:rsidRPr="00580905">
        <w:t xml:space="preserve">what level of non-compliance is likely </w:t>
      </w:r>
      <w:r w:rsidR="009F2815" w:rsidRPr="00580905">
        <w:t>to result in a prosecution, for example. Councils could make their CME strategies publicly available, and provide annual reports on CME activities.</w:t>
      </w:r>
    </w:p>
    <w:p w14:paraId="3F30DE6C" w14:textId="62990F16" w:rsidR="00387224" w:rsidRPr="00580905" w:rsidRDefault="00387224" w:rsidP="00150172">
      <w:pPr>
        <w:pStyle w:val="BodyText"/>
      </w:pPr>
      <w:r w:rsidRPr="00580905">
        <w:t>Waikato-Tainui believes that councils (or the Ministry) need to be more proactive in making CME data publicly available. If details of non-compliance were made publicly available, stakeholders and the wider public could play a greater role in the prevention of reoffending.</w:t>
      </w:r>
    </w:p>
    <w:p w14:paraId="5C3135DC" w14:textId="2BCF0D06" w:rsidR="00646A5A" w:rsidRDefault="00387224" w:rsidP="00150172">
      <w:pPr>
        <w:pStyle w:val="BodyText"/>
      </w:pPr>
      <w:proofErr w:type="gramStart"/>
      <w:r w:rsidRPr="00580905">
        <w:t xml:space="preserve">One council </w:t>
      </w:r>
      <w:r w:rsidR="00646A5A">
        <w:t xml:space="preserve">representative </w:t>
      </w:r>
      <w:r w:rsidRPr="00580905">
        <w:t>suggested councils</w:t>
      </w:r>
      <w:proofErr w:type="gramEnd"/>
      <w:r w:rsidRPr="00580905">
        <w:t xml:space="preserve"> be required to publish an annual report </w:t>
      </w:r>
      <w:r w:rsidR="006030FD" w:rsidRPr="00580905">
        <w:t>that</w:t>
      </w:r>
      <w:r w:rsidRPr="00580905">
        <w:t xml:space="preserve"> sets out the council’s objectives and priorities in terms of compliance. Such a document could outline the reasons for these priorities and how performance would be assessed. This would allow councils to focus their limited resources on certain activities in order to ‘lift’ compliance in these areas. It would also enable communities and stakeholders to better support compliance activities (for example</w:t>
      </w:r>
      <w:r w:rsidR="006030FD" w:rsidRPr="00580905">
        <w:t>,</w:t>
      </w:r>
      <w:r w:rsidRPr="00580905">
        <w:t xml:space="preserve"> through carrying out related awareness raising projects), and hold councils accountable to their objectives.</w:t>
      </w:r>
    </w:p>
    <w:p w14:paraId="030067C3" w14:textId="6F718AD9" w:rsidR="00DC4322" w:rsidRPr="00580905" w:rsidRDefault="00646A5A" w:rsidP="00155236">
      <w:pPr>
        <w:pStyle w:val="BodyText"/>
      </w:pPr>
      <w:r>
        <w:t xml:space="preserve">A number of councils and stakeholders commented on the need for improvements in data collection and reporting for greater transparency. </w:t>
      </w:r>
    </w:p>
    <w:p w14:paraId="0364016C" w14:textId="342BE3A5" w:rsidR="000C559C" w:rsidRPr="00580905" w:rsidRDefault="009D5A2F" w:rsidP="00C5032C">
      <w:pPr>
        <w:pStyle w:val="Heading1"/>
      </w:pPr>
      <w:bookmarkStart w:id="63" w:name="_Toc456343413"/>
      <w:bookmarkStart w:id="64" w:name="_Toc458001918"/>
      <w:r w:rsidRPr="00580905">
        <w:t xml:space="preserve">Part 5: </w:t>
      </w:r>
      <w:r w:rsidR="003F1BDA" w:rsidRPr="00580905">
        <w:t>C</w:t>
      </w:r>
      <w:r w:rsidR="00F776C8" w:rsidRPr="00580905">
        <w:t>onclusions</w:t>
      </w:r>
      <w:bookmarkEnd w:id="63"/>
      <w:bookmarkEnd w:id="64"/>
      <w:r w:rsidR="00F776C8" w:rsidRPr="00580905">
        <w:t xml:space="preserve"> </w:t>
      </w:r>
    </w:p>
    <w:p w14:paraId="203D0C8B" w14:textId="068588CB" w:rsidR="009E415C" w:rsidRDefault="009E415C" w:rsidP="00C5032C">
      <w:pPr>
        <w:pStyle w:val="BodyText"/>
      </w:pPr>
      <w:r w:rsidRPr="00580905">
        <w:t xml:space="preserve">Approaches to </w:t>
      </w:r>
      <w:r w:rsidR="0082413C" w:rsidRPr="00580905">
        <w:t>compliance, monitoring and enforcement (</w:t>
      </w:r>
      <w:r w:rsidRPr="00580905">
        <w:t>CME</w:t>
      </w:r>
      <w:r w:rsidR="0082413C" w:rsidRPr="00580905">
        <w:t>)</w:t>
      </w:r>
      <w:r w:rsidRPr="00580905">
        <w:t xml:space="preserve"> </w:t>
      </w:r>
      <w:r w:rsidR="005A0B03" w:rsidRPr="00580905">
        <w:t>activities vary significantly between councils.</w:t>
      </w:r>
      <w:r w:rsidR="00903319" w:rsidRPr="00580905">
        <w:t xml:space="preserve"> This is partly a result of the </w:t>
      </w:r>
      <w:r w:rsidR="005A0B03" w:rsidRPr="00580905">
        <w:t>discretion given to councils to determine how</w:t>
      </w:r>
      <w:r w:rsidR="00712FB3">
        <w:t xml:space="preserve"> or to what extent</w:t>
      </w:r>
      <w:r w:rsidR="005A0B03" w:rsidRPr="00580905">
        <w:t xml:space="preserve"> the</w:t>
      </w:r>
      <w:r w:rsidR="00F32EAD" w:rsidRPr="00580905">
        <w:t>y carry out CME</w:t>
      </w:r>
      <w:r w:rsidR="00A030FA" w:rsidRPr="00580905">
        <w:t xml:space="preserve"> under the </w:t>
      </w:r>
      <w:r w:rsidR="0082413C" w:rsidRPr="00580905">
        <w:t xml:space="preserve">Resource Management Act </w:t>
      </w:r>
      <w:r w:rsidR="00021608" w:rsidRPr="00580905">
        <w:t xml:space="preserve">1991 </w:t>
      </w:r>
      <w:r w:rsidR="0082413C" w:rsidRPr="00580905">
        <w:t>(</w:t>
      </w:r>
      <w:r w:rsidR="00A030FA" w:rsidRPr="00580905">
        <w:t>RMA</w:t>
      </w:r>
      <w:r w:rsidR="0082413C" w:rsidRPr="00580905">
        <w:t>)</w:t>
      </w:r>
      <w:r w:rsidR="00F32EAD" w:rsidRPr="00580905">
        <w:t xml:space="preserve">, </w:t>
      </w:r>
      <w:r w:rsidR="00A030FA" w:rsidRPr="00580905">
        <w:t>as well as the lack of</w:t>
      </w:r>
      <w:r w:rsidR="00F32EAD" w:rsidRPr="00580905">
        <w:t xml:space="preserve"> national </w:t>
      </w:r>
      <w:r w:rsidR="00A030FA" w:rsidRPr="00580905">
        <w:t xml:space="preserve">and regional </w:t>
      </w:r>
      <w:r w:rsidR="00F32EAD" w:rsidRPr="00580905">
        <w:t>direction,</w:t>
      </w:r>
      <w:r w:rsidR="00A030FA" w:rsidRPr="00580905">
        <w:t xml:space="preserve"> coordination,</w:t>
      </w:r>
      <w:r w:rsidR="00F32EAD" w:rsidRPr="00580905">
        <w:t xml:space="preserve"> guidance and support on CME</w:t>
      </w:r>
      <w:r w:rsidR="00A030FA" w:rsidRPr="00580905">
        <w:t>.</w:t>
      </w:r>
      <w:r w:rsidR="00580905">
        <w:t xml:space="preserve"> </w:t>
      </w:r>
    </w:p>
    <w:p w14:paraId="6116F6DA" w14:textId="4610DE83" w:rsidR="009E415C" w:rsidRPr="00580905" w:rsidRDefault="00903319" w:rsidP="00C5032C">
      <w:pPr>
        <w:pStyle w:val="BodyText"/>
      </w:pPr>
      <w:r w:rsidRPr="00580905">
        <w:t>This report explains the key variations in council approaches to CME:</w:t>
      </w:r>
    </w:p>
    <w:p w14:paraId="6B56937A" w14:textId="41BC68FF" w:rsidR="00903319" w:rsidRPr="00580905" w:rsidRDefault="00903319" w:rsidP="00FB32C5">
      <w:pPr>
        <w:pStyle w:val="Bullet"/>
        <w:numPr>
          <w:ilvl w:val="0"/>
          <w:numId w:val="15"/>
        </w:numPr>
        <w:spacing w:after="100"/>
      </w:pPr>
      <w:r w:rsidRPr="00580905">
        <w:t>The level of priority and resources</w:t>
      </w:r>
      <w:r w:rsidR="00712FB3">
        <w:t xml:space="preserve"> </w:t>
      </w:r>
      <w:r w:rsidRPr="00580905">
        <w:t>–</w:t>
      </w:r>
      <w:r w:rsidR="00E30A8B" w:rsidRPr="00580905">
        <w:t xml:space="preserve"> </w:t>
      </w:r>
      <w:r w:rsidRPr="00580905">
        <w:t xml:space="preserve">regional councils and unitary authorities </w:t>
      </w:r>
      <w:r w:rsidR="00712FB3">
        <w:t>place greater emphasis on CME activities and h</w:t>
      </w:r>
      <w:r w:rsidR="00416F68" w:rsidRPr="00580905">
        <w:t>ave more significant resources and expertise to draw upon than territorial authorities</w:t>
      </w:r>
      <w:r w:rsidR="00712FB3">
        <w:t>.</w:t>
      </w:r>
    </w:p>
    <w:p w14:paraId="73649166" w14:textId="050670D0" w:rsidR="00903319" w:rsidRPr="00580905" w:rsidRDefault="00903319" w:rsidP="00FB32C5">
      <w:pPr>
        <w:pStyle w:val="Bullet"/>
        <w:numPr>
          <w:ilvl w:val="0"/>
          <w:numId w:val="15"/>
        </w:numPr>
        <w:spacing w:after="100"/>
      </w:pPr>
      <w:r w:rsidRPr="00580905">
        <w:t>Approaches to complaint response, resource consent monitoring and permitted activity monitoring</w:t>
      </w:r>
      <w:r w:rsidR="00416F68" w:rsidRPr="00580905">
        <w:t xml:space="preserve"> – while most councils have complaint response and resource consent monitoring systems in place, </w:t>
      </w:r>
      <w:r w:rsidR="00BE4B78">
        <w:t>plan rule (</w:t>
      </w:r>
      <w:r w:rsidR="00416F68" w:rsidRPr="00580905">
        <w:t>permitted activity</w:t>
      </w:r>
      <w:r w:rsidR="00BE4B78">
        <w:t>)</w:t>
      </w:r>
      <w:r w:rsidR="00416F68" w:rsidRPr="00580905">
        <w:t xml:space="preserve"> monitoring is limited</w:t>
      </w:r>
      <w:r w:rsidR="0082413C" w:rsidRPr="00580905">
        <w:t>.</w:t>
      </w:r>
    </w:p>
    <w:p w14:paraId="742AED6A" w14:textId="492F8DAA" w:rsidR="00903319" w:rsidRPr="00580905" w:rsidRDefault="00903319" w:rsidP="00FB32C5">
      <w:pPr>
        <w:pStyle w:val="Bullet"/>
        <w:numPr>
          <w:ilvl w:val="0"/>
          <w:numId w:val="15"/>
        </w:numPr>
        <w:spacing w:after="100"/>
      </w:pPr>
      <w:r w:rsidRPr="00580905">
        <w:t>Coordination of CME activities</w:t>
      </w:r>
      <w:r w:rsidR="00416F68" w:rsidRPr="00580905">
        <w:t xml:space="preserve"> – </w:t>
      </w:r>
      <w:r w:rsidR="00DB1322" w:rsidRPr="00580905">
        <w:t xml:space="preserve">national coordination of CME activities is limited. While </w:t>
      </w:r>
      <w:r w:rsidR="00416F68" w:rsidRPr="00580905">
        <w:t xml:space="preserve">regional councils and unitary authorities </w:t>
      </w:r>
      <w:r w:rsidR="00DB1322" w:rsidRPr="00580905">
        <w:t>have a national network set up to share approaches to and information on CME, territorial authorities are generally not well connected</w:t>
      </w:r>
      <w:r w:rsidR="0082413C" w:rsidRPr="00580905">
        <w:t>.</w:t>
      </w:r>
    </w:p>
    <w:p w14:paraId="3CE8CD04" w14:textId="1D986AB1" w:rsidR="00E30A8B" w:rsidRPr="008D56C0" w:rsidRDefault="00903319" w:rsidP="00FB32C5">
      <w:pPr>
        <w:pStyle w:val="Bullet"/>
        <w:numPr>
          <w:ilvl w:val="0"/>
          <w:numId w:val="15"/>
        </w:numPr>
        <w:spacing w:after="100"/>
      </w:pPr>
      <w:r w:rsidRPr="00580905">
        <w:t>Non-compliance responses</w:t>
      </w:r>
      <w:r w:rsidR="00DB1322" w:rsidRPr="00580905">
        <w:t xml:space="preserve"> – use of enforcement actions var</w:t>
      </w:r>
      <w:r w:rsidR="0082413C" w:rsidRPr="00580905">
        <w:t>ies</w:t>
      </w:r>
      <w:r w:rsidR="00931107" w:rsidRPr="00580905">
        <w:t xml:space="preserve"> significantly between councils.</w:t>
      </w:r>
      <w:r w:rsidR="00DB1322" w:rsidRPr="00580905">
        <w:t xml:space="preserve"> </w:t>
      </w:r>
      <w:r w:rsidR="00931107" w:rsidRPr="00580905">
        <w:t>M</w:t>
      </w:r>
      <w:r w:rsidR="00DB1322" w:rsidRPr="00580905">
        <w:t xml:space="preserve">ost </w:t>
      </w:r>
      <w:r w:rsidR="00931107" w:rsidRPr="00580905">
        <w:t>territorial authorities take few enforcement acti</w:t>
      </w:r>
      <w:r w:rsidR="00B71226" w:rsidRPr="00580905">
        <w:t>ons. Use of prosecutions i</w:t>
      </w:r>
      <w:r w:rsidR="00E30A8B" w:rsidRPr="00580905">
        <w:t>s</w:t>
      </w:r>
      <w:r w:rsidR="00931107" w:rsidRPr="00580905">
        <w:t xml:space="preserve"> </w:t>
      </w:r>
      <w:r w:rsidR="00931107" w:rsidRPr="008D56C0">
        <w:t xml:space="preserve">variable, with some </w:t>
      </w:r>
      <w:proofErr w:type="gramStart"/>
      <w:r w:rsidR="00931107" w:rsidRPr="008D56C0">
        <w:t>councils</w:t>
      </w:r>
      <w:proofErr w:type="gramEnd"/>
      <w:r w:rsidR="00931107" w:rsidRPr="008D56C0">
        <w:t xml:space="preserve"> taking a ‘tougher stance’ on non-compliance than others.</w:t>
      </w:r>
      <w:r w:rsidR="00E30A8B" w:rsidRPr="008D56C0">
        <w:t xml:space="preserve"> </w:t>
      </w:r>
      <w:r w:rsidR="00140999" w:rsidRPr="008D56C0">
        <w:t>Councils’ decisions to prosecute are often influenced by the costs of taking prosecutions, which are significant, and oft</w:t>
      </w:r>
      <w:r w:rsidR="005B0887" w:rsidRPr="008D56C0">
        <w:t xml:space="preserve">en not recovered </w:t>
      </w:r>
      <w:r w:rsidR="00BE4B78" w:rsidRPr="008D56C0">
        <w:t xml:space="preserve">completely </w:t>
      </w:r>
      <w:r w:rsidR="005B0887" w:rsidRPr="008D56C0">
        <w:t>through fines</w:t>
      </w:r>
      <w:r w:rsidR="0082413C" w:rsidRPr="008D56C0">
        <w:t>.</w:t>
      </w:r>
    </w:p>
    <w:p w14:paraId="03A8A692" w14:textId="77777777" w:rsidR="008D56C0" w:rsidRPr="008D56C0" w:rsidRDefault="00903319" w:rsidP="00FB32C5">
      <w:pPr>
        <w:pStyle w:val="Bullet"/>
        <w:numPr>
          <w:ilvl w:val="0"/>
          <w:numId w:val="15"/>
        </w:numPr>
        <w:spacing w:after="100"/>
      </w:pPr>
      <w:r w:rsidRPr="008D56C0">
        <w:t>Decision-making processes about enforcement actions and the level of political</w:t>
      </w:r>
      <w:r w:rsidR="00931107" w:rsidRPr="008D56C0">
        <w:t xml:space="preserve"> involvement in decision-making </w:t>
      </w:r>
      <w:r w:rsidR="00E313C7" w:rsidRPr="008D56C0">
        <w:t>–</w:t>
      </w:r>
      <w:r w:rsidR="00931107" w:rsidRPr="008D56C0">
        <w:t xml:space="preserve"> </w:t>
      </w:r>
      <w:r w:rsidR="00E313C7" w:rsidRPr="008D56C0">
        <w:t>not all councils appear to have amended their decision-making processes in accordance with the Auditor-General’s recommendations.</w:t>
      </w:r>
      <w:r w:rsidR="00E313C7" w:rsidRPr="008D56C0">
        <w:rPr>
          <w:rStyle w:val="FootnoteReference"/>
          <w:rFonts w:asciiTheme="minorHAnsi" w:hAnsiTheme="minorHAnsi" w:cs="Arial"/>
        </w:rPr>
        <w:footnoteReference w:id="54"/>
      </w:r>
    </w:p>
    <w:p w14:paraId="7EC50194" w14:textId="031CCD38" w:rsidR="00077A37" w:rsidRPr="008D56C0" w:rsidRDefault="00591CF3" w:rsidP="008D56C0">
      <w:pPr>
        <w:pStyle w:val="Bullet"/>
        <w:numPr>
          <w:ilvl w:val="0"/>
          <w:numId w:val="0"/>
        </w:numPr>
        <w:spacing w:after="100"/>
      </w:pPr>
      <w:r>
        <w:t>T</w:t>
      </w:r>
      <w:r w:rsidR="00CF5753">
        <w:t>here is limited dat</w:t>
      </w:r>
      <w:r w:rsidR="00F65F53">
        <w:t xml:space="preserve">a collected by councils and the Ministry for the Environment </w:t>
      </w:r>
      <w:r w:rsidR="00CF5753">
        <w:t>on CME</w:t>
      </w:r>
      <w:r w:rsidR="008D56C0" w:rsidRPr="008D56C0">
        <w:t xml:space="preserve">. </w:t>
      </w:r>
      <w:r>
        <w:t>P</w:t>
      </w:r>
      <w:r w:rsidR="00CF5753">
        <w:t xml:space="preserve">ublicly available data on CME </w:t>
      </w:r>
      <w:r>
        <w:t xml:space="preserve">is </w:t>
      </w:r>
      <w:r w:rsidRPr="00591CF3">
        <w:rPr>
          <w:i/>
        </w:rPr>
        <w:t>very</w:t>
      </w:r>
      <w:r>
        <w:t xml:space="preserve"> limited</w:t>
      </w:r>
      <w:r w:rsidR="00CF5753">
        <w:t>–</w:t>
      </w:r>
      <w:r>
        <w:t xml:space="preserve"> </w:t>
      </w:r>
      <w:r w:rsidR="00CF5753" w:rsidRPr="008D56C0">
        <w:rPr>
          <w:rFonts w:cs="Arial"/>
        </w:rPr>
        <w:t xml:space="preserve">some </w:t>
      </w:r>
      <w:proofErr w:type="gramStart"/>
      <w:r w:rsidR="00CF5753" w:rsidRPr="008D56C0">
        <w:rPr>
          <w:rFonts w:cs="Arial"/>
        </w:rPr>
        <w:t>councils</w:t>
      </w:r>
      <w:proofErr w:type="gramEnd"/>
      <w:r w:rsidR="00CF5753">
        <w:rPr>
          <w:rFonts w:cs="Arial"/>
        </w:rPr>
        <w:t xml:space="preserve"> </w:t>
      </w:r>
      <w:r w:rsidR="00CF5753" w:rsidRPr="008D56C0">
        <w:rPr>
          <w:rFonts w:cs="Arial"/>
        </w:rPr>
        <w:t xml:space="preserve">publish CME reports and their procedures for handling non-compliance, </w:t>
      </w:r>
      <w:r>
        <w:rPr>
          <w:rFonts w:cs="Arial"/>
        </w:rPr>
        <w:t xml:space="preserve">but </w:t>
      </w:r>
      <w:r w:rsidR="00CF5753" w:rsidRPr="008D56C0">
        <w:rPr>
          <w:rFonts w:cs="Arial"/>
        </w:rPr>
        <w:t xml:space="preserve">the majority do not. </w:t>
      </w:r>
      <w:r w:rsidR="008D56C0" w:rsidRPr="008D56C0">
        <w:rPr>
          <w:rFonts w:cs="Arial"/>
        </w:rPr>
        <w:t xml:space="preserve">As a result, it is difficult to assess the effect of CME on environmental outcomes, and </w:t>
      </w:r>
      <w:r w:rsidR="00F65F53">
        <w:rPr>
          <w:rFonts w:cs="Arial"/>
        </w:rPr>
        <w:t xml:space="preserve">for the public and the Ministry </w:t>
      </w:r>
      <w:r w:rsidR="00773ADB">
        <w:rPr>
          <w:rFonts w:cs="Arial"/>
        </w:rPr>
        <w:t xml:space="preserve">to </w:t>
      </w:r>
      <w:r w:rsidR="008D56C0" w:rsidRPr="008D56C0">
        <w:rPr>
          <w:rFonts w:cs="Arial"/>
        </w:rPr>
        <w:t xml:space="preserve">hold councils accountable for their actions and decisions. </w:t>
      </w:r>
    </w:p>
    <w:p w14:paraId="102B38D9" w14:textId="1E9013E8" w:rsidR="00075631" w:rsidRPr="008D56C0" w:rsidRDefault="001D2AA5" w:rsidP="00C5032C">
      <w:pPr>
        <w:pStyle w:val="BodyText"/>
      </w:pPr>
      <w:r w:rsidRPr="008D56C0">
        <w:t>A number of opportunities for changes to the CME regime were suggested</w:t>
      </w:r>
      <w:r w:rsidR="0013721D" w:rsidRPr="008D56C0">
        <w:t xml:space="preserve"> by councils and stakeholders</w:t>
      </w:r>
      <w:r w:rsidRPr="008D56C0">
        <w:t>. These changes are both regulatory and non-regulatory:</w:t>
      </w:r>
    </w:p>
    <w:p w14:paraId="4AFD3C1A" w14:textId="02F98CDA" w:rsidR="00E53F8D" w:rsidRPr="00580905" w:rsidRDefault="0013721D" w:rsidP="00FB32C5">
      <w:pPr>
        <w:pStyle w:val="Bullet"/>
        <w:numPr>
          <w:ilvl w:val="0"/>
          <w:numId w:val="15"/>
        </w:numPr>
        <w:spacing w:after="100"/>
      </w:pPr>
      <w:r>
        <w:t>I</w:t>
      </w:r>
      <w:r w:rsidR="00E53F8D" w:rsidRPr="00580905">
        <w:t>ncreased national (or regional) direction, guidance, support and training – this could take the form of a national policy statement (</w:t>
      </w:r>
      <w:r w:rsidR="00147EDD" w:rsidRPr="00580905">
        <w:t>NPS)</w:t>
      </w:r>
      <w:r w:rsidR="00E53F8D" w:rsidRPr="00580905">
        <w:t xml:space="preserve"> (or national environmental standard</w:t>
      </w:r>
      <w:r w:rsidR="00147EDD" w:rsidRPr="00580905">
        <w:t xml:space="preserve"> (NES)</w:t>
      </w:r>
      <w:r w:rsidR="00E53F8D" w:rsidRPr="00580905">
        <w:t xml:space="preserve">, in respect of particular activities), a guidance or best practice document or national support unit, for example. The Ministry of Business, Innovation and Employment is currently developing </w:t>
      </w:r>
      <w:r w:rsidR="00147EDD" w:rsidRPr="00580905">
        <w:t xml:space="preserve">New Zealand Qualifications Authority </w:t>
      </w:r>
      <w:r w:rsidR="00E53F8D" w:rsidRPr="00580905">
        <w:t xml:space="preserve">standards on CME for regulatory staff across all of government – these standards will be helpful in increasing the level of knowledge and expertise of CME staff nationally if implementation for </w:t>
      </w:r>
      <w:r w:rsidR="00147EDD" w:rsidRPr="00580905">
        <w:t>l</w:t>
      </w:r>
      <w:r w:rsidR="00E53F8D" w:rsidRPr="00580905">
        <w:t xml:space="preserve">ocal </w:t>
      </w:r>
      <w:r w:rsidR="00147EDD" w:rsidRPr="00580905">
        <w:t>g</w:t>
      </w:r>
      <w:r w:rsidR="00E53F8D" w:rsidRPr="00580905">
        <w:t>overnment is pursued</w:t>
      </w:r>
      <w:r w:rsidR="00147EDD" w:rsidRPr="00580905">
        <w:t>.</w:t>
      </w:r>
    </w:p>
    <w:p w14:paraId="055C060A" w14:textId="6A5EABAC" w:rsidR="00C06DA2" w:rsidRPr="00580905" w:rsidRDefault="00C06DA2" w:rsidP="00FB32C5">
      <w:pPr>
        <w:pStyle w:val="Bullet"/>
        <w:numPr>
          <w:ilvl w:val="0"/>
          <w:numId w:val="15"/>
        </w:numPr>
        <w:spacing w:after="100"/>
      </w:pPr>
      <w:r w:rsidRPr="00580905">
        <w:t>Changes to increase the co</w:t>
      </w:r>
      <w:r w:rsidR="009C2D47" w:rsidRPr="00580905">
        <w:t>nse</w:t>
      </w:r>
      <w:r w:rsidR="00B71226" w:rsidRPr="00580905">
        <w:t xml:space="preserve">quences </w:t>
      </w:r>
      <w:r w:rsidR="00073540" w:rsidRPr="00580905">
        <w:t>for</w:t>
      </w:r>
      <w:r w:rsidR="00B71226" w:rsidRPr="00580905">
        <w:t xml:space="preserve"> RMA non-compliance. Some</w:t>
      </w:r>
      <w:r w:rsidRPr="00580905">
        <w:t xml:space="preserve"> councils and stakeholders advocated for removing the ability to insure against RMA fines,</w:t>
      </w:r>
      <w:r w:rsidR="009C2D47" w:rsidRPr="00580905">
        <w:t xml:space="preserve"> </w:t>
      </w:r>
      <w:r w:rsidR="00E30A8B" w:rsidRPr="00580905">
        <w:t>commenting that the ability to i</w:t>
      </w:r>
      <w:r w:rsidR="009C2D47" w:rsidRPr="00580905">
        <w:t>nsure reduce</w:t>
      </w:r>
      <w:r w:rsidR="00C87C1B" w:rsidRPr="00580905">
        <w:t>s</w:t>
      </w:r>
      <w:r w:rsidR="009C2D47" w:rsidRPr="00580905">
        <w:t xml:space="preserve"> the effectiveness of prosecutions as a deterrent and punitive measure.</w:t>
      </w:r>
      <w:r w:rsidR="00580905">
        <w:t xml:space="preserve"> </w:t>
      </w:r>
      <w:r w:rsidR="009C2D47" w:rsidRPr="00580905">
        <w:t>Many councils and stakeholders also suggested the level of infringement fines be increased. Some suggested that infringement fin</w:t>
      </w:r>
      <w:r w:rsidR="00E30A8B" w:rsidRPr="00580905">
        <w:t>es be greater for companies than</w:t>
      </w:r>
      <w:r w:rsidR="009C2D47" w:rsidRPr="00580905">
        <w:t xml:space="preserve"> individuals, to reflect </w:t>
      </w:r>
      <w:r w:rsidR="004900D0" w:rsidRPr="00580905">
        <w:t>the differing</w:t>
      </w:r>
      <w:r w:rsidR="005B0887" w:rsidRPr="00580905">
        <w:t xml:space="preserve"> maximum fines for prosecutions</w:t>
      </w:r>
      <w:r w:rsidR="00073540" w:rsidRPr="00580905">
        <w:t>.</w:t>
      </w:r>
    </w:p>
    <w:p w14:paraId="442EFF76" w14:textId="598D468A" w:rsidR="00AE36F2" w:rsidRPr="00580905" w:rsidRDefault="00525D58" w:rsidP="00FB32C5">
      <w:pPr>
        <w:pStyle w:val="Bullet"/>
        <w:numPr>
          <w:ilvl w:val="0"/>
          <w:numId w:val="15"/>
        </w:numPr>
        <w:spacing w:after="100"/>
      </w:pPr>
      <w:r w:rsidRPr="00580905">
        <w:t xml:space="preserve">Changes to </w:t>
      </w:r>
      <w:r w:rsidR="00E05EBC">
        <w:t>data collection, monitoring</w:t>
      </w:r>
      <w:r w:rsidRPr="00580905">
        <w:t xml:space="preserve"> and reporting approaches to i</w:t>
      </w:r>
      <w:r w:rsidR="004900D0" w:rsidRPr="00580905">
        <w:t>ncrease transparency, accountabili</w:t>
      </w:r>
      <w:r w:rsidRPr="00580905">
        <w:t>ty and community involvement. M</w:t>
      </w:r>
      <w:r w:rsidR="004900D0" w:rsidRPr="00580905">
        <w:t xml:space="preserve">any stakeholders spoken to </w:t>
      </w:r>
      <w:proofErr w:type="gramStart"/>
      <w:r w:rsidR="004900D0" w:rsidRPr="00580905">
        <w:t>suggested</w:t>
      </w:r>
      <w:proofErr w:type="gramEnd"/>
      <w:r w:rsidR="004900D0" w:rsidRPr="00580905">
        <w:t xml:space="preserve"> that reporting on CME be mandatory fo</w:t>
      </w:r>
      <w:r w:rsidR="00E30A8B" w:rsidRPr="00580905">
        <w:t xml:space="preserve">r councils. </w:t>
      </w:r>
      <w:r w:rsidR="008A2C77" w:rsidRPr="00580905">
        <w:t>Stakeholder also raised the possibility of greater community/iwi involvement in CME, which could be carried out through a</w:t>
      </w:r>
      <w:r w:rsidR="003B47EF">
        <w:t xml:space="preserve"> RMA</w:t>
      </w:r>
      <w:r w:rsidR="008A2C77" w:rsidRPr="00580905">
        <w:t xml:space="preserve"> section 33 delegation.</w:t>
      </w:r>
    </w:p>
    <w:p w14:paraId="5A006981" w14:textId="3683A191" w:rsidR="001D0D4A" w:rsidRPr="00580905" w:rsidRDefault="00077A37" w:rsidP="00773ADB">
      <w:pPr>
        <w:pStyle w:val="BodyText"/>
      </w:pPr>
      <w:r>
        <w:t>T</w:t>
      </w:r>
      <w:r w:rsidR="000F097B" w:rsidRPr="00580905">
        <w:t xml:space="preserve">his report is intended as a platform for discussion about council CME activities and </w:t>
      </w:r>
      <w:r w:rsidR="007E0AB2" w:rsidRPr="00580905">
        <w:t xml:space="preserve">how </w:t>
      </w:r>
      <w:r w:rsidR="000F097B" w:rsidRPr="00580905">
        <w:t>possible improvements</w:t>
      </w:r>
      <w:r w:rsidR="007E0AB2" w:rsidRPr="00580905">
        <w:t xml:space="preserve"> could be made</w:t>
      </w:r>
      <w:r w:rsidR="000F097B" w:rsidRPr="00580905">
        <w:t>, and</w:t>
      </w:r>
      <w:r w:rsidR="007E0AB2" w:rsidRPr="00580905">
        <w:t xml:space="preserve"> not as a proposal for reform. </w:t>
      </w:r>
      <w:r w:rsidR="000F097B" w:rsidRPr="00580905">
        <w:t xml:space="preserve">This report and </w:t>
      </w:r>
      <w:r w:rsidR="005B0887" w:rsidRPr="00580905">
        <w:t xml:space="preserve">the </w:t>
      </w:r>
      <w:r w:rsidR="007E0AB2" w:rsidRPr="00580905">
        <w:t xml:space="preserve">research behind </w:t>
      </w:r>
      <w:r w:rsidR="0042424D" w:rsidRPr="00580905">
        <w:t xml:space="preserve">it contribute </w:t>
      </w:r>
      <w:r w:rsidR="007E0AB2" w:rsidRPr="00580905">
        <w:t>to wider policy work by the Ministry and other government agencies in assessing the effectiveness of resource management legislation.</w:t>
      </w:r>
      <w:r w:rsidR="006A5D8F" w:rsidRPr="00580905">
        <w:t xml:space="preserve"> The research will also inform the request for data sent to all</w:t>
      </w:r>
      <w:r w:rsidR="00773ADB">
        <w:t xml:space="preserve"> councils annually through the national monitoring s</w:t>
      </w:r>
      <w:r w:rsidR="006A5D8F" w:rsidRPr="00580905">
        <w:t>ystem.</w:t>
      </w:r>
    </w:p>
    <w:p w14:paraId="3D7C9F35" w14:textId="77777777" w:rsidR="00C5032C" w:rsidRPr="00580905" w:rsidRDefault="00C5032C" w:rsidP="00C5032C">
      <w:pPr>
        <w:pStyle w:val="BodyText"/>
      </w:pPr>
      <w:bookmarkStart w:id="65" w:name="_Toc456343414"/>
      <w:r w:rsidRPr="00580905">
        <w:br w:type="page"/>
      </w:r>
    </w:p>
    <w:p w14:paraId="35CD4F42" w14:textId="51E446CA" w:rsidR="000F097B" w:rsidRPr="00580905" w:rsidRDefault="001D0D4A" w:rsidP="00C5032C">
      <w:pPr>
        <w:pStyle w:val="Heading1"/>
      </w:pPr>
      <w:bookmarkStart w:id="66" w:name="_Toc458001919"/>
      <w:r w:rsidRPr="00580905">
        <w:t>References</w:t>
      </w:r>
      <w:bookmarkEnd w:id="65"/>
      <w:bookmarkEnd w:id="66"/>
    </w:p>
    <w:p w14:paraId="3DE1DED2" w14:textId="3AF94B11" w:rsidR="0040720D" w:rsidRPr="00580905" w:rsidRDefault="0040720D" w:rsidP="00944561">
      <w:pPr>
        <w:pStyle w:val="References"/>
      </w:pPr>
      <w:proofErr w:type="gramStart"/>
      <w:r w:rsidRPr="00580905">
        <w:t>Bay of Plenty Regional Council.</w:t>
      </w:r>
      <w:proofErr w:type="gramEnd"/>
      <w:r w:rsidRPr="00580905">
        <w:t xml:space="preserve"> 2015. </w:t>
      </w:r>
      <w:r w:rsidRPr="00580905">
        <w:rPr>
          <w:i/>
        </w:rPr>
        <w:t>2014/2015 Pollution Prevention and Compliance Report.</w:t>
      </w:r>
      <w:r w:rsidRPr="00580905">
        <w:t xml:space="preserve"> </w:t>
      </w:r>
      <w:proofErr w:type="spellStart"/>
      <w:r w:rsidRPr="00580905">
        <w:t>Whakatane</w:t>
      </w:r>
      <w:proofErr w:type="spellEnd"/>
      <w:r w:rsidRPr="00580905">
        <w:t xml:space="preserve">: Bay of Plenty Regional Council. Retrieved from </w:t>
      </w:r>
      <w:hyperlink r:id="rId16" w:history="1">
        <w:r w:rsidRPr="00580905">
          <w:rPr>
            <w:rStyle w:val="Hyperlink"/>
          </w:rPr>
          <w:t>www.boprc.govt.nz/media/520780/2014_2015-pollution-prevention-and-compliance-report.pdf</w:t>
        </w:r>
      </w:hyperlink>
      <w:r w:rsidR="00580905">
        <w:t xml:space="preserve"> </w:t>
      </w:r>
    </w:p>
    <w:p w14:paraId="0D8B090A" w14:textId="77777777" w:rsidR="003E0D38" w:rsidRPr="00580905" w:rsidRDefault="0040720D" w:rsidP="00944561">
      <w:pPr>
        <w:pStyle w:val="References"/>
      </w:pPr>
      <w:proofErr w:type="gramStart"/>
      <w:r w:rsidRPr="00580905">
        <w:t>Compliance and Enforcement Special Interest Group.</w:t>
      </w:r>
      <w:proofErr w:type="gramEnd"/>
      <w:r w:rsidRPr="00580905">
        <w:t xml:space="preserve"> </w:t>
      </w:r>
      <w:proofErr w:type="gramStart"/>
      <w:r w:rsidRPr="00580905">
        <w:t>Unpublished.</w:t>
      </w:r>
      <w:proofErr w:type="gramEnd"/>
      <w:r w:rsidRPr="00580905">
        <w:t xml:space="preserve"> </w:t>
      </w:r>
      <w:proofErr w:type="gramStart"/>
      <w:r w:rsidRPr="00580905">
        <w:t>Strategic Compliance Framework.</w:t>
      </w:r>
      <w:proofErr w:type="gramEnd"/>
    </w:p>
    <w:p w14:paraId="7C50B530" w14:textId="444B293C" w:rsidR="0040720D" w:rsidRPr="00580905" w:rsidRDefault="003E0D38" w:rsidP="00944561">
      <w:pPr>
        <w:pStyle w:val="References"/>
      </w:pPr>
      <w:proofErr w:type="gramStart"/>
      <w:r w:rsidRPr="00580905">
        <w:t>Controller and Auditor-General.</w:t>
      </w:r>
      <w:proofErr w:type="gramEnd"/>
      <w:r w:rsidRPr="00580905">
        <w:t xml:space="preserve"> 2011. </w:t>
      </w:r>
      <w:r w:rsidRPr="00580905">
        <w:rPr>
          <w:i/>
        </w:rPr>
        <w:t>Managing Freshwater quality: challenges for regional councils</w:t>
      </w:r>
      <w:r w:rsidRPr="00580905">
        <w:t xml:space="preserve">. Wellington: Controller and Auditor-General. </w:t>
      </w:r>
      <w:proofErr w:type="gramStart"/>
      <w:r w:rsidRPr="00580905">
        <w:t xml:space="preserve">Retrieved from </w:t>
      </w:r>
      <w:hyperlink r:id="rId17" w:history="1">
        <w:r w:rsidR="00D71B01" w:rsidRPr="00580905">
          <w:rPr>
            <w:rStyle w:val="Hyperlink"/>
          </w:rPr>
          <w:t>www.oag.govt.nz/2011/freshwater</w:t>
        </w:r>
      </w:hyperlink>
      <w:r w:rsidRPr="00580905">
        <w:t>.</w:t>
      </w:r>
      <w:proofErr w:type="gramEnd"/>
      <w:r w:rsidR="0040720D" w:rsidRPr="00580905">
        <w:t xml:space="preserve"> </w:t>
      </w:r>
    </w:p>
    <w:p w14:paraId="1225CB27" w14:textId="45C87743" w:rsidR="00D3262B" w:rsidRPr="00580905" w:rsidRDefault="00D3262B" w:rsidP="00944561">
      <w:pPr>
        <w:pStyle w:val="References"/>
      </w:pPr>
      <w:r w:rsidRPr="00580905">
        <w:t xml:space="preserve">Crown Law. 2013. </w:t>
      </w:r>
      <w:r w:rsidRPr="00580905">
        <w:rPr>
          <w:i/>
        </w:rPr>
        <w:t>Solicitor-General’s Prosecutions Guidelines</w:t>
      </w:r>
      <w:r w:rsidRPr="00580905">
        <w:t xml:space="preserve">. Wellington: Crown Law. </w:t>
      </w:r>
      <w:proofErr w:type="gramStart"/>
      <w:r w:rsidRPr="00580905">
        <w:t xml:space="preserve">Retrieved from </w:t>
      </w:r>
      <w:hyperlink r:id="rId18" w:history="1">
        <w:r w:rsidR="00AE79CA" w:rsidRPr="00580905">
          <w:rPr>
            <w:rStyle w:val="Hyperlink"/>
          </w:rPr>
          <w:t>www.crownlaw.govt.nz/assets/Uploads/Prosecution-Guidelines/prosecution-guidelines-2013.pdf</w:t>
        </w:r>
      </w:hyperlink>
      <w:r w:rsidRPr="00580905">
        <w:t>.</w:t>
      </w:r>
      <w:proofErr w:type="gramEnd"/>
    </w:p>
    <w:p w14:paraId="5E8C9995" w14:textId="5DA979A6" w:rsidR="00200A9E" w:rsidRPr="00A067C6" w:rsidRDefault="00200A9E" w:rsidP="00200A9E">
      <w:pPr>
        <w:pStyle w:val="References"/>
        <w:rPr>
          <w:color w:val="000000" w:themeColor="text1"/>
        </w:rPr>
      </w:pPr>
      <w:proofErr w:type="spellStart"/>
      <w:proofErr w:type="gramStart"/>
      <w:r w:rsidRPr="00200A9E">
        <w:rPr>
          <w:rStyle w:val="Hyperlink"/>
          <w:color w:val="000000" w:themeColor="text1"/>
        </w:rPr>
        <w:t>DairyNZ</w:t>
      </w:r>
      <w:proofErr w:type="spellEnd"/>
      <w:r>
        <w:rPr>
          <w:rStyle w:val="Hyperlink"/>
          <w:color w:val="000000" w:themeColor="text1"/>
        </w:rPr>
        <w:t>.</w:t>
      </w:r>
      <w:proofErr w:type="gramEnd"/>
      <w:r w:rsidRPr="00200A9E">
        <w:rPr>
          <w:rStyle w:val="Hyperlink"/>
          <w:color w:val="000000" w:themeColor="text1"/>
        </w:rPr>
        <w:t xml:space="preserve"> 2016</w:t>
      </w:r>
      <w:r>
        <w:rPr>
          <w:rStyle w:val="Hyperlink"/>
          <w:color w:val="000000" w:themeColor="text1"/>
        </w:rPr>
        <w:t xml:space="preserve">. </w:t>
      </w:r>
      <w:r w:rsidRPr="00A067C6">
        <w:rPr>
          <w:rStyle w:val="Hyperlink"/>
          <w:i/>
          <w:color w:val="000000" w:themeColor="text1"/>
        </w:rPr>
        <w:t>Environment</w:t>
      </w:r>
      <w:r>
        <w:rPr>
          <w:rStyle w:val="Hyperlink"/>
          <w:color w:val="000000" w:themeColor="text1"/>
        </w:rPr>
        <w:t xml:space="preserve">. Retrieved from </w:t>
      </w:r>
      <w:hyperlink r:id="rId19" w:history="1">
        <w:r w:rsidR="007A4A60" w:rsidRPr="007C0E65">
          <w:rPr>
            <w:rStyle w:val="Hyperlink"/>
          </w:rPr>
          <w:t>http://www.dairynz.co.nz/environment/</w:t>
        </w:r>
      </w:hyperlink>
      <w:r w:rsidR="007A4A60">
        <w:t xml:space="preserve">(25 July 2016) </w:t>
      </w:r>
      <w:r w:rsidR="007A4A60" w:rsidRPr="00580905">
        <w:t xml:space="preserve"> </w:t>
      </w:r>
    </w:p>
    <w:p w14:paraId="7824F556" w14:textId="2B833A43" w:rsidR="0077743F" w:rsidRPr="00580905" w:rsidRDefault="0077743F" w:rsidP="00944561">
      <w:pPr>
        <w:pStyle w:val="References"/>
      </w:pPr>
      <w:proofErr w:type="gramStart"/>
      <w:r w:rsidRPr="00580905">
        <w:t>Environment Canterbury.</w:t>
      </w:r>
      <w:proofErr w:type="gramEnd"/>
      <w:r w:rsidRPr="00580905">
        <w:t xml:space="preserve"> 2015. </w:t>
      </w:r>
      <w:r w:rsidRPr="00580905">
        <w:rPr>
          <w:i/>
        </w:rPr>
        <w:t>Compliance Monitoring Annual Report 2013/14</w:t>
      </w:r>
      <w:r w:rsidRPr="00580905">
        <w:t>. Christchurch: Environment Canterbury. Retrieved from</w:t>
      </w:r>
      <w:r w:rsidR="00822617">
        <w:t xml:space="preserve"> </w:t>
      </w:r>
      <w:hyperlink r:id="rId20" w:history="1">
        <w:r w:rsidRPr="00580905">
          <w:rPr>
            <w:rStyle w:val="Hyperlink"/>
          </w:rPr>
          <w:t>http://ecan.govt.nz/publications/Plans/compliance-monitoring-annual-report-april-2015.pdf</w:t>
        </w:r>
      </w:hyperlink>
      <w:r w:rsidR="00822617">
        <w:rPr>
          <w:rStyle w:val="Hyperlink"/>
        </w:rPr>
        <w:t xml:space="preserve"> </w:t>
      </w:r>
    </w:p>
    <w:p w14:paraId="1888E343" w14:textId="467C1CDC" w:rsidR="0077743F" w:rsidRPr="00580905" w:rsidRDefault="0077743F" w:rsidP="00944561">
      <w:pPr>
        <w:pStyle w:val="References"/>
      </w:pPr>
      <w:proofErr w:type="gramStart"/>
      <w:r w:rsidRPr="00580905">
        <w:t>Environment Canterbury.</w:t>
      </w:r>
      <w:proofErr w:type="gramEnd"/>
      <w:r w:rsidRPr="00580905">
        <w:t xml:space="preserve"> 2016. </w:t>
      </w:r>
      <w:r w:rsidRPr="00580905">
        <w:rPr>
          <w:i/>
        </w:rPr>
        <w:t>Compliance Monitoring Annual Report 2014/15</w:t>
      </w:r>
      <w:r w:rsidRPr="00580905">
        <w:t xml:space="preserve">. Christchurch: Environment Canterbury. Retrieved from </w:t>
      </w:r>
      <w:hyperlink r:id="rId21" w:history="1">
        <w:r w:rsidRPr="00580905">
          <w:rPr>
            <w:rStyle w:val="Hyperlink"/>
          </w:rPr>
          <w:t>http://ecan.govt.nz/publications/Reports/CME_Compliance_Monitoring_Sheet_Regional_Sept2015.pdf</w:t>
        </w:r>
      </w:hyperlink>
    </w:p>
    <w:p w14:paraId="5C8F1650" w14:textId="56834F7E" w:rsidR="008542FA" w:rsidRPr="00580905" w:rsidRDefault="008542FA" w:rsidP="00944561">
      <w:pPr>
        <w:pStyle w:val="References"/>
      </w:pPr>
      <w:proofErr w:type="gramStart"/>
      <w:r w:rsidRPr="00580905">
        <w:t>Local Government New Zealand.</w:t>
      </w:r>
      <w:proofErr w:type="gramEnd"/>
      <w:r w:rsidRPr="00580905">
        <w:t xml:space="preserve"> 2015. </w:t>
      </w:r>
      <w:r w:rsidRPr="00580905">
        <w:rPr>
          <w:i/>
        </w:rPr>
        <w:t>RMA Sector Position Paper – draft for feedback</w:t>
      </w:r>
      <w:r w:rsidRPr="00580905">
        <w:t xml:space="preserve">. Retrieved from </w:t>
      </w:r>
      <w:hyperlink r:id="rId22" w:history="1">
        <w:r w:rsidRPr="00580905">
          <w:rPr>
            <w:rStyle w:val="Hyperlink"/>
          </w:rPr>
          <w:t>www.lgnz.co.nz/assets/RMA-Sector-Position-Paper-15-October-2015.pdf</w:t>
        </w:r>
      </w:hyperlink>
    </w:p>
    <w:p w14:paraId="58B76B53" w14:textId="68562922" w:rsidR="001D0D4A" w:rsidRDefault="001D0D4A" w:rsidP="00944561">
      <w:pPr>
        <w:pStyle w:val="References"/>
      </w:pPr>
      <w:proofErr w:type="gramStart"/>
      <w:r w:rsidRPr="00580905">
        <w:t>Ministry for the Environment.</w:t>
      </w:r>
      <w:proofErr w:type="gramEnd"/>
      <w:r w:rsidRPr="00580905">
        <w:t xml:space="preserve"> 2012. </w:t>
      </w:r>
      <w:r w:rsidRPr="00580905">
        <w:rPr>
          <w:i/>
        </w:rPr>
        <w:t>A Study into the Use of Prosecutions under the Resource Management Act 1991</w:t>
      </w:r>
      <w:r w:rsidRPr="00580905">
        <w:t>. Wellington: Ministry for the Environment.</w:t>
      </w:r>
    </w:p>
    <w:p w14:paraId="5A2E169D" w14:textId="333DB33E" w:rsidR="0027310F" w:rsidRPr="00580905" w:rsidRDefault="0027310F" w:rsidP="00944561">
      <w:pPr>
        <w:pStyle w:val="References"/>
      </w:pPr>
      <w:proofErr w:type="gramStart"/>
      <w:r w:rsidRPr="00580905">
        <w:t>Min</w:t>
      </w:r>
      <w:r>
        <w:t>istry for the Environment</w:t>
      </w:r>
      <w:r w:rsidR="00551C5A">
        <w:t xml:space="preserve"> &amp;</w:t>
      </w:r>
      <w:r>
        <w:t xml:space="preserve"> Statistics New Zealand.</w:t>
      </w:r>
      <w:proofErr w:type="gramEnd"/>
      <w:r>
        <w:t xml:space="preserve"> 2015</w:t>
      </w:r>
      <w:r w:rsidRPr="00580905">
        <w:t>.</w:t>
      </w:r>
      <w:r w:rsidR="00551C5A">
        <w:t xml:space="preserve"> </w:t>
      </w:r>
      <w:r w:rsidR="00551C5A" w:rsidRPr="00551C5A">
        <w:rPr>
          <w:i/>
        </w:rPr>
        <w:t xml:space="preserve">New Zealand’s Environmental Reporting Series: Environment </w:t>
      </w:r>
      <w:proofErr w:type="spellStart"/>
      <w:r w:rsidR="00551C5A" w:rsidRPr="00551C5A">
        <w:rPr>
          <w:i/>
        </w:rPr>
        <w:t>Aotearo</w:t>
      </w:r>
      <w:r w:rsidR="00551C5A">
        <w:rPr>
          <w:i/>
        </w:rPr>
        <w:t>a</w:t>
      </w:r>
      <w:proofErr w:type="spellEnd"/>
      <w:r w:rsidR="00551C5A" w:rsidRPr="00551C5A">
        <w:rPr>
          <w:i/>
        </w:rPr>
        <w:t xml:space="preserve"> 2015</w:t>
      </w:r>
      <w:r w:rsidR="00551C5A">
        <w:t xml:space="preserve">. Available from </w:t>
      </w:r>
      <w:hyperlink r:id="rId23" w:history="1">
        <w:r w:rsidR="00551C5A" w:rsidRPr="00A36597">
          <w:rPr>
            <w:rStyle w:val="Hyperlink"/>
          </w:rPr>
          <w:t>www.mfe.govt.nz</w:t>
        </w:r>
      </w:hyperlink>
      <w:r w:rsidR="00551C5A">
        <w:t xml:space="preserve"> and </w:t>
      </w:r>
      <w:hyperlink r:id="rId24" w:history="1">
        <w:r w:rsidR="00551C5A" w:rsidRPr="00A36597">
          <w:rPr>
            <w:rStyle w:val="Hyperlink"/>
          </w:rPr>
          <w:t>www.stats.co.nz</w:t>
        </w:r>
      </w:hyperlink>
      <w:r w:rsidR="00551C5A">
        <w:t xml:space="preserve"> </w:t>
      </w:r>
    </w:p>
    <w:p w14:paraId="5DA38006" w14:textId="32189C77" w:rsidR="00146392" w:rsidRPr="00580905" w:rsidRDefault="00146392" w:rsidP="00944561">
      <w:pPr>
        <w:pStyle w:val="References"/>
      </w:pPr>
      <w:proofErr w:type="gramStart"/>
      <w:r w:rsidRPr="00580905">
        <w:t>Min</w:t>
      </w:r>
      <w:r w:rsidR="00CF6C89" w:rsidRPr="00580905">
        <w:t>istry for the Environment.</w:t>
      </w:r>
      <w:proofErr w:type="gramEnd"/>
      <w:r w:rsidR="00CF6C89" w:rsidRPr="00580905">
        <w:t xml:space="preserve"> 2016</w:t>
      </w:r>
      <w:r w:rsidRPr="00580905">
        <w:t xml:space="preserve">. </w:t>
      </w:r>
      <w:r w:rsidRPr="00580905">
        <w:rPr>
          <w:i/>
        </w:rPr>
        <w:t>Reporting for 2014/15</w:t>
      </w:r>
      <w:r w:rsidRPr="00580905">
        <w:t xml:space="preserve">. Retrieved from </w:t>
      </w:r>
      <w:hyperlink r:id="rId25" w:history="1">
        <w:r w:rsidRPr="00580905">
          <w:rPr>
            <w:rStyle w:val="Hyperlink"/>
          </w:rPr>
          <w:t>www.mfe.govt.nz/rma/rma-monitoring-and-reporting/reporting-201415</w:t>
        </w:r>
      </w:hyperlink>
      <w:r w:rsidRPr="00580905">
        <w:t xml:space="preserve"> (12 July 2016)</w:t>
      </w:r>
    </w:p>
    <w:p w14:paraId="08C26F04" w14:textId="6C2390F7" w:rsidR="00F56485" w:rsidRPr="00580905" w:rsidRDefault="00F56485" w:rsidP="00944561">
      <w:pPr>
        <w:pStyle w:val="References"/>
      </w:pPr>
      <w:proofErr w:type="gramStart"/>
      <w:r w:rsidRPr="00580905">
        <w:t>New Zealand Cabinet Minute.</w:t>
      </w:r>
      <w:proofErr w:type="gramEnd"/>
      <w:r w:rsidRPr="00580905">
        <w:t xml:space="preserve"> 2013. </w:t>
      </w:r>
      <w:r w:rsidRPr="00580905">
        <w:rPr>
          <w:i/>
        </w:rPr>
        <w:t>Regulatory Systems: Improving New Zealand’s Regulatory Performance</w:t>
      </w:r>
      <w:r w:rsidRPr="00580905">
        <w:t xml:space="preserve">. </w:t>
      </w:r>
      <w:proofErr w:type="gramStart"/>
      <w:r w:rsidRPr="00580905">
        <w:t>Cabinet Committee on State Sector Reform and Expenditure Control Minute of Decision (13) 6/2B.</w:t>
      </w:r>
      <w:proofErr w:type="gramEnd"/>
      <w:r w:rsidRPr="00580905">
        <w:t xml:space="preserve"> Wellington: Cabinet Office, Department of the Prime Minister and Cabinet. Retrieved from </w:t>
      </w:r>
      <w:hyperlink r:id="rId26" w:history="1">
        <w:r w:rsidRPr="00580905">
          <w:rPr>
            <w:rStyle w:val="Hyperlink"/>
          </w:rPr>
          <w:t>www.treasury.govt.nz/regulation/informationreleases/pdfs/reg-2601082.pdf/at_download/file</w:t>
        </w:r>
      </w:hyperlink>
      <w:r w:rsidRPr="00580905">
        <w:t xml:space="preserve"> </w:t>
      </w:r>
    </w:p>
    <w:p w14:paraId="4D3B8D28" w14:textId="2CE85976" w:rsidR="00AE3C8B" w:rsidRPr="00580905" w:rsidRDefault="00AE3C8B" w:rsidP="00944561">
      <w:pPr>
        <w:pStyle w:val="References"/>
      </w:pPr>
      <w:proofErr w:type="gramStart"/>
      <w:r w:rsidRPr="00580905">
        <w:t>New Zealand Productivity Commission.</w:t>
      </w:r>
      <w:proofErr w:type="gramEnd"/>
      <w:r w:rsidRPr="00580905">
        <w:t xml:space="preserve"> 2013. </w:t>
      </w:r>
      <w:proofErr w:type="gramStart"/>
      <w:r w:rsidRPr="00580905">
        <w:rPr>
          <w:i/>
        </w:rPr>
        <w:t>Towards</w:t>
      </w:r>
      <w:proofErr w:type="gramEnd"/>
      <w:r w:rsidRPr="00580905">
        <w:rPr>
          <w:i/>
        </w:rPr>
        <w:t xml:space="preserve"> Better Local Regulation</w:t>
      </w:r>
      <w:r w:rsidRPr="00580905">
        <w:t>. Wellington: Productivity</w:t>
      </w:r>
      <w:r w:rsidR="00944561" w:rsidRPr="00580905">
        <w:t> </w:t>
      </w:r>
      <w:r w:rsidRPr="00580905">
        <w:t>Commission.</w:t>
      </w:r>
    </w:p>
    <w:p w14:paraId="00D9F96D" w14:textId="4D22F8C8" w:rsidR="00F56485" w:rsidRPr="00580905" w:rsidRDefault="00F56485" w:rsidP="00944561">
      <w:pPr>
        <w:pStyle w:val="References"/>
      </w:pPr>
      <w:proofErr w:type="gramStart"/>
      <w:r w:rsidRPr="00580905">
        <w:t>New Zealand Productivity Commission.</w:t>
      </w:r>
      <w:proofErr w:type="gramEnd"/>
      <w:r w:rsidRPr="00580905">
        <w:t xml:space="preserve"> 2014. </w:t>
      </w:r>
      <w:r w:rsidRPr="00580905">
        <w:rPr>
          <w:i/>
        </w:rPr>
        <w:t>Regulatory Institutions and Practices</w:t>
      </w:r>
      <w:r w:rsidRPr="00580905">
        <w:t>. Wellington: Productivity Commission.</w:t>
      </w:r>
    </w:p>
    <w:p w14:paraId="7356529C" w14:textId="5CDC8111" w:rsidR="00E530BA" w:rsidRPr="00580905" w:rsidRDefault="00E530BA" w:rsidP="00944561">
      <w:pPr>
        <w:pStyle w:val="References"/>
      </w:pPr>
      <w:r w:rsidRPr="00580905">
        <w:t xml:space="preserve">Radio New Zealand. 2016. </w:t>
      </w:r>
      <w:proofErr w:type="spellStart"/>
      <w:r w:rsidRPr="00580905">
        <w:rPr>
          <w:i/>
        </w:rPr>
        <w:t>ECan</w:t>
      </w:r>
      <w:proofErr w:type="spellEnd"/>
      <w:r w:rsidRPr="00580905">
        <w:rPr>
          <w:i/>
        </w:rPr>
        <w:t xml:space="preserve"> Criticised for Lack of Action in Waterways</w:t>
      </w:r>
      <w:r w:rsidRPr="00580905">
        <w:t xml:space="preserve">. Retrieved from </w:t>
      </w:r>
      <w:hyperlink r:id="rId27" w:history="1">
        <w:r w:rsidRPr="00580905">
          <w:rPr>
            <w:rStyle w:val="Hyperlink"/>
          </w:rPr>
          <w:t>www.radionz.co.nz/news/regional/303751/ecan-criticised-for-lack-of-action-over-waterways</w:t>
        </w:r>
      </w:hyperlink>
      <w:r w:rsidRPr="00580905">
        <w:t xml:space="preserve"> (12</w:t>
      </w:r>
      <w:r w:rsidR="00944561" w:rsidRPr="00580905">
        <w:t> </w:t>
      </w:r>
      <w:r w:rsidRPr="00580905">
        <w:t>July</w:t>
      </w:r>
      <w:r w:rsidR="00944561" w:rsidRPr="00580905">
        <w:t> </w:t>
      </w:r>
      <w:r w:rsidRPr="00580905">
        <w:t>2016).</w:t>
      </w:r>
    </w:p>
    <w:p w14:paraId="146CAE36" w14:textId="5EAC9865" w:rsidR="009E7A53" w:rsidRPr="00580905" w:rsidRDefault="009E7A53" w:rsidP="00944561">
      <w:pPr>
        <w:pStyle w:val="References"/>
      </w:pPr>
      <w:proofErr w:type="gramStart"/>
      <w:r w:rsidRPr="00580905">
        <w:t>Stuff.co.nz. 2015.</w:t>
      </w:r>
      <w:proofErr w:type="gramEnd"/>
      <w:r w:rsidRPr="00580905">
        <w:t xml:space="preserve"> </w:t>
      </w:r>
      <w:proofErr w:type="gramStart"/>
      <w:r w:rsidRPr="00580905">
        <w:rPr>
          <w:i/>
        </w:rPr>
        <w:t>Councils Prosecuting Fewer Farmers for Dirty Dairying Offences.</w:t>
      </w:r>
      <w:proofErr w:type="gramEnd"/>
      <w:r w:rsidRPr="00580905">
        <w:t xml:space="preserve"> Retrieved from </w:t>
      </w:r>
      <w:hyperlink r:id="rId28" w:history="1">
        <w:r w:rsidR="00E530BA" w:rsidRPr="00580905">
          <w:rPr>
            <w:rStyle w:val="Hyperlink"/>
          </w:rPr>
          <w:t>www.stuff.co.nz/business/farming/dairy/71333959/councils-prosecuting-fewer-farmers-for-dirty-dairying-offences</w:t>
        </w:r>
      </w:hyperlink>
      <w:r w:rsidR="00E530BA" w:rsidRPr="00580905">
        <w:t xml:space="preserve"> (12 July 2016).</w:t>
      </w:r>
    </w:p>
    <w:p w14:paraId="2649CCEE" w14:textId="68021BFC" w:rsidR="004179FF" w:rsidRPr="00580905" w:rsidRDefault="004179FF" w:rsidP="00944561">
      <w:pPr>
        <w:pStyle w:val="References"/>
      </w:pPr>
      <w:proofErr w:type="gramStart"/>
      <w:r w:rsidRPr="00580905">
        <w:t>Stuff.co.nz. 2016</w:t>
      </w:r>
      <w:r w:rsidR="00FF7DF0" w:rsidRPr="00580905">
        <w:t>a</w:t>
      </w:r>
      <w:r w:rsidRPr="00580905">
        <w:t>.</w:t>
      </w:r>
      <w:proofErr w:type="gramEnd"/>
      <w:r w:rsidRPr="00580905">
        <w:t xml:space="preserve"> </w:t>
      </w:r>
      <w:r w:rsidRPr="00580905">
        <w:rPr>
          <w:i/>
        </w:rPr>
        <w:t xml:space="preserve">Millions of Litres of Water Illegally Taken – is </w:t>
      </w:r>
      <w:proofErr w:type="spellStart"/>
      <w:r w:rsidRPr="00580905">
        <w:rPr>
          <w:i/>
        </w:rPr>
        <w:t>ECan</w:t>
      </w:r>
      <w:proofErr w:type="spellEnd"/>
      <w:r w:rsidRPr="00580905">
        <w:rPr>
          <w:i/>
        </w:rPr>
        <w:t xml:space="preserve"> doing enough?</w:t>
      </w:r>
      <w:r w:rsidRPr="00580905">
        <w:t xml:space="preserve"> Retrieved from </w:t>
      </w:r>
      <w:hyperlink r:id="rId29" w:history="1">
        <w:r w:rsidRPr="00580905">
          <w:rPr>
            <w:rStyle w:val="Hyperlink"/>
          </w:rPr>
          <w:t>www.stuff.co.nz/business/farming/81191467/Millions-of-litres-of-water-illegally-taken-Is-ECan-doing-enough</w:t>
        </w:r>
      </w:hyperlink>
      <w:r w:rsidRPr="00580905">
        <w:t xml:space="preserve"> (12 July 2016).</w:t>
      </w:r>
    </w:p>
    <w:p w14:paraId="61E5A872" w14:textId="6A378DCF" w:rsidR="00FF7DF0" w:rsidRPr="00580905" w:rsidRDefault="00FF7DF0" w:rsidP="00944561">
      <w:pPr>
        <w:pStyle w:val="References"/>
      </w:pPr>
      <w:proofErr w:type="gramStart"/>
      <w:r w:rsidRPr="00580905">
        <w:t>Stuff.co.nz. 2016b.</w:t>
      </w:r>
      <w:proofErr w:type="gramEnd"/>
      <w:r w:rsidRPr="00580905">
        <w:t xml:space="preserve"> </w:t>
      </w:r>
      <w:r w:rsidRPr="00580905">
        <w:rPr>
          <w:i/>
        </w:rPr>
        <w:t>Councillors Question if Horizons is Holding District Councils to Account</w:t>
      </w:r>
      <w:r w:rsidRPr="00580905">
        <w:t xml:space="preserve">. Retrieved from </w:t>
      </w:r>
      <w:hyperlink r:id="rId30" w:history="1">
        <w:r w:rsidRPr="00580905">
          <w:rPr>
            <w:rStyle w:val="Hyperlink"/>
          </w:rPr>
          <w:t>www.stuff.co.nz/manawatu-standard/news/80014164/councillors-question-if-horizons-is-holding-district-councils-to-account</w:t>
        </w:r>
      </w:hyperlink>
      <w:r w:rsidRPr="00580905">
        <w:t xml:space="preserve"> (12 July 2016).</w:t>
      </w:r>
    </w:p>
    <w:p w14:paraId="79A931F8" w14:textId="524B35B6" w:rsidR="00D5251E" w:rsidRPr="00580905" w:rsidRDefault="00D5251E" w:rsidP="00944561">
      <w:pPr>
        <w:pStyle w:val="References"/>
      </w:pPr>
      <w:proofErr w:type="gramStart"/>
      <w:r w:rsidRPr="00580905">
        <w:t>Tasman District Council.</w:t>
      </w:r>
      <w:proofErr w:type="gramEnd"/>
      <w:r w:rsidRPr="00580905">
        <w:t xml:space="preserve"> 2011. </w:t>
      </w:r>
      <w:r w:rsidRPr="00580905">
        <w:rPr>
          <w:i/>
        </w:rPr>
        <w:t>Enforcement Policy and Guidelines</w:t>
      </w:r>
      <w:r w:rsidRPr="00580905">
        <w:t>. Nelson: Tasman District Council. Retrieved from</w:t>
      </w:r>
      <w:r w:rsidR="00CF6C89" w:rsidRPr="00580905">
        <w:t xml:space="preserve"> </w:t>
      </w:r>
      <w:hyperlink r:id="rId31" w:history="1">
        <w:r w:rsidRPr="00580905">
          <w:rPr>
            <w:rStyle w:val="Hyperlink"/>
          </w:rPr>
          <w:t>www.tasman.govt.nz/policy/policies/enforcement-policies/</w:t>
        </w:r>
      </w:hyperlink>
      <w:r w:rsidRPr="00580905">
        <w:t xml:space="preserve"> </w:t>
      </w:r>
    </w:p>
    <w:p w14:paraId="0B5CE949" w14:textId="274F9F14" w:rsidR="000F097B" w:rsidRDefault="00923CD5" w:rsidP="00BD1B9F">
      <w:pPr>
        <w:pStyle w:val="References"/>
        <w:rPr>
          <w:rStyle w:val="Hyperlink"/>
        </w:rPr>
      </w:pPr>
      <w:proofErr w:type="gramStart"/>
      <w:r w:rsidRPr="00580905">
        <w:t>Waikato Regional Council.</w:t>
      </w:r>
      <w:proofErr w:type="gramEnd"/>
      <w:r w:rsidRPr="00580905">
        <w:t xml:space="preserve"> 2016. </w:t>
      </w:r>
      <w:r w:rsidRPr="00580905">
        <w:rPr>
          <w:i/>
        </w:rPr>
        <w:t xml:space="preserve">Basic Investigative Skills for Local Government. </w:t>
      </w:r>
      <w:r w:rsidRPr="00580905">
        <w:t>Hamilton: Waikato Regional Council.</w:t>
      </w:r>
      <w:r w:rsidRPr="00580905">
        <w:rPr>
          <w:i/>
        </w:rPr>
        <w:t xml:space="preserve"> </w:t>
      </w:r>
      <w:r w:rsidRPr="00580905">
        <w:t>Retrieved from</w:t>
      </w:r>
      <w:r w:rsidR="00CF6C89" w:rsidRPr="00580905">
        <w:t xml:space="preserve"> </w:t>
      </w:r>
      <w:hyperlink r:id="rId32" w:history="1">
        <w:r w:rsidR="00CF6C89" w:rsidRPr="00580905">
          <w:rPr>
            <w:rStyle w:val="Hyperlink"/>
          </w:rPr>
          <w:t>www.waikatoregion.govt.nz/Services/Regional-services/Investigation-and-enforcement/Basic-investigative-skills-for-local-government/</w:t>
        </w:r>
      </w:hyperlink>
    </w:p>
    <w:p w14:paraId="7D580D8C" w14:textId="42119783" w:rsidR="00200A9E" w:rsidRPr="00BD1B9F" w:rsidRDefault="00200A9E" w:rsidP="00200A9E">
      <w:pPr>
        <w:pStyle w:val="References"/>
      </w:pPr>
    </w:p>
    <w:sectPr w:rsidR="00200A9E" w:rsidRPr="00BD1B9F" w:rsidSect="00C5032C">
      <w:headerReference w:type="even" r:id="rId33"/>
      <w:headerReference w:type="default" r:id="rId34"/>
      <w:footerReference w:type="even" r:id="rId35"/>
      <w:footerReference w:type="default" r:id="rId36"/>
      <w:pgSz w:w="11906" w:h="16838"/>
      <w:pgMar w:top="1134" w:right="1418" w:bottom="1134" w:left="1418" w:header="709" w:footer="709" w:gutter="567"/>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4FD9B1C" w15:done="0"/>
  <w15:commentEx w15:paraId="3A9D1970" w15:done="0"/>
  <w15:commentEx w15:paraId="53C7349D" w15:done="0"/>
  <w15:commentEx w15:paraId="68B05065" w15:done="0"/>
  <w15:commentEx w15:paraId="1DE4FDC7" w15:done="0"/>
  <w15:commentEx w15:paraId="45B0884C" w15:done="0"/>
  <w15:commentEx w15:paraId="7CC5CD7F" w15:done="0"/>
  <w15:commentEx w15:paraId="2EBF4CCA" w15:done="0"/>
  <w15:commentEx w15:paraId="4FC30F9C" w15:done="0"/>
  <w15:commentEx w15:paraId="60A39BB4" w15:done="0"/>
  <w15:commentEx w15:paraId="4E33FB5F" w15:done="0"/>
  <w15:commentEx w15:paraId="5AA3CD45" w15:done="0"/>
  <w15:commentEx w15:paraId="0915A07B" w15:done="0"/>
  <w15:commentEx w15:paraId="0578FCC9" w15:done="0"/>
  <w15:commentEx w15:paraId="58D1D18F" w15:done="0"/>
  <w15:commentEx w15:paraId="10CDC67F" w15:done="0"/>
  <w15:commentEx w15:paraId="1857AABB" w15:done="0"/>
  <w15:commentEx w15:paraId="1AD39EF4" w15:done="0"/>
  <w15:commentEx w15:paraId="10531F9C" w15:done="0"/>
  <w15:commentEx w15:paraId="077048C3" w15:done="0"/>
  <w15:commentEx w15:paraId="6ACE46FB" w15:done="0"/>
  <w15:commentEx w15:paraId="2946DC37" w15:done="0"/>
  <w15:commentEx w15:paraId="662BC74D" w15:done="0"/>
  <w15:commentEx w15:paraId="0490E35E" w15:done="0"/>
  <w15:commentEx w15:paraId="5075BED0" w15:done="0"/>
  <w15:commentEx w15:paraId="225B578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FD2033" w14:textId="77777777" w:rsidR="00342376" w:rsidRDefault="00342376" w:rsidP="00560C74">
      <w:r>
        <w:separator/>
      </w:r>
    </w:p>
    <w:p w14:paraId="55C9178C" w14:textId="77777777" w:rsidR="00342376" w:rsidRDefault="00342376"/>
  </w:endnote>
  <w:endnote w:type="continuationSeparator" w:id="0">
    <w:p w14:paraId="774326A0" w14:textId="77777777" w:rsidR="00342376" w:rsidRDefault="00342376" w:rsidP="00560C74">
      <w:r>
        <w:continuationSeparator/>
      </w:r>
    </w:p>
    <w:p w14:paraId="662DC0FB" w14:textId="77777777" w:rsidR="00342376" w:rsidRDefault="00342376"/>
  </w:endnote>
  <w:endnote w:type="continuationNotice" w:id="1">
    <w:p w14:paraId="4067316A" w14:textId="77777777" w:rsidR="00342376" w:rsidRDefault="003423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AvenirMaori-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4609C4" w14:textId="77777777" w:rsidR="00342376" w:rsidRDefault="00342376" w:rsidP="00EC5DAC">
    <w:pPr>
      <w:pStyle w:val="Footerod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340F73" w14:textId="3AC199E4" w:rsidR="00342376" w:rsidRDefault="00342376" w:rsidP="00DE1C95">
    <w:pPr>
      <w:pStyle w:val="Footereven"/>
    </w:pPr>
    <w:r>
      <w:fldChar w:fldCharType="begin"/>
    </w:r>
    <w:r>
      <w:instrText xml:space="preserve"> PAGE   \* MERGEFORMAT </w:instrText>
    </w:r>
    <w:r>
      <w:fldChar w:fldCharType="separate"/>
    </w:r>
    <w:r w:rsidR="00453BA8">
      <w:rPr>
        <w:noProof/>
      </w:rPr>
      <w:t>4</w:t>
    </w:r>
    <w:r>
      <w:rPr>
        <w:noProof/>
      </w:rPr>
      <w:fldChar w:fldCharType="end"/>
    </w:r>
    <w:r>
      <w:rPr>
        <w:noProof/>
      </w:rPr>
      <w:tab/>
    </w:r>
    <w:r w:rsidRPr="00DE1C95">
      <w:t>Compliance, monitoring and enforcement by local authorities under the Resource Management Act 1991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4523952"/>
      <w:docPartObj>
        <w:docPartGallery w:val="Page Numbers (Bottom of Page)"/>
        <w:docPartUnique/>
      </w:docPartObj>
    </w:sdtPr>
    <w:sdtContent>
      <w:p w14:paraId="39B2DD21" w14:textId="4BA6BD48" w:rsidR="00342376" w:rsidRDefault="00342376" w:rsidP="00DE1C95">
        <w:pPr>
          <w:pStyle w:val="Footerodd"/>
        </w:pPr>
        <w:r>
          <w:tab/>
        </w:r>
        <w:r w:rsidRPr="00DE1C95">
          <w:t>Compliance, monitoring and enforcement by local authorities under the Resource Management Act 1991</w:t>
        </w:r>
        <w:r>
          <w:tab/>
        </w:r>
        <w:r>
          <w:fldChar w:fldCharType="begin"/>
        </w:r>
        <w:r>
          <w:instrText xml:space="preserve"> PAGE   \* MERGEFORMAT </w:instrText>
        </w:r>
        <w:r>
          <w:fldChar w:fldCharType="separate"/>
        </w:r>
        <w:r w:rsidR="00453BA8">
          <w:rPr>
            <w:noProof/>
          </w:rPr>
          <w:t>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96A610" w14:textId="77777777" w:rsidR="00342376" w:rsidRDefault="00342376" w:rsidP="00DE7757">
      <w:pPr>
        <w:spacing w:after="60"/>
      </w:pPr>
      <w:r>
        <w:separator/>
      </w:r>
    </w:p>
  </w:footnote>
  <w:footnote w:type="continuationSeparator" w:id="0">
    <w:p w14:paraId="0EECECE8" w14:textId="77777777" w:rsidR="00342376" w:rsidRDefault="00342376" w:rsidP="00560C74">
      <w:r>
        <w:continuationSeparator/>
      </w:r>
    </w:p>
    <w:p w14:paraId="32493568" w14:textId="77777777" w:rsidR="00342376" w:rsidRDefault="00342376"/>
  </w:footnote>
  <w:footnote w:type="continuationNotice" w:id="1">
    <w:p w14:paraId="3E4F83CA" w14:textId="77777777" w:rsidR="00342376" w:rsidRDefault="00342376"/>
  </w:footnote>
  <w:footnote w:id="2">
    <w:p w14:paraId="6FECB7A6" w14:textId="7379E215" w:rsidR="00342376" w:rsidRPr="00DF2BFB" w:rsidRDefault="00342376" w:rsidP="00DF2BFB">
      <w:pPr>
        <w:pStyle w:val="FootnoteText"/>
      </w:pPr>
      <w:r w:rsidRPr="00D16BBD">
        <w:rPr>
          <w:rStyle w:val="FootnoteReference"/>
          <w:sz w:val="18"/>
        </w:rPr>
        <w:footnoteRef/>
      </w:r>
      <w:r w:rsidRPr="00DF2BFB">
        <w:t xml:space="preserve"> </w:t>
      </w:r>
      <w:r>
        <w:tab/>
      </w:r>
      <w:r w:rsidRPr="00DF2BFB">
        <w:t>Four regional councils, three unitary authorities, four district councils and two city councils.</w:t>
      </w:r>
    </w:p>
  </w:footnote>
  <w:footnote w:id="3">
    <w:p w14:paraId="7597C219" w14:textId="25E3351E" w:rsidR="00342376" w:rsidRPr="00DF2BFB" w:rsidRDefault="00342376" w:rsidP="001E55D6">
      <w:pPr>
        <w:pStyle w:val="FootnoteText"/>
      </w:pPr>
      <w:r w:rsidRPr="00DF2BFB">
        <w:rPr>
          <w:rStyle w:val="FootnoteReference"/>
          <w:sz w:val="18"/>
        </w:rPr>
        <w:footnoteRef/>
      </w:r>
      <w:r w:rsidRPr="00DF2BFB">
        <w:t xml:space="preserve"> </w:t>
      </w:r>
      <w:r w:rsidRPr="00DF2BFB">
        <w:tab/>
        <w:t>The stakeholders selected for this study represent environmental, community, Māori, business and governance interests.</w:t>
      </w:r>
    </w:p>
  </w:footnote>
  <w:footnote w:id="4">
    <w:p w14:paraId="0325BC9F" w14:textId="77777777" w:rsidR="00342376" w:rsidRPr="001315E3" w:rsidRDefault="00342376" w:rsidP="00D70C69">
      <w:pPr>
        <w:pStyle w:val="FootnoteText"/>
        <w:rPr>
          <w:lang w:val="en-NZ"/>
        </w:rPr>
      </w:pPr>
      <w:r>
        <w:rPr>
          <w:rStyle w:val="FootnoteReference"/>
        </w:rPr>
        <w:footnoteRef/>
      </w:r>
      <w:r>
        <w:t xml:space="preserve"> </w:t>
      </w:r>
      <w:r>
        <w:rPr>
          <w:lang w:val="en-NZ"/>
        </w:rPr>
        <w:tab/>
      </w:r>
      <w:r w:rsidRPr="00DB5931">
        <w:t>CAB Min (13) 6/2B</w:t>
      </w:r>
      <w:r>
        <w:rPr>
          <w:lang w:val="en-NZ"/>
        </w:rPr>
        <w:t xml:space="preserve">; </w:t>
      </w:r>
      <w:r w:rsidRPr="00DB5931">
        <w:t>New Zealand Productivity Commission, 2014.</w:t>
      </w:r>
    </w:p>
  </w:footnote>
  <w:footnote w:id="5">
    <w:p w14:paraId="6E597319" w14:textId="77777777" w:rsidR="00342376" w:rsidRPr="00CB7892" w:rsidRDefault="00342376" w:rsidP="002664E3">
      <w:pPr>
        <w:pStyle w:val="FootnoteText"/>
      </w:pPr>
      <w:r w:rsidRPr="00DF2BFB">
        <w:rPr>
          <w:rStyle w:val="FootnoteReference"/>
          <w:rFonts w:asciiTheme="minorHAnsi" w:hAnsiTheme="minorHAnsi"/>
          <w:sz w:val="18"/>
        </w:rPr>
        <w:footnoteRef/>
      </w:r>
      <w:r w:rsidRPr="00DF2BFB">
        <w:t xml:space="preserve"> </w:t>
      </w:r>
      <w:r w:rsidRPr="00DF2BFB">
        <w:tab/>
        <w:t xml:space="preserve">This was the subject of four studies on the use of prosecutions under the RMA. The latest report was released by the </w:t>
      </w:r>
      <w:r w:rsidRPr="00370601">
        <w:t>Ministry for the Environment (2012).</w:t>
      </w:r>
    </w:p>
  </w:footnote>
  <w:footnote w:id="6">
    <w:p w14:paraId="642DBB73" w14:textId="05F74326" w:rsidR="00342376" w:rsidRPr="00573ACF" w:rsidRDefault="00342376" w:rsidP="00573ACF">
      <w:pPr>
        <w:pStyle w:val="FootnoteText"/>
      </w:pPr>
      <w:r w:rsidRPr="00573ACF">
        <w:rPr>
          <w:rStyle w:val="FootnoteReference"/>
          <w:sz w:val="18"/>
        </w:rPr>
        <w:footnoteRef/>
      </w:r>
      <w:r w:rsidRPr="00573ACF">
        <w:t xml:space="preserve"> </w:t>
      </w:r>
      <w:r>
        <w:tab/>
      </w:r>
      <w:r w:rsidRPr="00573ACF">
        <w:t>New Zealand Productivity Commission, 2013.</w:t>
      </w:r>
    </w:p>
  </w:footnote>
  <w:footnote w:id="7">
    <w:p w14:paraId="4773CDDE" w14:textId="77777777" w:rsidR="00342376" w:rsidRPr="00573ACF" w:rsidRDefault="00342376" w:rsidP="00773AC2">
      <w:pPr>
        <w:pStyle w:val="FootnoteText"/>
      </w:pPr>
      <w:r w:rsidRPr="00573ACF">
        <w:rPr>
          <w:rStyle w:val="FootnoteReference"/>
          <w:sz w:val="18"/>
        </w:rPr>
        <w:footnoteRef/>
      </w:r>
      <w:r w:rsidRPr="00573ACF">
        <w:t xml:space="preserve"> </w:t>
      </w:r>
      <w:r>
        <w:tab/>
      </w:r>
      <w:r w:rsidRPr="00573ACF">
        <w:t>Noise complaints make up 83 per cent of all complaints received by local authorities under the RMA.</w:t>
      </w:r>
    </w:p>
  </w:footnote>
  <w:footnote w:id="8">
    <w:p w14:paraId="3B54FBB9" w14:textId="2AE6B713" w:rsidR="00342376" w:rsidRPr="001135C4" w:rsidRDefault="00342376" w:rsidP="001135C4">
      <w:pPr>
        <w:pStyle w:val="FootnoteText"/>
      </w:pPr>
      <w:r w:rsidRPr="001135C4">
        <w:rPr>
          <w:rStyle w:val="FootnoteReference"/>
          <w:sz w:val="18"/>
        </w:rPr>
        <w:footnoteRef/>
      </w:r>
      <w:r w:rsidRPr="001135C4">
        <w:t xml:space="preserve"> </w:t>
      </w:r>
      <w:r>
        <w:tab/>
      </w:r>
      <w:r w:rsidRPr="001135C4">
        <w:t xml:space="preserve">The NMS replaced the Biennial RMA Survey of Local Authorities in 2014. The data request sent to councils through the NMS is currently being refined. The full set of 2014/15 data can be accessed at </w:t>
      </w:r>
      <w:hyperlink r:id="rId1" w:history="1">
        <w:r w:rsidRPr="001135C4">
          <w:rPr>
            <w:rStyle w:val="Hyperlink"/>
            <w:color w:val="auto"/>
          </w:rPr>
          <w:t>www.mfe.govt.nz/rma/rma-monitoring-and-reporting/reporting-201415</w:t>
        </w:r>
      </w:hyperlink>
    </w:p>
  </w:footnote>
  <w:footnote w:id="9">
    <w:p w14:paraId="12F25454" w14:textId="057CC24A" w:rsidR="00342376" w:rsidRPr="001135C4" w:rsidRDefault="00342376" w:rsidP="001135C4">
      <w:pPr>
        <w:pStyle w:val="FootnoteText"/>
      </w:pPr>
      <w:r w:rsidRPr="001135C4">
        <w:rPr>
          <w:rStyle w:val="FootnoteReference"/>
          <w:sz w:val="18"/>
        </w:rPr>
        <w:footnoteRef/>
      </w:r>
      <w:r w:rsidRPr="001135C4">
        <w:t xml:space="preserve"> </w:t>
      </w:r>
      <w:r>
        <w:tab/>
      </w:r>
      <w:r w:rsidRPr="001135C4">
        <w:t>See the most recent report, Ministry for the Environment (2012).</w:t>
      </w:r>
    </w:p>
  </w:footnote>
  <w:footnote w:id="10">
    <w:p w14:paraId="0E9ABE2D" w14:textId="77B0E2FB" w:rsidR="00342376" w:rsidRPr="00C15F91" w:rsidRDefault="00342376" w:rsidP="00C15F91">
      <w:pPr>
        <w:pStyle w:val="FootnoteText"/>
      </w:pPr>
      <w:r w:rsidRPr="00C15F91">
        <w:rPr>
          <w:rStyle w:val="FootnoteReference"/>
          <w:sz w:val="18"/>
        </w:rPr>
        <w:footnoteRef/>
      </w:r>
      <w:r w:rsidRPr="00C15F91">
        <w:t xml:space="preserve"> </w:t>
      </w:r>
      <w:r w:rsidRPr="00C15F91">
        <w:tab/>
        <w:t>Including some data from the Ministry of Justice on RMA prosecutions.</w:t>
      </w:r>
    </w:p>
  </w:footnote>
  <w:footnote w:id="11">
    <w:p w14:paraId="5EF35843" w14:textId="5800B7FC" w:rsidR="00342376" w:rsidRPr="00C15F91" w:rsidRDefault="00342376" w:rsidP="00C15F91">
      <w:pPr>
        <w:pStyle w:val="FootnoteText"/>
      </w:pPr>
      <w:r w:rsidRPr="00C15F91">
        <w:rPr>
          <w:rStyle w:val="FootnoteReference"/>
          <w:sz w:val="18"/>
        </w:rPr>
        <w:footnoteRef/>
      </w:r>
      <w:r w:rsidRPr="00C15F91">
        <w:t xml:space="preserve"> </w:t>
      </w:r>
      <w:r w:rsidRPr="00C15F91">
        <w:tab/>
        <w:t xml:space="preserve">Local Government New Zealand, 2015. </w:t>
      </w:r>
    </w:p>
  </w:footnote>
  <w:footnote w:id="12">
    <w:p w14:paraId="4149BE7D" w14:textId="2ED8B060" w:rsidR="00342376" w:rsidRPr="00C15F91" w:rsidRDefault="00342376" w:rsidP="00C15F91">
      <w:pPr>
        <w:pStyle w:val="FootnoteText"/>
      </w:pPr>
      <w:r w:rsidRPr="00C15F91">
        <w:rPr>
          <w:rStyle w:val="FootnoteReference"/>
          <w:sz w:val="18"/>
        </w:rPr>
        <w:footnoteRef/>
      </w:r>
      <w:r w:rsidRPr="00C15F91">
        <w:t xml:space="preserve"> </w:t>
      </w:r>
      <w:r>
        <w:tab/>
      </w:r>
      <w:r w:rsidRPr="00C15F91">
        <w:t>Waikato iwi were interviewed due to an initial intention to examine CME activities (and stakeholder views on these activities) in the Waikato Region as a case study. Due to a change in the research approach, however, this case study is not included in this report. The views of Waikato iwi are nevertheless important to mention in this report, but they do not necessarily represent the views of iwi/</w:t>
      </w:r>
      <w:proofErr w:type="spellStart"/>
      <w:r w:rsidRPr="00C15F91">
        <w:t>hapū</w:t>
      </w:r>
      <w:proofErr w:type="spellEnd"/>
      <w:r w:rsidRPr="00C15F91">
        <w:t xml:space="preserve"> in other parts of New Zealand.</w:t>
      </w:r>
    </w:p>
  </w:footnote>
  <w:footnote w:id="13">
    <w:p w14:paraId="646F338F" w14:textId="1DA3C567" w:rsidR="00342376" w:rsidRPr="00C15F91" w:rsidRDefault="00342376" w:rsidP="00C15F91">
      <w:pPr>
        <w:pStyle w:val="FootnoteText"/>
      </w:pPr>
      <w:r w:rsidRPr="00C15F91">
        <w:rPr>
          <w:rStyle w:val="FootnoteReference"/>
          <w:rFonts w:asciiTheme="minorHAnsi" w:hAnsiTheme="minorHAnsi"/>
          <w:sz w:val="18"/>
        </w:rPr>
        <w:footnoteRef/>
      </w:r>
      <w:r w:rsidRPr="00C15F91">
        <w:t xml:space="preserve"> </w:t>
      </w:r>
      <w:r>
        <w:tab/>
      </w:r>
      <w:r w:rsidRPr="00C15F91">
        <w:t xml:space="preserve">Census data from Statistics New Zealand. </w:t>
      </w:r>
    </w:p>
  </w:footnote>
  <w:footnote w:id="14">
    <w:p w14:paraId="35F00D20" w14:textId="781BA838" w:rsidR="00342376" w:rsidRPr="00776D74" w:rsidRDefault="00342376" w:rsidP="00DF2BFB">
      <w:pPr>
        <w:pStyle w:val="FootnoteText"/>
      </w:pPr>
      <w:r w:rsidRPr="00776D74">
        <w:rPr>
          <w:rStyle w:val="FootnoteReference"/>
          <w:sz w:val="18"/>
        </w:rPr>
        <w:footnoteRef/>
      </w:r>
      <w:r w:rsidRPr="00776D74">
        <w:t xml:space="preserve"> </w:t>
      </w:r>
      <w:r>
        <w:tab/>
      </w:r>
      <w:r w:rsidRPr="00776D74">
        <w:t>Resource Management Act 1991, sections 30(1) and 31(1).</w:t>
      </w:r>
    </w:p>
  </w:footnote>
  <w:footnote w:id="15">
    <w:p w14:paraId="625F55B5" w14:textId="58116008" w:rsidR="00342376" w:rsidRPr="00776D74" w:rsidRDefault="00342376" w:rsidP="00776D74">
      <w:pPr>
        <w:pStyle w:val="FootnoteText"/>
      </w:pPr>
      <w:r w:rsidRPr="00776D74">
        <w:rPr>
          <w:rStyle w:val="FootnoteReference"/>
          <w:sz w:val="18"/>
        </w:rPr>
        <w:footnoteRef/>
      </w:r>
      <w:r w:rsidRPr="00776D74">
        <w:t xml:space="preserve"> </w:t>
      </w:r>
      <w:r>
        <w:tab/>
      </w:r>
      <w:r w:rsidRPr="00776D74">
        <w:t>Some national guidance is provided through the Quality Planning website – www.qualityplanning.co.nz.</w:t>
      </w:r>
    </w:p>
  </w:footnote>
  <w:footnote w:id="16">
    <w:p w14:paraId="2DD050B3" w14:textId="11290051" w:rsidR="00342376" w:rsidRPr="0075000F" w:rsidRDefault="00342376" w:rsidP="00DF2BFB">
      <w:pPr>
        <w:pStyle w:val="FootnoteText"/>
      </w:pPr>
      <w:r w:rsidRPr="0075000F">
        <w:rPr>
          <w:rStyle w:val="FootnoteReference"/>
          <w:sz w:val="18"/>
        </w:rPr>
        <w:footnoteRef/>
      </w:r>
      <w:r w:rsidRPr="0075000F">
        <w:t xml:space="preserve"> </w:t>
      </w:r>
      <w:r>
        <w:tab/>
      </w:r>
      <w:r w:rsidRPr="0075000F">
        <w:t>From New Zealand Productivity Commission (2013).</w:t>
      </w:r>
    </w:p>
  </w:footnote>
  <w:footnote w:id="17">
    <w:p w14:paraId="6CD39A23" w14:textId="6E88345D" w:rsidR="00342376" w:rsidRPr="00504D84" w:rsidRDefault="00342376" w:rsidP="00DF2BFB">
      <w:pPr>
        <w:pStyle w:val="FootnoteText"/>
      </w:pPr>
      <w:r w:rsidRPr="00504D84">
        <w:rPr>
          <w:rStyle w:val="FootnoteReference"/>
          <w:sz w:val="18"/>
        </w:rPr>
        <w:footnoteRef/>
      </w:r>
      <w:r w:rsidRPr="00504D84">
        <w:t xml:space="preserve"> </w:t>
      </w:r>
      <w:r>
        <w:tab/>
      </w:r>
      <w:r w:rsidRPr="00504D84">
        <w:t>See the Resource Management Act 1991, section 322.</w:t>
      </w:r>
    </w:p>
  </w:footnote>
  <w:footnote w:id="18">
    <w:p w14:paraId="1E3DF1F7" w14:textId="7A4DCF6A" w:rsidR="00342376" w:rsidRPr="003225B7" w:rsidRDefault="00342376" w:rsidP="003225B7">
      <w:pPr>
        <w:pStyle w:val="FootnoteText"/>
      </w:pPr>
      <w:r w:rsidRPr="003225B7">
        <w:rPr>
          <w:rStyle w:val="FootnoteReference"/>
          <w:sz w:val="18"/>
        </w:rPr>
        <w:footnoteRef/>
      </w:r>
      <w:r w:rsidRPr="003225B7">
        <w:t xml:space="preserve"> </w:t>
      </w:r>
      <w:r w:rsidRPr="003225B7">
        <w:tab/>
        <w:t>See Resource Management Act 1991, section 309(3).</w:t>
      </w:r>
    </w:p>
  </w:footnote>
  <w:footnote w:id="19">
    <w:p w14:paraId="42465DBF" w14:textId="77777777" w:rsidR="00342376" w:rsidRPr="003225B7" w:rsidRDefault="00342376" w:rsidP="00001191">
      <w:pPr>
        <w:pStyle w:val="FootnoteText"/>
      </w:pPr>
      <w:r w:rsidRPr="003225B7">
        <w:rPr>
          <w:rStyle w:val="FootnoteReference"/>
          <w:sz w:val="18"/>
        </w:rPr>
        <w:footnoteRef/>
      </w:r>
      <w:r w:rsidRPr="003225B7">
        <w:t xml:space="preserve"> </w:t>
      </w:r>
      <w:r>
        <w:tab/>
      </w:r>
      <w:r w:rsidRPr="003225B7">
        <w:t>Resource Management Act 1991, section 338(4).</w:t>
      </w:r>
    </w:p>
  </w:footnote>
  <w:footnote w:id="20">
    <w:p w14:paraId="3920EA6A" w14:textId="1A9B3C7F" w:rsidR="00342376" w:rsidRPr="003225B7" w:rsidRDefault="00342376" w:rsidP="003225B7">
      <w:pPr>
        <w:pStyle w:val="FootnoteText"/>
      </w:pPr>
      <w:r w:rsidRPr="003225B7">
        <w:rPr>
          <w:rStyle w:val="FootnoteReference"/>
          <w:sz w:val="18"/>
        </w:rPr>
        <w:footnoteRef/>
      </w:r>
      <w:r w:rsidRPr="003225B7">
        <w:t xml:space="preserve"> </w:t>
      </w:r>
      <w:r>
        <w:tab/>
      </w:r>
      <w:r w:rsidRPr="003225B7">
        <w:t>Available for breaches of sections 338(1), (1A), or (1B) of the Resource Management Act 1991.</w:t>
      </w:r>
    </w:p>
  </w:footnote>
  <w:footnote w:id="21">
    <w:p w14:paraId="3ECDBAFA" w14:textId="506C940D" w:rsidR="00342376" w:rsidRPr="003225B7" w:rsidRDefault="00342376" w:rsidP="003225B7">
      <w:pPr>
        <w:pStyle w:val="FootnoteText"/>
      </w:pPr>
      <w:r w:rsidRPr="003225B7">
        <w:rPr>
          <w:rStyle w:val="FootnoteReference"/>
          <w:sz w:val="18"/>
        </w:rPr>
        <w:footnoteRef/>
      </w:r>
      <w:r w:rsidRPr="003225B7">
        <w:t xml:space="preserve"> </w:t>
      </w:r>
      <w:r>
        <w:tab/>
      </w:r>
      <w:r w:rsidRPr="003225B7">
        <w:t>Note that prior to the enactment of the Resource Management (Simplifying and Streamlining) Amendment Act 2009, the maximum penalty for breaches of the RMA was a $200,000 fine for both individuals and organisations and up to two years’ imprisonment for individuals.</w:t>
      </w:r>
    </w:p>
  </w:footnote>
  <w:footnote w:id="22">
    <w:p w14:paraId="5E90F0D2" w14:textId="5BF599FE" w:rsidR="00342376" w:rsidRPr="003225B7" w:rsidRDefault="00342376" w:rsidP="003225B7">
      <w:pPr>
        <w:pStyle w:val="FootnoteText"/>
      </w:pPr>
      <w:r w:rsidRPr="003225B7">
        <w:rPr>
          <w:rStyle w:val="FootnoteReference"/>
          <w:sz w:val="18"/>
        </w:rPr>
        <w:footnoteRef/>
      </w:r>
      <w:r w:rsidRPr="003225B7">
        <w:t xml:space="preserve"> </w:t>
      </w:r>
      <w:r>
        <w:tab/>
      </w:r>
      <w:r w:rsidRPr="003225B7">
        <w:t>Resource Management Act 1991, section 31(1).</w:t>
      </w:r>
    </w:p>
  </w:footnote>
  <w:footnote w:id="23">
    <w:p w14:paraId="58126787" w14:textId="019210AE" w:rsidR="00342376" w:rsidRPr="00EC08C1" w:rsidRDefault="00342376" w:rsidP="00EC08C1">
      <w:pPr>
        <w:pStyle w:val="FootnoteText"/>
        <w:spacing w:after="0"/>
      </w:pPr>
      <w:r w:rsidRPr="00EC08C1">
        <w:rPr>
          <w:rStyle w:val="FootnoteReference"/>
          <w:sz w:val="18"/>
        </w:rPr>
        <w:footnoteRef/>
      </w:r>
      <w:r w:rsidRPr="00EC08C1">
        <w:t xml:space="preserve"> </w:t>
      </w:r>
      <w:r>
        <w:tab/>
      </w:r>
      <w:r w:rsidRPr="00EC08C1">
        <w:t>Resource Management Act 1992, section 30(1).</w:t>
      </w:r>
    </w:p>
  </w:footnote>
  <w:footnote w:id="24">
    <w:p w14:paraId="598AC618" w14:textId="4D1FA921" w:rsidR="00342376" w:rsidRPr="00A968DB" w:rsidRDefault="00342376" w:rsidP="00A968DB">
      <w:pPr>
        <w:pStyle w:val="FootnoteText"/>
      </w:pPr>
      <w:r w:rsidRPr="00A968DB">
        <w:rPr>
          <w:rStyle w:val="FootnoteReference"/>
          <w:sz w:val="18"/>
        </w:rPr>
        <w:footnoteRef/>
      </w:r>
      <w:r>
        <w:tab/>
      </w:r>
      <w:r w:rsidRPr="00A968DB">
        <w:t>Note that the NMS does not make a distinction between staff dedicated to CME with regional functions and territorial authority functions for unitary authorities.</w:t>
      </w:r>
    </w:p>
  </w:footnote>
  <w:footnote w:id="25">
    <w:p w14:paraId="3BDE7B75" w14:textId="52A82FB4" w:rsidR="00342376" w:rsidRPr="00A968DB" w:rsidRDefault="00342376" w:rsidP="00A968DB">
      <w:pPr>
        <w:pStyle w:val="FootnoteText"/>
      </w:pPr>
      <w:r w:rsidRPr="00A968DB">
        <w:rPr>
          <w:rStyle w:val="FootnoteReference"/>
          <w:sz w:val="18"/>
        </w:rPr>
        <w:footnoteRef/>
      </w:r>
      <w:r w:rsidRPr="00A968DB">
        <w:rPr>
          <w:vertAlign w:val="superscript"/>
        </w:rPr>
        <w:t xml:space="preserve"> </w:t>
      </w:r>
      <w:r>
        <w:tab/>
      </w:r>
      <w:r w:rsidRPr="00A968DB">
        <w:t>See comment above.</w:t>
      </w:r>
    </w:p>
  </w:footnote>
  <w:footnote w:id="26">
    <w:p w14:paraId="0A9999F5" w14:textId="5BD60A49" w:rsidR="00342376" w:rsidRPr="00DB5931" w:rsidRDefault="00342376" w:rsidP="00DE7757">
      <w:pPr>
        <w:pStyle w:val="FootnoteText"/>
        <w:spacing w:after="0"/>
      </w:pPr>
      <w:r w:rsidRPr="00DB5931">
        <w:rPr>
          <w:rStyle w:val="FootnoteReference"/>
          <w:sz w:val="18"/>
        </w:rPr>
        <w:footnoteRef/>
      </w:r>
      <w:r w:rsidRPr="00DB5931">
        <w:t xml:space="preserve"> </w:t>
      </w:r>
      <w:r w:rsidRPr="00DB5931">
        <w:tab/>
        <w:t>Compliance and Enforcement Special Interest Group, unpublished.</w:t>
      </w:r>
    </w:p>
  </w:footnote>
  <w:footnote w:id="27">
    <w:p w14:paraId="50EF6981" w14:textId="2F0F0F06" w:rsidR="00342376" w:rsidRPr="00DB5931" w:rsidRDefault="00342376" w:rsidP="00DB5931">
      <w:pPr>
        <w:pStyle w:val="FootnoteText"/>
        <w:rPr>
          <w:lang w:val="en-NZ"/>
        </w:rPr>
      </w:pPr>
      <w:r w:rsidRPr="00DB5931">
        <w:rPr>
          <w:rStyle w:val="FootnoteReference"/>
          <w:sz w:val="18"/>
        </w:rPr>
        <w:footnoteRef/>
      </w:r>
      <w:r w:rsidRPr="00DB5931">
        <w:t xml:space="preserve"> </w:t>
      </w:r>
      <w:r w:rsidRPr="00DB5931">
        <w:tab/>
        <w:t>Bay of Plenty Regional Council, 2015.</w:t>
      </w:r>
    </w:p>
  </w:footnote>
  <w:footnote w:id="28">
    <w:p w14:paraId="7EA5569D" w14:textId="6FC017BE" w:rsidR="00342376" w:rsidRPr="00DB5931" w:rsidRDefault="00342376" w:rsidP="00DB5931">
      <w:pPr>
        <w:pStyle w:val="FootnoteText"/>
      </w:pPr>
      <w:r w:rsidRPr="00DB5931">
        <w:rPr>
          <w:rStyle w:val="FootnoteReference"/>
          <w:rFonts w:asciiTheme="minorHAnsi" w:hAnsiTheme="minorHAnsi"/>
          <w:sz w:val="18"/>
        </w:rPr>
        <w:footnoteRef/>
      </w:r>
      <w:r w:rsidRPr="00DB5931">
        <w:t xml:space="preserve"> </w:t>
      </w:r>
      <w:r w:rsidRPr="00DB5931">
        <w:tab/>
        <w:t>CAB Min (13) 6/2B</w:t>
      </w:r>
    </w:p>
  </w:footnote>
  <w:footnote w:id="29">
    <w:p w14:paraId="27F8C098" w14:textId="375BC790" w:rsidR="00342376" w:rsidRPr="00DB5931" w:rsidRDefault="00342376" w:rsidP="00DB5931">
      <w:pPr>
        <w:pStyle w:val="FootnoteText"/>
        <w:rPr>
          <w:rFonts w:cs="AvenirMaori-Light"/>
        </w:rPr>
      </w:pPr>
      <w:r w:rsidRPr="00DB5931">
        <w:rPr>
          <w:rStyle w:val="FootnoteReference"/>
          <w:sz w:val="18"/>
        </w:rPr>
        <w:footnoteRef/>
      </w:r>
      <w:r w:rsidRPr="00DB5931">
        <w:t xml:space="preserve"> </w:t>
      </w:r>
      <w:r w:rsidRPr="00DB5931">
        <w:tab/>
        <w:t xml:space="preserve">New Zealand Productivity Commission, 2014. </w:t>
      </w:r>
    </w:p>
  </w:footnote>
  <w:footnote w:id="30">
    <w:p w14:paraId="485B26C5" w14:textId="41E1E94D" w:rsidR="00342376" w:rsidRPr="000A7A4C" w:rsidRDefault="00342376" w:rsidP="000A7A4C">
      <w:pPr>
        <w:pStyle w:val="FootnoteText"/>
      </w:pPr>
      <w:r w:rsidRPr="000A7A4C">
        <w:rPr>
          <w:rStyle w:val="FootnoteReference"/>
          <w:sz w:val="18"/>
        </w:rPr>
        <w:footnoteRef/>
      </w:r>
      <w:r w:rsidRPr="000A7A4C">
        <w:t xml:space="preserve"> </w:t>
      </w:r>
      <w:r>
        <w:tab/>
      </w:r>
      <w:r w:rsidRPr="000A7A4C">
        <w:t>The West Coast Regional Council received all 1332 noise complaints, according to NMS data.</w:t>
      </w:r>
    </w:p>
  </w:footnote>
  <w:footnote w:id="31">
    <w:p w14:paraId="0A6C7EA4" w14:textId="3884D87F" w:rsidR="00342376" w:rsidRPr="000A7370" w:rsidRDefault="00342376" w:rsidP="000A7370">
      <w:pPr>
        <w:pStyle w:val="FootnoteText"/>
      </w:pPr>
      <w:r w:rsidRPr="000A7370">
        <w:rPr>
          <w:rStyle w:val="FootnoteReference"/>
          <w:sz w:val="18"/>
        </w:rPr>
        <w:footnoteRef/>
      </w:r>
      <w:r w:rsidRPr="000A7370">
        <w:t xml:space="preserve"> </w:t>
      </w:r>
      <w:r>
        <w:tab/>
      </w:r>
      <w:r w:rsidRPr="000A7370">
        <w:t>See the full NMS results</w:t>
      </w:r>
      <w:r>
        <w:rPr>
          <w:lang w:val="en-NZ"/>
        </w:rPr>
        <w:t xml:space="preserve"> for information on specific councils</w:t>
      </w:r>
      <w:r w:rsidRPr="000A7370">
        <w:t>– Ministry for the Environment, 2016.</w:t>
      </w:r>
    </w:p>
  </w:footnote>
  <w:footnote w:id="32">
    <w:p w14:paraId="07BCC7D0" w14:textId="179199AD" w:rsidR="00342376" w:rsidRPr="000A7370" w:rsidRDefault="00342376" w:rsidP="000A7370">
      <w:pPr>
        <w:pStyle w:val="FootnoteText"/>
      </w:pPr>
      <w:r w:rsidRPr="000A7370">
        <w:rPr>
          <w:rStyle w:val="FootnoteReference"/>
          <w:sz w:val="18"/>
        </w:rPr>
        <w:footnoteRef/>
      </w:r>
      <w:r w:rsidRPr="000A7370">
        <w:t xml:space="preserve"> </w:t>
      </w:r>
      <w:r>
        <w:tab/>
      </w:r>
      <w:r w:rsidRPr="000A7370">
        <w:t>Environment Canterbury, 2015, 2016.</w:t>
      </w:r>
    </w:p>
  </w:footnote>
  <w:footnote w:id="33">
    <w:p w14:paraId="27530906" w14:textId="144406B0" w:rsidR="00342376" w:rsidRPr="00001984" w:rsidRDefault="00342376" w:rsidP="00001984">
      <w:pPr>
        <w:pStyle w:val="FootnoteText"/>
      </w:pPr>
      <w:r w:rsidRPr="00001984">
        <w:rPr>
          <w:rStyle w:val="FootnoteReference"/>
          <w:sz w:val="18"/>
        </w:rPr>
        <w:footnoteRef/>
      </w:r>
      <w:r w:rsidRPr="00001984">
        <w:t xml:space="preserve"> </w:t>
      </w:r>
      <w:r>
        <w:tab/>
      </w:r>
      <w:r w:rsidRPr="00001984">
        <w:t xml:space="preserve">Note that the vast majority (89 per cent) of all enforcement actions taken by Auckland Council were for breaches of section 9 of the RMA – restrictions on use of land. </w:t>
      </w:r>
    </w:p>
  </w:footnote>
  <w:footnote w:id="34">
    <w:p w14:paraId="608D52BE" w14:textId="21922798" w:rsidR="00342376" w:rsidRPr="00001984" w:rsidRDefault="00342376" w:rsidP="00001984">
      <w:pPr>
        <w:pStyle w:val="FootnoteText"/>
      </w:pPr>
      <w:r w:rsidRPr="00001984">
        <w:rPr>
          <w:rStyle w:val="FootnoteReference"/>
          <w:sz w:val="18"/>
        </w:rPr>
        <w:footnoteRef/>
      </w:r>
      <w:r w:rsidRPr="00001984">
        <w:t xml:space="preserve"> </w:t>
      </w:r>
      <w:r>
        <w:tab/>
      </w:r>
      <w:r w:rsidRPr="00001984">
        <w:t xml:space="preserve">List adapted from the Solicitor-General’s Prosecution Guidelines (Crown Law, 2013). </w:t>
      </w:r>
    </w:p>
  </w:footnote>
  <w:footnote w:id="35">
    <w:p w14:paraId="501A8118" w14:textId="7F05AB16" w:rsidR="00342376" w:rsidRPr="00001984" w:rsidRDefault="00342376" w:rsidP="00001984">
      <w:pPr>
        <w:pStyle w:val="FootnoteText"/>
      </w:pPr>
      <w:r w:rsidRPr="00001984">
        <w:rPr>
          <w:rStyle w:val="FootnoteReference"/>
          <w:sz w:val="18"/>
        </w:rPr>
        <w:footnoteRef/>
      </w:r>
      <w:r w:rsidRPr="00001984">
        <w:t xml:space="preserve"> </w:t>
      </w:r>
      <w:r>
        <w:tab/>
      </w:r>
      <w:r w:rsidRPr="00001984">
        <w:t>Bay of Plenty Regional Council v Mobil Oil New Zealand Ltd [2016] NZDC 8903.</w:t>
      </w:r>
    </w:p>
  </w:footnote>
  <w:footnote w:id="36">
    <w:p w14:paraId="37EFF5E6" w14:textId="07B3EA8C" w:rsidR="00342376" w:rsidRPr="00157F7C" w:rsidRDefault="00342376" w:rsidP="00157F7C">
      <w:pPr>
        <w:pStyle w:val="FootnoteText"/>
      </w:pPr>
      <w:r w:rsidRPr="00157F7C">
        <w:rPr>
          <w:rStyle w:val="FootnoteReference"/>
          <w:sz w:val="18"/>
        </w:rPr>
        <w:footnoteRef/>
      </w:r>
      <w:r w:rsidRPr="00157F7C">
        <w:t xml:space="preserve"> </w:t>
      </w:r>
      <w:r>
        <w:tab/>
      </w:r>
      <w:r w:rsidRPr="00157F7C">
        <w:t>Crown Law, 2013.</w:t>
      </w:r>
    </w:p>
  </w:footnote>
  <w:footnote w:id="37">
    <w:p w14:paraId="378B6B93" w14:textId="1C39BA74" w:rsidR="00342376" w:rsidRPr="00157F7C" w:rsidRDefault="00342376" w:rsidP="00157F7C">
      <w:pPr>
        <w:pStyle w:val="FootnoteText"/>
      </w:pPr>
      <w:r w:rsidRPr="00157F7C">
        <w:rPr>
          <w:rStyle w:val="FootnoteReference"/>
          <w:sz w:val="18"/>
        </w:rPr>
        <w:footnoteRef/>
      </w:r>
      <w:r w:rsidRPr="00157F7C">
        <w:t xml:space="preserve"> </w:t>
      </w:r>
      <w:r>
        <w:tab/>
      </w:r>
      <w:r w:rsidRPr="00157F7C">
        <w:t>Controller and Auditor-General, 2011.</w:t>
      </w:r>
    </w:p>
  </w:footnote>
  <w:footnote w:id="38">
    <w:p w14:paraId="12D879D5" w14:textId="499B24ED" w:rsidR="00342376" w:rsidRPr="00157F7C" w:rsidRDefault="00342376" w:rsidP="00157F7C">
      <w:pPr>
        <w:pStyle w:val="FootnoteText"/>
      </w:pPr>
      <w:r w:rsidRPr="00157F7C">
        <w:rPr>
          <w:rStyle w:val="FootnoteReference"/>
          <w:sz w:val="18"/>
        </w:rPr>
        <w:footnoteRef/>
      </w:r>
      <w:r w:rsidRPr="00157F7C">
        <w:t xml:space="preserve"> </w:t>
      </w:r>
      <w:r>
        <w:tab/>
      </w:r>
      <w:r w:rsidRPr="00157F7C">
        <w:t xml:space="preserve">See for example Stuff.co.nz, 2016b. </w:t>
      </w:r>
    </w:p>
  </w:footnote>
  <w:footnote w:id="39">
    <w:p w14:paraId="39DCD750" w14:textId="77777777" w:rsidR="00342376" w:rsidRPr="00370601" w:rsidRDefault="00342376" w:rsidP="001B410B">
      <w:pPr>
        <w:pStyle w:val="FootnoteText"/>
        <w:rPr>
          <w:lang w:val="en-NZ"/>
        </w:rPr>
      </w:pPr>
      <w:r w:rsidRPr="008E439F">
        <w:rPr>
          <w:rStyle w:val="FootnoteReference"/>
          <w:sz w:val="18"/>
        </w:rPr>
        <w:footnoteRef/>
      </w:r>
      <w:r w:rsidRPr="00370601">
        <w:t xml:space="preserve"> </w:t>
      </w:r>
      <w:r>
        <w:tab/>
      </w:r>
      <w:r w:rsidRPr="00370601">
        <w:t>Established by the Dairy Environment Leadership Group, a group made up of farmers, dairy companies, local and central government and the Federation of Māori Authorities.</w:t>
      </w:r>
    </w:p>
  </w:footnote>
  <w:footnote w:id="40">
    <w:p w14:paraId="1A2C38AD" w14:textId="7E4C8088" w:rsidR="00342376" w:rsidRPr="008F5DF3" w:rsidRDefault="00342376">
      <w:pPr>
        <w:pStyle w:val="FootnoteText"/>
        <w:rPr>
          <w:lang w:val="en-NZ"/>
        </w:rPr>
      </w:pPr>
      <w:r>
        <w:rPr>
          <w:rStyle w:val="FootnoteReference"/>
        </w:rPr>
        <w:footnoteRef/>
      </w:r>
      <w:r>
        <w:t xml:space="preserve"> </w:t>
      </w:r>
      <w:r>
        <w:rPr>
          <w:color w:val="4F6228" w:themeColor="accent3" w:themeShade="80"/>
          <w:lang w:val="en-NZ"/>
        </w:rPr>
        <w:t xml:space="preserve">     </w:t>
      </w:r>
      <w:r w:rsidRPr="008F5DF3">
        <w:t>Taranaki Regional Council, 2016</w:t>
      </w:r>
      <w:r w:rsidRPr="008F5DF3">
        <w:rPr>
          <w:lang w:val="en-NZ"/>
        </w:rPr>
        <w:t>.</w:t>
      </w:r>
    </w:p>
  </w:footnote>
  <w:footnote w:id="41">
    <w:p w14:paraId="37EC4F63" w14:textId="77777777" w:rsidR="00342376" w:rsidRPr="00157F7C" w:rsidRDefault="00342376" w:rsidP="00443DC6">
      <w:pPr>
        <w:pStyle w:val="FootnoteText"/>
        <w:rPr>
          <w:lang w:val="en-NZ"/>
        </w:rPr>
      </w:pPr>
      <w:r w:rsidRPr="00157F7C">
        <w:rPr>
          <w:rStyle w:val="FootnoteReference"/>
          <w:sz w:val="18"/>
        </w:rPr>
        <w:footnoteRef/>
      </w:r>
      <w:r w:rsidRPr="00157F7C">
        <w:t xml:space="preserve"> </w:t>
      </w:r>
      <w:r>
        <w:tab/>
      </w:r>
      <w:r w:rsidRPr="00157F7C">
        <w:t>Very limited information on CME activities (including budget allocated to these activities) is provided through annual plans and reports, and long term plans</w:t>
      </w:r>
      <w:r>
        <w:rPr>
          <w:lang w:val="en-NZ"/>
        </w:rPr>
        <w:t>.</w:t>
      </w:r>
    </w:p>
  </w:footnote>
  <w:footnote w:id="42">
    <w:p w14:paraId="7FAE57F0" w14:textId="77777777" w:rsidR="00342376" w:rsidRPr="00157F7C" w:rsidRDefault="00342376" w:rsidP="00443DC6">
      <w:pPr>
        <w:pStyle w:val="FootnoteText"/>
      </w:pPr>
      <w:r w:rsidRPr="00157F7C">
        <w:rPr>
          <w:rStyle w:val="FootnoteReference"/>
          <w:sz w:val="18"/>
        </w:rPr>
        <w:footnoteRef/>
      </w:r>
      <w:r w:rsidRPr="00157F7C">
        <w:t xml:space="preserve"> </w:t>
      </w:r>
      <w:r>
        <w:tab/>
      </w:r>
      <w:r w:rsidRPr="00157F7C">
        <w:t xml:space="preserve">Tasman District Council, 2011. </w:t>
      </w:r>
    </w:p>
  </w:footnote>
  <w:footnote w:id="43">
    <w:p w14:paraId="5E707D42" w14:textId="397D2BD3" w:rsidR="00342376" w:rsidRPr="00157F7C" w:rsidRDefault="00342376" w:rsidP="00443DC6">
      <w:pPr>
        <w:pStyle w:val="FootnoteText"/>
      </w:pPr>
      <w:r w:rsidRPr="00157F7C">
        <w:rPr>
          <w:rStyle w:val="FootnoteReference"/>
          <w:sz w:val="18"/>
        </w:rPr>
        <w:footnoteRef/>
      </w:r>
      <w:r w:rsidRPr="00157F7C">
        <w:t xml:space="preserve"> </w:t>
      </w:r>
      <w:r>
        <w:tab/>
      </w:r>
      <w:r w:rsidRPr="00157F7C">
        <w:t>For e</w:t>
      </w:r>
      <w:r>
        <w:t>xample, Environment Canterbury</w:t>
      </w:r>
      <w:r>
        <w:rPr>
          <w:lang w:val="en-NZ"/>
        </w:rPr>
        <w:t xml:space="preserve">, </w:t>
      </w:r>
      <w:r>
        <w:t>2015</w:t>
      </w:r>
      <w:r w:rsidRPr="00157F7C">
        <w:t>.</w:t>
      </w:r>
    </w:p>
  </w:footnote>
  <w:footnote w:id="44">
    <w:p w14:paraId="74A0DD13" w14:textId="0EA46190" w:rsidR="00342376" w:rsidRPr="00156852" w:rsidRDefault="00342376" w:rsidP="00156852">
      <w:pPr>
        <w:pStyle w:val="FootnoteText"/>
      </w:pPr>
      <w:r w:rsidRPr="00156852">
        <w:rPr>
          <w:rStyle w:val="FootnoteReference"/>
          <w:sz w:val="18"/>
        </w:rPr>
        <w:footnoteRef/>
      </w:r>
      <w:r>
        <w:tab/>
      </w:r>
      <w:r w:rsidRPr="00156852">
        <w:t xml:space="preserve">Waikato Regional Council, 2016. </w:t>
      </w:r>
    </w:p>
  </w:footnote>
  <w:footnote w:id="45">
    <w:p w14:paraId="25234197" w14:textId="12E30D9E" w:rsidR="00342376" w:rsidRPr="00E30F07" w:rsidRDefault="00342376" w:rsidP="00156852">
      <w:pPr>
        <w:pStyle w:val="FootnoteText"/>
        <w:rPr>
          <w:lang w:val="en-NZ"/>
        </w:rPr>
      </w:pPr>
      <w:r w:rsidRPr="00156852">
        <w:rPr>
          <w:rStyle w:val="FootnoteReference"/>
          <w:sz w:val="18"/>
        </w:rPr>
        <w:footnoteRef/>
      </w:r>
      <w:r w:rsidRPr="00156852">
        <w:t xml:space="preserve"> </w:t>
      </w:r>
      <w:r>
        <w:tab/>
      </w:r>
      <w:hyperlink r:id="rId2" w:history="1">
        <w:r w:rsidRPr="00156852">
          <w:rPr>
            <w:rStyle w:val="Hyperlink"/>
          </w:rPr>
          <w:t>www.qualityplanning.org.nz</w:t>
        </w:r>
      </w:hyperlink>
      <w:r>
        <w:rPr>
          <w:rStyle w:val="Hyperlink"/>
          <w:lang w:val="en-NZ"/>
        </w:rPr>
        <w:t>.</w:t>
      </w:r>
    </w:p>
  </w:footnote>
  <w:footnote w:id="46">
    <w:p w14:paraId="148CA2A8" w14:textId="46A80D20" w:rsidR="00342376" w:rsidRPr="00156852" w:rsidRDefault="00342376" w:rsidP="00156852">
      <w:pPr>
        <w:pStyle w:val="FootnoteText"/>
      </w:pPr>
      <w:r w:rsidRPr="00156852">
        <w:rPr>
          <w:rStyle w:val="FootnoteReference"/>
          <w:sz w:val="18"/>
        </w:rPr>
        <w:footnoteRef/>
      </w:r>
      <w:r w:rsidRPr="00156852">
        <w:t xml:space="preserve"> </w:t>
      </w:r>
      <w:r>
        <w:tab/>
      </w:r>
      <w:r w:rsidRPr="00156852">
        <w:t>For example, it does not reflect the Solicitor-General’s recommendations about enforcement actions and removing political involvement from decision-making.</w:t>
      </w:r>
    </w:p>
  </w:footnote>
  <w:footnote w:id="47">
    <w:p w14:paraId="5BDB4898" w14:textId="380C533A" w:rsidR="00342376" w:rsidRPr="00156852" w:rsidRDefault="00342376" w:rsidP="00156852">
      <w:pPr>
        <w:pStyle w:val="FootnoteText"/>
      </w:pPr>
      <w:r w:rsidRPr="00156852">
        <w:rPr>
          <w:rStyle w:val="FootnoteReference"/>
          <w:sz w:val="18"/>
        </w:rPr>
        <w:footnoteRef/>
      </w:r>
      <w:r w:rsidRPr="00156852">
        <w:t xml:space="preserve"> </w:t>
      </w:r>
      <w:r>
        <w:tab/>
      </w:r>
      <w:r w:rsidRPr="00156852">
        <w:t>In respect of environmental CME activities only; councils in the UK are responsible for CME activities relating to planning.</w:t>
      </w:r>
    </w:p>
  </w:footnote>
  <w:footnote w:id="48">
    <w:p w14:paraId="711F795F" w14:textId="48D80D36" w:rsidR="00342376" w:rsidRPr="00156852" w:rsidRDefault="00342376" w:rsidP="00156852">
      <w:pPr>
        <w:pStyle w:val="FootnoteText"/>
      </w:pPr>
      <w:r w:rsidRPr="00156852">
        <w:rPr>
          <w:rStyle w:val="FootnoteReference"/>
          <w:sz w:val="18"/>
        </w:rPr>
        <w:footnoteRef/>
      </w:r>
      <w:r w:rsidRPr="00156852">
        <w:t xml:space="preserve"> </w:t>
      </w:r>
      <w:r>
        <w:tab/>
      </w:r>
      <w:r w:rsidRPr="00156852">
        <w:t xml:space="preserve">Refer to Crown Law, 2013. </w:t>
      </w:r>
    </w:p>
  </w:footnote>
  <w:footnote w:id="49">
    <w:p w14:paraId="0DABA6A8" w14:textId="237FAB82" w:rsidR="00342376" w:rsidRPr="00156852" w:rsidRDefault="00342376" w:rsidP="00156852">
      <w:pPr>
        <w:pStyle w:val="FootnoteText"/>
      </w:pPr>
      <w:r w:rsidRPr="00156852">
        <w:rPr>
          <w:rStyle w:val="FootnoteReference"/>
          <w:sz w:val="18"/>
        </w:rPr>
        <w:footnoteRef/>
      </w:r>
      <w:r w:rsidRPr="00156852">
        <w:t xml:space="preserve"> </w:t>
      </w:r>
      <w:r>
        <w:tab/>
      </w:r>
      <w:r w:rsidRPr="00156852">
        <w:t>New Zealand Productivity Commission, 2013</w:t>
      </w:r>
    </w:p>
  </w:footnote>
  <w:footnote w:id="50">
    <w:p w14:paraId="348726AA" w14:textId="4F6D35AF" w:rsidR="00342376" w:rsidRPr="00156852" w:rsidRDefault="00342376" w:rsidP="00156852">
      <w:pPr>
        <w:pStyle w:val="FootnoteText"/>
      </w:pPr>
      <w:r w:rsidRPr="00156852">
        <w:rPr>
          <w:rStyle w:val="FootnoteReference"/>
          <w:sz w:val="18"/>
        </w:rPr>
        <w:footnoteRef/>
      </w:r>
      <w:r w:rsidRPr="00156852">
        <w:t xml:space="preserve"> </w:t>
      </w:r>
      <w:r>
        <w:tab/>
      </w:r>
      <w:r w:rsidRPr="00156852">
        <w:t>Section 29 of the Health and Safety at Work Act 2015 makes insurance against fines issued under that Act unlawful.</w:t>
      </w:r>
    </w:p>
  </w:footnote>
  <w:footnote w:id="51">
    <w:p w14:paraId="20610065" w14:textId="2BB14BB9" w:rsidR="00342376" w:rsidRPr="00156852" w:rsidRDefault="00342376" w:rsidP="00156852">
      <w:pPr>
        <w:pStyle w:val="FootnoteText"/>
      </w:pPr>
      <w:r w:rsidRPr="00156852">
        <w:rPr>
          <w:rStyle w:val="FootnoteReference"/>
          <w:sz w:val="18"/>
        </w:rPr>
        <w:footnoteRef/>
      </w:r>
      <w:r w:rsidRPr="00156852">
        <w:t xml:space="preserve"> </w:t>
      </w:r>
      <w:r>
        <w:tab/>
      </w:r>
      <w:r w:rsidRPr="00156852">
        <w:t>Note that the Resource Legislation Amendment Bill includes a clause allowing for cost recovery for monitoring activities in respect of national environmental standards.</w:t>
      </w:r>
    </w:p>
  </w:footnote>
  <w:footnote w:id="52">
    <w:p w14:paraId="1C2081FE" w14:textId="4BB2C72E" w:rsidR="00342376" w:rsidRPr="00156852" w:rsidRDefault="00342376" w:rsidP="00156852">
      <w:pPr>
        <w:pStyle w:val="FootnoteText"/>
      </w:pPr>
      <w:r w:rsidRPr="00156852">
        <w:rPr>
          <w:rStyle w:val="FootnoteReference"/>
          <w:sz w:val="18"/>
        </w:rPr>
        <w:footnoteRef/>
      </w:r>
      <w:r w:rsidRPr="00156852">
        <w:t xml:space="preserve"> </w:t>
      </w:r>
      <w:r>
        <w:tab/>
      </w:r>
      <w:r w:rsidRPr="00156852">
        <w:t>See Resource Management Act 1991, section 330.</w:t>
      </w:r>
    </w:p>
  </w:footnote>
  <w:footnote w:id="53">
    <w:p w14:paraId="64A20EBA" w14:textId="653F8306" w:rsidR="00342376" w:rsidRPr="00370601" w:rsidRDefault="00342376" w:rsidP="00150172">
      <w:pPr>
        <w:pStyle w:val="FootnoteText"/>
        <w:rPr>
          <w:rFonts w:cs="AvenirMaori-Light"/>
        </w:rPr>
      </w:pPr>
      <w:r w:rsidRPr="00C5032C">
        <w:rPr>
          <w:vertAlign w:val="superscript"/>
        </w:rPr>
        <w:footnoteRef/>
      </w:r>
      <w:r w:rsidRPr="00C5032C">
        <w:rPr>
          <w:vertAlign w:val="superscript"/>
        </w:rPr>
        <w:t xml:space="preserve"> </w:t>
      </w:r>
      <w:r>
        <w:tab/>
      </w:r>
      <w:r w:rsidRPr="00370601">
        <w:t>New Zealand Productivity Commission, 2014, pp 360–363.</w:t>
      </w:r>
    </w:p>
  </w:footnote>
  <w:footnote w:id="54">
    <w:p w14:paraId="14DC832C" w14:textId="1EEA856F" w:rsidR="00342376" w:rsidRPr="00C5032C" w:rsidRDefault="00342376" w:rsidP="00C5032C">
      <w:pPr>
        <w:pStyle w:val="FootnoteText"/>
      </w:pPr>
      <w:r w:rsidRPr="00C5032C">
        <w:rPr>
          <w:rStyle w:val="FootnoteReference"/>
          <w:sz w:val="18"/>
        </w:rPr>
        <w:footnoteRef/>
      </w:r>
      <w:r w:rsidRPr="00C5032C">
        <w:t xml:space="preserve"> </w:t>
      </w:r>
      <w:r>
        <w:tab/>
      </w:r>
      <w:r w:rsidRPr="00C5032C">
        <w:t>Controller and Auditor-General, 2011.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401E9" w14:textId="77777777" w:rsidR="00342376" w:rsidRDefault="003423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6F0BA" w14:textId="2F25A5A3" w:rsidR="00342376" w:rsidRDefault="00342376" w:rsidP="00515C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67626"/>
    <w:multiLevelType w:val="hybridMultilevel"/>
    <w:tmpl w:val="8D184994"/>
    <w:lvl w:ilvl="0" w:tplc="DB9C7798">
      <w:start w:val="1"/>
      <w:numFmt w:val="decimal"/>
      <w:pStyle w:val="Numberedparagraph"/>
      <w:lvlText w:val="%1."/>
      <w:lvlJc w:val="left"/>
      <w:pPr>
        <w:tabs>
          <w:tab w:val="num" w:pos="397"/>
        </w:tabs>
        <w:ind w:left="397" w:hanging="397"/>
      </w:pPr>
      <w:rPr>
        <w:rFonts w:ascii="Times New Roman" w:hAnsi="Times New Roman" w:cs="Arial" w:hint="default"/>
        <w:b w:val="0"/>
        <w:i w:val="0"/>
        <w:sz w:val="22"/>
        <w:szCs w:val="22"/>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
    <w:nsid w:val="07B136E9"/>
    <w:multiLevelType w:val="hybridMultilevel"/>
    <w:tmpl w:val="92F8CDB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nsid w:val="0AA937C0"/>
    <w:multiLevelType w:val="hybridMultilevel"/>
    <w:tmpl w:val="6B0C318C"/>
    <w:lvl w:ilvl="0" w:tplc="1409000F">
      <w:start w:val="1"/>
      <w:numFmt w:val="decimal"/>
      <w:lvlText w:val="%1."/>
      <w:lvlJc w:val="left"/>
      <w:pPr>
        <w:ind w:left="720" w:hanging="360"/>
      </w:pPr>
    </w:lvl>
    <w:lvl w:ilvl="1" w:tplc="32CAB862">
      <w:start w:val="1"/>
      <w:numFmt w:val="lowerLetter"/>
      <w:pStyle w:val="Boxa"/>
      <w:lvlText w:val="%2."/>
      <w:lvlJc w:val="left"/>
      <w:pPr>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abstractNum w:abstractNumId="3">
    <w:nsid w:val="0B0F5F0E"/>
    <w:multiLevelType w:val="hybridMultilevel"/>
    <w:tmpl w:val="8FFC4770"/>
    <w:lvl w:ilvl="0" w:tplc="E264C0DC">
      <w:start w:val="1"/>
      <w:numFmt w:val="bullet"/>
      <w:pStyle w:val="Greenbullet-tables"/>
      <w:lvlText w:val=""/>
      <w:lvlJc w:val="left"/>
      <w:pPr>
        <w:ind w:left="644" w:hanging="360"/>
      </w:pPr>
      <w:rPr>
        <w:rFonts w:ascii="Symbol" w:hAnsi="Symbol" w:hint="default"/>
        <w:color w:val="677719"/>
        <w:sz w:val="20"/>
        <w:szCs w:val="20"/>
      </w:rPr>
    </w:lvl>
    <w:lvl w:ilvl="1" w:tplc="14090003">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4">
    <w:nsid w:val="0EB0199C"/>
    <w:multiLevelType w:val="hybridMultilevel"/>
    <w:tmpl w:val="3C7E1392"/>
    <w:lvl w:ilvl="0" w:tplc="F822B5CE">
      <w:start w:val="1"/>
      <w:numFmt w:val="lowerLetter"/>
      <w:pStyle w:val="Sub-lista"/>
      <w:lvlText w:val="%1)"/>
      <w:lvlJc w:val="left"/>
      <w:pPr>
        <w:ind w:left="1440" w:hanging="360"/>
      </w:pPr>
      <w:rPr>
        <w:rFonts w:ascii="Calibri" w:hAnsi="Calibri" w:hint="default"/>
        <w:b w:val="0"/>
        <w:i w:val="0"/>
        <w:sz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nsid w:val="1E7824AD"/>
    <w:multiLevelType w:val="hybridMultilevel"/>
    <w:tmpl w:val="70FE5E90"/>
    <w:lvl w:ilvl="0" w:tplc="38BE6490">
      <w:start w:val="1"/>
      <w:numFmt w:val="bullet"/>
      <w:lvlText w:val=""/>
      <w:lvlJc w:val="left"/>
      <w:pPr>
        <w:tabs>
          <w:tab w:val="num" w:pos="338"/>
        </w:tabs>
        <w:ind w:left="338" w:hanging="338"/>
      </w:pPr>
      <w:rPr>
        <w:rFonts w:ascii="Symbol" w:hAnsi="Symbol" w:hint="default"/>
        <w:sz w:val="16"/>
      </w:rPr>
    </w:lvl>
    <w:lvl w:ilvl="1" w:tplc="08090003">
      <w:start w:val="1"/>
      <w:numFmt w:val="bullet"/>
      <w:pStyle w:val="TableDash"/>
      <w:lvlText w:val=""/>
      <w:lvlJc w:val="left"/>
      <w:pPr>
        <w:tabs>
          <w:tab w:val="num" w:pos="567"/>
        </w:tabs>
        <w:ind w:left="567" w:hanging="227"/>
      </w:pPr>
      <w:rPr>
        <w:rFonts w:ascii="Symbol" w:hAnsi="Symbol" w:hint="default"/>
        <w:sz w:val="22"/>
      </w:rPr>
    </w:lvl>
    <w:lvl w:ilvl="2" w:tplc="08090005">
      <w:start w:val="13"/>
      <w:numFmt w:val="bullet"/>
      <w:lvlText w:val="–"/>
      <w:lvlJc w:val="left"/>
      <w:pPr>
        <w:tabs>
          <w:tab w:val="num" w:pos="2160"/>
        </w:tabs>
        <w:ind w:left="2160" w:hanging="360"/>
      </w:pPr>
      <w:rPr>
        <w:rFonts w:ascii="Arial" w:eastAsia="Times New Roman" w:hAnsi="Aria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341E2EA4"/>
    <w:multiLevelType w:val="hybridMultilevel"/>
    <w:tmpl w:val="AB28B9C8"/>
    <w:lvl w:ilvl="0" w:tplc="A3EABA02">
      <w:start w:val="1"/>
      <w:numFmt w:val="decimal"/>
      <w:pStyle w:val="Bodytextnumbered"/>
      <w:lvlText w:val="%1"/>
      <w:lvlJc w:val="left"/>
      <w:pPr>
        <w:ind w:left="720" w:hanging="360"/>
      </w:pPr>
      <w:rPr>
        <w:rFonts w:ascii="Calibri" w:hAnsi="Calibri" w:hint="default"/>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nsid w:val="41081C61"/>
    <w:multiLevelType w:val="hybridMultilevel"/>
    <w:tmpl w:val="D93456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nsid w:val="440B17DC"/>
    <w:multiLevelType w:val="hybridMultilevel"/>
    <w:tmpl w:val="9BF2255A"/>
    <w:lvl w:ilvl="0" w:tplc="53FC7632">
      <w:start w:val="1"/>
      <w:numFmt w:val="bullet"/>
      <w:pStyle w:val="TableBullet"/>
      <w:lvlText w:val=""/>
      <w:lvlJc w:val="left"/>
      <w:pPr>
        <w:tabs>
          <w:tab w:val="num" w:pos="284"/>
        </w:tabs>
        <w:ind w:left="284" w:hanging="284"/>
      </w:pPr>
      <w:rPr>
        <w:rFonts w:ascii="Symbol" w:hAnsi="Symbol" w:hint="default"/>
        <w:sz w:val="16"/>
        <w:szCs w:val="16"/>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9">
    <w:nsid w:val="463D6104"/>
    <w:multiLevelType w:val="hybridMultilevel"/>
    <w:tmpl w:val="4ABA2070"/>
    <w:lvl w:ilvl="0" w:tplc="5308CA02">
      <w:start w:val="1"/>
      <w:numFmt w:val="lowerRoman"/>
      <w:pStyle w:val="Sub-listi"/>
      <w:lvlText w:val="%1."/>
      <w:lvlJc w:val="left"/>
      <w:pPr>
        <w:tabs>
          <w:tab w:val="num" w:pos="1191"/>
        </w:tabs>
        <w:ind w:left="1191" w:hanging="397"/>
      </w:pPr>
      <w:rPr>
        <w:rFonts w:ascii="Times New Roman" w:hAnsi="Times New Roman" w:cs="Arial" w:hint="default"/>
        <w:b w:val="0"/>
        <w:i w:val="0"/>
        <w:sz w:val="22"/>
        <w:szCs w:val="22"/>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0">
    <w:nsid w:val="4C093034"/>
    <w:multiLevelType w:val="hybridMultilevel"/>
    <w:tmpl w:val="D8EA176A"/>
    <w:lvl w:ilvl="0" w:tplc="84147204">
      <w:start w:val="1"/>
      <w:numFmt w:val="bullet"/>
      <w:pStyle w:val="Questionbullet"/>
      <w:lvlText w:val=""/>
      <w:lvlJc w:val="left"/>
      <w:pPr>
        <w:ind w:left="1004" w:hanging="360"/>
      </w:pPr>
      <w:rPr>
        <w:rFonts w:ascii="Symbol" w:hAnsi="Symbol" w:hint="default"/>
        <w:color w:val="C66005"/>
        <w:sz w:val="20"/>
        <w:szCs w:val="20"/>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11">
    <w:nsid w:val="53535234"/>
    <w:multiLevelType w:val="singleLevel"/>
    <w:tmpl w:val="7FC073B8"/>
    <w:lvl w:ilvl="0">
      <w:start w:val="1"/>
      <w:numFmt w:val="bullet"/>
      <w:pStyle w:val="Boxbullet"/>
      <w:lvlText w:val=""/>
      <w:lvlJc w:val="left"/>
      <w:pPr>
        <w:tabs>
          <w:tab w:val="num" w:pos="851"/>
        </w:tabs>
        <w:ind w:left="851" w:hanging="567"/>
      </w:pPr>
      <w:rPr>
        <w:rFonts w:ascii="Symbol" w:hAnsi="Symbol" w:hint="default"/>
        <w:sz w:val="16"/>
      </w:rPr>
    </w:lvl>
  </w:abstractNum>
  <w:abstractNum w:abstractNumId="12">
    <w:nsid w:val="62872281"/>
    <w:multiLevelType w:val="hybridMultilevel"/>
    <w:tmpl w:val="E4A429B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nsid w:val="62FB0C9C"/>
    <w:multiLevelType w:val="hybridMultilevel"/>
    <w:tmpl w:val="E48C6FEC"/>
    <w:lvl w:ilvl="0" w:tplc="2D28E2DC">
      <w:start w:val="1"/>
      <w:numFmt w:val="decimal"/>
      <w:pStyle w:val="Boxnumbered"/>
      <w:lvlText w:val="%1"/>
      <w:lvlJc w:val="left"/>
      <w:pPr>
        <w:ind w:left="1004" w:hanging="360"/>
      </w:pPr>
      <w:rPr>
        <w:rFonts w:ascii="Calibri" w:hAnsi="Calibri" w:hint="default"/>
        <w:b w:val="0"/>
        <w:bCs w:val="0"/>
        <w:i w:val="0"/>
        <w:sz w:val="22"/>
      </w:rPr>
    </w:lvl>
    <w:lvl w:ilvl="1" w:tplc="14090019" w:tentative="1">
      <w:start w:val="1"/>
      <w:numFmt w:val="lowerLetter"/>
      <w:lvlText w:val="%2."/>
      <w:lvlJc w:val="left"/>
      <w:pPr>
        <w:ind w:left="1724" w:hanging="360"/>
      </w:pPr>
    </w:lvl>
    <w:lvl w:ilvl="2" w:tplc="1409001B" w:tentative="1">
      <w:start w:val="1"/>
      <w:numFmt w:val="lowerRoman"/>
      <w:lvlText w:val="%3."/>
      <w:lvlJc w:val="right"/>
      <w:pPr>
        <w:ind w:left="2444" w:hanging="180"/>
      </w:pPr>
    </w:lvl>
    <w:lvl w:ilvl="3" w:tplc="1409000F" w:tentative="1">
      <w:start w:val="1"/>
      <w:numFmt w:val="decimal"/>
      <w:lvlText w:val="%4."/>
      <w:lvlJc w:val="left"/>
      <w:pPr>
        <w:ind w:left="3164" w:hanging="360"/>
      </w:pPr>
    </w:lvl>
    <w:lvl w:ilvl="4" w:tplc="14090019" w:tentative="1">
      <w:start w:val="1"/>
      <w:numFmt w:val="lowerLetter"/>
      <w:lvlText w:val="%5."/>
      <w:lvlJc w:val="left"/>
      <w:pPr>
        <w:ind w:left="3884" w:hanging="360"/>
      </w:pPr>
    </w:lvl>
    <w:lvl w:ilvl="5" w:tplc="1409001B" w:tentative="1">
      <w:start w:val="1"/>
      <w:numFmt w:val="lowerRoman"/>
      <w:lvlText w:val="%6."/>
      <w:lvlJc w:val="right"/>
      <w:pPr>
        <w:ind w:left="4604" w:hanging="180"/>
      </w:pPr>
    </w:lvl>
    <w:lvl w:ilvl="6" w:tplc="1409000F" w:tentative="1">
      <w:start w:val="1"/>
      <w:numFmt w:val="decimal"/>
      <w:lvlText w:val="%7."/>
      <w:lvlJc w:val="left"/>
      <w:pPr>
        <w:ind w:left="5324" w:hanging="360"/>
      </w:pPr>
    </w:lvl>
    <w:lvl w:ilvl="7" w:tplc="14090019" w:tentative="1">
      <w:start w:val="1"/>
      <w:numFmt w:val="lowerLetter"/>
      <w:lvlText w:val="%8."/>
      <w:lvlJc w:val="left"/>
      <w:pPr>
        <w:ind w:left="6044" w:hanging="360"/>
      </w:pPr>
    </w:lvl>
    <w:lvl w:ilvl="8" w:tplc="1409001B" w:tentative="1">
      <w:start w:val="1"/>
      <w:numFmt w:val="lowerRoman"/>
      <w:lvlText w:val="%9."/>
      <w:lvlJc w:val="right"/>
      <w:pPr>
        <w:ind w:left="6764" w:hanging="180"/>
      </w:pPr>
    </w:lvl>
  </w:abstractNum>
  <w:abstractNum w:abstractNumId="14">
    <w:nsid w:val="653A1DB2"/>
    <w:multiLevelType w:val="multilevel"/>
    <w:tmpl w:val="7C9A8406"/>
    <w:lvl w:ilvl="0">
      <w:start w:val="1"/>
      <w:numFmt w:val="bullet"/>
      <w:lvlText w:val=""/>
      <w:lvlJc w:val="left"/>
      <w:pPr>
        <w:tabs>
          <w:tab w:val="num" w:pos="360"/>
        </w:tabs>
        <w:ind w:left="360" w:hanging="360"/>
      </w:pPr>
      <w:rPr>
        <w:rFonts w:ascii="Symbol" w:hAnsi="Symbol" w:hint="default"/>
        <w:sz w:val="20"/>
      </w:rPr>
    </w:lvl>
    <w:lvl w:ilvl="1">
      <w:start w:val="1"/>
      <w:numFmt w:val="bullet"/>
      <w:pStyle w:val="Sub-bullet"/>
      <w:lvlText w:val="-"/>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nsid w:val="66633BEB"/>
    <w:multiLevelType w:val="hybridMultilevel"/>
    <w:tmpl w:val="849CF252"/>
    <w:lvl w:ilvl="0" w:tplc="E5E29082">
      <w:start w:val="1"/>
      <w:numFmt w:val="decimal"/>
      <w:pStyle w:val="Browntextnumbered"/>
      <w:lvlText w:val="%1"/>
      <w:lvlJc w:val="left"/>
      <w:pPr>
        <w:ind w:left="720" w:hanging="360"/>
      </w:pPr>
      <w:rPr>
        <w:rFonts w:ascii="Calibri" w:hAnsi="Calibri" w:hint="default"/>
        <w:b w:val="0"/>
        <w:color w:val="B47015"/>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nsid w:val="78D30B80"/>
    <w:multiLevelType w:val="hybridMultilevel"/>
    <w:tmpl w:val="C8D40588"/>
    <w:lvl w:ilvl="0" w:tplc="14090001">
      <w:start w:val="1"/>
      <w:numFmt w:val="bullet"/>
      <w:lvlText w:val=""/>
      <w:lvlJc w:val="left"/>
      <w:pPr>
        <w:ind w:left="765" w:hanging="360"/>
      </w:pPr>
      <w:rPr>
        <w:rFonts w:ascii="Symbol" w:hAnsi="Symbol" w:hint="default"/>
      </w:rPr>
    </w:lvl>
    <w:lvl w:ilvl="1" w:tplc="14090003" w:tentative="1">
      <w:start w:val="1"/>
      <w:numFmt w:val="bullet"/>
      <w:lvlText w:val="o"/>
      <w:lvlJc w:val="left"/>
      <w:pPr>
        <w:ind w:left="1485" w:hanging="360"/>
      </w:pPr>
      <w:rPr>
        <w:rFonts w:ascii="Courier New" w:hAnsi="Courier New" w:cs="Courier New"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17">
    <w:nsid w:val="7D1F52ED"/>
    <w:multiLevelType w:val="hybridMultilevel"/>
    <w:tmpl w:val="441C3AEA"/>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18">
    <w:nsid w:val="7E4D254A"/>
    <w:multiLevelType w:val="singleLevel"/>
    <w:tmpl w:val="3D7651AA"/>
    <w:lvl w:ilvl="0">
      <w:start w:val="1"/>
      <w:numFmt w:val="bullet"/>
      <w:pStyle w:val="Bullet"/>
      <w:lvlText w:val=""/>
      <w:lvlJc w:val="left"/>
      <w:pPr>
        <w:tabs>
          <w:tab w:val="num" w:pos="397"/>
        </w:tabs>
        <w:ind w:left="397" w:hanging="397"/>
      </w:pPr>
      <w:rPr>
        <w:rFonts w:ascii="Symbol" w:hAnsi="Symbol" w:cs="Symbol" w:hint="default"/>
        <w:sz w:val="20"/>
        <w:szCs w:val="20"/>
      </w:rPr>
    </w:lvl>
  </w:abstractNum>
  <w:abstractNum w:abstractNumId="19">
    <w:nsid w:val="7F827B01"/>
    <w:multiLevelType w:val="hybridMultilevel"/>
    <w:tmpl w:val="350A4A0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nsid w:val="7FBB6A67"/>
    <w:multiLevelType w:val="multilevel"/>
    <w:tmpl w:val="14090023"/>
    <w:lvl w:ilvl="0">
      <w:start w:val="1"/>
      <w:numFmt w:val="upperRoman"/>
      <w:lvlText w:val="Article %1."/>
      <w:lvlJc w:val="left"/>
      <w:pPr>
        <w:tabs>
          <w:tab w:val="num" w:pos="1440"/>
        </w:tabs>
      </w:pPr>
    </w:lvl>
    <w:lvl w:ilvl="1">
      <w:start w:val="1"/>
      <w:numFmt w:val="decimalZero"/>
      <w:isLgl/>
      <w:lvlText w:val="Section %1.%2"/>
      <w:lvlJc w:val="left"/>
      <w:pPr>
        <w:tabs>
          <w:tab w:val="num" w:pos="108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1"/>
  </w:num>
  <w:num w:numId="2">
    <w:abstractNumId w:val="18"/>
  </w:num>
  <w:num w:numId="3">
    <w:abstractNumId w:val="0"/>
  </w:num>
  <w:num w:numId="4">
    <w:abstractNumId w:val="9"/>
  </w:num>
  <w:num w:numId="5">
    <w:abstractNumId w:val="8"/>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4"/>
  </w:num>
  <w:num w:numId="9">
    <w:abstractNumId w:val="13"/>
  </w:num>
  <w:num w:numId="10">
    <w:abstractNumId w:val="3"/>
  </w:num>
  <w:num w:numId="11">
    <w:abstractNumId w:val="15"/>
  </w:num>
  <w:num w:numId="12">
    <w:abstractNumId w:val="4"/>
  </w:num>
  <w:num w:numId="13">
    <w:abstractNumId w:val="10"/>
  </w:num>
  <w:num w:numId="14">
    <w:abstractNumId w:val="6"/>
  </w:num>
  <w:num w:numId="15">
    <w:abstractNumId w:val="1"/>
  </w:num>
  <w:num w:numId="16">
    <w:abstractNumId w:val="17"/>
  </w:num>
  <w:num w:numId="17">
    <w:abstractNumId w:val="12"/>
  </w:num>
  <w:num w:numId="18">
    <w:abstractNumId w:val="19"/>
  </w:num>
  <w:num w:numId="19">
    <w:abstractNumId w:val="16"/>
  </w:num>
  <w:num w:numId="20">
    <w:abstractNumId w:val="7"/>
  </w:num>
  <w:num w:numId="21">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linkStyles/>
  <w:defaultTabStop w:val="720"/>
  <w:evenAndOddHeaders/>
  <w:characterSpacingControl w:val="doNotCompress"/>
  <w:hdrShapeDefaults>
    <o:shapedefaults v:ext="edit" spidmax="12289"/>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C8D"/>
    <w:rsid w:val="00000120"/>
    <w:rsid w:val="00000730"/>
    <w:rsid w:val="00001087"/>
    <w:rsid w:val="00001191"/>
    <w:rsid w:val="00001984"/>
    <w:rsid w:val="000021AD"/>
    <w:rsid w:val="00002AF0"/>
    <w:rsid w:val="000044EA"/>
    <w:rsid w:val="000046D1"/>
    <w:rsid w:val="000059A4"/>
    <w:rsid w:val="000059AF"/>
    <w:rsid w:val="0000625E"/>
    <w:rsid w:val="00006AD7"/>
    <w:rsid w:val="00006C27"/>
    <w:rsid w:val="000073A7"/>
    <w:rsid w:val="00007F47"/>
    <w:rsid w:val="0001018A"/>
    <w:rsid w:val="000102CE"/>
    <w:rsid w:val="0001123A"/>
    <w:rsid w:val="000119F4"/>
    <w:rsid w:val="0001230A"/>
    <w:rsid w:val="000129D2"/>
    <w:rsid w:val="00013B2B"/>
    <w:rsid w:val="00014142"/>
    <w:rsid w:val="00014215"/>
    <w:rsid w:val="00014D7F"/>
    <w:rsid w:val="00014E96"/>
    <w:rsid w:val="000156F1"/>
    <w:rsid w:val="000165C6"/>
    <w:rsid w:val="00016A35"/>
    <w:rsid w:val="00017F78"/>
    <w:rsid w:val="000209DB"/>
    <w:rsid w:val="00020C8D"/>
    <w:rsid w:val="00021608"/>
    <w:rsid w:val="00022314"/>
    <w:rsid w:val="00022EB7"/>
    <w:rsid w:val="00023055"/>
    <w:rsid w:val="00023784"/>
    <w:rsid w:val="00023EB7"/>
    <w:rsid w:val="00024623"/>
    <w:rsid w:val="00024821"/>
    <w:rsid w:val="000249B8"/>
    <w:rsid w:val="000262A0"/>
    <w:rsid w:val="0002689C"/>
    <w:rsid w:val="00030260"/>
    <w:rsid w:val="0003031E"/>
    <w:rsid w:val="000313F7"/>
    <w:rsid w:val="00032654"/>
    <w:rsid w:val="0003289D"/>
    <w:rsid w:val="00032B39"/>
    <w:rsid w:val="00032E68"/>
    <w:rsid w:val="000334D2"/>
    <w:rsid w:val="00034769"/>
    <w:rsid w:val="00034905"/>
    <w:rsid w:val="00035408"/>
    <w:rsid w:val="00036961"/>
    <w:rsid w:val="00037E22"/>
    <w:rsid w:val="00040431"/>
    <w:rsid w:val="00040583"/>
    <w:rsid w:val="000408DA"/>
    <w:rsid w:val="00040A7B"/>
    <w:rsid w:val="00040B92"/>
    <w:rsid w:val="00040EDA"/>
    <w:rsid w:val="0004155B"/>
    <w:rsid w:val="000418A2"/>
    <w:rsid w:val="000423D8"/>
    <w:rsid w:val="00042CC6"/>
    <w:rsid w:val="0004312B"/>
    <w:rsid w:val="00043A4F"/>
    <w:rsid w:val="00044DA6"/>
    <w:rsid w:val="000461B3"/>
    <w:rsid w:val="000463D3"/>
    <w:rsid w:val="00046D40"/>
    <w:rsid w:val="00047C3F"/>
    <w:rsid w:val="00050798"/>
    <w:rsid w:val="0005143A"/>
    <w:rsid w:val="0005223C"/>
    <w:rsid w:val="000524BA"/>
    <w:rsid w:val="000567CB"/>
    <w:rsid w:val="00056A4C"/>
    <w:rsid w:val="00056D76"/>
    <w:rsid w:val="000601DE"/>
    <w:rsid w:val="00060426"/>
    <w:rsid w:val="0006077D"/>
    <w:rsid w:val="00060D8A"/>
    <w:rsid w:val="00060DA7"/>
    <w:rsid w:val="0006119B"/>
    <w:rsid w:val="000617AE"/>
    <w:rsid w:val="00061B0A"/>
    <w:rsid w:val="00061EA5"/>
    <w:rsid w:val="00062279"/>
    <w:rsid w:val="00062519"/>
    <w:rsid w:val="000628B7"/>
    <w:rsid w:val="00062B0F"/>
    <w:rsid w:val="000631A1"/>
    <w:rsid w:val="00063AA0"/>
    <w:rsid w:val="000649E7"/>
    <w:rsid w:val="00064C04"/>
    <w:rsid w:val="000662BB"/>
    <w:rsid w:val="00066717"/>
    <w:rsid w:val="00066D1C"/>
    <w:rsid w:val="00072289"/>
    <w:rsid w:val="0007254E"/>
    <w:rsid w:val="0007325A"/>
    <w:rsid w:val="00073540"/>
    <w:rsid w:val="00073B46"/>
    <w:rsid w:val="00074BCE"/>
    <w:rsid w:val="00075500"/>
    <w:rsid w:val="00075631"/>
    <w:rsid w:val="00075FCE"/>
    <w:rsid w:val="00076880"/>
    <w:rsid w:val="00077136"/>
    <w:rsid w:val="00077172"/>
    <w:rsid w:val="000778A9"/>
    <w:rsid w:val="00077A37"/>
    <w:rsid w:val="00080692"/>
    <w:rsid w:val="000815C1"/>
    <w:rsid w:val="00081BB4"/>
    <w:rsid w:val="000820B6"/>
    <w:rsid w:val="000833DF"/>
    <w:rsid w:val="00084478"/>
    <w:rsid w:val="000847BE"/>
    <w:rsid w:val="00084D40"/>
    <w:rsid w:val="00085FCB"/>
    <w:rsid w:val="000860AF"/>
    <w:rsid w:val="000862EB"/>
    <w:rsid w:val="000876E9"/>
    <w:rsid w:val="0008771C"/>
    <w:rsid w:val="0009173C"/>
    <w:rsid w:val="00091B61"/>
    <w:rsid w:val="00091C95"/>
    <w:rsid w:val="00093C25"/>
    <w:rsid w:val="00093E70"/>
    <w:rsid w:val="0009450D"/>
    <w:rsid w:val="00094551"/>
    <w:rsid w:val="00095812"/>
    <w:rsid w:val="00095F69"/>
    <w:rsid w:val="000969E9"/>
    <w:rsid w:val="000A0453"/>
    <w:rsid w:val="000A051C"/>
    <w:rsid w:val="000A07EB"/>
    <w:rsid w:val="000A0E3D"/>
    <w:rsid w:val="000A429C"/>
    <w:rsid w:val="000A454A"/>
    <w:rsid w:val="000A4B95"/>
    <w:rsid w:val="000A52B9"/>
    <w:rsid w:val="000A54F6"/>
    <w:rsid w:val="000A6628"/>
    <w:rsid w:val="000A70CC"/>
    <w:rsid w:val="000A7317"/>
    <w:rsid w:val="000A7370"/>
    <w:rsid w:val="000A7A4C"/>
    <w:rsid w:val="000A7A73"/>
    <w:rsid w:val="000B1BEB"/>
    <w:rsid w:val="000B21B7"/>
    <w:rsid w:val="000B3F94"/>
    <w:rsid w:val="000B4031"/>
    <w:rsid w:val="000B40C6"/>
    <w:rsid w:val="000B460D"/>
    <w:rsid w:val="000B4703"/>
    <w:rsid w:val="000B478A"/>
    <w:rsid w:val="000B5ECD"/>
    <w:rsid w:val="000C0BAF"/>
    <w:rsid w:val="000C0DB3"/>
    <w:rsid w:val="000C14AA"/>
    <w:rsid w:val="000C16C5"/>
    <w:rsid w:val="000C3001"/>
    <w:rsid w:val="000C3BFB"/>
    <w:rsid w:val="000C559C"/>
    <w:rsid w:val="000C5677"/>
    <w:rsid w:val="000C6671"/>
    <w:rsid w:val="000C6A6F"/>
    <w:rsid w:val="000D2065"/>
    <w:rsid w:val="000D2266"/>
    <w:rsid w:val="000D2303"/>
    <w:rsid w:val="000D4FFA"/>
    <w:rsid w:val="000D5046"/>
    <w:rsid w:val="000D5A99"/>
    <w:rsid w:val="000D5C2D"/>
    <w:rsid w:val="000D5EA7"/>
    <w:rsid w:val="000D60E5"/>
    <w:rsid w:val="000D63C7"/>
    <w:rsid w:val="000D65A8"/>
    <w:rsid w:val="000D69CF"/>
    <w:rsid w:val="000E041F"/>
    <w:rsid w:val="000E04EA"/>
    <w:rsid w:val="000E0FDE"/>
    <w:rsid w:val="000E2003"/>
    <w:rsid w:val="000E227A"/>
    <w:rsid w:val="000E2829"/>
    <w:rsid w:val="000E2A87"/>
    <w:rsid w:val="000E3627"/>
    <w:rsid w:val="000E36F4"/>
    <w:rsid w:val="000E6B94"/>
    <w:rsid w:val="000F097B"/>
    <w:rsid w:val="000F0F86"/>
    <w:rsid w:val="000F1958"/>
    <w:rsid w:val="000F1A17"/>
    <w:rsid w:val="000F1CBA"/>
    <w:rsid w:val="000F21D8"/>
    <w:rsid w:val="000F2ACA"/>
    <w:rsid w:val="000F2E4E"/>
    <w:rsid w:val="000F3CCF"/>
    <w:rsid w:val="000F4C97"/>
    <w:rsid w:val="000F53F0"/>
    <w:rsid w:val="000F5794"/>
    <w:rsid w:val="000F5C61"/>
    <w:rsid w:val="000F68A0"/>
    <w:rsid w:val="000F68CC"/>
    <w:rsid w:val="000F6B08"/>
    <w:rsid w:val="000F6B1A"/>
    <w:rsid w:val="001004E8"/>
    <w:rsid w:val="00100FF4"/>
    <w:rsid w:val="00101014"/>
    <w:rsid w:val="0010164C"/>
    <w:rsid w:val="00101E16"/>
    <w:rsid w:val="001020FC"/>
    <w:rsid w:val="0010332C"/>
    <w:rsid w:val="00103B98"/>
    <w:rsid w:val="00103CA3"/>
    <w:rsid w:val="00104209"/>
    <w:rsid w:val="00104441"/>
    <w:rsid w:val="0010489E"/>
    <w:rsid w:val="00104CA0"/>
    <w:rsid w:val="00105E91"/>
    <w:rsid w:val="00106E82"/>
    <w:rsid w:val="001071B2"/>
    <w:rsid w:val="001072D2"/>
    <w:rsid w:val="0010742B"/>
    <w:rsid w:val="00107699"/>
    <w:rsid w:val="001077B2"/>
    <w:rsid w:val="0011018A"/>
    <w:rsid w:val="00112C2C"/>
    <w:rsid w:val="00112D1F"/>
    <w:rsid w:val="00113467"/>
    <w:rsid w:val="001135C4"/>
    <w:rsid w:val="00113F8D"/>
    <w:rsid w:val="001142CC"/>
    <w:rsid w:val="00114C26"/>
    <w:rsid w:val="00114D95"/>
    <w:rsid w:val="001154B1"/>
    <w:rsid w:val="001167C0"/>
    <w:rsid w:val="00116D2B"/>
    <w:rsid w:val="0012247D"/>
    <w:rsid w:val="001241BF"/>
    <w:rsid w:val="00124700"/>
    <w:rsid w:val="00124823"/>
    <w:rsid w:val="00125468"/>
    <w:rsid w:val="0012592D"/>
    <w:rsid w:val="00130C4D"/>
    <w:rsid w:val="001315E3"/>
    <w:rsid w:val="00131B02"/>
    <w:rsid w:val="00131F82"/>
    <w:rsid w:val="00132118"/>
    <w:rsid w:val="00134C90"/>
    <w:rsid w:val="001351EF"/>
    <w:rsid w:val="00135707"/>
    <w:rsid w:val="00135821"/>
    <w:rsid w:val="00136AB1"/>
    <w:rsid w:val="001370D7"/>
    <w:rsid w:val="0013721D"/>
    <w:rsid w:val="00140999"/>
    <w:rsid w:val="00141170"/>
    <w:rsid w:val="00141785"/>
    <w:rsid w:val="0014189D"/>
    <w:rsid w:val="001422D6"/>
    <w:rsid w:val="0014233A"/>
    <w:rsid w:val="00142BD1"/>
    <w:rsid w:val="00142EC3"/>
    <w:rsid w:val="001433C8"/>
    <w:rsid w:val="00143B2F"/>
    <w:rsid w:val="00143F22"/>
    <w:rsid w:val="0014446D"/>
    <w:rsid w:val="00145096"/>
    <w:rsid w:val="00146392"/>
    <w:rsid w:val="00146420"/>
    <w:rsid w:val="00146679"/>
    <w:rsid w:val="001466C6"/>
    <w:rsid w:val="00146CF7"/>
    <w:rsid w:val="00147122"/>
    <w:rsid w:val="00147EDD"/>
    <w:rsid w:val="00150172"/>
    <w:rsid w:val="001508D4"/>
    <w:rsid w:val="0015182C"/>
    <w:rsid w:val="00151F4F"/>
    <w:rsid w:val="00152861"/>
    <w:rsid w:val="00153BF3"/>
    <w:rsid w:val="00153E85"/>
    <w:rsid w:val="00153F59"/>
    <w:rsid w:val="00155236"/>
    <w:rsid w:val="001553DE"/>
    <w:rsid w:val="00155E13"/>
    <w:rsid w:val="00156852"/>
    <w:rsid w:val="001577EF"/>
    <w:rsid w:val="00157C36"/>
    <w:rsid w:val="00157F7C"/>
    <w:rsid w:val="00160712"/>
    <w:rsid w:val="00160986"/>
    <w:rsid w:val="00161552"/>
    <w:rsid w:val="00161785"/>
    <w:rsid w:val="00161F22"/>
    <w:rsid w:val="001623A5"/>
    <w:rsid w:val="00163D2F"/>
    <w:rsid w:val="00164A03"/>
    <w:rsid w:val="00164F59"/>
    <w:rsid w:val="001658EB"/>
    <w:rsid w:val="00165E7D"/>
    <w:rsid w:val="001666FF"/>
    <w:rsid w:val="0016688A"/>
    <w:rsid w:val="00167103"/>
    <w:rsid w:val="0016711D"/>
    <w:rsid w:val="00167E50"/>
    <w:rsid w:val="00170F79"/>
    <w:rsid w:val="00171612"/>
    <w:rsid w:val="00173332"/>
    <w:rsid w:val="001734D1"/>
    <w:rsid w:val="001735A1"/>
    <w:rsid w:val="001748F5"/>
    <w:rsid w:val="00174D6C"/>
    <w:rsid w:val="00175B66"/>
    <w:rsid w:val="00176C63"/>
    <w:rsid w:val="00176E6E"/>
    <w:rsid w:val="00177351"/>
    <w:rsid w:val="0018011C"/>
    <w:rsid w:val="001801A2"/>
    <w:rsid w:val="00181400"/>
    <w:rsid w:val="00181DF3"/>
    <w:rsid w:val="00183285"/>
    <w:rsid w:val="00183736"/>
    <w:rsid w:val="00183BA1"/>
    <w:rsid w:val="001841DF"/>
    <w:rsid w:val="00184441"/>
    <w:rsid w:val="00184448"/>
    <w:rsid w:val="00185428"/>
    <w:rsid w:val="00186855"/>
    <w:rsid w:val="00186BA9"/>
    <w:rsid w:val="001875C0"/>
    <w:rsid w:val="00187791"/>
    <w:rsid w:val="001878A4"/>
    <w:rsid w:val="001912F2"/>
    <w:rsid w:val="001917B4"/>
    <w:rsid w:val="00191CAA"/>
    <w:rsid w:val="00191D2D"/>
    <w:rsid w:val="00192A40"/>
    <w:rsid w:val="00192DFB"/>
    <w:rsid w:val="00193801"/>
    <w:rsid w:val="001942B1"/>
    <w:rsid w:val="001952B0"/>
    <w:rsid w:val="001954C6"/>
    <w:rsid w:val="00196039"/>
    <w:rsid w:val="00196245"/>
    <w:rsid w:val="001963A6"/>
    <w:rsid w:val="00196453"/>
    <w:rsid w:val="001968E3"/>
    <w:rsid w:val="00196A1D"/>
    <w:rsid w:val="001975BC"/>
    <w:rsid w:val="001A13A0"/>
    <w:rsid w:val="001A2D42"/>
    <w:rsid w:val="001A3FB8"/>
    <w:rsid w:val="001A465D"/>
    <w:rsid w:val="001A47FF"/>
    <w:rsid w:val="001A4B85"/>
    <w:rsid w:val="001A57BD"/>
    <w:rsid w:val="001A5A24"/>
    <w:rsid w:val="001A604B"/>
    <w:rsid w:val="001A610C"/>
    <w:rsid w:val="001A634D"/>
    <w:rsid w:val="001A657B"/>
    <w:rsid w:val="001A7453"/>
    <w:rsid w:val="001A75E2"/>
    <w:rsid w:val="001A7D42"/>
    <w:rsid w:val="001B0C85"/>
    <w:rsid w:val="001B13DE"/>
    <w:rsid w:val="001B1E2E"/>
    <w:rsid w:val="001B3271"/>
    <w:rsid w:val="001B4067"/>
    <w:rsid w:val="001B410B"/>
    <w:rsid w:val="001B4207"/>
    <w:rsid w:val="001B4A5A"/>
    <w:rsid w:val="001B57CF"/>
    <w:rsid w:val="001B661A"/>
    <w:rsid w:val="001B66A7"/>
    <w:rsid w:val="001C01A9"/>
    <w:rsid w:val="001C0976"/>
    <w:rsid w:val="001C0E65"/>
    <w:rsid w:val="001C137C"/>
    <w:rsid w:val="001C181B"/>
    <w:rsid w:val="001C2165"/>
    <w:rsid w:val="001C2F45"/>
    <w:rsid w:val="001C52F9"/>
    <w:rsid w:val="001C5E3F"/>
    <w:rsid w:val="001C5F04"/>
    <w:rsid w:val="001C622B"/>
    <w:rsid w:val="001C6425"/>
    <w:rsid w:val="001C7969"/>
    <w:rsid w:val="001C7C60"/>
    <w:rsid w:val="001D027C"/>
    <w:rsid w:val="001D0ADE"/>
    <w:rsid w:val="001D0D4A"/>
    <w:rsid w:val="001D1A60"/>
    <w:rsid w:val="001D2AA5"/>
    <w:rsid w:val="001D3744"/>
    <w:rsid w:val="001D417E"/>
    <w:rsid w:val="001D50D3"/>
    <w:rsid w:val="001D53B2"/>
    <w:rsid w:val="001D55CA"/>
    <w:rsid w:val="001D6A54"/>
    <w:rsid w:val="001D6B01"/>
    <w:rsid w:val="001D6D3B"/>
    <w:rsid w:val="001D70D5"/>
    <w:rsid w:val="001D7BB8"/>
    <w:rsid w:val="001D7D2A"/>
    <w:rsid w:val="001D7E48"/>
    <w:rsid w:val="001D7FD5"/>
    <w:rsid w:val="001E0148"/>
    <w:rsid w:val="001E134B"/>
    <w:rsid w:val="001E1F67"/>
    <w:rsid w:val="001E2658"/>
    <w:rsid w:val="001E3D19"/>
    <w:rsid w:val="001E43CA"/>
    <w:rsid w:val="001E44D8"/>
    <w:rsid w:val="001E47A4"/>
    <w:rsid w:val="001E4BD9"/>
    <w:rsid w:val="001E55D6"/>
    <w:rsid w:val="001E5870"/>
    <w:rsid w:val="001E606E"/>
    <w:rsid w:val="001E7BD8"/>
    <w:rsid w:val="001F05BF"/>
    <w:rsid w:val="001F0657"/>
    <w:rsid w:val="001F14A1"/>
    <w:rsid w:val="001F1577"/>
    <w:rsid w:val="001F1802"/>
    <w:rsid w:val="001F18F2"/>
    <w:rsid w:val="001F2845"/>
    <w:rsid w:val="001F36E8"/>
    <w:rsid w:val="001F3E48"/>
    <w:rsid w:val="001F3EC9"/>
    <w:rsid w:val="001F3EF6"/>
    <w:rsid w:val="001F4174"/>
    <w:rsid w:val="001F45E5"/>
    <w:rsid w:val="001F49B4"/>
    <w:rsid w:val="001F58C4"/>
    <w:rsid w:val="001F659A"/>
    <w:rsid w:val="001F68D7"/>
    <w:rsid w:val="001F6C89"/>
    <w:rsid w:val="0020053B"/>
    <w:rsid w:val="00200A9E"/>
    <w:rsid w:val="00200B1C"/>
    <w:rsid w:val="00200D20"/>
    <w:rsid w:val="00201228"/>
    <w:rsid w:val="00201399"/>
    <w:rsid w:val="0020209F"/>
    <w:rsid w:val="002024E4"/>
    <w:rsid w:val="0020285D"/>
    <w:rsid w:val="002028C0"/>
    <w:rsid w:val="002031B0"/>
    <w:rsid w:val="002041D7"/>
    <w:rsid w:val="00204791"/>
    <w:rsid w:val="00204C13"/>
    <w:rsid w:val="00205025"/>
    <w:rsid w:val="0020572E"/>
    <w:rsid w:val="0020585D"/>
    <w:rsid w:val="00206661"/>
    <w:rsid w:val="002078CF"/>
    <w:rsid w:val="00207E39"/>
    <w:rsid w:val="00207EC8"/>
    <w:rsid w:val="00210C14"/>
    <w:rsid w:val="0021304E"/>
    <w:rsid w:val="002133BF"/>
    <w:rsid w:val="0021472C"/>
    <w:rsid w:val="002147F4"/>
    <w:rsid w:val="00214871"/>
    <w:rsid w:val="00214B8C"/>
    <w:rsid w:val="00215489"/>
    <w:rsid w:val="00216111"/>
    <w:rsid w:val="00216583"/>
    <w:rsid w:val="00216796"/>
    <w:rsid w:val="002169FB"/>
    <w:rsid w:val="00216BEA"/>
    <w:rsid w:val="00216E0E"/>
    <w:rsid w:val="0021756E"/>
    <w:rsid w:val="002215C1"/>
    <w:rsid w:val="002223C8"/>
    <w:rsid w:val="00222401"/>
    <w:rsid w:val="0022291B"/>
    <w:rsid w:val="0022349F"/>
    <w:rsid w:val="0022426C"/>
    <w:rsid w:val="002245F2"/>
    <w:rsid w:val="0022470A"/>
    <w:rsid w:val="00227831"/>
    <w:rsid w:val="00227BD9"/>
    <w:rsid w:val="002308A9"/>
    <w:rsid w:val="00232E21"/>
    <w:rsid w:val="002334BA"/>
    <w:rsid w:val="002336E5"/>
    <w:rsid w:val="0023406A"/>
    <w:rsid w:val="002340BD"/>
    <w:rsid w:val="00234442"/>
    <w:rsid w:val="002351E7"/>
    <w:rsid w:val="00235657"/>
    <w:rsid w:val="00235800"/>
    <w:rsid w:val="002377D6"/>
    <w:rsid w:val="00237B26"/>
    <w:rsid w:val="00237B4D"/>
    <w:rsid w:val="00237CA1"/>
    <w:rsid w:val="00240121"/>
    <w:rsid w:val="00240319"/>
    <w:rsid w:val="00240477"/>
    <w:rsid w:val="00240B47"/>
    <w:rsid w:val="00240B60"/>
    <w:rsid w:val="00241C9C"/>
    <w:rsid w:val="00242045"/>
    <w:rsid w:val="00242185"/>
    <w:rsid w:val="00242683"/>
    <w:rsid w:val="002437B5"/>
    <w:rsid w:val="00244196"/>
    <w:rsid w:val="0024485A"/>
    <w:rsid w:val="00244BFF"/>
    <w:rsid w:val="00245072"/>
    <w:rsid w:val="002450DB"/>
    <w:rsid w:val="002456F2"/>
    <w:rsid w:val="00245733"/>
    <w:rsid w:val="002469C3"/>
    <w:rsid w:val="00246EE3"/>
    <w:rsid w:val="0024725C"/>
    <w:rsid w:val="00247275"/>
    <w:rsid w:val="0025077C"/>
    <w:rsid w:val="00250896"/>
    <w:rsid w:val="00250CB0"/>
    <w:rsid w:val="00251421"/>
    <w:rsid w:val="002516C4"/>
    <w:rsid w:val="00251BE8"/>
    <w:rsid w:val="0025220B"/>
    <w:rsid w:val="002523DB"/>
    <w:rsid w:val="002526B4"/>
    <w:rsid w:val="002529E4"/>
    <w:rsid w:val="002529F1"/>
    <w:rsid w:val="00253959"/>
    <w:rsid w:val="002543D5"/>
    <w:rsid w:val="00254AA7"/>
    <w:rsid w:val="0025582C"/>
    <w:rsid w:val="002565E3"/>
    <w:rsid w:val="002603DE"/>
    <w:rsid w:val="002606FE"/>
    <w:rsid w:val="00260CE6"/>
    <w:rsid w:val="002642F9"/>
    <w:rsid w:val="00264854"/>
    <w:rsid w:val="0026502F"/>
    <w:rsid w:val="00265409"/>
    <w:rsid w:val="002654FB"/>
    <w:rsid w:val="0026620E"/>
    <w:rsid w:val="002664E3"/>
    <w:rsid w:val="002670C9"/>
    <w:rsid w:val="00267807"/>
    <w:rsid w:val="00267BED"/>
    <w:rsid w:val="002705BA"/>
    <w:rsid w:val="0027066B"/>
    <w:rsid w:val="00272357"/>
    <w:rsid w:val="0027310F"/>
    <w:rsid w:val="00273320"/>
    <w:rsid w:val="00274365"/>
    <w:rsid w:val="00274799"/>
    <w:rsid w:val="00274C6B"/>
    <w:rsid w:val="00274DE5"/>
    <w:rsid w:val="00276884"/>
    <w:rsid w:val="00276A19"/>
    <w:rsid w:val="00277537"/>
    <w:rsid w:val="00277839"/>
    <w:rsid w:val="00277E60"/>
    <w:rsid w:val="00280EE9"/>
    <w:rsid w:val="0028115F"/>
    <w:rsid w:val="002816CD"/>
    <w:rsid w:val="002829FD"/>
    <w:rsid w:val="00283856"/>
    <w:rsid w:val="00283D3F"/>
    <w:rsid w:val="00285297"/>
    <w:rsid w:val="00285D0C"/>
    <w:rsid w:val="002860F4"/>
    <w:rsid w:val="00286582"/>
    <w:rsid w:val="00286B36"/>
    <w:rsid w:val="0028720B"/>
    <w:rsid w:val="002874EF"/>
    <w:rsid w:val="0028762C"/>
    <w:rsid w:val="0029058E"/>
    <w:rsid w:val="00291151"/>
    <w:rsid w:val="0029138C"/>
    <w:rsid w:val="00291CE8"/>
    <w:rsid w:val="00291E25"/>
    <w:rsid w:val="0029332C"/>
    <w:rsid w:val="00295D3E"/>
    <w:rsid w:val="00296583"/>
    <w:rsid w:val="00296707"/>
    <w:rsid w:val="002974AB"/>
    <w:rsid w:val="002A109B"/>
    <w:rsid w:val="002A13E9"/>
    <w:rsid w:val="002A14DE"/>
    <w:rsid w:val="002A1DEF"/>
    <w:rsid w:val="002A22D2"/>
    <w:rsid w:val="002A2A7A"/>
    <w:rsid w:val="002A3EAE"/>
    <w:rsid w:val="002A3F2B"/>
    <w:rsid w:val="002A40EF"/>
    <w:rsid w:val="002A423A"/>
    <w:rsid w:val="002A6D6B"/>
    <w:rsid w:val="002A708E"/>
    <w:rsid w:val="002A7ECF"/>
    <w:rsid w:val="002B0B52"/>
    <w:rsid w:val="002B1380"/>
    <w:rsid w:val="002B1CD0"/>
    <w:rsid w:val="002B2C05"/>
    <w:rsid w:val="002B4E36"/>
    <w:rsid w:val="002B4ECC"/>
    <w:rsid w:val="002B50AF"/>
    <w:rsid w:val="002B56FA"/>
    <w:rsid w:val="002B64E3"/>
    <w:rsid w:val="002B6627"/>
    <w:rsid w:val="002B6A6E"/>
    <w:rsid w:val="002B6E21"/>
    <w:rsid w:val="002B6FF5"/>
    <w:rsid w:val="002B79A6"/>
    <w:rsid w:val="002B7E98"/>
    <w:rsid w:val="002C05FC"/>
    <w:rsid w:val="002C0A83"/>
    <w:rsid w:val="002C0FF5"/>
    <w:rsid w:val="002C12FB"/>
    <w:rsid w:val="002C156C"/>
    <w:rsid w:val="002C1632"/>
    <w:rsid w:val="002C1898"/>
    <w:rsid w:val="002C203C"/>
    <w:rsid w:val="002C2948"/>
    <w:rsid w:val="002C2BD6"/>
    <w:rsid w:val="002C2E6B"/>
    <w:rsid w:val="002C3118"/>
    <w:rsid w:val="002C3538"/>
    <w:rsid w:val="002C54E1"/>
    <w:rsid w:val="002C5A17"/>
    <w:rsid w:val="002C67C9"/>
    <w:rsid w:val="002C6D94"/>
    <w:rsid w:val="002C7174"/>
    <w:rsid w:val="002C7660"/>
    <w:rsid w:val="002C7B3F"/>
    <w:rsid w:val="002D0BD4"/>
    <w:rsid w:val="002D109E"/>
    <w:rsid w:val="002D129C"/>
    <w:rsid w:val="002D144E"/>
    <w:rsid w:val="002D1637"/>
    <w:rsid w:val="002D44C1"/>
    <w:rsid w:val="002D5B3A"/>
    <w:rsid w:val="002D68F6"/>
    <w:rsid w:val="002D6A2B"/>
    <w:rsid w:val="002D6A52"/>
    <w:rsid w:val="002D74BE"/>
    <w:rsid w:val="002E179D"/>
    <w:rsid w:val="002E21C0"/>
    <w:rsid w:val="002E26A7"/>
    <w:rsid w:val="002E2E85"/>
    <w:rsid w:val="002E3648"/>
    <w:rsid w:val="002E3C76"/>
    <w:rsid w:val="002E3D1A"/>
    <w:rsid w:val="002E5E58"/>
    <w:rsid w:val="002F012D"/>
    <w:rsid w:val="002F089D"/>
    <w:rsid w:val="002F123D"/>
    <w:rsid w:val="002F275A"/>
    <w:rsid w:val="002F36F7"/>
    <w:rsid w:val="002F43D1"/>
    <w:rsid w:val="002F6248"/>
    <w:rsid w:val="002F647F"/>
    <w:rsid w:val="002F692E"/>
    <w:rsid w:val="002F6C65"/>
    <w:rsid w:val="0030062E"/>
    <w:rsid w:val="003016C7"/>
    <w:rsid w:val="003022D7"/>
    <w:rsid w:val="00302884"/>
    <w:rsid w:val="00302D39"/>
    <w:rsid w:val="003032A1"/>
    <w:rsid w:val="00304220"/>
    <w:rsid w:val="00304BE2"/>
    <w:rsid w:val="00305CF5"/>
    <w:rsid w:val="003062EF"/>
    <w:rsid w:val="00306453"/>
    <w:rsid w:val="003066C3"/>
    <w:rsid w:val="0030670D"/>
    <w:rsid w:val="00306D8B"/>
    <w:rsid w:val="0030701A"/>
    <w:rsid w:val="0031033C"/>
    <w:rsid w:val="0031037D"/>
    <w:rsid w:val="0031076B"/>
    <w:rsid w:val="00310A21"/>
    <w:rsid w:val="00310A84"/>
    <w:rsid w:val="003113DF"/>
    <w:rsid w:val="003114F7"/>
    <w:rsid w:val="00312E9A"/>
    <w:rsid w:val="00314007"/>
    <w:rsid w:val="003141AF"/>
    <w:rsid w:val="00314415"/>
    <w:rsid w:val="00314FE8"/>
    <w:rsid w:val="0031500A"/>
    <w:rsid w:val="00315035"/>
    <w:rsid w:val="00315486"/>
    <w:rsid w:val="00315EEF"/>
    <w:rsid w:val="00316532"/>
    <w:rsid w:val="003165E4"/>
    <w:rsid w:val="003177C5"/>
    <w:rsid w:val="00317E4E"/>
    <w:rsid w:val="00317EA2"/>
    <w:rsid w:val="00320209"/>
    <w:rsid w:val="00320278"/>
    <w:rsid w:val="00321597"/>
    <w:rsid w:val="00321F83"/>
    <w:rsid w:val="003222A4"/>
    <w:rsid w:val="003225B7"/>
    <w:rsid w:val="0032273F"/>
    <w:rsid w:val="00322907"/>
    <w:rsid w:val="0032352B"/>
    <w:rsid w:val="003245EA"/>
    <w:rsid w:val="00324B64"/>
    <w:rsid w:val="00325E44"/>
    <w:rsid w:val="003265AF"/>
    <w:rsid w:val="00326DF9"/>
    <w:rsid w:val="00330AE9"/>
    <w:rsid w:val="00330E1F"/>
    <w:rsid w:val="00331387"/>
    <w:rsid w:val="00331CAF"/>
    <w:rsid w:val="00331D85"/>
    <w:rsid w:val="0033212E"/>
    <w:rsid w:val="0033249A"/>
    <w:rsid w:val="0033324E"/>
    <w:rsid w:val="003337CC"/>
    <w:rsid w:val="00333C78"/>
    <w:rsid w:val="00334801"/>
    <w:rsid w:val="00335E44"/>
    <w:rsid w:val="00335FD2"/>
    <w:rsid w:val="00336105"/>
    <w:rsid w:val="00336D11"/>
    <w:rsid w:val="00340182"/>
    <w:rsid w:val="00340224"/>
    <w:rsid w:val="003405BE"/>
    <w:rsid w:val="00340A94"/>
    <w:rsid w:val="00340FA3"/>
    <w:rsid w:val="00341F15"/>
    <w:rsid w:val="003420E7"/>
    <w:rsid w:val="00342376"/>
    <w:rsid w:val="003423DE"/>
    <w:rsid w:val="003423FE"/>
    <w:rsid w:val="00343140"/>
    <w:rsid w:val="00343303"/>
    <w:rsid w:val="003436B7"/>
    <w:rsid w:val="003439FE"/>
    <w:rsid w:val="00343AE0"/>
    <w:rsid w:val="00343C85"/>
    <w:rsid w:val="00343CB1"/>
    <w:rsid w:val="003440B3"/>
    <w:rsid w:val="00344330"/>
    <w:rsid w:val="00344D30"/>
    <w:rsid w:val="00346138"/>
    <w:rsid w:val="003468FB"/>
    <w:rsid w:val="00346EE0"/>
    <w:rsid w:val="0034722C"/>
    <w:rsid w:val="00347A58"/>
    <w:rsid w:val="00347DB2"/>
    <w:rsid w:val="00347F2F"/>
    <w:rsid w:val="0035042C"/>
    <w:rsid w:val="0035215A"/>
    <w:rsid w:val="003521CF"/>
    <w:rsid w:val="00352FEA"/>
    <w:rsid w:val="0035345B"/>
    <w:rsid w:val="00353532"/>
    <w:rsid w:val="0035401D"/>
    <w:rsid w:val="00354250"/>
    <w:rsid w:val="00354826"/>
    <w:rsid w:val="00354837"/>
    <w:rsid w:val="00355212"/>
    <w:rsid w:val="0035576C"/>
    <w:rsid w:val="003557B5"/>
    <w:rsid w:val="0035592F"/>
    <w:rsid w:val="0035787C"/>
    <w:rsid w:val="00357D3F"/>
    <w:rsid w:val="0036178B"/>
    <w:rsid w:val="00361C26"/>
    <w:rsid w:val="00361CCC"/>
    <w:rsid w:val="003627C9"/>
    <w:rsid w:val="00363B03"/>
    <w:rsid w:val="00363BF3"/>
    <w:rsid w:val="00363C5A"/>
    <w:rsid w:val="003640D7"/>
    <w:rsid w:val="003642E9"/>
    <w:rsid w:val="00364750"/>
    <w:rsid w:val="00364899"/>
    <w:rsid w:val="00364A8C"/>
    <w:rsid w:val="0036532D"/>
    <w:rsid w:val="00366662"/>
    <w:rsid w:val="00366EA6"/>
    <w:rsid w:val="00367005"/>
    <w:rsid w:val="00367BE9"/>
    <w:rsid w:val="003702A8"/>
    <w:rsid w:val="00370601"/>
    <w:rsid w:val="00371882"/>
    <w:rsid w:val="00372329"/>
    <w:rsid w:val="003728D1"/>
    <w:rsid w:val="00372991"/>
    <w:rsid w:val="00372EB3"/>
    <w:rsid w:val="003735B1"/>
    <w:rsid w:val="0037366C"/>
    <w:rsid w:val="00373908"/>
    <w:rsid w:val="00373A8C"/>
    <w:rsid w:val="00373C26"/>
    <w:rsid w:val="00374447"/>
    <w:rsid w:val="00374BDF"/>
    <w:rsid w:val="00374D96"/>
    <w:rsid w:val="00376767"/>
    <w:rsid w:val="00377D17"/>
    <w:rsid w:val="003813D2"/>
    <w:rsid w:val="003818C0"/>
    <w:rsid w:val="003834CD"/>
    <w:rsid w:val="003839FA"/>
    <w:rsid w:val="00384494"/>
    <w:rsid w:val="00384987"/>
    <w:rsid w:val="00384F40"/>
    <w:rsid w:val="003850D3"/>
    <w:rsid w:val="00385153"/>
    <w:rsid w:val="00386B55"/>
    <w:rsid w:val="00387224"/>
    <w:rsid w:val="003873C5"/>
    <w:rsid w:val="00390C4C"/>
    <w:rsid w:val="00391137"/>
    <w:rsid w:val="00391999"/>
    <w:rsid w:val="0039224F"/>
    <w:rsid w:val="00393845"/>
    <w:rsid w:val="00393B78"/>
    <w:rsid w:val="00393D93"/>
    <w:rsid w:val="00393DDC"/>
    <w:rsid w:val="00395CD0"/>
    <w:rsid w:val="00395F9D"/>
    <w:rsid w:val="0039629C"/>
    <w:rsid w:val="003968C0"/>
    <w:rsid w:val="00397069"/>
    <w:rsid w:val="00397A41"/>
    <w:rsid w:val="00397D1C"/>
    <w:rsid w:val="00397E6D"/>
    <w:rsid w:val="003A007A"/>
    <w:rsid w:val="003A11D8"/>
    <w:rsid w:val="003A1D83"/>
    <w:rsid w:val="003A27B3"/>
    <w:rsid w:val="003A34C4"/>
    <w:rsid w:val="003A3BD4"/>
    <w:rsid w:val="003A3E74"/>
    <w:rsid w:val="003A527A"/>
    <w:rsid w:val="003A54BE"/>
    <w:rsid w:val="003A59D2"/>
    <w:rsid w:val="003A5A48"/>
    <w:rsid w:val="003A5C62"/>
    <w:rsid w:val="003A625E"/>
    <w:rsid w:val="003A64AE"/>
    <w:rsid w:val="003A6790"/>
    <w:rsid w:val="003A67D0"/>
    <w:rsid w:val="003A6DEA"/>
    <w:rsid w:val="003A715B"/>
    <w:rsid w:val="003A76CA"/>
    <w:rsid w:val="003A7D85"/>
    <w:rsid w:val="003B0497"/>
    <w:rsid w:val="003B04F9"/>
    <w:rsid w:val="003B0D60"/>
    <w:rsid w:val="003B0F6D"/>
    <w:rsid w:val="003B1198"/>
    <w:rsid w:val="003B200F"/>
    <w:rsid w:val="003B2EE6"/>
    <w:rsid w:val="003B2F34"/>
    <w:rsid w:val="003B3230"/>
    <w:rsid w:val="003B3FDB"/>
    <w:rsid w:val="003B41C0"/>
    <w:rsid w:val="003B47EF"/>
    <w:rsid w:val="003B4EEF"/>
    <w:rsid w:val="003B5440"/>
    <w:rsid w:val="003B6014"/>
    <w:rsid w:val="003B7803"/>
    <w:rsid w:val="003B78D5"/>
    <w:rsid w:val="003C1384"/>
    <w:rsid w:val="003C153D"/>
    <w:rsid w:val="003C282B"/>
    <w:rsid w:val="003C35F6"/>
    <w:rsid w:val="003C3797"/>
    <w:rsid w:val="003C429E"/>
    <w:rsid w:val="003C47B5"/>
    <w:rsid w:val="003C48F3"/>
    <w:rsid w:val="003C5088"/>
    <w:rsid w:val="003C6742"/>
    <w:rsid w:val="003C6884"/>
    <w:rsid w:val="003C6917"/>
    <w:rsid w:val="003C6BE9"/>
    <w:rsid w:val="003C73E0"/>
    <w:rsid w:val="003C7590"/>
    <w:rsid w:val="003D0D40"/>
    <w:rsid w:val="003D2570"/>
    <w:rsid w:val="003D32ED"/>
    <w:rsid w:val="003D40F9"/>
    <w:rsid w:val="003D424F"/>
    <w:rsid w:val="003D4641"/>
    <w:rsid w:val="003D5090"/>
    <w:rsid w:val="003D526C"/>
    <w:rsid w:val="003D7540"/>
    <w:rsid w:val="003D7887"/>
    <w:rsid w:val="003E0247"/>
    <w:rsid w:val="003E0405"/>
    <w:rsid w:val="003E0D38"/>
    <w:rsid w:val="003E138A"/>
    <w:rsid w:val="003E24D9"/>
    <w:rsid w:val="003E31C6"/>
    <w:rsid w:val="003E3294"/>
    <w:rsid w:val="003E33AD"/>
    <w:rsid w:val="003E4213"/>
    <w:rsid w:val="003E4801"/>
    <w:rsid w:val="003E4F60"/>
    <w:rsid w:val="003E5F81"/>
    <w:rsid w:val="003E61C9"/>
    <w:rsid w:val="003E65D8"/>
    <w:rsid w:val="003E6B68"/>
    <w:rsid w:val="003F05FB"/>
    <w:rsid w:val="003F06D8"/>
    <w:rsid w:val="003F1A2E"/>
    <w:rsid w:val="003F1BDA"/>
    <w:rsid w:val="003F2F90"/>
    <w:rsid w:val="003F3779"/>
    <w:rsid w:val="003F39FB"/>
    <w:rsid w:val="003F4910"/>
    <w:rsid w:val="003F4F79"/>
    <w:rsid w:val="003F5A8B"/>
    <w:rsid w:val="003F5AD4"/>
    <w:rsid w:val="003F5CA1"/>
    <w:rsid w:val="003F5F23"/>
    <w:rsid w:val="003F6B9C"/>
    <w:rsid w:val="0040024A"/>
    <w:rsid w:val="004003F5"/>
    <w:rsid w:val="00400ABA"/>
    <w:rsid w:val="00400C26"/>
    <w:rsid w:val="00402056"/>
    <w:rsid w:val="004025C9"/>
    <w:rsid w:val="00403EE2"/>
    <w:rsid w:val="00404DFE"/>
    <w:rsid w:val="0040531D"/>
    <w:rsid w:val="004055CB"/>
    <w:rsid w:val="00406447"/>
    <w:rsid w:val="00406AAF"/>
    <w:rsid w:val="0040720D"/>
    <w:rsid w:val="00407F38"/>
    <w:rsid w:val="00410398"/>
    <w:rsid w:val="0041042D"/>
    <w:rsid w:val="004108F1"/>
    <w:rsid w:val="00410AEF"/>
    <w:rsid w:val="00411B1F"/>
    <w:rsid w:val="00412724"/>
    <w:rsid w:val="00412A70"/>
    <w:rsid w:val="00412E4B"/>
    <w:rsid w:val="0041346F"/>
    <w:rsid w:val="004139B3"/>
    <w:rsid w:val="00414569"/>
    <w:rsid w:val="00414DE7"/>
    <w:rsid w:val="0041511E"/>
    <w:rsid w:val="00415736"/>
    <w:rsid w:val="0041592D"/>
    <w:rsid w:val="00415DD3"/>
    <w:rsid w:val="00415EC2"/>
    <w:rsid w:val="00415ED8"/>
    <w:rsid w:val="004160F3"/>
    <w:rsid w:val="00416159"/>
    <w:rsid w:val="004164EF"/>
    <w:rsid w:val="0041658D"/>
    <w:rsid w:val="00416E62"/>
    <w:rsid w:val="00416F68"/>
    <w:rsid w:val="00417175"/>
    <w:rsid w:val="004171F3"/>
    <w:rsid w:val="004179FF"/>
    <w:rsid w:val="00417A86"/>
    <w:rsid w:val="004202FA"/>
    <w:rsid w:val="00420A6F"/>
    <w:rsid w:val="00420CF1"/>
    <w:rsid w:val="00421569"/>
    <w:rsid w:val="0042240E"/>
    <w:rsid w:val="00422905"/>
    <w:rsid w:val="0042299B"/>
    <w:rsid w:val="00422B87"/>
    <w:rsid w:val="004230C5"/>
    <w:rsid w:val="0042424D"/>
    <w:rsid w:val="004247F6"/>
    <w:rsid w:val="00424ED7"/>
    <w:rsid w:val="00424FDD"/>
    <w:rsid w:val="0042543A"/>
    <w:rsid w:val="0042635D"/>
    <w:rsid w:val="00426CB3"/>
    <w:rsid w:val="0042722A"/>
    <w:rsid w:val="00427725"/>
    <w:rsid w:val="004312AA"/>
    <w:rsid w:val="004318E2"/>
    <w:rsid w:val="004324C4"/>
    <w:rsid w:val="0043282C"/>
    <w:rsid w:val="00432A21"/>
    <w:rsid w:val="00433F1A"/>
    <w:rsid w:val="00433F2F"/>
    <w:rsid w:val="00434F88"/>
    <w:rsid w:val="00435FD6"/>
    <w:rsid w:val="004360CF"/>
    <w:rsid w:val="00436181"/>
    <w:rsid w:val="004363F3"/>
    <w:rsid w:val="004364DE"/>
    <w:rsid w:val="004371D7"/>
    <w:rsid w:val="004373BC"/>
    <w:rsid w:val="00437507"/>
    <w:rsid w:val="004378F2"/>
    <w:rsid w:val="00440193"/>
    <w:rsid w:val="0044121C"/>
    <w:rsid w:val="0044172F"/>
    <w:rsid w:val="00442648"/>
    <w:rsid w:val="00443D6A"/>
    <w:rsid w:val="00443DC6"/>
    <w:rsid w:val="0044678F"/>
    <w:rsid w:val="004468A6"/>
    <w:rsid w:val="004468CF"/>
    <w:rsid w:val="00446CEE"/>
    <w:rsid w:val="004474E8"/>
    <w:rsid w:val="0044773C"/>
    <w:rsid w:val="00447CCC"/>
    <w:rsid w:val="00451125"/>
    <w:rsid w:val="004515EF"/>
    <w:rsid w:val="0045279D"/>
    <w:rsid w:val="00452CF4"/>
    <w:rsid w:val="00453003"/>
    <w:rsid w:val="004530FB"/>
    <w:rsid w:val="00453418"/>
    <w:rsid w:val="004534BF"/>
    <w:rsid w:val="004534DE"/>
    <w:rsid w:val="0045366A"/>
    <w:rsid w:val="00453A70"/>
    <w:rsid w:val="00453BA8"/>
    <w:rsid w:val="0045433C"/>
    <w:rsid w:val="00454F19"/>
    <w:rsid w:val="004551FD"/>
    <w:rsid w:val="00455AAC"/>
    <w:rsid w:val="00455B07"/>
    <w:rsid w:val="00455BDF"/>
    <w:rsid w:val="00457445"/>
    <w:rsid w:val="00457A27"/>
    <w:rsid w:val="0046079C"/>
    <w:rsid w:val="00460C2D"/>
    <w:rsid w:val="00460F70"/>
    <w:rsid w:val="00461CDD"/>
    <w:rsid w:val="00461FFF"/>
    <w:rsid w:val="00462CE2"/>
    <w:rsid w:val="004634E9"/>
    <w:rsid w:val="004635D2"/>
    <w:rsid w:val="004635E3"/>
    <w:rsid w:val="00463F04"/>
    <w:rsid w:val="00465A83"/>
    <w:rsid w:val="00465BCF"/>
    <w:rsid w:val="0046757E"/>
    <w:rsid w:val="004676B2"/>
    <w:rsid w:val="0047009D"/>
    <w:rsid w:val="00471866"/>
    <w:rsid w:val="00471C74"/>
    <w:rsid w:val="00473EB9"/>
    <w:rsid w:val="0047548D"/>
    <w:rsid w:val="004754E3"/>
    <w:rsid w:val="00475838"/>
    <w:rsid w:val="004758E8"/>
    <w:rsid w:val="00475F11"/>
    <w:rsid w:val="00476036"/>
    <w:rsid w:val="0047659A"/>
    <w:rsid w:val="00477089"/>
    <w:rsid w:val="0047726D"/>
    <w:rsid w:val="0047760D"/>
    <w:rsid w:val="004801AE"/>
    <w:rsid w:val="0048041A"/>
    <w:rsid w:val="00480C48"/>
    <w:rsid w:val="00480DC0"/>
    <w:rsid w:val="00480EE4"/>
    <w:rsid w:val="00481DB9"/>
    <w:rsid w:val="004826B4"/>
    <w:rsid w:val="004833E1"/>
    <w:rsid w:val="00483596"/>
    <w:rsid w:val="0048435E"/>
    <w:rsid w:val="004844A9"/>
    <w:rsid w:val="0048535A"/>
    <w:rsid w:val="0048593D"/>
    <w:rsid w:val="00485D70"/>
    <w:rsid w:val="00487752"/>
    <w:rsid w:val="00487AF2"/>
    <w:rsid w:val="00490021"/>
    <w:rsid w:val="004900D0"/>
    <w:rsid w:val="004903D4"/>
    <w:rsid w:val="00490BB6"/>
    <w:rsid w:val="004912B9"/>
    <w:rsid w:val="00491677"/>
    <w:rsid w:val="00491C94"/>
    <w:rsid w:val="00491E28"/>
    <w:rsid w:val="00493793"/>
    <w:rsid w:val="00494584"/>
    <w:rsid w:val="00494A25"/>
    <w:rsid w:val="0049512B"/>
    <w:rsid w:val="00495305"/>
    <w:rsid w:val="00496FC1"/>
    <w:rsid w:val="00497EF7"/>
    <w:rsid w:val="004A0648"/>
    <w:rsid w:val="004A0823"/>
    <w:rsid w:val="004A41F2"/>
    <w:rsid w:val="004A49F0"/>
    <w:rsid w:val="004A4C87"/>
    <w:rsid w:val="004A5DE5"/>
    <w:rsid w:val="004A620D"/>
    <w:rsid w:val="004A6538"/>
    <w:rsid w:val="004A6C09"/>
    <w:rsid w:val="004B0028"/>
    <w:rsid w:val="004B0C38"/>
    <w:rsid w:val="004B1734"/>
    <w:rsid w:val="004B1C15"/>
    <w:rsid w:val="004B1FFD"/>
    <w:rsid w:val="004B2E21"/>
    <w:rsid w:val="004B2F7F"/>
    <w:rsid w:val="004B34BB"/>
    <w:rsid w:val="004B3856"/>
    <w:rsid w:val="004B391C"/>
    <w:rsid w:val="004B4634"/>
    <w:rsid w:val="004B5441"/>
    <w:rsid w:val="004B57B9"/>
    <w:rsid w:val="004B6220"/>
    <w:rsid w:val="004B6251"/>
    <w:rsid w:val="004B62B1"/>
    <w:rsid w:val="004B6A3C"/>
    <w:rsid w:val="004B78B4"/>
    <w:rsid w:val="004B7F65"/>
    <w:rsid w:val="004C060C"/>
    <w:rsid w:val="004C118E"/>
    <w:rsid w:val="004C1254"/>
    <w:rsid w:val="004C154A"/>
    <w:rsid w:val="004C1794"/>
    <w:rsid w:val="004C4482"/>
    <w:rsid w:val="004C4D11"/>
    <w:rsid w:val="004C5965"/>
    <w:rsid w:val="004C5F54"/>
    <w:rsid w:val="004C6043"/>
    <w:rsid w:val="004C6AF6"/>
    <w:rsid w:val="004C72C8"/>
    <w:rsid w:val="004C793C"/>
    <w:rsid w:val="004C7F31"/>
    <w:rsid w:val="004D0232"/>
    <w:rsid w:val="004D0233"/>
    <w:rsid w:val="004D02DA"/>
    <w:rsid w:val="004D0904"/>
    <w:rsid w:val="004D09DA"/>
    <w:rsid w:val="004D1064"/>
    <w:rsid w:val="004D1108"/>
    <w:rsid w:val="004D1730"/>
    <w:rsid w:val="004D2213"/>
    <w:rsid w:val="004D2924"/>
    <w:rsid w:val="004D3070"/>
    <w:rsid w:val="004D33E0"/>
    <w:rsid w:val="004D3581"/>
    <w:rsid w:val="004D389B"/>
    <w:rsid w:val="004D38D0"/>
    <w:rsid w:val="004D3C91"/>
    <w:rsid w:val="004D448A"/>
    <w:rsid w:val="004D5187"/>
    <w:rsid w:val="004D5516"/>
    <w:rsid w:val="004D55E9"/>
    <w:rsid w:val="004D598F"/>
    <w:rsid w:val="004D5F3D"/>
    <w:rsid w:val="004D628C"/>
    <w:rsid w:val="004D6D3D"/>
    <w:rsid w:val="004D7DFF"/>
    <w:rsid w:val="004D7E73"/>
    <w:rsid w:val="004D7F03"/>
    <w:rsid w:val="004E1A0B"/>
    <w:rsid w:val="004E2CCC"/>
    <w:rsid w:val="004E33E2"/>
    <w:rsid w:val="004E4954"/>
    <w:rsid w:val="004E5DDA"/>
    <w:rsid w:val="004E6753"/>
    <w:rsid w:val="004E76E7"/>
    <w:rsid w:val="004E7D1D"/>
    <w:rsid w:val="004F0DC9"/>
    <w:rsid w:val="004F155D"/>
    <w:rsid w:val="004F2094"/>
    <w:rsid w:val="004F27D1"/>
    <w:rsid w:val="004F4840"/>
    <w:rsid w:val="004F4D87"/>
    <w:rsid w:val="004F65C5"/>
    <w:rsid w:val="004F747E"/>
    <w:rsid w:val="004F7553"/>
    <w:rsid w:val="004F7A0B"/>
    <w:rsid w:val="00502495"/>
    <w:rsid w:val="00502EF7"/>
    <w:rsid w:val="005034CB"/>
    <w:rsid w:val="00503683"/>
    <w:rsid w:val="00503FC5"/>
    <w:rsid w:val="00504318"/>
    <w:rsid w:val="00504CC0"/>
    <w:rsid w:val="00504D84"/>
    <w:rsid w:val="00504EDB"/>
    <w:rsid w:val="00505219"/>
    <w:rsid w:val="00505754"/>
    <w:rsid w:val="00505AC1"/>
    <w:rsid w:val="0050649C"/>
    <w:rsid w:val="0050678C"/>
    <w:rsid w:val="00506B5B"/>
    <w:rsid w:val="00507B6B"/>
    <w:rsid w:val="00507FEE"/>
    <w:rsid w:val="005104D6"/>
    <w:rsid w:val="00510FB1"/>
    <w:rsid w:val="0051125C"/>
    <w:rsid w:val="005114D9"/>
    <w:rsid w:val="00513EB8"/>
    <w:rsid w:val="00514604"/>
    <w:rsid w:val="00514621"/>
    <w:rsid w:val="00514B08"/>
    <w:rsid w:val="00515608"/>
    <w:rsid w:val="0051578C"/>
    <w:rsid w:val="00515BB3"/>
    <w:rsid w:val="00515C9F"/>
    <w:rsid w:val="00516738"/>
    <w:rsid w:val="00517E1E"/>
    <w:rsid w:val="00520003"/>
    <w:rsid w:val="00520CE0"/>
    <w:rsid w:val="00521A5B"/>
    <w:rsid w:val="0052279D"/>
    <w:rsid w:val="0052370B"/>
    <w:rsid w:val="005237B3"/>
    <w:rsid w:val="00523B90"/>
    <w:rsid w:val="00524DAC"/>
    <w:rsid w:val="00525122"/>
    <w:rsid w:val="005252FA"/>
    <w:rsid w:val="00525D58"/>
    <w:rsid w:val="00525E09"/>
    <w:rsid w:val="005267FE"/>
    <w:rsid w:val="00526EA7"/>
    <w:rsid w:val="0052773F"/>
    <w:rsid w:val="00530332"/>
    <w:rsid w:val="005307E2"/>
    <w:rsid w:val="0053181F"/>
    <w:rsid w:val="00531E47"/>
    <w:rsid w:val="005320D2"/>
    <w:rsid w:val="00532155"/>
    <w:rsid w:val="0053222E"/>
    <w:rsid w:val="00532D61"/>
    <w:rsid w:val="00533A51"/>
    <w:rsid w:val="005340FD"/>
    <w:rsid w:val="00535489"/>
    <w:rsid w:val="00535612"/>
    <w:rsid w:val="00535AB2"/>
    <w:rsid w:val="005366A9"/>
    <w:rsid w:val="005369F7"/>
    <w:rsid w:val="00536A90"/>
    <w:rsid w:val="005372E5"/>
    <w:rsid w:val="00537A7B"/>
    <w:rsid w:val="00537CAE"/>
    <w:rsid w:val="00540271"/>
    <w:rsid w:val="005407FE"/>
    <w:rsid w:val="005417E4"/>
    <w:rsid w:val="005419F3"/>
    <w:rsid w:val="0054225E"/>
    <w:rsid w:val="00542465"/>
    <w:rsid w:val="005424B2"/>
    <w:rsid w:val="00542D02"/>
    <w:rsid w:val="00542D40"/>
    <w:rsid w:val="00543B81"/>
    <w:rsid w:val="005445B1"/>
    <w:rsid w:val="005446AF"/>
    <w:rsid w:val="00544855"/>
    <w:rsid w:val="00544E7A"/>
    <w:rsid w:val="00545365"/>
    <w:rsid w:val="0054563F"/>
    <w:rsid w:val="00545B70"/>
    <w:rsid w:val="0054656C"/>
    <w:rsid w:val="00546978"/>
    <w:rsid w:val="00546EC0"/>
    <w:rsid w:val="00547B76"/>
    <w:rsid w:val="005505D9"/>
    <w:rsid w:val="00550A59"/>
    <w:rsid w:val="00550DB7"/>
    <w:rsid w:val="00550F2C"/>
    <w:rsid w:val="005513F9"/>
    <w:rsid w:val="00551445"/>
    <w:rsid w:val="005514ED"/>
    <w:rsid w:val="00551944"/>
    <w:rsid w:val="00551C5A"/>
    <w:rsid w:val="00551C90"/>
    <w:rsid w:val="00551F0B"/>
    <w:rsid w:val="00552FEE"/>
    <w:rsid w:val="00553017"/>
    <w:rsid w:val="00553411"/>
    <w:rsid w:val="00553F5A"/>
    <w:rsid w:val="00553F78"/>
    <w:rsid w:val="00554B45"/>
    <w:rsid w:val="005551B8"/>
    <w:rsid w:val="00557771"/>
    <w:rsid w:val="00557DB8"/>
    <w:rsid w:val="00560187"/>
    <w:rsid w:val="00560445"/>
    <w:rsid w:val="005609AD"/>
    <w:rsid w:val="00560C74"/>
    <w:rsid w:val="0056145A"/>
    <w:rsid w:val="00561471"/>
    <w:rsid w:val="0056170D"/>
    <w:rsid w:val="00561EDF"/>
    <w:rsid w:val="005622D8"/>
    <w:rsid w:val="005636A4"/>
    <w:rsid w:val="005645BC"/>
    <w:rsid w:val="005646A7"/>
    <w:rsid w:val="005649BF"/>
    <w:rsid w:val="0056500F"/>
    <w:rsid w:val="005654B8"/>
    <w:rsid w:val="005662C8"/>
    <w:rsid w:val="00566A28"/>
    <w:rsid w:val="00567C71"/>
    <w:rsid w:val="00567FFA"/>
    <w:rsid w:val="00570C9B"/>
    <w:rsid w:val="005719C4"/>
    <w:rsid w:val="005724C7"/>
    <w:rsid w:val="00573547"/>
    <w:rsid w:val="00573ACF"/>
    <w:rsid w:val="00574871"/>
    <w:rsid w:val="0057551C"/>
    <w:rsid w:val="0057581F"/>
    <w:rsid w:val="00576013"/>
    <w:rsid w:val="00576F85"/>
    <w:rsid w:val="005773D3"/>
    <w:rsid w:val="00580905"/>
    <w:rsid w:val="005816A0"/>
    <w:rsid w:val="005822D5"/>
    <w:rsid w:val="0058259B"/>
    <w:rsid w:val="00583117"/>
    <w:rsid w:val="005835CC"/>
    <w:rsid w:val="005836A2"/>
    <w:rsid w:val="00583E33"/>
    <w:rsid w:val="00584209"/>
    <w:rsid w:val="00584961"/>
    <w:rsid w:val="00585253"/>
    <w:rsid w:val="00585BEE"/>
    <w:rsid w:val="00585EEF"/>
    <w:rsid w:val="0058642D"/>
    <w:rsid w:val="00586B5E"/>
    <w:rsid w:val="00587495"/>
    <w:rsid w:val="0059110B"/>
    <w:rsid w:val="005915C4"/>
    <w:rsid w:val="0059188A"/>
    <w:rsid w:val="00591ABC"/>
    <w:rsid w:val="00591CF3"/>
    <w:rsid w:val="00592103"/>
    <w:rsid w:val="005939ED"/>
    <w:rsid w:val="00594C9C"/>
    <w:rsid w:val="00594EC0"/>
    <w:rsid w:val="005950E5"/>
    <w:rsid w:val="0059525C"/>
    <w:rsid w:val="005956E3"/>
    <w:rsid w:val="0059689F"/>
    <w:rsid w:val="00597B7D"/>
    <w:rsid w:val="00597BE6"/>
    <w:rsid w:val="005A0169"/>
    <w:rsid w:val="005A0B03"/>
    <w:rsid w:val="005A4331"/>
    <w:rsid w:val="005A4A44"/>
    <w:rsid w:val="005A6893"/>
    <w:rsid w:val="005A707A"/>
    <w:rsid w:val="005A70C4"/>
    <w:rsid w:val="005A7130"/>
    <w:rsid w:val="005B0887"/>
    <w:rsid w:val="005B0C28"/>
    <w:rsid w:val="005B1AA0"/>
    <w:rsid w:val="005B253B"/>
    <w:rsid w:val="005B3235"/>
    <w:rsid w:val="005B3332"/>
    <w:rsid w:val="005B3E0C"/>
    <w:rsid w:val="005B3ED8"/>
    <w:rsid w:val="005B3F4E"/>
    <w:rsid w:val="005B52E1"/>
    <w:rsid w:val="005B5A3A"/>
    <w:rsid w:val="005B6058"/>
    <w:rsid w:val="005B6117"/>
    <w:rsid w:val="005B7347"/>
    <w:rsid w:val="005B7EC1"/>
    <w:rsid w:val="005C0103"/>
    <w:rsid w:val="005C0315"/>
    <w:rsid w:val="005C0D48"/>
    <w:rsid w:val="005C21C6"/>
    <w:rsid w:val="005C2243"/>
    <w:rsid w:val="005C2390"/>
    <w:rsid w:val="005C2DC3"/>
    <w:rsid w:val="005C2F36"/>
    <w:rsid w:val="005C2F5E"/>
    <w:rsid w:val="005C341D"/>
    <w:rsid w:val="005C58B5"/>
    <w:rsid w:val="005C5CA5"/>
    <w:rsid w:val="005C649F"/>
    <w:rsid w:val="005D1601"/>
    <w:rsid w:val="005D18FC"/>
    <w:rsid w:val="005D2CCF"/>
    <w:rsid w:val="005D3024"/>
    <w:rsid w:val="005D34F4"/>
    <w:rsid w:val="005D3F11"/>
    <w:rsid w:val="005D4514"/>
    <w:rsid w:val="005D45E2"/>
    <w:rsid w:val="005D5AF0"/>
    <w:rsid w:val="005D72B1"/>
    <w:rsid w:val="005E00E9"/>
    <w:rsid w:val="005E08BA"/>
    <w:rsid w:val="005E0A67"/>
    <w:rsid w:val="005E215A"/>
    <w:rsid w:val="005E230B"/>
    <w:rsid w:val="005E3184"/>
    <w:rsid w:val="005E33D5"/>
    <w:rsid w:val="005E59D8"/>
    <w:rsid w:val="005E5E06"/>
    <w:rsid w:val="005E6CBE"/>
    <w:rsid w:val="005E73A2"/>
    <w:rsid w:val="005E7977"/>
    <w:rsid w:val="005F0476"/>
    <w:rsid w:val="005F0BF6"/>
    <w:rsid w:val="005F1E2C"/>
    <w:rsid w:val="005F2B39"/>
    <w:rsid w:val="005F2BCB"/>
    <w:rsid w:val="005F31F4"/>
    <w:rsid w:val="005F4D51"/>
    <w:rsid w:val="005F51D6"/>
    <w:rsid w:val="005F547D"/>
    <w:rsid w:val="005F56DC"/>
    <w:rsid w:val="005F6393"/>
    <w:rsid w:val="005F6512"/>
    <w:rsid w:val="00600C39"/>
    <w:rsid w:val="0060133B"/>
    <w:rsid w:val="0060245A"/>
    <w:rsid w:val="00602A95"/>
    <w:rsid w:val="006030FD"/>
    <w:rsid w:val="006036DE"/>
    <w:rsid w:val="006046FC"/>
    <w:rsid w:val="006052C1"/>
    <w:rsid w:val="00605985"/>
    <w:rsid w:val="00605C47"/>
    <w:rsid w:val="00605E44"/>
    <w:rsid w:val="00606084"/>
    <w:rsid w:val="0060638A"/>
    <w:rsid w:val="0060731C"/>
    <w:rsid w:val="006075D1"/>
    <w:rsid w:val="00607778"/>
    <w:rsid w:val="0060792E"/>
    <w:rsid w:val="00607EF2"/>
    <w:rsid w:val="006101FA"/>
    <w:rsid w:val="006103D1"/>
    <w:rsid w:val="006104F2"/>
    <w:rsid w:val="006107BB"/>
    <w:rsid w:val="00610A9B"/>
    <w:rsid w:val="00610FE0"/>
    <w:rsid w:val="0061153C"/>
    <w:rsid w:val="00611D44"/>
    <w:rsid w:val="006128DA"/>
    <w:rsid w:val="00612FFA"/>
    <w:rsid w:val="0061305C"/>
    <w:rsid w:val="00614080"/>
    <w:rsid w:val="00614330"/>
    <w:rsid w:val="00614B85"/>
    <w:rsid w:val="00614FE4"/>
    <w:rsid w:val="006151C9"/>
    <w:rsid w:val="0061661A"/>
    <w:rsid w:val="00617397"/>
    <w:rsid w:val="00617620"/>
    <w:rsid w:val="006208D0"/>
    <w:rsid w:val="006211D6"/>
    <w:rsid w:val="0062189D"/>
    <w:rsid w:val="00621D6D"/>
    <w:rsid w:val="00622104"/>
    <w:rsid w:val="006232D8"/>
    <w:rsid w:val="00623693"/>
    <w:rsid w:val="00623C40"/>
    <w:rsid w:val="00624999"/>
    <w:rsid w:val="00624D6E"/>
    <w:rsid w:val="00624F17"/>
    <w:rsid w:val="00625F2A"/>
    <w:rsid w:val="006265F1"/>
    <w:rsid w:val="00626744"/>
    <w:rsid w:val="0062674A"/>
    <w:rsid w:val="00626FEB"/>
    <w:rsid w:val="0062704C"/>
    <w:rsid w:val="0063078A"/>
    <w:rsid w:val="006321A3"/>
    <w:rsid w:val="00632550"/>
    <w:rsid w:val="00632ACC"/>
    <w:rsid w:val="0063373D"/>
    <w:rsid w:val="00634403"/>
    <w:rsid w:val="00635391"/>
    <w:rsid w:val="00635841"/>
    <w:rsid w:val="0063587F"/>
    <w:rsid w:val="00635918"/>
    <w:rsid w:val="0063656F"/>
    <w:rsid w:val="006372C0"/>
    <w:rsid w:val="006377DE"/>
    <w:rsid w:val="00640213"/>
    <w:rsid w:val="0064032F"/>
    <w:rsid w:val="00640C23"/>
    <w:rsid w:val="0064100E"/>
    <w:rsid w:val="00641D38"/>
    <w:rsid w:val="006424B5"/>
    <w:rsid w:val="006427DC"/>
    <w:rsid w:val="0064436A"/>
    <w:rsid w:val="006446C6"/>
    <w:rsid w:val="00644DB8"/>
    <w:rsid w:val="00644E0D"/>
    <w:rsid w:val="00645A2D"/>
    <w:rsid w:val="00645C90"/>
    <w:rsid w:val="0064641A"/>
    <w:rsid w:val="00646754"/>
    <w:rsid w:val="006468FB"/>
    <w:rsid w:val="00646A5A"/>
    <w:rsid w:val="00646C4A"/>
    <w:rsid w:val="006501C1"/>
    <w:rsid w:val="006501C4"/>
    <w:rsid w:val="0065221B"/>
    <w:rsid w:val="00653711"/>
    <w:rsid w:val="00653F59"/>
    <w:rsid w:val="0065447B"/>
    <w:rsid w:val="00654CEF"/>
    <w:rsid w:val="006551D0"/>
    <w:rsid w:val="00655B38"/>
    <w:rsid w:val="00655F61"/>
    <w:rsid w:val="006567A2"/>
    <w:rsid w:val="006571C4"/>
    <w:rsid w:val="006572A1"/>
    <w:rsid w:val="006575D4"/>
    <w:rsid w:val="0065763F"/>
    <w:rsid w:val="006603EC"/>
    <w:rsid w:val="006605E9"/>
    <w:rsid w:val="0066185E"/>
    <w:rsid w:val="00661967"/>
    <w:rsid w:val="0066249F"/>
    <w:rsid w:val="00662DB7"/>
    <w:rsid w:val="00663458"/>
    <w:rsid w:val="00663676"/>
    <w:rsid w:val="00665CD9"/>
    <w:rsid w:val="00666ABB"/>
    <w:rsid w:val="0066745A"/>
    <w:rsid w:val="00667A8E"/>
    <w:rsid w:val="00670016"/>
    <w:rsid w:val="0067021D"/>
    <w:rsid w:val="00670CB3"/>
    <w:rsid w:val="00671F14"/>
    <w:rsid w:val="0067247C"/>
    <w:rsid w:val="00672FD3"/>
    <w:rsid w:val="00673466"/>
    <w:rsid w:val="006745F9"/>
    <w:rsid w:val="006746DD"/>
    <w:rsid w:val="00674AB4"/>
    <w:rsid w:val="00674D79"/>
    <w:rsid w:val="006759F2"/>
    <w:rsid w:val="00675F72"/>
    <w:rsid w:val="00676445"/>
    <w:rsid w:val="00680093"/>
    <w:rsid w:val="006809CC"/>
    <w:rsid w:val="00680D86"/>
    <w:rsid w:val="00681727"/>
    <w:rsid w:val="006819FD"/>
    <w:rsid w:val="006829F8"/>
    <w:rsid w:val="00682BF4"/>
    <w:rsid w:val="0068309F"/>
    <w:rsid w:val="006833F1"/>
    <w:rsid w:val="00684664"/>
    <w:rsid w:val="00685266"/>
    <w:rsid w:val="00685DE2"/>
    <w:rsid w:val="00687FB7"/>
    <w:rsid w:val="0069003F"/>
    <w:rsid w:val="00691356"/>
    <w:rsid w:val="0069139C"/>
    <w:rsid w:val="006913D3"/>
    <w:rsid w:val="00691695"/>
    <w:rsid w:val="00692032"/>
    <w:rsid w:val="00692E7B"/>
    <w:rsid w:val="00693B38"/>
    <w:rsid w:val="00694B78"/>
    <w:rsid w:val="00695541"/>
    <w:rsid w:val="00696429"/>
    <w:rsid w:val="0069657A"/>
    <w:rsid w:val="0069710B"/>
    <w:rsid w:val="00697D6B"/>
    <w:rsid w:val="00697EE5"/>
    <w:rsid w:val="006A0587"/>
    <w:rsid w:val="006A15E3"/>
    <w:rsid w:val="006A1C65"/>
    <w:rsid w:val="006A1F9E"/>
    <w:rsid w:val="006A220D"/>
    <w:rsid w:val="006A3F3E"/>
    <w:rsid w:val="006A4D56"/>
    <w:rsid w:val="006A5485"/>
    <w:rsid w:val="006A5D8F"/>
    <w:rsid w:val="006A5E94"/>
    <w:rsid w:val="006A5F62"/>
    <w:rsid w:val="006A5FA4"/>
    <w:rsid w:val="006A64B0"/>
    <w:rsid w:val="006A652F"/>
    <w:rsid w:val="006A6D9F"/>
    <w:rsid w:val="006A7D1D"/>
    <w:rsid w:val="006B00BA"/>
    <w:rsid w:val="006B18E1"/>
    <w:rsid w:val="006B1FC8"/>
    <w:rsid w:val="006B2947"/>
    <w:rsid w:val="006B2C30"/>
    <w:rsid w:val="006B2D32"/>
    <w:rsid w:val="006B46A7"/>
    <w:rsid w:val="006B5981"/>
    <w:rsid w:val="006B6DD0"/>
    <w:rsid w:val="006B7230"/>
    <w:rsid w:val="006B7601"/>
    <w:rsid w:val="006B7CB1"/>
    <w:rsid w:val="006B7E3B"/>
    <w:rsid w:val="006B7F50"/>
    <w:rsid w:val="006C035E"/>
    <w:rsid w:val="006C0425"/>
    <w:rsid w:val="006C0427"/>
    <w:rsid w:val="006C0888"/>
    <w:rsid w:val="006C1C4B"/>
    <w:rsid w:val="006C2472"/>
    <w:rsid w:val="006C2C24"/>
    <w:rsid w:val="006C370B"/>
    <w:rsid w:val="006C4217"/>
    <w:rsid w:val="006C482A"/>
    <w:rsid w:val="006C4AB1"/>
    <w:rsid w:val="006C54A8"/>
    <w:rsid w:val="006C5894"/>
    <w:rsid w:val="006C5A9F"/>
    <w:rsid w:val="006C68DC"/>
    <w:rsid w:val="006C68FA"/>
    <w:rsid w:val="006C79AB"/>
    <w:rsid w:val="006C79EF"/>
    <w:rsid w:val="006D22FE"/>
    <w:rsid w:val="006D2DFB"/>
    <w:rsid w:val="006D3978"/>
    <w:rsid w:val="006D4242"/>
    <w:rsid w:val="006D436D"/>
    <w:rsid w:val="006D438E"/>
    <w:rsid w:val="006D49A6"/>
    <w:rsid w:val="006D4AC6"/>
    <w:rsid w:val="006D4BE8"/>
    <w:rsid w:val="006D4E1D"/>
    <w:rsid w:val="006D639B"/>
    <w:rsid w:val="006D7CB4"/>
    <w:rsid w:val="006E0786"/>
    <w:rsid w:val="006E1209"/>
    <w:rsid w:val="006E153E"/>
    <w:rsid w:val="006E1ED4"/>
    <w:rsid w:val="006E35F3"/>
    <w:rsid w:val="006E3C6F"/>
    <w:rsid w:val="006E407B"/>
    <w:rsid w:val="006E55DF"/>
    <w:rsid w:val="006E6241"/>
    <w:rsid w:val="006E6522"/>
    <w:rsid w:val="006E741F"/>
    <w:rsid w:val="006F0E1A"/>
    <w:rsid w:val="006F2D50"/>
    <w:rsid w:val="006F4532"/>
    <w:rsid w:val="006F4CF7"/>
    <w:rsid w:val="006F4E83"/>
    <w:rsid w:val="006F52DB"/>
    <w:rsid w:val="006F55EB"/>
    <w:rsid w:val="006F59D4"/>
    <w:rsid w:val="006F660F"/>
    <w:rsid w:val="006F6D5D"/>
    <w:rsid w:val="006F712E"/>
    <w:rsid w:val="00700CA0"/>
    <w:rsid w:val="00700F29"/>
    <w:rsid w:val="007017B4"/>
    <w:rsid w:val="00701F2B"/>
    <w:rsid w:val="0070228B"/>
    <w:rsid w:val="007027C4"/>
    <w:rsid w:val="00702886"/>
    <w:rsid w:val="00702D6D"/>
    <w:rsid w:val="00703191"/>
    <w:rsid w:val="007036F0"/>
    <w:rsid w:val="00704C2E"/>
    <w:rsid w:val="007051C8"/>
    <w:rsid w:val="00706C71"/>
    <w:rsid w:val="00707708"/>
    <w:rsid w:val="00707B5C"/>
    <w:rsid w:val="007104F8"/>
    <w:rsid w:val="0071050C"/>
    <w:rsid w:val="007108D5"/>
    <w:rsid w:val="007109A5"/>
    <w:rsid w:val="00710BE5"/>
    <w:rsid w:val="00711033"/>
    <w:rsid w:val="007128E0"/>
    <w:rsid w:val="00712940"/>
    <w:rsid w:val="00712E8B"/>
    <w:rsid w:val="00712FB3"/>
    <w:rsid w:val="007154AB"/>
    <w:rsid w:val="00716010"/>
    <w:rsid w:val="00717578"/>
    <w:rsid w:val="0072047A"/>
    <w:rsid w:val="00721228"/>
    <w:rsid w:val="0072174A"/>
    <w:rsid w:val="00723BBC"/>
    <w:rsid w:val="00723F01"/>
    <w:rsid w:val="007255DA"/>
    <w:rsid w:val="00725CBD"/>
    <w:rsid w:val="00725EC2"/>
    <w:rsid w:val="007261EB"/>
    <w:rsid w:val="00730428"/>
    <w:rsid w:val="0073133D"/>
    <w:rsid w:val="00731395"/>
    <w:rsid w:val="0073140C"/>
    <w:rsid w:val="00731417"/>
    <w:rsid w:val="00731AF4"/>
    <w:rsid w:val="00731D64"/>
    <w:rsid w:val="00732E0B"/>
    <w:rsid w:val="00733186"/>
    <w:rsid w:val="00733F65"/>
    <w:rsid w:val="007353F8"/>
    <w:rsid w:val="00735846"/>
    <w:rsid w:val="00735F33"/>
    <w:rsid w:val="00736B5A"/>
    <w:rsid w:val="00737695"/>
    <w:rsid w:val="007378D4"/>
    <w:rsid w:val="00737DF5"/>
    <w:rsid w:val="00737F09"/>
    <w:rsid w:val="00740033"/>
    <w:rsid w:val="0074012C"/>
    <w:rsid w:val="00741129"/>
    <w:rsid w:val="00741504"/>
    <w:rsid w:val="00742105"/>
    <w:rsid w:val="00742B41"/>
    <w:rsid w:val="007431D0"/>
    <w:rsid w:val="00743D9A"/>
    <w:rsid w:val="00744720"/>
    <w:rsid w:val="0074472B"/>
    <w:rsid w:val="00745BAE"/>
    <w:rsid w:val="00745D0D"/>
    <w:rsid w:val="00746340"/>
    <w:rsid w:val="00746834"/>
    <w:rsid w:val="0074696E"/>
    <w:rsid w:val="007478EB"/>
    <w:rsid w:val="00747A5E"/>
    <w:rsid w:val="0075000F"/>
    <w:rsid w:val="007501BE"/>
    <w:rsid w:val="00750573"/>
    <w:rsid w:val="007509D2"/>
    <w:rsid w:val="00750CAB"/>
    <w:rsid w:val="00751382"/>
    <w:rsid w:val="00754726"/>
    <w:rsid w:val="00754AA8"/>
    <w:rsid w:val="00754DBA"/>
    <w:rsid w:val="00754EAC"/>
    <w:rsid w:val="00755930"/>
    <w:rsid w:val="00755C5A"/>
    <w:rsid w:val="00756E49"/>
    <w:rsid w:val="0075718C"/>
    <w:rsid w:val="00757263"/>
    <w:rsid w:val="00757862"/>
    <w:rsid w:val="00757F22"/>
    <w:rsid w:val="007602E9"/>
    <w:rsid w:val="007614D4"/>
    <w:rsid w:val="00762143"/>
    <w:rsid w:val="0076296E"/>
    <w:rsid w:val="00762EC7"/>
    <w:rsid w:val="00763187"/>
    <w:rsid w:val="00763D55"/>
    <w:rsid w:val="007642C3"/>
    <w:rsid w:val="00765802"/>
    <w:rsid w:val="00766D8A"/>
    <w:rsid w:val="007700FA"/>
    <w:rsid w:val="00770C5B"/>
    <w:rsid w:val="00770C92"/>
    <w:rsid w:val="00771220"/>
    <w:rsid w:val="00771573"/>
    <w:rsid w:val="00772037"/>
    <w:rsid w:val="00772B73"/>
    <w:rsid w:val="00772D8E"/>
    <w:rsid w:val="00773AC2"/>
    <w:rsid w:val="00773ADB"/>
    <w:rsid w:val="00774FC3"/>
    <w:rsid w:val="007752C4"/>
    <w:rsid w:val="007753B5"/>
    <w:rsid w:val="00776B58"/>
    <w:rsid w:val="00776D74"/>
    <w:rsid w:val="00776EE3"/>
    <w:rsid w:val="007772D9"/>
    <w:rsid w:val="007773EE"/>
    <w:rsid w:val="0077743F"/>
    <w:rsid w:val="00777F47"/>
    <w:rsid w:val="007803FC"/>
    <w:rsid w:val="0078090D"/>
    <w:rsid w:val="00780CCA"/>
    <w:rsid w:val="00780D70"/>
    <w:rsid w:val="00784577"/>
    <w:rsid w:val="007859A0"/>
    <w:rsid w:val="00785FA5"/>
    <w:rsid w:val="00786B9D"/>
    <w:rsid w:val="00787DC0"/>
    <w:rsid w:val="007911D9"/>
    <w:rsid w:val="0079198D"/>
    <w:rsid w:val="00791CBC"/>
    <w:rsid w:val="00791E9B"/>
    <w:rsid w:val="007929A9"/>
    <w:rsid w:val="00792E87"/>
    <w:rsid w:val="0079350B"/>
    <w:rsid w:val="0079376E"/>
    <w:rsid w:val="0079580E"/>
    <w:rsid w:val="00796BCF"/>
    <w:rsid w:val="007971C1"/>
    <w:rsid w:val="00797415"/>
    <w:rsid w:val="007A040D"/>
    <w:rsid w:val="007A1582"/>
    <w:rsid w:val="007A163E"/>
    <w:rsid w:val="007A1D66"/>
    <w:rsid w:val="007A3636"/>
    <w:rsid w:val="007A3F39"/>
    <w:rsid w:val="007A3FDC"/>
    <w:rsid w:val="007A4793"/>
    <w:rsid w:val="007A4A60"/>
    <w:rsid w:val="007A4EB7"/>
    <w:rsid w:val="007A5088"/>
    <w:rsid w:val="007A7653"/>
    <w:rsid w:val="007A77D6"/>
    <w:rsid w:val="007B19E1"/>
    <w:rsid w:val="007B3147"/>
    <w:rsid w:val="007B3894"/>
    <w:rsid w:val="007B3FD4"/>
    <w:rsid w:val="007B46D8"/>
    <w:rsid w:val="007B4AAA"/>
    <w:rsid w:val="007B503F"/>
    <w:rsid w:val="007B5922"/>
    <w:rsid w:val="007B66DB"/>
    <w:rsid w:val="007B739E"/>
    <w:rsid w:val="007B73C6"/>
    <w:rsid w:val="007C0709"/>
    <w:rsid w:val="007C0B5F"/>
    <w:rsid w:val="007C1093"/>
    <w:rsid w:val="007C12CB"/>
    <w:rsid w:val="007C1385"/>
    <w:rsid w:val="007C198A"/>
    <w:rsid w:val="007C3026"/>
    <w:rsid w:val="007C4374"/>
    <w:rsid w:val="007C45AD"/>
    <w:rsid w:val="007C4BC5"/>
    <w:rsid w:val="007C5716"/>
    <w:rsid w:val="007C6FCD"/>
    <w:rsid w:val="007C70A3"/>
    <w:rsid w:val="007C7BD5"/>
    <w:rsid w:val="007D01C2"/>
    <w:rsid w:val="007D068F"/>
    <w:rsid w:val="007D1AAE"/>
    <w:rsid w:val="007D203A"/>
    <w:rsid w:val="007D2C41"/>
    <w:rsid w:val="007D343A"/>
    <w:rsid w:val="007D44F3"/>
    <w:rsid w:val="007D46B5"/>
    <w:rsid w:val="007D494A"/>
    <w:rsid w:val="007D5AF3"/>
    <w:rsid w:val="007D6287"/>
    <w:rsid w:val="007D6A22"/>
    <w:rsid w:val="007D6C9F"/>
    <w:rsid w:val="007D6E27"/>
    <w:rsid w:val="007D7180"/>
    <w:rsid w:val="007D7D47"/>
    <w:rsid w:val="007E03B9"/>
    <w:rsid w:val="007E0AB2"/>
    <w:rsid w:val="007E0D2A"/>
    <w:rsid w:val="007E1AA4"/>
    <w:rsid w:val="007E21FA"/>
    <w:rsid w:val="007E2AAF"/>
    <w:rsid w:val="007E3472"/>
    <w:rsid w:val="007E3CDD"/>
    <w:rsid w:val="007E4249"/>
    <w:rsid w:val="007E44CF"/>
    <w:rsid w:val="007E497F"/>
    <w:rsid w:val="007E5186"/>
    <w:rsid w:val="007E547E"/>
    <w:rsid w:val="007E564C"/>
    <w:rsid w:val="007E6196"/>
    <w:rsid w:val="007E62C6"/>
    <w:rsid w:val="007E78D8"/>
    <w:rsid w:val="007E7D4D"/>
    <w:rsid w:val="007F150F"/>
    <w:rsid w:val="007F15DC"/>
    <w:rsid w:val="007F1DE4"/>
    <w:rsid w:val="007F1EEE"/>
    <w:rsid w:val="007F1FC4"/>
    <w:rsid w:val="007F336D"/>
    <w:rsid w:val="007F36A2"/>
    <w:rsid w:val="007F3DE1"/>
    <w:rsid w:val="007F4403"/>
    <w:rsid w:val="007F4C59"/>
    <w:rsid w:val="007F4D38"/>
    <w:rsid w:val="007F534E"/>
    <w:rsid w:val="007F5B9E"/>
    <w:rsid w:val="007F5F04"/>
    <w:rsid w:val="007F621C"/>
    <w:rsid w:val="007F653E"/>
    <w:rsid w:val="007F7707"/>
    <w:rsid w:val="007F7C5B"/>
    <w:rsid w:val="008030E7"/>
    <w:rsid w:val="00803810"/>
    <w:rsid w:val="00804055"/>
    <w:rsid w:val="0080439C"/>
    <w:rsid w:val="008046B0"/>
    <w:rsid w:val="00804821"/>
    <w:rsid w:val="00805590"/>
    <w:rsid w:val="00807C4B"/>
    <w:rsid w:val="00810091"/>
    <w:rsid w:val="0081169B"/>
    <w:rsid w:val="00811DCA"/>
    <w:rsid w:val="0081227C"/>
    <w:rsid w:val="00812C3E"/>
    <w:rsid w:val="00812C72"/>
    <w:rsid w:val="0081305A"/>
    <w:rsid w:val="0081406C"/>
    <w:rsid w:val="0081431C"/>
    <w:rsid w:val="008149B5"/>
    <w:rsid w:val="00814CB9"/>
    <w:rsid w:val="00815451"/>
    <w:rsid w:val="008163AD"/>
    <w:rsid w:val="0081765F"/>
    <w:rsid w:val="00820FA5"/>
    <w:rsid w:val="008225B5"/>
    <w:rsid w:val="00822617"/>
    <w:rsid w:val="0082373A"/>
    <w:rsid w:val="00823B14"/>
    <w:rsid w:val="0082413C"/>
    <w:rsid w:val="00824634"/>
    <w:rsid w:val="00824C51"/>
    <w:rsid w:val="00824DC9"/>
    <w:rsid w:val="00825417"/>
    <w:rsid w:val="00825728"/>
    <w:rsid w:val="0082572F"/>
    <w:rsid w:val="00825A14"/>
    <w:rsid w:val="00826765"/>
    <w:rsid w:val="008267E1"/>
    <w:rsid w:val="00827C0C"/>
    <w:rsid w:val="00830159"/>
    <w:rsid w:val="00831804"/>
    <w:rsid w:val="0083198F"/>
    <w:rsid w:val="00831B6C"/>
    <w:rsid w:val="00831CDE"/>
    <w:rsid w:val="008324EF"/>
    <w:rsid w:val="00832923"/>
    <w:rsid w:val="00832DA7"/>
    <w:rsid w:val="0083448E"/>
    <w:rsid w:val="008347D3"/>
    <w:rsid w:val="00834E74"/>
    <w:rsid w:val="008375EF"/>
    <w:rsid w:val="00837DD9"/>
    <w:rsid w:val="00840993"/>
    <w:rsid w:val="0084146A"/>
    <w:rsid w:val="00842402"/>
    <w:rsid w:val="008427B4"/>
    <w:rsid w:val="00842AB5"/>
    <w:rsid w:val="00842B6D"/>
    <w:rsid w:val="00844756"/>
    <w:rsid w:val="00844871"/>
    <w:rsid w:val="008451C7"/>
    <w:rsid w:val="008456F8"/>
    <w:rsid w:val="00846909"/>
    <w:rsid w:val="00847292"/>
    <w:rsid w:val="00847ABC"/>
    <w:rsid w:val="00847E8F"/>
    <w:rsid w:val="00850002"/>
    <w:rsid w:val="0085072E"/>
    <w:rsid w:val="008521B1"/>
    <w:rsid w:val="008522DA"/>
    <w:rsid w:val="008531DF"/>
    <w:rsid w:val="008535CE"/>
    <w:rsid w:val="008542C3"/>
    <w:rsid w:val="008542FA"/>
    <w:rsid w:val="008543EA"/>
    <w:rsid w:val="00854CBB"/>
    <w:rsid w:val="00854DCB"/>
    <w:rsid w:val="00855118"/>
    <w:rsid w:val="0085541B"/>
    <w:rsid w:val="00855EA7"/>
    <w:rsid w:val="0085717F"/>
    <w:rsid w:val="00860058"/>
    <w:rsid w:val="00860426"/>
    <w:rsid w:val="00860807"/>
    <w:rsid w:val="00860D1A"/>
    <w:rsid w:val="008612A3"/>
    <w:rsid w:val="00861F47"/>
    <w:rsid w:val="00863483"/>
    <w:rsid w:val="00864A53"/>
    <w:rsid w:val="00864EE6"/>
    <w:rsid w:val="00865636"/>
    <w:rsid w:val="00865EEE"/>
    <w:rsid w:val="00867CAA"/>
    <w:rsid w:val="00867E81"/>
    <w:rsid w:val="008707B6"/>
    <w:rsid w:val="0087094C"/>
    <w:rsid w:val="008709F2"/>
    <w:rsid w:val="0087128D"/>
    <w:rsid w:val="0087316D"/>
    <w:rsid w:val="00873928"/>
    <w:rsid w:val="00873DC9"/>
    <w:rsid w:val="00874A66"/>
    <w:rsid w:val="00874AD4"/>
    <w:rsid w:val="00874B35"/>
    <w:rsid w:val="0087501D"/>
    <w:rsid w:val="008767B1"/>
    <w:rsid w:val="00876DBF"/>
    <w:rsid w:val="00876E3F"/>
    <w:rsid w:val="008770F0"/>
    <w:rsid w:val="00877547"/>
    <w:rsid w:val="00877560"/>
    <w:rsid w:val="008777D4"/>
    <w:rsid w:val="008778CA"/>
    <w:rsid w:val="008802B9"/>
    <w:rsid w:val="00880343"/>
    <w:rsid w:val="00880479"/>
    <w:rsid w:val="008815DC"/>
    <w:rsid w:val="00883025"/>
    <w:rsid w:val="00883EF4"/>
    <w:rsid w:val="008852F5"/>
    <w:rsid w:val="0088553F"/>
    <w:rsid w:val="00887158"/>
    <w:rsid w:val="0088747B"/>
    <w:rsid w:val="00890A30"/>
    <w:rsid w:val="008911AF"/>
    <w:rsid w:val="008917A6"/>
    <w:rsid w:val="00891D7C"/>
    <w:rsid w:val="00894333"/>
    <w:rsid w:val="00894E3C"/>
    <w:rsid w:val="008954B1"/>
    <w:rsid w:val="008956C7"/>
    <w:rsid w:val="00895711"/>
    <w:rsid w:val="0089592C"/>
    <w:rsid w:val="008A18D0"/>
    <w:rsid w:val="008A2C77"/>
    <w:rsid w:val="008A31AC"/>
    <w:rsid w:val="008A384B"/>
    <w:rsid w:val="008A3D73"/>
    <w:rsid w:val="008A3DE5"/>
    <w:rsid w:val="008A3F78"/>
    <w:rsid w:val="008A4D5E"/>
    <w:rsid w:val="008A4EB8"/>
    <w:rsid w:val="008A5637"/>
    <w:rsid w:val="008A623F"/>
    <w:rsid w:val="008A6E26"/>
    <w:rsid w:val="008A7463"/>
    <w:rsid w:val="008A79AC"/>
    <w:rsid w:val="008B049F"/>
    <w:rsid w:val="008B04F9"/>
    <w:rsid w:val="008B16EC"/>
    <w:rsid w:val="008B171F"/>
    <w:rsid w:val="008B293D"/>
    <w:rsid w:val="008B2E75"/>
    <w:rsid w:val="008B35AC"/>
    <w:rsid w:val="008B39AB"/>
    <w:rsid w:val="008B3B45"/>
    <w:rsid w:val="008B3E1A"/>
    <w:rsid w:val="008B465A"/>
    <w:rsid w:val="008B5096"/>
    <w:rsid w:val="008B5179"/>
    <w:rsid w:val="008B5493"/>
    <w:rsid w:val="008B60F4"/>
    <w:rsid w:val="008B6C59"/>
    <w:rsid w:val="008C05B6"/>
    <w:rsid w:val="008C0813"/>
    <w:rsid w:val="008C0F99"/>
    <w:rsid w:val="008C2AAF"/>
    <w:rsid w:val="008C3942"/>
    <w:rsid w:val="008C3AFC"/>
    <w:rsid w:val="008C46E8"/>
    <w:rsid w:val="008C51C4"/>
    <w:rsid w:val="008C5BF1"/>
    <w:rsid w:val="008D0174"/>
    <w:rsid w:val="008D083C"/>
    <w:rsid w:val="008D138D"/>
    <w:rsid w:val="008D16CE"/>
    <w:rsid w:val="008D1951"/>
    <w:rsid w:val="008D195D"/>
    <w:rsid w:val="008D19B0"/>
    <w:rsid w:val="008D277A"/>
    <w:rsid w:val="008D3C53"/>
    <w:rsid w:val="008D3CF6"/>
    <w:rsid w:val="008D43F2"/>
    <w:rsid w:val="008D45A9"/>
    <w:rsid w:val="008D56C0"/>
    <w:rsid w:val="008D5EDA"/>
    <w:rsid w:val="008D615C"/>
    <w:rsid w:val="008D7192"/>
    <w:rsid w:val="008D7200"/>
    <w:rsid w:val="008D74E3"/>
    <w:rsid w:val="008D7614"/>
    <w:rsid w:val="008D7A7C"/>
    <w:rsid w:val="008E0629"/>
    <w:rsid w:val="008E0E3A"/>
    <w:rsid w:val="008E10AD"/>
    <w:rsid w:val="008E1C4B"/>
    <w:rsid w:val="008E1E89"/>
    <w:rsid w:val="008E233F"/>
    <w:rsid w:val="008E2818"/>
    <w:rsid w:val="008E2921"/>
    <w:rsid w:val="008E2C1C"/>
    <w:rsid w:val="008E2F12"/>
    <w:rsid w:val="008E37CA"/>
    <w:rsid w:val="008E3AD6"/>
    <w:rsid w:val="008E3E82"/>
    <w:rsid w:val="008E439F"/>
    <w:rsid w:val="008E6CEA"/>
    <w:rsid w:val="008F04F4"/>
    <w:rsid w:val="008F06E2"/>
    <w:rsid w:val="008F19C2"/>
    <w:rsid w:val="008F2025"/>
    <w:rsid w:val="008F472A"/>
    <w:rsid w:val="008F4AC0"/>
    <w:rsid w:val="008F558E"/>
    <w:rsid w:val="008F5D85"/>
    <w:rsid w:val="008F5DD0"/>
    <w:rsid w:val="008F5DF3"/>
    <w:rsid w:val="008F5F73"/>
    <w:rsid w:val="008F7687"/>
    <w:rsid w:val="008F791D"/>
    <w:rsid w:val="009014A2"/>
    <w:rsid w:val="00901E6A"/>
    <w:rsid w:val="009021CB"/>
    <w:rsid w:val="00902758"/>
    <w:rsid w:val="00903319"/>
    <w:rsid w:val="009066C6"/>
    <w:rsid w:val="00906BF4"/>
    <w:rsid w:val="00907478"/>
    <w:rsid w:val="00907583"/>
    <w:rsid w:val="009077C0"/>
    <w:rsid w:val="009101A8"/>
    <w:rsid w:val="009105F2"/>
    <w:rsid w:val="0091107D"/>
    <w:rsid w:val="0091155B"/>
    <w:rsid w:val="0091157C"/>
    <w:rsid w:val="009119CD"/>
    <w:rsid w:val="009153FA"/>
    <w:rsid w:val="00915B5A"/>
    <w:rsid w:val="0091660E"/>
    <w:rsid w:val="00920A33"/>
    <w:rsid w:val="0092139F"/>
    <w:rsid w:val="00921A1E"/>
    <w:rsid w:val="00921BFD"/>
    <w:rsid w:val="0092236B"/>
    <w:rsid w:val="0092300C"/>
    <w:rsid w:val="0092379B"/>
    <w:rsid w:val="00923CD5"/>
    <w:rsid w:val="009248B6"/>
    <w:rsid w:val="009277D9"/>
    <w:rsid w:val="009306B1"/>
    <w:rsid w:val="00930869"/>
    <w:rsid w:val="00930B68"/>
    <w:rsid w:val="00931107"/>
    <w:rsid w:val="00931586"/>
    <w:rsid w:val="00931689"/>
    <w:rsid w:val="00931757"/>
    <w:rsid w:val="00931C17"/>
    <w:rsid w:val="00931DA1"/>
    <w:rsid w:val="00932FDF"/>
    <w:rsid w:val="009330F5"/>
    <w:rsid w:val="0093373C"/>
    <w:rsid w:val="00934424"/>
    <w:rsid w:val="009344BB"/>
    <w:rsid w:val="0093660C"/>
    <w:rsid w:val="00936DFF"/>
    <w:rsid w:val="00936EC9"/>
    <w:rsid w:val="00937D29"/>
    <w:rsid w:val="00940D70"/>
    <w:rsid w:val="0094176E"/>
    <w:rsid w:val="009425E0"/>
    <w:rsid w:val="00942BD5"/>
    <w:rsid w:val="0094418A"/>
    <w:rsid w:val="00944561"/>
    <w:rsid w:val="00944828"/>
    <w:rsid w:val="00944F68"/>
    <w:rsid w:val="00947890"/>
    <w:rsid w:val="00950439"/>
    <w:rsid w:val="0095051C"/>
    <w:rsid w:val="00950C00"/>
    <w:rsid w:val="0095128E"/>
    <w:rsid w:val="00951D55"/>
    <w:rsid w:val="00951E51"/>
    <w:rsid w:val="009521A4"/>
    <w:rsid w:val="00952243"/>
    <w:rsid w:val="00952363"/>
    <w:rsid w:val="00952530"/>
    <w:rsid w:val="009528C1"/>
    <w:rsid w:val="00954669"/>
    <w:rsid w:val="0095475F"/>
    <w:rsid w:val="009549D9"/>
    <w:rsid w:val="0095594D"/>
    <w:rsid w:val="00955C9B"/>
    <w:rsid w:val="009563E0"/>
    <w:rsid w:val="00957411"/>
    <w:rsid w:val="0096050C"/>
    <w:rsid w:val="00961705"/>
    <w:rsid w:val="00961C87"/>
    <w:rsid w:val="00961F50"/>
    <w:rsid w:val="00961F8C"/>
    <w:rsid w:val="0096207D"/>
    <w:rsid w:val="00963182"/>
    <w:rsid w:val="009637CD"/>
    <w:rsid w:val="0096446B"/>
    <w:rsid w:val="00964934"/>
    <w:rsid w:val="00964F60"/>
    <w:rsid w:val="009651C4"/>
    <w:rsid w:val="00967414"/>
    <w:rsid w:val="00967836"/>
    <w:rsid w:val="00967C64"/>
    <w:rsid w:val="00967F3A"/>
    <w:rsid w:val="00967F5D"/>
    <w:rsid w:val="00970690"/>
    <w:rsid w:val="0097069D"/>
    <w:rsid w:val="00970AA2"/>
    <w:rsid w:val="00970B0A"/>
    <w:rsid w:val="00971BBE"/>
    <w:rsid w:val="00971DE1"/>
    <w:rsid w:val="0097289E"/>
    <w:rsid w:val="00973905"/>
    <w:rsid w:val="00973B5A"/>
    <w:rsid w:val="00973D0E"/>
    <w:rsid w:val="00974202"/>
    <w:rsid w:val="00974691"/>
    <w:rsid w:val="00974A2E"/>
    <w:rsid w:val="00974D21"/>
    <w:rsid w:val="009759F8"/>
    <w:rsid w:val="00976458"/>
    <w:rsid w:val="009769F2"/>
    <w:rsid w:val="00976D1A"/>
    <w:rsid w:val="00976FCA"/>
    <w:rsid w:val="0097751B"/>
    <w:rsid w:val="00977786"/>
    <w:rsid w:val="00977CD6"/>
    <w:rsid w:val="00977E15"/>
    <w:rsid w:val="00981142"/>
    <w:rsid w:val="0098160F"/>
    <w:rsid w:val="00981660"/>
    <w:rsid w:val="00981760"/>
    <w:rsid w:val="00981A55"/>
    <w:rsid w:val="00982030"/>
    <w:rsid w:val="0098246E"/>
    <w:rsid w:val="0098398C"/>
    <w:rsid w:val="0098432D"/>
    <w:rsid w:val="0098465E"/>
    <w:rsid w:val="00984A3C"/>
    <w:rsid w:val="00984FE5"/>
    <w:rsid w:val="009857A6"/>
    <w:rsid w:val="00985E96"/>
    <w:rsid w:val="009862EF"/>
    <w:rsid w:val="00986CC5"/>
    <w:rsid w:val="00990D52"/>
    <w:rsid w:val="00990F57"/>
    <w:rsid w:val="00991B13"/>
    <w:rsid w:val="00991E7C"/>
    <w:rsid w:val="00992497"/>
    <w:rsid w:val="009927FC"/>
    <w:rsid w:val="009932B7"/>
    <w:rsid w:val="00993416"/>
    <w:rsid w:val="00993AF7"/>
    <w:rsid w:val="00993E01"/>
    <w:rsid w:val="00994754"/>
    <w:rsid w:val="00994AAD"/>
    <w:rsid w:val="009953F2"/>
    <w:rsid w:val="0099547A"/>
    <w:rsid w:val="009955C5"/>
    <w:rsid w:val="0099606C"/>
    <w:rsid w:val="0099657D"/>
    <w:rsid w:val="00996C21"/>
    <w:rsid w:val="00996F6C"/>
    <w:rsid w:val="009975D9"/>
    <w:rsid w:val="00997FC2"/>
    <w:rsid w:val="009A0325"/>
    <w:rsid w:val="009A0678"/>
    <w:rsid w:val="009A0AC7"/>
    <w:rsid w:val="009A164E"/>
    <w:rsid w:val="009A20C3"/>
    <w:rsid w:val="009A2122"/>
    <w:rsid w:val="009A2319"/>
    <w:rsid w:val="009A2449"/>
    <w:rsid w:val="009A2469"/>
    <w:rsid w:val="009A298C"/>
    <w:rsid w:val="009A325F"/>
    <w:rsid w:val="009A33A8"/>
    <w:rsid w:val="009A3B6D"/>
    <w:rsid w:val="009A3E90"/>
    <w:rsid w:val="009A4D20"/>
    <w:rsid w:val="009A5C29"/>
    <w:rsid w:val="009A6084"/>
    <w:rsid w:val="009A670A"/>
    <w:rsid w:val="009A67DD"/>
    <w:rsid w:val="009A6C93"/>
    <w:rsid w:val="009A6FD9"/>
    <w:rsid w:val="009A7130"/>
    <w:rsid w:val="009A7F6F"/>
    <w:rsid w:val="009B021D"/>
    <w:rsid w:val="009B09FB"/>
    <w:rsid w:val="009B0FC8"/>
    <w:rsid w:val="009B1F74"/>
    <w:rsid w:val="009B27E3"/>
    <w:rsid w:val="009B2DB0"/>
    <w:rsid w:val="009B387E"/>
    <w:rsid w:val="009B4653"/>
    <w:rsid w:val="009B46B8"/>
    <w:rsid w:val="009B4EA2"/>
    <w:rsid w:val="009B69BF"/>
    <w:rsid w:val="009B6E26"/>
    <w:rsid w:val="009B6F11"/>
    <w:rsid w:val="009B7AFE"/>
    <w:rsid w:val="009C1083"/>
    <w:rsid w:val="009C1543"/>
    <w:rsid w:val="009C2D47"/>
    <w:rsid w:val="009C3563"/>
    <w:rsid w:val="009C357B"/>
    <w:rsid w:val="009C4314"/>
    <w:rsid w:val="009C68CA"/>
    <w:rsid w:val="009C6C04"/>
    <w:rsid w:val="009C7B68"/>
    <w:rsid w:val="009C7B69"/>
    <w:rsid w:val="009D02B6"/>
    <w:rsid w:val="009D04F9"/>
    <w:rsid w:val="009D0CAE"/>
    <w:rsid w:val="009D2077"/>
    <w:rsid w:val="009D23EF"/>
    <w:rsid w:val="009D2495"/>
    <w:rsid w:val="009D3182"/>
    <w:rsid w:val="009D4155"/>
    <w:rsid w:val="009D469C"/>
    <w:rsid w:val="009D5A2F"/>
    <w:rsid w:val="009D6E97"/>
    <w:rsid w:val="009D76BC"/>
    <w:rsid w:val="009E0A55"/>
    <w:rsid w:val="009E0EC9"/>
    <w:rsid w:val="009E17F7"/>
    <w:rsid w:val="009E232E"/>
    <w:rsid w:val="009E260A"/>
    <w:rsid w:val="009E2BC5"/>
    <w:rsid w:val="009E2C67"/>
    <w:rsid w:val="009E33BF"/>
    <w:rsid w:val="009E3935"/>
    <w:rsid w:val="009E415C"/>
    <w:rsid w:val="009E44E0"/>
    <w:rsid w:val="009E44FA"/>
    <w:rsid w:val="009E465B"/>
    <w:rsid w:val="009E470E"/>
    <w:rsid w:val="009E4F17"/>
    <w:rsid w:val="009E538A"/>
    <w:rsid w:val="009E58B7"/>
    <w:rsid w:val="009E733E"/>
    <w:rsid w:val="009E736A"/>
    <w:rsid w:val="009E7A53"/>
    <w:rsid w:val="009F03AB"/>
    <w:rsid w:val="009F130A"/>
    <w:rsid w:val="009F1376"/>
    <w:rsid w:val="009F14DA"/>
    <w:rsid w:val="009F1593"/>
    <w:rsid w:val="009F176E"/>
    <w:rsid w:val="009F1A74"/>
    <w:rsid w:val="009F2815"/>
    <w:rsid w:val="009F2A1A"/>
    <w:rsid w:val="009F2A92"/>
    <w:rsid w:val="009F2B07"/>
    <w:rsid w:val="009F3642"/>
    <w:rsid w:val="009F418E"/>
    <w:rsid w:val="009F4650"/>
    <w:rsid w:val="009F4B2E"/>
    <w:rsid w:val="009F4CB1"/>
    <w:rsid w:val="009F5720"/>
    <w:rsid w:val="009F67AD"/>
    <w:rsid w:val="009F7498"/>
    <w:rsid w:val="00A0019E"/>
    <w:rsid w:val="00A002EA"/>
    <w:rsid w:val="00A0183B"/>
    <w:rsid w:val="00A02E09"/>
    <w:rsid w:val="00A02F05"/>
    <w:rsid w:val="00A030FA"/>
    <w:rsid w:val="00A03647"/>
    <w:rsid w:val="00A04401"/>
    <w:rsid w:val="00A04676"/>
    <w:rsid w:val="00A05FCA"/>
    <w:rsid w:val="00A067C6"/>
    <w:rsid w:val="00A07A09"/>
    <w:rsid w:val="00A07CFC"/>
    <w:rsid w:val="00A07FA9"/>
    <w:rsid w:val="00A10C7E"/>
    <w:rsid w:val="00A11B4E"/>
    <w:rsid w:val="00A11E52"/>
    <w:rsid w:val="00A12178"/>
    <w:rsid w:val="00A14726"/>
    <w:rsid w:val="00A14CA4"/>
    <w:rsid w:val="00A15004"/>
    <w:rsid w:val="00A150C5"/>
    <w:rsid w:val="00A16C5E"/>
    <w:rsid w:val="00A16C95"/>
    <w:rsid w:val="00A17369"/>
    <w:rsid w:val="00A177D9"/>
    <w:rsid w:val="00A1785F"/>
    <w:rsid w:val="00A207C7"/>
    <w:rsid w:val="00A20B4B"/>
    <w:rsid w:val="00A20B9C"/>
    <w:rsid w:val="00A21AF3"/>
    <w:rsid w:val="00A22F6A"/>
    <w:rsid w:val="00A243AD"/>
    <w:rsid w:val="00A24747"/>
    <w:rsid w:val="00A24ADA"/>
    <w:rsid w:val="00A24EAB"/>
    <w:rsid w:val="00A2516F"/>
    <w:rsid w:val="00A26D51"/>
    <w:rsid w:val="00A27A64"/>
    <w:rsid w:val="00A30355"/>
    <w:rsid w:val="00A32DB2"/>
    <w:rsid w:val="00A34E93"/>
    <w:rsid w:val="00A35A50"/>
    <w:rsid w:val="00A3616F"/>
    <w:rsid w:val="00A36515"/>
    <w:rsid w:val="00A3699D"/>
    <w:rsid w:val="00A3734A"/>
    <w:rsid w:val="00A4068D"/>
    <w:rsid w:val="00A40977"/>
    <w:rsid w:val="00A40AF7"/>
    <w:rsid w:val="00A41319"/>
    <w:rsid w:val="00A41F52"/>
    <w:rsid w:val="00A4318C"/>
    <w:rsid w:val="00A44FDB"/>
    <w:rsid w:val="00A45395"/>
    <w:rsid w:val="00A4540B"/>
    <w:rsid w:val="00A45891"/>
    <w:rsid w:val="00A46718"/>
    <w:rsid w:val="00A473B2"/>
    <w:rsid w:val="00A52920"/>
    <w:rsid w:val="00A52D04"/>
    <w:rsid w:val="00A52DF8"/>
    <w:rsid w:val="00A52F89"/>
    <w:rsid w:val="00A53672"/>
    <w:rsid w:val="00A537E2"/>
    <w:rsid w:val="00A53CB0"/>
    <w:rsid w:val="00A53D6B"/>
    <w:rsid w:val="00A54BC4"/>
    <w:rsid w:val="00A55AA9"/>
    <w:rsid w:val="00A55F81"/>
    <w:rsid w:val="00A6088E"/>
    <w:rsid w:val="00A60916"/>
    <w:rsid w:val="00A60AF1"/>
    <w:rsid w:val="00A61C5F"/>
    <w:rsid w:val="00A627A0"/>
    <w:rsid w:val="00A64191"/>
    <w:rsid w:val="00A64448"/>
    <w:rsid w:val="00A64603"/>
    <w:rsid w:val="00A64A5D"/>
    <w:rsid w:val="00A658F3"/>
    <w:rsid w:val="00A67358"/>
    <w:rsid w:val="00A679E9"/>
    <w:rsid w:val="00A71158"/>
    <w:rsid w:val="00A72B9C"/>
    <w:rsid w:val="00A72EF1"/>
    <w:rsid w:val="00A73062"/>
    <w:rsid w:val="00A73B2D"/>
    <w:rsid w:val="00A73C8F"/>
    <w:rsid w:val="00A75061"/>
    <w:rsid w:val="00A75F56"/>
    <w:rsid w:val="00A82F1B"/>
    <w:rsid w:val="00A8450E"/>
    <w:rsid w:val="00A84A09"/>
    <w:rsid w:val="00A85223"/>
    <w:rsid w:val="00A8529A"/>
    <w:rsid w:val="00A86E76"/>
    <w:rsid w:val="00A86FE4"/>
    <w:rsid w:val="00A90801"/>
    <w:rsid w:val="00A90C93"/>
    <w:rsid w:val="00A920A9"/>
    <w:rsid w:val="00A9245A"/>
    <w:rsid w:val="00A927B5"/>
    <w:rsid w:val="00A939C4"/>
    <w:rsid w:val="00A94071"/>
    <w:rsid w:val="00A9438E"/>
    <w:rsid w:val="00A9444B"/>
    <w:rsid w:val="00A9497E"/>
    <w:rsid w:val="00A961BD"/>
    <w:rsid w:val="00A968DB"/>
    <w:rsid w:val="00A96A7B"/>
    <w:rsid w:val="00A96C47"/>
    <w:rsid w:val="00A96FE4"/>
    <w:rsid w:val="00A97695"/>
    <w:rsid w:val="00A976DF"/>
    <w:rsid w:val="00AA0E2F"/>
    <w:rsid w:val="00AA1109"/>
    <w:rsid w:val="00AA1803"/>
    <w:rsid w:val="00AA1AC7"/>
    <w:rsid w:val="00AA2744"/>
    <w:rsid w:val="00AA3CB9"/>
    <w:rsid w:val="00AA4796"/>
    <w:rsid w:val="00AA4906"/>
    <w:rsid w:val="00AA54C3"/>
    <w:rsid w:val="00AA54C7"/>
    <w:rsid w:val="00AA557A"/>
    <w:rsid w:val="00AB06F7"/>
    <w:rsid w:val="00AB0906"/>
    <w:rsid w:val="00AB0A63"/>
    <w:rsid w:val="00AB1514"/>
    <w:rsid w:val="00AB2AC3"/>
    <w:rsid w:val="00AB2C2A"/>
    <w:rsid w:val="00AB2F43"/>
    <w:rsid w:val="00AB2F67"/>
    <w:rsid w:val="00AB3B2D"/>
    <w:rsid w:val="00AB40A8"/>
    <w:rsid w:val="00AB43B8"/>
    <w:rsid w:val="00AB4849"/>
    <w:rsid w:val="00AB49BA"/>
    <w:rsid w:val="00AB4CE0"/>
    <w:rsid w:val="00AB5C74"/>
    <w:rsid w:val="00AB7167"/>
    <w:rsid w:val="00AB76D5"/>
    <w:rsid w:val="00AC05F4"/>
    <w:rsid w:val="00AC176C"/>
    <w:rsid w:val="00AC1AA2"/>
    <w:rsid w:val="00AC1BE2"/>
    <w:rsid w:val="00AC2520"/>
    <w:rsid w:val="00AC3CCA"/>
    <w:rsid w:val="00AC3D62"/>
    <w:rsid w:val="00AC44C0"/>
    <w:rsid w:val="00AC451A"/>
    <w:rsid w:val="00AC4BEC"/>
    <w:rsid w:val="00AC6D28"/>
    <w:rsid w:val="00AC74D1"/>
    <w:rsid w:val="00AD0488"/>
    <w:rsid w:val="00AD0A34"/>
    <w:rsid w:val="00AD1616"/>
    <w:rsid w:val="00AD176F"/>
    <w:rsid w:val="00AD1F05"/>
    <w:rsid w:val="00AD2DA9"/>
    <w:rsid w:val="00AD3D3A"/>
    <w:rsid w:val="00AD4415"/>
    <w:rsid w:val="00AD5640"/>
    <w:rsid w:val="00AD5E8A"/>
    <w:rsid w:val="00AD5E9B"/>
    <w:rsid w:val="00AD6039"/>
    <w:rsid w:val="00AD6897"/>
    <w:rsid w:val="00AD779C"/>
    <w:rsid w:val="00AD7E04"/>
    <w:rsid w:val="00AE02B8"/>
    <w:rsid w:val="00AE0727"/>
    <w:rsid w:val="00AE20D6"/>
    <w:rsid w:val="00AE28CE"/>
    <w:rsid w:val="00AE316B"/>
    <w:rsid w:val="00AE3174"/>
    <w:rsid w:val="00AE3366"/>
    <w:rsid w:val="00AE3582"/>
    <w:rsid w:val="00AE36ED"/>
    <w:rsid w:val="00AE36F2"/>
    <w:rsid w:val="00AE3BC7"/>
    <w:rsid w:val="00AE3C8B"/>
    <w:rsid w:val="00AE41D0"/>
    <w:rsid w:val="00AE4766"/>
    <w:rsid w:val="00AE5602"/>
    <w:rsid w:val="00AE637A"/>
    <w:rsid w:val="00AE6918"/>
    <w:rsid w:val="00AE79CA"/>
    <w:rsid w:val="00AE7FA8"/>
    <w:rsid w:val="00AF0836"/>
    <w:rsid w:val="00AF0D33"/>
    <w:rsid w:val="00AF356D"/>
    <w:rsid w:val="00AF390A"/>
    <w:rsid w:val="00AF3EBA"/>
    <w:rsid w:val="00AF40E1"/>
    <w:rsid w:val="00AF5FD3"/>
    <w:rsid w:val="00AF618B"/>
    <w:rsid w:val="00AF74F8"/>
    <w:rsid w:val="00AF7C0A"/>
    <w:rsid w:val="00B00567"/>
    <w:rsid w:val="00B006F4"/>
    <w:rsid w:val="00B016FE"/>
    <w:rsid w:val="00B01DB9"/>
    <w:rsid w:val="00B02366"/>
    <w:rsid w:val="00B0243A"/>
    <w:rsid w:val="00B034A4"/>
    <w:rsid w:val="00B03BAF"/>
    <w:rsid w:val="00B03F96"/>
    <w:rsid w:val="00B0401B"/>
    <w:rsid w:val="00B04329"/>
    <w:rsid w:val="00B04A44"/>
    <w:rsid w:val="00B053AD"/>
    <w:rsid w:val="00B053D1"/>
    <w:rsid w:val="00B05A72"/>
    <w:rsid w:val="00B05D7D"/>
    <w:rsid w:val="00B066DA"/>
    <w:rsid w:val="00B0695A"/>
    <w:rsid w:val="00B06B23"/>
    <w:rsid w:val="00B076A3"/>
    <w:rsid w:val="00B12173"/>
    <w:rsid w:val="00B13106"/>
    <w:rsid w:val="00B13B6C"/>
    <w:rsid w:val="00B1517C"/>
    <w:rsid w:val="00B159FA"/>
    <w:rsid w:val="00B16729"/>
    <w:rsid w:val="00B16D69"/>
    <w:rsid w:val="00B17255"/>
    <w:rsid w:val="00B17E81"/>
    <w:rsid w:val="00B17E93"/>
    <w:rsid w:val="00B20034"/>
    <w:rsid w:val="00B20079"/>
    <w:rsid w:val="00B202CC"/>
    <w:rsid w:val="00B20B1E"/>
    <w:rsid w:val="00B21C40"/>
    <w:rsid w:val="00B21CF6"/>
    <w:rsid w:val="00B21DF3"/>
    <w:rsid w:val="00B22D15"/>
    <w:rsid w:val="00B22FF8"/>
    <w:rsid w:val="00B23A3D"/>
    <w:rsid w:val="00B23F6F"/>
    <w:rsid w:val="00B24361"/>
    <w:rsid w:val="00B25751"/>
    <w:rsid w:val="00B2638E"/>
    <w:rsid w:val="00B2650F"/>
    <w:rsid w:val="00B26BED"/>
    <w:rsid w:val="00B27736"/>
    <w:rsid w:val="00B2774C"/>
    <w:rsid w:val="00B27BDF"/>
    <w:rsid w:val="00B301E3"/>
    <w:rsid w:val="00B31575"/>
    <w:rsid w:val="00B31E92"/>
    <w:rsid w:val="00B32453"/>
    <w:rsid w:val="00B326A3"/>
    <w:rsid w:val="00B3292E"/>
    <w:rsid w:val="00B32982"/>
    <w:rsid w:val="00B32AA9"/>
    <w:rsid w:val="00B34BC8"/>
    <w:rsid w:val="00B34C50"/>
    <w:rsid w:val="00B36A43"/>
    <w:rsid w:val="00B36B68"/>
    <w:rsid w:val="00B37086"/>
    <w:rsid w:val="00B371A6"/>
    <w:rsid w:val="00B374A4"/>
    <w:rsid w:val="00B377FB"/>
    <w:rsid w:val="00B40596"/>
    <w:rsid w:val="00B40AE5"/>
    <w:rsid w:val="00B41023"/>
    <w:rsid w:val="00B414F3"/>
    <w:rsid w:val="00B416AD"/>
    <w:rsid w:val="00B4178A"/>
    <w:rsid w:val="00B41D90"/>
    <w:rsid w:val="00B4277B"/>
    <w:rsid w:val="00B43F25"/>
    <w:rsid w:val="00B44339"/>
    <w:rsid w:val="00B45013"/>
    <w:rsid w:val="00B458F5"/>
    <w:rsid w:val="00B46CCA"/>
    <w:rsid w:val="00B50DF0"/>
    <w:rsid w:val="00B51297"/>
    <w:rsid w:val="00B520D6"/>
    <w:rsid w:val="00B525C8"/>
    <w:rsid w:val="00B53DE6"/>
    <w:rsid w:val="00B54E1A"/>
    <w:rsid w:val="00B552A3"/>
    <w:rsid w:val="00B56D8E"/>
    <w:rsid w:val="00B56EAA"/>
    <w:rsid w:val="00B57C7A"/>
    <w:rsid w:val="00B57E10"/>
    <w:rsid w:val="00B6090B"/>
    <w:rsid w:val="00B61477"/>
    <w:rsid w:val="00B618F9"/>
    <w:rsid w:val="00B628F2"/>
    <w:rsid w:val="00B63071"/>
    <w:rsid w:val="00B636D5"/>
    <w:rsid w:val="00B63B29"/>
    <w:rsid w:val="00B63FF5"/>
    <w:rsid w:val="00B64E91"/>
    <w:rsid w:val="00B652F2"/>
    <w:rsid w:val="00B65B23"/>
    <w:rsid w:val="00B661A4"/>
    <w:rsid w:val="00B66B46"/>
    <w:rsid w:val="00B67EED"/>
    <w:rsid w:val="00B70794"/>
    <w:rsid w:val="00B71226"/>
    <w:rsid w:val="00B71259"/>
    <w:rsid w:val="00B7131C"/>
    <w:rsid w:val="00B71DD3"/>
    <w:rsid w:val="00B72D37"/>
    <w:rsid w:val="00B74156"/>
    <w:rsid w:val="00B7517C"/>
    <w:rsid w:val="00B75A8C"/>
    <w:rsid w:val="00B761B0"/>
    <w:rsid w:val="00B765D5"/>
    <w:rsid w:val="00B77FD8"/>
    <w:rsid w:val="00B80414"/>
    <w:rsid w:val="00B8161B"/>
    <w:rsid w:val="00B818D6"/>
    <w:rsid w:val="00B81B8D"/>
    <w:rsid w:val="00B8389F"/>
    <w:rsid w:val="00B8422E"/>
    <w:rsid w:val="00B842E7"/>
    <w:rsid w:val="00B84400"/>
    <w:rsid w:val="00B845A5"/>
    <w:rsid w:val="00B851ED"/>
    <w:rsid w:val="00B85AED"/>
    <w:rsid w:val="00B85CB1"/>
    <w:rsid w:val="00B87A9A"/>
    <w:rsid w:val="00B87B47"/>
    <w:rsid w:val="00B87F99"/>
    <w:rsid w:val="00B90B69"/>
    <w:rsid w:val="00B913A3"/>
    <w:rsid w:val="00B92227"/>
    <w:rsid w:val="00B937DC"/>
    <w:rsid w:val="00B93873"/>
    <w:rsid w:val="00B939C9"/>
    <w:rsid w:val="00B948B8"/>
    <w:rsid w:val="00B949D8"/>
    <w:rsid w:val="00B94C51"/>
    <w:rsid w:val="00B95364"/>
    <w:rsid w:val="00B95A5A"/>
    <w:rsid w:val="00B96D62"/>
    <w:rsid w:val="00BA0DBC"/>
    <w:rsid w:val="00BA153C"/>
    <w:rsid w:val="00BA232F"/>
    <w:rsid w:val="00BA273A"/>
    <w:rsid w:val="00BA2DEE"/>
    <w:rsid w:val="00BA31BF"/>
    <w:rsid w:val="00BA3CE4"/>
    <w:rsid w:val="00BA40C2"/>
    <w:rsid w:val="00BA439A"/>
    <w:rsid w:val="00BA5569"/>
    <w:rsid w:val="00BA5608"/>
    <w:rsid w:val="00BA56A7"/>
    <w:rsid w:val="00BA5D1C"/>
    <w:rsid w:val="00BA5F1B"/>
    <w:rsid w:val="00BA65AF"/>
    <w:rsid w:val="00BA6686"/>
    <w:rsid w:val="00BA7B71"/>
    <w:rsid w:val="00BB0900"/>
    <w:rsid w:val="00BB17F6"/>
    <w:rsid w:val="00BB1831"/>
    <w:rsid w:val="00BB18F2"/>
    <w:rsid w:val="00BB3424"/>
    <w:rsid w:val="00BB358D"/>
    <w:rsid w:val="00BB38B1"/>
    <w:rsid w:val="00BB3E27"/>
    <w:rsid w:val="00BB4116"/>
    <w:rsid w:val="00BB448A"/>
    <w:rsid w:val="00BB4F0B"/>
    <w:rsid w:val="00BB57B8"/>
    <w:rsid w:val="00BB5C37"/>
    <w:rsid w:val="00BB60E2"/>
    <w:rsid w:val="00BB6804"/>
    <w:rsid w:val="00BB710F"/>
    <w:rsid w:val="00BB7FB4"/>
    <w:rsid w:val="00BC016F"/>
    <w:rsid w:val="00BC1645"/>
    <w:rsid w:val="00BC17CC"/>
    <w:rsid w:val="00BC198B"/>
    <w:rsid w:val="00BC29F3"/>
    <w:rsid w:val="00BC35DA"/>
    <w:rsid w:val="00BC3D6C"/>
    <w:rsid w:val="00BC3EEF"/>
    <w:rsid w:val="00BC4033"/>
    <w:rsid w:val="00BC4481"/>
    <w:rsid w:val="00BC5311"/>
    <w:rsid w:val="00BC531B"/>
    <w:rsid w:val="00BC562A"/>
    <w:rsid w:val="00BC5EAE"/>
    <w:rsid w:val="00BC6894"/>
    <w:rsid w:val="00BD1039"/>
    <w:rsid w:val="00BD1B9F"/>
    <w:rsid w:val="00BD1E2A"/>
    <w:rsid w:val="00BD2AE3"/>
    <w:rsid w:val="00BD3937"/>
    <w:rsid w:val="00BD547B"/>
    <w:rsid w:val="00BD5487"/>
    <w:rsid w:val="00BD69CA"/>
    <w:rsid w:val="00BD6D1B"/>
    <w:rsid w:val="00BD736D"/>
    <w:rsid w:val="00BD7A7F"/>
    <w:rsid w:val="00BD7B4F"/>
    <w:rsid w:val="00BE0A99"/>
    <w:rsid w:val="00BE0CBA"/>
    <w:rsid w:val="00BE4284"/>
    <w:rsid w:val="00BE4524"/>
    <w:rsid w:val="00BE4B78"/>
    <w:rsid w:val="00BE593C"/>
    <w:rsid w:val="00BE59F5"/>
    <w:rsid w:val="00BE6C5B"/>
    <w:rsid w:val="00BE6C74"/>
    <w:rsid w:val="00BE6D7D"/>
    <w:rsid w:val="00BE7DFC"/>
    <w:rsid w:val="00BF0650"/>
    <w:rsid w:val="00BF0CBB"/>
    <w:rsid w:val="00BF1391"/>
    <w:rsid w:val="00BF23D6"/>
    <w:rsid w:val="00BF281C"/>
    <w:rsid w:val="00BF35A0"/>
    <w:rsid w:val="00BF3D57"/>
    <w:rsid w:val="00BF440A"/>
    <w:rsid w:val="00BF5D54"/>
    <w:rsid w:val="00BF6178"/>
    <w:rsid w:val="00BF6C41"/>
    <w:rsid w:val="00BF7CFE"/>
    <w:rsid w:val="00C00FD5"/>
    <w:rsid w:val="00C02B63"/>
    <w:rsid w:val="00C02D6C"/>
    <w:rsid w:val="00C02EC6"/>
    <w:rsid w:val="00C030FA"/>
    <w:rsid w:val="00C03643"/>
    <w:rsid w:val="00C043DC"/>
    <w:rsid w:val="00C05608"/>
    <w:rsid w:val="00C05A6C"/>
    <w:rsid w:val="00C061D6"/>
    <w:rsid w:val="00C06DA2"/>
    <w:rsid w:val="00C07609"/>
    <w:rsid w:val="00C10C88"/>
    <w:rsid w:val="00C10E39"/>
    <w:rsid w:val="00C1192F"/>
    <w:rsid w:val="00C1204F"/>
    <w:rsid w:val="00C125B4"/>
    <w:rsid w:val="00C12F38"/>
    <w:rsid w:val="00C13999"/>
    <w:rsid w:val="00C140FC"/>
    <w:rsid w:val="00C14980"/>
    <w:rsid w:val="00C14A0E"/>
    <w:rsid w:val="00C15646"/>
    <w:rsid w:val="00C15F91"/>
    <w:rsid w:val="00C169EC"/>
    <w:rsid w:val="00C16A43"/>
    <w:rsid w:val="00C16B7F"/>
    <w:rsid w:val="00C17680"/>
    <w:rsid w:val="00C17F6A"/>
    <w:rsid w:val="00C17FFD"/>
    <w:rsid w:val="00C207F6"/>
    <w:rsid w:val="00C21268"/>
    <w:rsid w:val="00C22180"/>
    <w:rsid w:val="00C229E0"/>
    <w:rsid w:val="00C22F37"/>
    <w:rsid w:val="00C237B7"/>
    <w:rsid w:val="00C23D78"/>
    <w:rsid w:val="00C242D1"/>
    <w:rsid w:val="00C24606"/>
    <w:rsid w:val="00C24D74"/>
    <w:rsid w:val="00C25221"/>
    <w:rsid w:val="00C25401"/>
    <w:rsid w:val="00C25A16"/>
    <w:rsid w:val="00C25B60"/>
    <w:rsid w:val="00C2701A"/>
    <w:rsid w:val="00C30686"/>
    <w:rsid w:val="00C30835"/>
    <w:rsid w:val="00C30AAB"/>
    <w:rsid w:val="00C30C22"/>
    <w:rsid w:val="00C328B5"/>
    <w:rsid w:val="00C3361B"/>
    <w:rsid w:val="00C34630"/>
    <w:rsid w:val="00C34A8B"/>
    <w:rsid w:val="00C34EF3"/>
    <w:rsid w:val="00C356B2"/>
    <w:rsid w:val="00C3616B"/>
    <w:rsid w:val="00C3727F"/>
    <w:rsid w:val="00C40E8B"/>
    <w:rsid w:val="00C41A5B"/>
    <w:rsid w:val="00C420AC"/>
    <w:rsid w:val="00C42B5C"/>
    <w:rsid w:val="00C43DDC"/>
    <w:rsid w:val="00C445DB"/>
    <w:rsid w:val="00C44B9B"/>
    <w:rsid w:val="00C44EBB"/>
    <w:rsid w:val="00C44EC0"/>
    <w:rsid w:val="00C451A2"/>
    <w:rsid w:val="00C4536B"/>
    <w:rsid w:val="00C45BC9"/>
    <w:rsid w:val="00C463F4"/>
    <w:rsid w:val="00C4678C"/>
    <w:rsid w:val="00C467D4"/>
    <w:rsid w:val="00C46EBD"/>
    <w:rsid w:val="00C473F0"/>
    <w:rsid w:val="00C476E9"/>
    <w:rsid w:val="00C5032C"/>
    <w:rsid w:val="00C50859"/>
    <w:rsid w:val="00C51524"/>
    <w:rsid w:val="00C51B07"/>
    <w:rsid w:val="00C524D1"/>
    <w:rsid w:val="00C52E94"/>
    <w:rsid w:val="00C53421"/>
    <w:rsid w:val="00C53515"/>
    <w:rsid w:val="00C53624"/>
    <w:rsid w:val="00C54466"/>
    <w:rsid w:val="00C547A5"/>
    <w:rsid w:val="00C549D0"/>
    <w:rsid w:val="00C54AA8"/>
    <w:rsid w:val="00C5545F"/>
    <w:rsid w:val="00C55544"/>
    <w:rsid w:val="00C558AF"/>
    <w:rsid w:val="00C55AC2"/>
    <w:rsid w:val="00C55BDF"/>
    <w:rsid w:val="00C55DF9"/>
    <w:rsid w:val="00C56B27"/>
    <w:rsid w:val="00C579B9"/>
    <w:rsid w:val="00C57BA0"/>
    <w:rsid w:val="00C57DBD"/>
    <w:rsid w:val="00C60126"/>
    <w:rsid w:val="00C60D68"/>
    <w:rsid w:val="00C61CF4"/>
    <w:rsid w:val="00C62CC6"/>
    <w:rsid w:val="00C63780"/>
    <w:rsid w:val="00C6494A"/>
    <w:rsid w:val="00C66279"/>
    <w:rsid w:val="00C66B70"/>
    <w:rsid w:val="00C66F83"/>
    <w:rsid w:val="00C671F2"/>
    <w:rsid w:val="00C674BF"/>
    <w:rsid w:val="00C700FC"/>
    <w:rsid w:val="00C7020A"/>
    <w:rsid w:val="00C703CA"/>
    <w:rsid w:val="00C705F8"/>
    <w:rsid w:val="00C7086D"/>
    <w:rsid w:val="00C70AEE"/>
    <w:rsid w:val="00C70CF5"/>
    <w:rsid w:val="00C70FA6"/>
    <w:rsid w:val="00C72029"/>
    <w:rsid w:val="00C725F1"/>
    <w:rsid w:val="00C72AC9"/>
    <w:rsid w:val="00C7305B"/>
    <w:rsid w:val="00C7309C"/>
    <w:rsid w:val="00C7452C"/>
    <w:rsid w:val="00C75905"/>
    <w:rsid w:val="00C76AFB"/>
    <w:rsid w:val="00C77220"/>
    <w:rsid w:val="00C812B7"/>
    <w:rsid w:val="00C814D2"/>
    <w:rsid w:val="00C823D9"/>
    <w:rsid w:val="00C82CE1"/>
    <w:rsid w:val="00C82E6D"/>
    <w:rsid w:val="00C832D7"/>
    <w:rsid w:val="00C832F6"/>
    <w:rsid w:val="00C83A23"/>
    <w:rsid w:val="00C845D3"/>
    <w:rsid w:val="00C861EB"/>
    <w:rsid w:val="00C86F97"/>
    <w:rsid w:val="00C87118"/>
    <w:rsid w:val="00C874F7"/>
    <w:rsid w:val="00C8799F"/>
    <w:rsid w:val="00C87A00"/>
    <w:rsid w:val="00C87C1B"/>
    <w:rsid w:val="00C90006"/>
    <w:rsid w:val="00C90339"/>
    <w:rsid w:val="00C91DF8"/>
    <w:rsid w:val="00C931E4"/>
    <w:rsid w:val="00C93323"/>
    <w:rsid w:val="00C94378"/>
    <w:rsid w:val="00C94459"/>
    <w:rsid w:val="00C9473D"/>
    <w:rsid w:val="00C947E9"/>
    <w:rsid w:val="00C951C3"/>
    <w:rsid w:val="00C95C30"/>
    <w:rsid w:val="00C961EB"/>
    <w:rsid w:val="00C97E2F"/>
    <w:rsid w:val="00CA0104"/>
    <w:rsid w:val="00CA0826"/>
    <w:rsid w:val="00CA11C2"/>
    <w:rsid w:val="00CA159C"/>
    <w:rsid w:val="00CA2E25"/>
    <w:rsid w:val="00CA48AD"/>
    <w:rsid w:val="00CA4FA8"/>
    <w:rsid w:val="00CA539A"/>
    <w:rsid w:val="00CA5594"/>
    <w:rsid w:val="00CA5E72"/>
    <w:rsid w:val="00CA726C"/>
    <w:rsid w:val="00CA73A5"/>
    <w:rsid w:val="00CB0358"/>
    <w:rsid w:val="00CB113E"/>
    <w:rsid w:val="00CB12AF"/>
    <w:rsid w:val="00CB1524"/>
    <w:rsid w:val="00CB1A92"/>
    <w:rsid w:val="00CB3183"/>
    <w:rsid w:val="00CB3A50"/>
    <w:rsid w:val="00CB6434"/>
    <w:rsid w:val="00CB70D9"/>
    <w:rsid w:val="00CB7892"/>
    <w:rsid w:val="00CB7C8C"/>
    <w:rsid w:val="00CC09F3"/>
    <w:rsid w:val="00CC0DF3"/>
    <w:rsid w:val="00CC1145"/>
    <w:rsid w:val="00CC1170"/>
    <w:rsid w:val="00CC129C"/>
    <w:rsid w:val="00CC18FD"/>
    <w:rsid w:val="00CC40CB"/>
    <w:rsid w:val="00CC450D"/>
    <w:rsid w:val="00CC48B1"/>
    <w:rsid w:val="00CC512A"/>
    <w:rsid w:val="00CC572D"/>
    <w:rsid w:val="00CC6222"/>
    <w:rsid w:val="00CC6799"/>
    <w:rsid w:val="00CC6A6F"/>
    <w:rsid w:val="00CC7398"/>
    <w:rsid w:val="00CD0244"/>
    <w:rsid w:val="00CD07A3"/>
    <w:rsid w:val="00CD3A17"/>
    <w:rsid w:val="00CD3C97"/>
    <w:rsid w:val="00CD3FA6"/>
    <w:rsid w:val="00CD4967"/>
    <w:rsid w:val="00CD4C46"/>
    <w:rsid w:val="00CD63F8"/>
    <w:rsid w:val="00CD76A5"/>
    <w:rsid w:val="00CD77C9"/>
    <w:rsid w:val="00CE052D"/>
    <w:rsid w:val="00CE0F8F"/>
    <w:rsid w:val="00CE21FD"/>
    <w:rsid w:val="00CE21FF"/>
    <w:rsid w:val="00CE2240"/>
    <w:rsid w:val="00CE2447"/>
    <w:rsid w:val="00CE3284"/>
    <w:rsid w:val="00CE35C1"/>
    <w:rsid w:val="00CE4358"/>
    <w:rsid w:val="00CE4742"/>
    <w:rsid w:val="00CE4D00"/>
    <w:rsid w:val="00CE517F"/>
    <w:rsid w:val="00CE5BEB"/>
    <w:rsid w:val="00CE6497"/>
    <w:rsid w:val="00CE6591"/>
    <w:rsid w:val="00CE6610"/>
    <w:rsid w:val="00CE6E81"/>
    <w:rsid w:val="00CE7DAB"/>
    <w:rsid w:val="00CE7E81"/>
    <w:rsid w:val="00CF02E8"/>
    <w:rsid w:val="00CF09D4"/>
    <w:rsid w:val="00CF1A06"/>
    <w:rsid w:val="00CF3014"/>
    <w:rsid w:val="00CF41BA"/>
    <w:rsid w:val="00CF51E3"/>
    <w:rsid w:val="00CF5295"/>
    <w:rsid w:val="00CF5561"/>
    <w:rsid w:val="00CF5753"/>
    <w:rsid w:val="00CF625D"/>
    <w:rsid w:val="00CF6494"/>
    <w:rsid w:val="00CF6C89"/>
    <w:rsid w:val="00CF7F58"/>
    <w:rsid w:val="00D01CA9"/>
    <w:rsid w:val="00D02AAC"/>
    <w:rsid w:val="00D02F98"/>
    <w:rsid w:val="00D03380"/>
    <w:rsid w:val="00D04108"/>
    <w:rsid w:val="00D04FA3"/>
    <w:rsid w:val="00D05660"/>
    <w:rsid w:val="00D05901"/>
    <w:rsid w:val="00D05B1E"/>
    <w:rsid w:val="00D06B49"/>
    <w:rsid w:val="00D073C6"/>
    <w:rsid w:val="00D10CB7"/>
    <w:rsid w:val="00D112E3"/>
    <w:rsid w:val="00D11F8A"/>
    <w:rsid w:val="00D12175"/>
    <w:rsid w:val="00D12A14"/>
    <w:rsid w:val="00D137C8"/>
    <w:rsid w:val="00D13F89"/>
    <w:rsid w:val="00D155E3"/>
    <w:rsid w:val="00D155EC"/>
    <w:rsid w:val="00D1577B"/>
    <w:rsid w:val="00D160AB"/>
    <w:rsid w:val="00D1690F"/>
    <w:rsid w:val="00D16BBD"/>
    <w:rsid w:val="00D1726C"/>
    <w:rsid w:val="00D20018"/>
    <w:rsid w:val="00D20E3E"/>
    <w:rsid w:val="00D20F8B"/>
    <w:rsid w:val="00D211C9"/>
    <w:rsid w:val="00D21541"/>
    <w:rsid w:val="00D21A3A"/>
    <w:rsid w:val="00D21B34"/>
    <w:rsid w:val="00D2224D"/>
    <w:rsid w:val="00D22891"/>
    <w:rsid w:val="00D237D8"/>
    <w:rsid w:val="00D26391"/>
    <w:rsid w:val="00D268C4"/>
    <w:rsid w:val="00D26D71"/>
    <w:rsid w:val="00D26EBC"/>
    <w:rsid w:val="00D30465"/>
    <w:rsid w:val="00D3066B"/>
    <w:rsid w:val="00D314DA"/>
    <w:rsid w:val="00D31AF1"/>
    <w:rsid w:val="00D31EA8"/>
    <w:rsid w:val="00D323EC"/>
    <w:rsid w:val="00D32556"/>
    <w:rsid w:val="00D3262B"/>
    <w:rsid w:val="00D32F47"/>
    <w:rsid w:val="00D341E8"/>
    <w:rsid w:val="00D34A67"/>
    <w:rsid w:val="00D34BF8"/>
    <w:rsid w:val="00D34C0A"/>
    <w:rsid w:val="00D34FBB"/>
    <w:rsid w:val="00D35E05"/>
    <w:rsid w:val="00D367A0"/>
    <w:rsid w:val="00D3790C"/>
    <w:rsid w:val="00D405D2"/>
    <w:rsid w:val="00D40B55"/>
    <w:rsid w:val="00D40D6D"/>
    <w:rsid w:val="00D40E41"/>
    <w:rsid w:val="00D41097"/>
    <w:rsid w:val="00D416EB"/>
    <w:rsid w:val="00D4197C"/>
    <w:rsid w:val="00D42D7F"/>
    <w:rsid w:val="00D4380D"/>
    <w:rsid w:val="00D44F24"/>
    <w:rsid w:val="00D45329"/>
    <w:rsid w:val="00D45A65"/>
    <w:rsid w:val="00D45F65"/>
    <w:rsid w:val="00D47085"/>
    <w:rsid w:val="00D47E8C"/>
    <w:rsid w:val="00D5021D"/>
    <w:rsid w:val="00D5040E"/>
    <w:rsid w:val="00D506F2"/>
    <w:rsid w:val="00D50A29"/>
    <w:rsid w:val="00D50D02"/>
    <w:rsid w:val="00D516FC"/>
    <w:rsid w:val="00D521C8"/>
    <w:rsid w:val="00D5251E"/>
    <w:rsid w:val="00D53253"/>
    <w:rsid w:val="00D53682"/>
    <w:rsid w:val="00D547BC"/>
    <w:rsid w:val="00D56984"/>
    <w:rsid w:val="00D579F9"/>
    <w:rsid w:val="00D60E40"/>
    <w:rsid w:val="00D61032"/>
    <w:rsid w:val="00D61F4A"/>
    <w:rsid w:val="00D6296E"/>
    <w:rsid w:val="00D637DC"/>
    <w:rsid w:val="00D64AED"/>
    <w:rsid w:val="00D65800"/>
    <w:rsid w:val="00D66C09"/>
    <w:rsid w:val="00D70C69"/>
    <w:rsid w:val="00D7139A"/>
    <w:rsid w:val="00D71A07"/>
    <w:rsid w:val="00D71B01"/>
    <w:rsid w:val="00D71C19"/>
    <w:rsid w:val="00D72D02"/>
    <w:rsid w:val="00D73AF4"/>
    <w:rsid w:val="00D73D5E"/>
    <w:rsid w:val="00D74273"/>
    <w:rsid w:val="00D7439F"/>
    <w:rsid w:val="00D74478"/>
    <w:rsid w:val="00D746B1"/>
    <w:rsid w:val="00D74AAD"/>
    <w:rsid w:val="00D74B4A"/>
    <w:rsid w:val="00D75A01"/>
    <w:rsid w:val="00D75BD7"/>
    <w:rsid w:val="00D75E2B"/>
    <w:rsid w:val="00D75E30"/>
    <w:rsid w:val="00D772B6"/>
    <w:rsid w:val="00D774D6"/>
    <w:rsid w:val="00D77849"/>
    <w:rsid w:val="00D77EF9"/>
    <w:rsid w:val="00D80058"/>
    <w:rsid w:val="00D801B9"/>
    <w:rsid w:val="00D80562"/>
    <w:rsid w:val="00D80E1C"/>
    <w:rsid w:val="00D81295"/>
    <w:rsid w:val="00D81690"/>
    <w:rsid w:val="00D81C3E"/>
    <w:rsid w:val="00D82078"/>
    <w:rsid w:val="00D82407"/>
    <w:rsid w:val="00D82589"/>
    <w:rsid w:val="00D82744"/>
    <w:rsid w:val="00D83F4B"/>
    <w:rsid w:val="00D8418E"/>
    <w:rsid w:val="00D84A4A"/>
    <w:rsid w:val="00D8636A"/>
    <w:rsid w:val="00D86535"/>
    <w:rsid w:val="00D8706F"/>
    <w:rsid w:val="00D87D22"/>
    <w:rsid w:val="00D90999"/>
    <w:rsid w:val="00D92250"/>
    <w:rsid w:val="00D92B38"/>
    <w:rsid w:val="00D92B89"/>
    <w:rsid w:val="00D937B5"/>
    <w:rsid w:val="00D93BC5"/>
    <w:rsid w:val="00D94414"/>
    <w:rsid w:val="00D94C48"/>
    <w:rsid w:val="00D95FD9"/>
    <w:rsid w:val="00D96508"/>
    <w:rsid w:val="00D96ACC"/>
    <w:rsid w:val="00D974E9"/>
    <w:rsid w:val="00D978F9"/>
    <w:rsid w:val="00D97C8E"/>
    <w:rsid w:val="00DA00BF"/>
    <w:rsid w:val="00DA025A"/>
    <w:rsid w:val="00DA1957"/>
    <w:rsid w:val="00DA1B15"/>
    <w:rsid w:val="00DA1CEF"/>
    <w:rsid w:val="00DA1E01"/>
    <w:rsid w:val="00DA2B1C"/>
    <w:rsid w:val="00DA2F50"/>
    <w:rsid w:val="00DA3334"/>
    <w:rsid w:val="00DA37CD"/>
    <w:rsid w:val="00DA383A"/>
    <w:rsid w:val="00DA3F51"/>
    <w:rsid w:val="00DA55AC"/>
    <w:rsid w:val="00DA5D1B"/>
    <w:rsid w:val="00DA6486"/>
    <w:rsid w:val="00DA6CC1"/>
    <w:rsid w:val="00DA7528"/>
    <w:rsid w:val="00DA7A43"/>
    <w:rsid w:val="00DA7E8F"/>
    <w:rsid w:val="00DB0790"/>
    <w:rsid w:val="00DB0EB4"/>
    <w:rsid w:val="00DB1322"/>
    <w:rsid w:val="00DB13EF"/>
    <w:rsid w:val="00DB1ECA"/>
    <w:rsid w:val="00DB2279"/>
    <w:rsid w:val="00DB2649"/>
    <w:rsid w:val="00DB2C3C"/>
    <w:rsid w:val="00DB3154"/>
    <w:rsid w:val="00DB31EF"/>
    <w:rsid w:val="00DB33A4"/>
    <w:rsid w:val="00DB3401"/>
    <w:rsid w:val="00DB3AE2"/>
    <w:rsid w:val="00DB412A"/>
    <w:rsid w:val="00DB425D"/>
    <w:rsid w:val="00DB4305"/>
    <w:rsid w:val="00DB4CEA"/>
    <w:rsid w:val="00DB55CF"/>
    <w:rsid w:val="00DB5931"/>
    <w:rsid w:val="00DB5DD1"/>
    <w:rsid w:val="00DB6FBD"/>
    <w:rsid w:val="00DB7C44"/>
    <w:rsid w:val="00DB7E73"/>
    <w:rsid w:val="00DC0AD7"/>
    <w:rsid w:val="00DC1A1F"/>
    <w:rsid w:val="00DC1BFB"/>
    <w:rsid w:val="00DC1EDC"/>
    <w:rsid w:val="00DC2BA7"/>
    <w:rsid w:val="00DC37DE"/>
    <w:rsid w:val="00DC4322"/>
    <w:rsid w:val="00DC4416"/>
    <w:rsid w:val="00DC44E0"/>
    <w:rsid w:val="00DC4D68"/>
    <w:rsid w:val="00DD01E0"/>
    <w:rsid w:val="00DD08D3"/>
    <w:rsid w:val="00DD0B09"/>
    <w:rsid w:val="00DD106E"/>
    <w:rsid w:val="00DD193D"/>
    <w:rsid w:val="00DD224D"/>
    <w:rsid w:val="00DD2A47"/>
    <w:rsid w:val="00DD39C1"/>
    <w:rsid w:val="00DD3E8D"/>
    <w:rsid w:val="00DD5404"/>
    <w:rsid w:val="00DD5B17"/>
    <w:rsid w:val="00DD5D3B"/>
    <w:rsid w:val="00DD63BE"/>
    <w:rsid w:val="00DD7159"/>
    <w:rsid w:val="00DD72DA"/>
    <w:rsid w:val="00DD7ED3"/>
    <w:rsid w:val="00DE1C95"/>
    <w:rsid w:val="00DE1E4F"/>
    <w:rsid w:val="00DE34F2"/>
    <w:rsid w:val="00DE357D"/>
    <w:rsid w:val="00DE37A0"/>
    <w:rsid w:val="00DE3FF6"/>
    <w:rsid w:val="00DE5469"/>
    <w:rsid w:val="00DE62AC"/>
    <w:rsid w:val="00DE6635"/>
    <w:rsid w:val="00DE7757"/>
    <w:rsid w:val="00DE78CF"/>
    <w:rsid w:val="00DE7DC5"/>
    <w:rsid w:val="00DF1645"/>
    <w:rsid w:val="00DF1991"/>
    <w:rsid w:val="00DF1DBD"/>
    <w:rsid w:val="00DF2170"/>
    <w:rsid w:val="00DF2BFB"/>
    <w:rsid w:val="00DF30CD"/>
    <w:rsid w:val="00DF32EB"/>
    <w:rsid w:val="00DF33DA"/>
    <w:rsid w:val="00DF5892"/>
    <w:rsid w:val="00DF5987"/>
    <w:rsid w:val="00DF7641"/>
    <w:rsid w:val="00DF7CC4"/>
    <w:rsid w:val="00E002D1"/>
    <w:rsid w:val="00E01869"/>
    <w:rsid w:val="00E01C14"/>
    <w:rsid w:val="00E01EC3"/>
    <w:rsid w:val="00E02195"/>
    <w:rsid w:val="00E026C4"/>
    <w:rsid w:val="00E02D2E"/>
    <w:rsid w:val="00E03D34"/>
    <w:rsid w:val="00E03E44"/>
    <w:rsid w:val="00E048FE"/>
    <w:rsid w:val="00E0501E"/>
    <w:rsid w:val="00E054D7"/>
    <w:rsid w:val="00E05B0D"/>
    <w:rsid w:val="00E05EBC"/>
    <w:rsid w:val="00E062A2"/>
    <w:rsid w:val="00E0656D"/>
    <w:rsid w:val="00E06AF6"/>
    <w:rsid w:val="00E06EA8"/>
    <w:rsid w:val="00E06F71"/>
    <w:rsid w:val="00E07085"/>
    <w:rsid w:val="00E0727E"/>
    <w:rsid w:val="00E07790"/>
    <w:rsid w:val="00E07DBF"/>
    <w:rsid w:val="00E11019"/>
    <w:rsid w:val="00E1144B"/>
    <w:rsid w:val="00E11CE0"/>
    <w:rsid w:val="00E12034"/>
    <w:rsid w:val="00E13401"/>
    <w:rsid w:val="00E13731"/>
    <w:rsid w:val="00E13ECD"/>
    <w:rsid w:val="00E1462A"/>
    <w:rsid w:val="00E14AAC"/>
    <w:rsid w:val="00E14D85"/>
    <w:rsid w:val="00E14F84"/>
    <w:rsid w:val="00E1507B"/>
    <w:rsid w:val="00E15323"/>
    <w:rsid w:val="00E15C74"/>
    <w:rsid w:val="00E15D8B"/>
    <w:rsid w:val="00E15F77"/>
    <w:rsid w:val="00E1675D"/>
    <w:rsid w:val="00E170B9"/>
    <w:rsid w:val="00E17E3A"/>
    <w:rsid w:val="00E20B1D"/>
    <w:rsid w:val="00E20F44"/>
    <w:rsid w:val="00E215EB"/>
    <w:rsid w:val="00E21EE4"/>
    <w:rsid w:val="00E22766"/>
    <w:rsid w:val="00E22823"/>
    <w:rsid w:val="00E229E6"/>
    <w:rsid w:val="00E237B7"/>
    <w:rsid w:val="00E24314"/>
    <w:rsid w:val="00E243F6"/>
    <w:rsid w:val="00E269B0"/>
    <w:rsid w:val="00E26F1D"/>
    <w:rsid w:val="00E27101"/>
    <w:rsid w:val="00E27B93"/>
    <w:rsid w:val="00E3069E"/>
    <w:rsid w:val="00E3080C"/>
    <w:rsid w:val="00E30A8B"/>
    <w:rsid w:val="00E30F07"/>
    <w:rsid w:val="00E313C7"/>
    <w:rsid w:val="00E3175F"/>
    <w:rsid w:val="00E330F2"/>
    <w:rsid w:val="00E330FA"/>
    <w:rsid w:val="00E33234"/>
    <w:rsid w:val="00E34EEF"/>
    <w:rsid w:val="00E36694"/>
    <w:rsid w:val="00E368C1"/>
    <w:rsid w:val="00E36D40"/>
    <w:rsid w:val="00E36EB7"/>
    <w:rsid w:val="00E415C9"/>
    <w:rsid w:val="00E42CB5"/>
    <w:rsid w:val="00E4319D"/>
    <w:rsid w:val="00E43217"/>
    <w:rsid w:val="00E4389C"/>
    <w:rsid w:val="00E43AE0"/>
    <w:rsid w:val="00E44444"/>
    <w:rsid w:val="00E46085"/>
    <w:rsid w:val="00E46BF8"/>
    <w:rsid w:val="00E47A93"/>
    <w:rsid w:val="00E47B1E"/>
    <w:rsid w:val="00E47D47"/>
    <w:rsid w:val="00E50DFF"/>
    <w:rsid w:val="00E51099"/>
    <w:rsid w:val="00E51550"/>
    <w:rsid w:val="00E51733"/>
    <w:rsid w:val="00E51B8B"/>
    <w:rsid w:val="00E520E4"/>
    <w:rsid w:val="00E5268A"/>
    <w:rsid w:val="00E526E7"/>
    <w:rsid w:val="00E52782"/>
    <w:rsid w:val="00E53003"/>
    <w:rsid w:val="00E53028"/>
    <w:rsid w:val="00E530BA"/>
    <w:rsid w:val="00E53C3A"/>
    <w:rsid w:val="00E53CD2"/>
    <w:rsid w:val="00E53F8D"/>
    <w:rsid w:val="00E54885"/>
    <w:rsid w:val="00E54B2B"/>
    <w:rsid w:val="00E54ED0"/>
    <w:rsid w:val="00E55204"/>
    <w:rsid w:val="00E55EA1"/>
    <w:rsid w:val="00E56D78"/>
    <w:rsid w:val="00E575AC"/>
    <w:rsid w:val="00E6035C"/>
    <w:rsid w:val="00E604BB"/>
    <w:rsid w:val="00E60959"/>
    <w:rsid w:val="00E6128E"/>
    <w:rsid w:val="00E61905"/>
    <w:rsid w:val="00E61D7B"/>
    <w:rsid w:val="00E62847"/>
    <w:rsid w:val="00E63F91"/>
    <w:rsid w:val="00E65779"/>
    <w:rsid w:val="00E6785E"/>
    <w:rsid w:val="00E67B4C"/>
    <w:rsid w:val="00E67C0A"/>
    <w:rsid w:val="00E70240"/>
    <w:rsid w:val="00E70553"/>
    <w:rsid w:val="00E72B4D"/>
    <w:rsid w:val="00E72C86"/>
    <w:rsid w:val="00E743A5"/>
    <w:rsid w:val="00E74B5B"/>
    <w:rsid w:val="00E74C01"/>
    <w:rsid w:val="00E75015"/>
    <w:rsid w:val="00E754B4"/>
    <w:rsid w:val="00E75DB3"/>
    <w:rsid w:val="00E76350"/>
    <w:rsid w:val="00E770D3"/>
    <w:rsid w:val="00E775A2"/>
    <w:rsid w:val="00E77A5A"/>
    <w:rsid w:val="00E77AF6"/>
    <w:rsid w:val="00E77BED"/>
    <w:rsid w:val="00E77E74"/>
    <w:rsid w:val="00E77F6E"/>
    <w:rsid w:val="00E800B8"/>
    <w:rsid w:val="00E820E8"/>
    <w:rsid w:val="00E825C5"/>
    <w:rsid w:val="00E82E43"/>
    <w:rsid w:val="00E834DE"/>
    <w:rsid w:val="00E840B6"/>
    <w:rsid w:val="00E8477D"/>
    <w:rsid w:val="00E84822"/>
    <w:rsid w:val="00E8506F"/>
    <w:rsid w:val="00E85161"/>
    <w:rsid w:val="00E85676"/>
    <w:rsid w:val="00E86E49"/>
    <w:rsid w:val="00E87158"/>
    <w:rsid w:val="00E907B6"/>
    <w:rsid w:val="00E90D28"/>
    <w:rsid w:val="00E914D0"/>
    <w:rsid w:val="00E91868"/>
    <w:rsid w:val="00E9211A"/>
    <w:rsid w:val="00E92D09"/>
    <w:rsid w:val="00E93290"/>
    <w:rsid w:val="00E93582"/>
    <w:rsid w:val="00E93AE6"/>
    <w:rsid w:val="00E94108"/>
    <w:rsid w:val="00E94839"/>
    <w:rsid w:val="00E94842"/>
    <w:rsid w:val="00E94ADB"/>
    <w:rsid w:val="00E95380"/>
    <w:rsid w:val="00E95B82"/>
    <w:rsid w:val="00E95F64"/>
    <w:rsid w:val="00E95FE1"/>
    <w:rsid w:val="00E963D9"/>
    <w:rsid w:val="00E96ABB"/>
    <w:rsid w:val="00E96D80"/>
    <w:rsid w:val="00E96DF5"/>
    <w:rsid w:val="00E974AF"/>
    <w:rsid w:val="00E9760A"/>
    <w:rsid w:val="00E97D0D"/>
    <w:rsid w:val="00EA0016"/>
    <w:rsid w:val="00EA03A4"/>
    <w:rsid w:val="00EA065A"/>
    <w:rsid w:val="00EA065B"/>
    <w:rsid w:val="00EA06BA"/>
    <w:rsid w:val="00EA1050"/>
    <w:rsid w:val="00EA1173"/>
    <w:rsid w:val="00EA1249"/>
    <w:rsid w:val="00EA25B7"/>
    <w:rsid w:val="00EA2651"/>
    <w:rsid w:val="00EA2727"/>
    <w:rsid w:val="00EA2964"/>
    <w:rsid w:val="00EA360B"/>
    <w:rsid w:val="00EA3D61"/>
    <w:rsid w:val="00EA47CD"/>
    <w:rsid w:val="00EA4ACA"/>
    <w:rsid w:val="00EA696A"/>
    <w:rsid w:val="00EA712F"/>
    <w:rsid w:val="00EA7CD7"/>
    <w:rsid w:val="00EA7F4E"/>
    <w:rsid w:val="00EB016D"/>
    <w:rsid w:val="00EB0446"/>
    <w:rsid w:val="00EB0506"/>
    <w:rsid w:val="00EB0DFA"/>
    <w:rsid w:val="00EB0F30"/>
    <w:rsid w:val="00EB146A"/>
    <w:rsid w:val="00EB1B5C"/>
    <w:rsid w:val="00EB2A79"/>
    <w:rsid w:val="00EB2B63"/>
    <w:rsid w:val="00EB2B8C"/>
    <w:rsid w:val="00EB335A"/>
    <w:rsid w:val="00EB3525"/>
    <w:rsid w:val="00EB3BDD"/>
    <w:rsid w:val="00EB4AD3"/>
    <w:rsid w:val="00EB4F51"/>
    <w:rsid w:val="00EB6B15"/>
    <w:rsid w:val="00EB76E2"/>
    <w:rsid w:val="00EB79C5"/>
    <w:rsid w:val="00EC08C1"/>
    <w:rsid w:val="00EC0EA8"/>
    <w:rsid w:val="00EC1335"/>
    <w:rsid w:val="00EC13F2"/>
    <w:rsid w:val="00EC1564"/>
    <w:rsid w:val="00EC19B6"/>
    <w:rsid w:val="00EC1E45"/>
    <w:rsid w:val="00EC25F7"/>
    <w:rsid w:val="00EC27B2"/>
    <w:rsid w:val="00EC2A16"/>
    <w:rsid w:val="00EC47D4"/>
    <w:rsid w:val="00EC5200"/>
    <w:rsid w:val="00EC5DAC"/>
    <w:rsid w:val="00EC7D37"/>
    <w:rsid w:val="00EC7E4F"/>
    <w:rsid w:val="00ED0027"/>
    <w:rsid w:val="00ED08E5"/>
    <w:rsid w:val="00ED1E15"/>
    <w:rsid w:val="00ED2701"/>
    <w:rsid w:val="00ED364D"/>
    <w:rsid w:val="00ED3F28"/>
    <w:rsid w:val="00ED3FCC"/>
    <w:rsid w:val="00ED40B2"/>
    <w:rsid w:val="00ED4EC8"/>
    <w:rsid w:val="00ED5FBC"/>
    <w:rsid w:val="00ED62CD"/>
    <w:rsid w:val="00ED6BDF"/>
    <w:rsid w:val="00ED741F"/>
    <w:rsid w:val="00ED7E49"/>
    <w:rsid w:val="00ED7F0D"/>
    <w:rsid w:val="00EE133C"/>
    <w:rsid w:val="00EE15FC"/>
    <w:rsid w:val="00EE176F"/>
    <w:rsid w:val="00EE1931"/>
    <w:rsid w:val="00EE22FF"/>
    <w:rsid w:val="00EE308E"/>
    <w:rsid w:val="00EE3A75"/>
    <w:rsid w:val="00EE4D28"/>
    <w:rsid w:val="00EE6C70"/>
    <w:rsid w:val="00EF0B08"/>
    <w:rsid w:val="00EF0C2D"/>
    <w:rsid w:val="00EF0E1E"/>
    <w:rsid w:val="00EF0FDF"/>
    <w:rsid w:val="00EF16D1"/>
    <w:rsid w:val="00EF296F"/>
    <w:rsid w:val="00EF3D21"/>
    <w:rsid w:val="00EF4475"/>
    <w:rsid w:val="00EF4AED"/>
    <w:rsid w:val="00EF5ED5"/>
    <w:rsid w:val="00EF5F62"/>
    <w:rsid w:val="00EF5FD9"/>
    <w:rsid w:val="00EF645C"/>
    <w:rsid w:val="00EF7086"/>
    <w:rsid w:val="00EF7B11"/>
    <w:rsid w:val="00F00632"/>
    <w:rsid w:val="00F01031"/>
    <w:rsid w:val="00F01915"/>
    <w:rsid w:val="00F0247D"/>
    <w:rsid w:val="00F03159"/>
    <w:rsid w:val="00F03A52"/>
    <w:rsid w:val="00F03B0D"/>
    <w:rsid w:val="00F0448F"/>
    <w:rsid w:val="00F04B55"/>
    <w:rsid w:val="00F0557C"/>
    <w:rsid w:val="00F058F5"/>
    <w:rsid w:val="00F05B1C"/>
    <w:rsid w:val="00F07205"/>
    <w:rsid w:val="00F075A3"/>
    <w:rsid w:val="00F101CB"/>
    <w:rsid w:val="00F104B8"/>
    <w:rsid w:val="00F10730"/>
    <w:rsid w:val="00F10959"/>
    <w:rsid w:val="00F1138B"/>
    <w:rsid w:val="00F1141A"/>
    <w:rsid w:val="00F11959"/>
    <w:rsid w:val="00F11FFE"/>
    <w:rsid w:val="00F12507"/>
    <w:rsid w:val="00F12593"/>
    <w:rsid w:val="00F1265C"/>
    <w:rsid w:val="00F12F6A"/>
    <w:rsid w:val="00F137F7"/>
    <w:rsid w:val="00F14172"/>
    <w:rsid w:val="00F14B5B"/>
    <w:rsid w:val="00F14BFF"/>
    <w:rsid w:val="00F157A3"/>
    <w:rsid w:val="00F178BC"/>
    <w:rsid w:val="00F17A55"/>
    <w:rsid w:val="00F17B46"/>
    <w:rsid w:val="00F20030"/>
    <w:rsid w:val="00F20744"/>
    <w:rsid w:val="00F207DC"/>
    <w:rsid w:val="00F20C14"/>
    <w:rsid w:val="00F21E1F"/>
    <w:rsid w:val="00F21E2E"/>
    <w:rsid w:val="00F21E32"/>
    <w:rsid w:val="00F2234A"/>
    <w:rsid w:val="00F22EAE"/>
    <w:rsid w:val="00F25C7C"/>
    <w:rsid w:val="00F26E51"/>
    <w:rsid w:val="00F26F7D"/>
    <w:rsid w:val="00F275D8"/>
    <w:rsid w:val="00F27C91"/>
    <w:rsid w:val="00F3004A"/>
    <w:rsid w:val="00F30220"/>
    <w:rsid w:val="00F305D8"/>
    <w:rsid w:val="00F313D3"/>
    <w:rsid w:val="00F31B3E"/>
    <w:rsid w:val="00F32161"/>
    <w:rsid w:val="00F32CC6"/>
    <w:rsid w:val="00F32EAD"/>
    <w:rsid w:val="00F333B5"/>
    <w:rsid w:val="00F339DD"/>
    <w:rsid w:val="00F33C6F"/>
    <w:rsid w:val="00F344D0"/>
    <w:rsid w:val="00F352CE"/>
    <w:rsid w:val="00F355D7"/>
    <w:rsid w:val="00F37F98"/>
    <w:rsid w:val="00F37F9D"/>
    <w:rsid w:val="00F4040C"/>
    <w:rsid w:val="00F411BD"/>
    <w:rsid w:val="00F41C24"/>
    <w:rsid w:val="00F4235E"/>
    <w:rsid w:val="00F4286D"/>
    <w:rsid w:val="00F42B0E"/>
    <w:rsid w:val="00F42EF4"/>
    <w:rsid w:val="00F42FBE"/>
    <w:rsid w:val="00F44AE6"/>
    <w:rsid w:val="00F456E4"/>
    <w:rsid w:val="00F46DC6"/>
    <w:rsid w:val="00F473A5"/>
    <w:rsid w:val="00F47675"/>
    <w:rsid w:val="00F4782C"/>
    <w:rsid w:val="00F478FE"/>
    <w:rsid w:val="00F506C8"/>
    <w:rsid w:val="00F51924"/>
    <w:rsid w:val="00F52070"/>
    <w:rsid w:val="00F521D4"/>
    <w:rsid w:val="00F523A1"/>
    <w:rsid w:val="00F52FC6"/>
    <w:rsid w:val="00F53176"/>
    <w:rsid w:val="00F5319E"/>
    <w:rsid w:val="00F53225"/>
    <w:rsid w:val="00F533A5"/>
    <w:rsid w:val="00F53E74"/>
    <w:rsid w:val="00F5461A"/>
    <w:rsid w:val="00F558C9"/>
    <w:rsid w:val="00F56485"/>
    <w:rsid w:val="00F564C0"/>
    <w:rsid w:val="00F569B0"/>
    <w:rsid w:val="00F570F3"/>
    <w:rsid w:val="00F57545"/>
    <w:rsid w:val="00F575CF"/>
    <w:rsid w:val="00F61730"/>
    <w:rsid w:val="00F61DAB"/>
    <w:rsid w:val="00F6244F"/>
    <w:rsid w:val="00F633CC"/>
    <w:rsid w:val="00F64011"/>
    <w:rsid w:val="00F645A0"/>
    <w:rsid w:val="00F64F43"/>
    <w:rsid w:val="00F64FA9"/>
    <w:rsid w:val="00F65F53"/>
    <w:rsid w:val="00F66022"/>
    <w:rsid w:val="00F67586"/>
    <w:rsid w:val="00F6762D"/>
    <w:rsid w:val="00F70314"/>
    <w:rsid w:val="00F7088C"/>
    <w:rsid w:val="00F712AB"/>
    <w:rsid w:val="00F71796"/>
    <w:rsid w:val="00F7198C"/>
    <w:rsid w:val="00F7378D"/>
    <w:rsid w:val="00F73984"/>
    <w:rsid w:val="00F73D34"/>
    <w:rsid w:val="00F7404B"/>
    <w:rsid w:val="00F74200"/>
    <w:rsid w:val="00F7547D"/>
    <w:rsid w:val="00F76DF3"/>
    <w:rsid w:val="00F776C8"/>
    <w:rsid w:val="00F80260"/>
    <w:rsid w:val="00F810A5"/>
    <w:rsid w:val="00F81370"/>
    <w:rsid w:val="00F82CE8"/>
    <w:rsid w:val="00F83351"/>
    <w:rsid w:val="00F8365D"/>
    <w:rsid w:val="00F83830"/>
    <w:rsid w:val="00F8388F"/>
    <w:rsid w:val="00F83898"/>
    <w:rsid w:val="00F842FB"/>
    <w:rsid w:val="00F84781"/>
    <w:rsid w:val="00F858A2"/>
    <w:rsid w:val="00F86457"/>
    <w:rsid w:val="00F86786"/>
    <w:rsid w:val="00F8697E"/>
    <w:rsid w:val="00F8766F"/>
    <w:rsid w:val="00F876A1"/>
    <w:rsid w:val="00F87BC4"/>
    <w:rsid w:val="00F87C5B"/>
    <w:rsid w:val="00F90DE9"/>
    <w:rsid w:val="00F917AF"/>
    <w:rsid w:val="00F91F25"/>
    <w:rsid w:val="00F923A2"/>
    <w:rsid w:val="00F925C4"/>
    <w:rsid w:val="00F93494"/>
    <w:rsid w:val="00F934EB"/>
    <w:rsid w:val="00F93674"/>
    <w:rsid w:val="00F937D8"/>
    <w:rsid w:val="00F94A90"/>
    <w:rsid w:val="00F94C82"/>
    <w:rsid w:val="00F94E05"/>
    <w:rsid w:val="00F958B3"/>
    <w:rsid w:val="00F95BFC"/>
    <w:rsid w:val="00F961CC"/>
    <w:rsid w:val="00F97564"/>
    <w:rsid w:val="00FA0087"/>
    <w:rsid w:val="00FA0734"/>
    <w:rsid w:val="00FA2089"/>
    <w:rsid w:val="00FA2134"/>
    <w:rsid w:val="00FA25A7"/>
    <w:rsid w:val="00FA36CE"/>
    <w:rsid w:val="00FA3CC8"/>
    <w:rsid w:val="00FA4162"/>
    <w:rsid w:val="00FA4205"/>
    <w:rsid w:val="00FA4824"/>
    <w:rsid w:val="00FA6176"/>
    <w:rsid w:val="00FA66A0"/>
    <w:rsid w:val="00FA6B35"/>
    <w:rsid w:val="00FA6C0B"/>
    <w:rsid w:val="00FA6FA3"/>
    <w:rsid w:val="00FA702D"/>
    <w:rsid w:val="00FA7049"/>
    <w:rsid w:val="00FA78EC"/>
    <w:rsid w:val="00FA7B45"/>
    <w:rsid w:val="00FA7E29"/>
    <w:rsid w:val="00FB181A"/>
    <w:rsid w:val="00FB1A51"/>
    <w:rsid w:val="00FB32C5"/>
    <w:rsid w:val="00FB42FF"/>
    <w:rsid w:val="00FB4633"/>
    <w:rsid w:val="00FB5DA0"/>
    <w:rsid w:val="00FB6592"/>
    <w:rsid w:val="00FB7559"/>
    <w:rsid w:val="00FB75CE"/>
    <w:rsid w:val="00FB774B"/>
    <w:rsid w:val="00FC0113"/>
    <w:rsid w:val="00FC0407"/>
    <w:rsid w:val="00FC0DCB"/>
    <w:rsid w:val="00FC1252"/>
    <w:rsid w:val="00FC1489"/>
    <w:rsid w:val="00FC2EAF"/>
    <w:rsid w:val="00FC2FCC"/>
    <w:rsid w:val="00FC38FC"/>
    <w:rsid w:val="00FC428D"/>
    <w:rsid w:val="00FC5560"/>
    <w:rsid w:val="00FC772F"/>
    <w:rsid w:val="00FC7991"/>
    <w:rsid w:val="00FC79A5"/>
    <w:rsid w:val="00FD09ED"/>
    <w:rsid w:val="00FD2FA5"/>
    <w:rsid w:val="00FD41B0"/>
    <w:rsid w:val="00FD489F"/>
    <w:rsid w:val="00FD4C52"/>
    <w:rsid w:val="00FD4CC1"/>
    <w:rsid w:val="00FD68BD"/>
    <w:rsid w:val="00FD6C33"/>
    <w:rsid w:val="00FD785F"/>
    <w:rsid w:val="00FD7AC9"/>
    <w:rsid w:val="00FE0503"/>
    <w:rsid w:val="00FE1C24"/>
    <w:rsid w:val="00FE1FB4"/>
    <w:rsid w:val="00FE2CD5"/>
    <w:rsid w:val="00FE3C71"/>
    <w:rsid w:val="00FE5504"/>
    <w:rsid w:val="00FE60C3"/>
    <w:rsid w:val="00FE79F0"/>
    <w:rsid w:val="00FE7B96"/>
    <w:rsid w:val="00FF0303"/>
    <w:rsid w:val="00FF036A"/>
    <w:rsid w:val="00FF076B"/>
    <w:rsid w:val="00FF078F"/>
    <w:rsid w:val="00FF1E77"/>
    <w:rsid w:val="00FF1F30"/>
    <w:rsid w:val="00FF22D8"/>
    <w:rsid w:val="00FF22E1"/>
    <w:rsid w:val="00FF2515"/>
    <w:rsid w:val="00FF28A4"/>
    <w:rsid w:val="00FF2BE1"/>
    <w:rsid w:val="00FF34DD"/>
    <w:rsid w:val="00FF3EE3"/>
    <w:rsid w:val="00FF4264"/>
    <w:rsid w:val="00FF4275"/>
    <w:rsid w:val="00FF5C0C"/>
    <w:rsid w:val="00FF78C3"/>
    <w:rsid w:val="00FF7DF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0DF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endnote text" w:uiPriority="0"/>
    <w:lsdException w:name="Title" w:semiHidden="0" w:uiPriority="0" w:unhideWhenUsed="0" w:qFormat="1"/>
    <w:lsdException w:name="Default Paragraph Font" w:uiPriority="1"/>
    <w:lsdException w:name="Body Text" w:qFormat="1"/>
    <w:lsdException w:name="Subtitle" w:semiHidden="0" w:uiPriority="0" w:unhideWhenUsed="0" w:qFormat="1"/>
    <w:lsdException w:name="Strong" w:semiHidden="0" w:unhideWhenUsed="0" w:qFormat="1"/>
    <w:lsdException w:name="Emphasis" w:semiHidden="0" w:unhideWhenUsed="0" w:qFormat="1"/>
    <w:lsdException w:name="Table Grid" w:uiPriority="59"/>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376"/>
  </w:style>
  <w:style w:type="paragraph" w:styleId="Heading1">
    <w:name w:val="heading 1"/>
    <w:aliases w:val="dark brown"/>
    <w:basedOn w:val="Normal"/>
    <w:next w:val="BodyText"/>
    <w:link w:val="Heading1Char"/>
    <w:qFormat/>
    <w:rsid w:val="001C52F9"/>
    <w:pPr>
      <w:tabs>
        <w:tab w:val="left" w:pos="851"/>
      </w:tabs>
      <w:spacing w:after="240"/>
      <w:ind w:left="851" w:hanging="851"/>
      <w:outlineLvl w:val="0"/>
    </w:pPr>
    <w:rPr>
      <w:b/>
      <w:bCs/>
      <w:color w:val="005984"/>
      <w:sz w:val="36"/>
      <w:szCs w:val="36"/>
    </w:rPr>
  </w:style>
  <w:style w:type="paragraph" w:styleId="Heading2">
    <w:name w:val="heading 2"/>
    <w:basedOn w:val="Normal"/>
    <w:next w:val="BodyText"/>
    <w:link w:val="Heading2Char"/>
    <w:qFormat/>
    <w:rsid w:val="001C52F9"/>
    <w:pPr>
      <w:keepNext/>
      <w:tabs>
        <w:tab w:val="left" w:pos="851"/>
      </w:tabs>
      <w:spacing w:before="320" w:after="0"/>
      <w:ind w:left="851" w:hanging="851"/>
      <w:outlineLvl w:val="1"/>
    </w:pPr>
    <w:rPr>
      <w:b/>
      <w:bCs/>
      <w:color w:val="387C2B"/>
      <w:sz w:val="32"/>
      <w:szCs w:val="32"/>
    </w:rPr>
  </w:style>
  <w:style w:type="paragraph" w:styleId="Heading3">
    <w:name w:val="heading 3"/>
    <w:basedOn w:val="Normal"/>
    <w:next w:val="BodyText"/>
    <w:link w:val="Heading3Char"/>
    <w:qFormat/>
    <w:rsid w:val="001C52F9"/>
    <w:pPr>
      <w:keepNext/>
      <w:spacing w:before="240" w:after="0"/>
      <w:outlineLvl w:val="2"/>
    </w:pPr>
    <w:rPr>
      <w:b/>
      <w:bCs/>
      <w:color w:val="387C2B"/>
      <w:sz w:val="28"/>
      <w:szCs w:val="28"/>
    </w:rPr>
  </w:style>
  <w:style w:type="paragraph" w:styleId="Heading4">
    <w:name w:val="heading 4"/>
    <w:basedOn w:val="Normal"/>
    <w:next w:val="BodyText"/>
    <w:link w:val="Heading4Char"/>
    <w:qFormat/>
    <w:rsid w:val="001C52F9"/>
    <w:pPr>
      <w:keepNext/>
      <w:spacing w:before="240" w:after="0"/>
      <w:outlineLvl w:val="3"/>
    </w:pPr>
    <w:rPr>
      <w:b/>
      <w:bCs/>
      <w:sz w:val="24"/>
      <w:szCs w:val="24"/>
    </w:rPr>
  </w:style>
  <w:style w:type="paragraph" w:styleId="Heading5">
    <w:name w:val="heading 5"/>
    <w:basedOn w:val="Normal"/>
    <w:next w:val="BodyText"/>
    <w:link w:val="Heading5Char"/>
    <w:uiPriority w:val="99"/>
    <w:qFormat/>
    <w:rsid w:val="001C52F9"/>
    <w:pPr>
      <w:keepNext/>
      <w:numPr>
        <w:ilvl w:val="4"/>
        <w:numId w:val="21"/>
      </w:numPr>
      <w:spacing w:before="240" w:after="60"/>
      <w:outlineLvl w:val="4"/>
    </w:pPr>
    <w:rPr>
      <w:rFonts w:ascii="Arial" w:hAnsi="Arial" w:cs="Arial"/>
      <w:i/>
      <w:iCs/>
    </w:rPr>
  </w:style>
  <w:style w:type="paragraph" w:styleId="Heading6">
    <w:name w:val="heading 6"/>
    <w:basedOn w:val="Normal"/>
    <w:next w:val="Normal"/>
    <w:link w:val="Heading6Char"/>
    <w:uiPriority w:val="99"/>
    <w:semiHidden/>
    <w:qFormat/>
    <w:rsid w:val="001C52F9"/>
    <w:pPr>
      <w:numPr>
        <w:ilvl w:val="5"/>
        <w:numId w:val="21"/>
      </w:numPr>
      <w:spacing w:before="240" w:after="60"/>
      <w:outlineLvl w:val="5"/>
    </w:pPr>
    <w:rPr>
      <w:b/>
      <w:bCs/>
    </w:rPr>
  </w:style>
  <w:style w:type="paragraph" w:styleId="Heading7">
    <w:name w:val="heading 7"/>
    <w:basedOn w:val="Normal"/>
    <w:next w:val="Normal"/>
    <w:link w:val="Heading7Char"/>
    <w:uiPriority w:val="99"/>
    <w:semiHidden/>
    <w:qFormat/>
    <w:rsid w:val="001C52F9"/>
    <w:pPr>
      <w:numPr>
        <w:ilvl w:val="6"/>
        <w:numId w:val="21"/>
      </w:numPr>
      <w:spacing w:before="240" w:after="60"/>
      <w:outlineLvl w:val="6"/>
    </w:pPr>
    <w:rPr>
      <w:sz w:val="24"/>
      <w:szCs w:val="24"/>
    </w:rPr>
  </w:style>
  <w:style w:type="paragraph" w:styleId="Heading8">
    <w:name w:val="heading 8"/>
    <w:basedOn w:val="Normal"/>
    <w:next w:val="Normal"/>
    <w:link w:val="Heading8Char"/>
    <w:uiPriority w:val="99"/>
    <w:semiHidden/>
    <w:qFormat/>
    <w:rsid w:val="001C52F9"/>
    <w:pPr>
      <w:numPr>
        <w:ilvl w:val="7"/>
        <w:numId w:val="21"/>
      </w:numPr>
      <w:spacing w:before="240" w:after="60"/>
      <w:outlineLvl w:val="7"/>
    </w:pPr>
    <w:rPr>
      <w:i/>
      <w:iCs/>
      <w:sz w:val="24"/>
      <w:szCs w:val="24"/>
    </w:rPr>
  </w:style>
  <w:style w:type="paragraph" w:styleId="Heading9">
    <w:name w:val="heading 9"/>
    <w:basedOn w:val="Normal"/>
    <w:next w:val="Normal"/>
    <w:link w:val="Heading9Char"/>
    <w:uiPriority w:val="99"/>
    <w:semiHidden/>
    <w:qFormat/>
    <w:rsid w:val="001C52F9"/>
    <w:pPr>
      <w:tabs>
        <w:tab w:val="num" w:pos="1584"/>
      </w:tabs>
      <w:spacing w:before="240" w:after="60"/>
      <w:ind w:left="1584" w:hanging="144"/>
      <w:outlineLvl w:val="8"/>
    </w:pPr>
    <w:rPr>
      <w:rFonts w:ascii="Arial" w:hAnsi="Arial" w:cs="Arial"/>
    </w:rPr>
  </w:style>
  <w:style w:type="character" w:default="1" w:styleId="DefaultParagraphFont">
    <w:name w:val="Default Paragraph Font"/>
    <w:uiPriority w:val="1"/>
    <w:semiHidden/>
    <w:unhideWhenUsed/>
    <w:rsid w:val="0034237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42376"/>
  </w:style>
  <w:style w:type="paragraph" w:styleId="BodyText">
    <w:name w:val="Body Text"/>
    <w:basedOn w:val="Normal"/>
    <w:link w:val="BodyTextChar"/>
    <w:uiPriority w:val="99"/>
    <w:unhideWhenUsed/>
    <w:rsid w:val="001C52F9"/>
  </w:style>
  <w:style w:type="character" w:customStyle="1" w:styleId="BodyTextChar">
    <w:name w:val="Body Text Char"/>
    <w:basedOn w:val="DefaultParagraphFont"/>
    <w:link w:val="BodyText"/>
    <w:uiPriority w:val="99"/>
    <w:rsid w:val="001C52F9"/>
    <w:rPr>
      <w:rFonts w:ascii="Calibri" w:eastAsia="Times New Roman" w:hAnsi="Calibri" w:cs="Calibri"/>
    </w:rPr>
  </w:style>
  <w:style w:type="character" w:customStyle="1" w:styleId="Heading1Char">
    <w:name w:val="Heading 1 Char"/>
    <w:aliases w:val="dark brown Char"/>
    <w:link w:val="Heading1"/>
    <w:rsid w:val="001C52F9"/>
    <w:rPr>
      <w:rFonts w:ascii="Calibri" w:eastAsia="Times New Roman" w:hAnsi="Calibri" w:cs="Calibri"/>
      <w:b/>
      <w:bCs/>
      <w:color w:val="005984"/>
      <w:sz w:val="36"/>
      <w:szCs w:val="36"/>
    </w:rPr>
  </w:style>
  <w:style w:type="character" w:customStyle="1" w:styleId="Heading2Char">
    <w:name w:val="Heading 2 Char"/>
    <w:link w:val="Heading2"/>
    <w:rsid w:val="001C52F9"/>
    <w:rPr>
      <w:rFonts w:ascii="Calibri" w:eastAsia="Times New Roman" w:hAnsi="Calibri" w:cs="Calibri"/>
      <w:b/>
      <w:bCs/>
      <w:color w:val="387C2B"/>
      <w:sz w:val="32"/>
      <w:szCs w:val="32"/>
    </w:rPr>
  </w:style>
  <w:style w:type="character" w:customStyle="1" w:styleId="Heading3Char">
    <w:name w:val="Heading 3 Char"/>
    <w:link w:val="Heading3"/>
    <w:rsid w:val="001C52F9"/>
    <w:rPr>
      <w:rFonts w:ascii="Calibri" w:eastAsia="Times New Roman" w:hAnsi="Calibri" w:cs="Calibri"/>
      <w:b/>
      <w:bCs/>
      <w:color w:val="387C2B"/>
      <w:sz w:val="28"/>
      <w:szCs w:val="28"/>
    </w:rPr>
  </w:style>
  <w:style w:type="character" w:customStyle="1" w:styleId="Heading4Char">
    <w:name w:val="Heading 4 Char"/>
    <w:link w:val="Heading4"/>
    <w:rsid w:val="001C52F9"/>
    <w:rPr>
      <w:rFonts w:ascii="Calibri" w:eastAsia="Times New Roman" w:hAnsi="Calibri" w:cs="Calibri"/>
      <w:b/>
      <w:bCs/>
      <w:sz w:val="24"/>
      <w:szCs w:val="24"/>
    </w:rPr>
  </w:style>
  <w:style w:type="character" w:customStyle="1" w:styleId="Heading5Char">
    <w:name w:val="Heading 5 Char"/>
    <w:link w:val="Heading5"/>
    <w:uiPriority w:val="99"/>
    <w:rsid w:val="001C52F9"/>
    <w:rPr>
      <w:rFonts w:ascii="Arial" w:hAnsi="Arial" w:cs="Arial"/>
      <w:i/>
      <w:iCs/>
    </w:rPr>
  </w:style>
  <w:style w:type="character" w:customStyle="1" w:styleId="Heading6Char">
    <w:name w:val="Heading 6 Char"/>
    <w:link w:val="Heading6"/>
    <w:uiPriority w:val="99"/>
    <w:semiHidden/>
    <w:rsid w:val="001C52F9"/>
    <w:rPr>
      <w:b/>
      <w:bCs/>
    </w:rPr>
  </w:style>
  <w:style w:type="character" w:customStyle="1" w:styleId="Heading7Char">
    <w:name w:val="Heading 7 Char"/>
    <w:link w:val="Heading7"/>
    <w:uiPriority w:val="99"/>
    <w:semiHidden/>
    <w:rsid w:val="001C52F9"/>
    <w:rPr>
      <w:sz w:val="24"/>
      <w:szCs w:val="24"/>
    </w:rPr>
  </w:style>
  <w:style w:type="character" w:customStyle="1" w:styleId="Heading8Char">
    <w:name w:val="Heading 8 Char"/>
    <w:link w:val="Heading8"/>
    <w:uiPriority w:val="99"/>
    <w:semiHidden/>
    <w:rsid w:val="001C52F9"/>
    <w:rPr>
      <w:i/>
      <w:iCs/>
      <w:sz w:val="24"/>
      <w:szCs w:val="24"/>
    </w:rPr>
  </w:style>
  <w:style w:type="character" w:customStyle="1" w:styleId="Heading9Char">
    <w:name w:val="Heading 9 Char"/>
    <w:link w:val="Heading9"/>
    <w:uiPriority w:val="99"/>
    <w:semiHidden/>
    <w:rsid w:val="001C52F9"/>
    <w:rPr>
      <w:rFonts w:ascii="Arial" w:eastAsia="Times New Roman" w:hAnsi="Arial" w:cs="Arial"/>
    </w:rPr>
  </w:style>
  <w:style w:type="paragraph" w:styleId="BalloonText">
    <w:name w:val="Balloon Text"/>
    <w:basedOn w:val="Normal"/>
    <w:link w:val="BalloonTextChar"/>
    <w:uiPriority w:val="99"/>
    <w:semiHidden/>
    <w:unhideWhenUsed/>
    <w:rsid w:val="0072174A"/>
    <w:rPr>
      <w:rFonts w:ascii="Tahoma" w:hAnsi="Tahoma" w:cs="Tahoma"/>
      <w:sz w:val="16"/>
      <w:szCs w:val="16"/>
    </w:rPr>
  </w:style>
  <w:style w:type="character" w:customStyle="1" w:styleId="BalloonTextChar">
    <w:name w:val="Balloon Text Char"/>
    <w:basedOn w:val="DefaultParagraphFont"/>
    <w:link w:val="BalloonText"/>
    <w:uiPriority w:val="99"/>
    <w:semiHidden/>
    <w:rsid w:val="0072174A"/>
    <w:rPr>
      <w:rFonts w:ascii="Tahoma" w:eastAsiaTheme="minorEastAsia" w:hAnsi="Tahoma" w:cs="Tahoma"/>
      <w:sz w:val="16"/>
      <w:szCs w:val="16"/>
      <w:lang w:eastAsia="en-NZ"/>
    </w:rPr>
  </w:style>
  <w:style w:type="character" w:styleId="FootnoteReference">
    <w:name w:val="footnote reference"/>
    <w:basedOn w:val="DefaultParagraphFont"/>
    <w:uiPriority w:val="99"/>
    <w:rsid w:val="0072174A"/>
    <w:rPr>
      <w:rFonts w:ascii="Calibri" w:hAnsi="Calibri"/>
      <w:sz w:val="22"/>
      <w:vertAlign w:val="superscript"/>
    </w:rPr>
  </w:style>
  <w:style w:type="paragraph" w:styleId="FootnoteText">
    <w:name w:val="footnote text"/>
    <w:basedOn w:val="Normal"/>
    <w:link w:val="FootnoteTextChar"/>
    <w:rsid w:val="00A968DB"/>
    <w:pPr>
      <w:spacing w:after="60" w:line="240" w:lineRule="atLeast"/>
      <w:ind w:left="397" w:hanging="397"/>
    </w:pPr>
    <w:rPr>
      <w:rFonts w:cs="Times New Roman"/>
      <w:sz w:val="18"/>
      <w:szCs w:val="18"/>
      <w:lang w:val="x-none"/>
    </w:rPr>
  </w:style>
  <w:style w:type="character" w:customStyle="1" w:styleId="FootnoteTextChar">
    <w:name w:val="Footnote Text Char"/>
    <w:basedOn w:val="DefaultParagraphFont"/>
    <w:link w:val="FootnoteText"/>
    <w:rsid w:val="00A968DB"/>
    <w:rPr>
      <w:rFonts w:ascii="Calibri" w:eastAsia="Times New Roman" w:hAnsi="Calibri" w:cs="Times New Roman"/>
      <w:sz w:val="18"/>
      <w:szCs w:val="18"/>
      <w:lang w:val="x-none"/>
    </w:rPr>
  </w:style>
  <w:style w:type="character" w:styleId="CommentReference">
    <w:name w:val="annotation reference"/>
    <w:basedOn w:val="DefaultParagraphFont"/>
    <w:uiPriority w:val="99"/>
    <w:semiHidden/>
    <w:unhideWhenUsed/>
    <w:rsid w:val="0072174A"/>
    <w:rPr>
      <w:sz w:val="16"/>
      <w:szCs w:val="16"/>
    </w:rPr>
  </w:style>
  <w:style w:type="paragraph" w:styleId="CommentText">
    <w:name w:val="annotation text"/>
    <w:basedOn w:val="Normal"/>
    <w:link w:val="CommentTextChar"/>
    <w:uiPriority w:val="99"/>
    <w:semiHidden/>
    <w:unhideWhenUsed/>
    <w:rsid w:val="0072174A"/>
    <w:rPr>
      <w:sz w:val="20"/>
      <w:szCs w:val="20"/>
    </w:rPr>
  </w:style>
  <w:style w:type="character" w:customStyle="1" w:styleId="CommentTextChar">
    <w:name w:val="Comment Text Char"/>
    <w:basedOn w:val="DefaultParagraphFont"/>
    <w:link w:val="CommentText"/>
    <w:uiPriority w:val="99"/>
    <w:semiHidden/>
    <w:rsid w:val="0072174A"/>
    <w:rPr>
      <w:sz w:val="20"/>
      <w:szCs w:val="20"/>
    </w:rPr>
  </w:style>
  <w:style w:type="table" w:styleId="TableGrid">
    <w:name w:val="Table Grid"/>
    <w:basedOn w:val="TableNormal"/>
    <w:uiPriority w:val="59"/>
    <w:rsid w:val="0072174A"/>
    <w:pPr>
      <w:spacing w:after="0" w:line="240" w:lineRule="auto"/>
    </w:pPr>
    <w:rPr>
      <w:rFonts w:eastAsiaTheme="minorEastAsia"/>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2174A"/>
    <w:pPr>
      <w:spacing w:after="240"/>
      <w:jc w:val="both"/>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72174A"/>
    <w:rPr>
      <w:rFonts w:ascii="Times New Roman" w:eastAsia="Times New Roman" w:hAnsi="Times New Roman" w:cs="Times New Roman"/>
      <w:b/>
      <w:bCs/>
      <w:sz w:val="20"/>
      <w:szCs w:val="20"/>
    </w:rPr>
  </w:style>
  <w:style w:type="paragraph" w:styleId="ListParagraph">
    <w:name w:val="List Paragraph"/>
    <w:basedOn w:val="Normal"/>
    <w:link w:val="ListParagraphChar"/>
    <w:uiPriority w:val="34"/>
    <w:qFormat/>
    <w:rsid w:val="001C52F9"/>
    <w:pPr>
      <w:ind w:left="720"/>
    </w:pPr>
  </w:style>
  <w:style w:type="character" w:customStyle="1" w:styleId="ListParagraphChar">
    <w:name w:val="List Paragraph Char"/>
    <w:link w:val="ListParagraph"/>
    <w:uiPriority w:val="34"/>
    <w:locked/>
    <w:rsid w:val="006B2947"/>
    <w:rPr>
      <w:rFonts w:ascii="Calibri" w:eastAsia="Times New Roman" w:hAnsi="Calibri" w:cs="Calibri"/>
    </w:rPr>
  </w:style>
  <w:style w:type="character" w:styleId="Hyperlink">
    <w:name w:val="Hyperlink"/>
    <w:basedOn w:val="DefaultParagraphFont"/>
    <w:uiPriority w:val="99"/>
    <w:rsid w:val="00E87158"/>
    <w:rPr>
      <w:color w:val="14456E"/>
      <w:u w:val="none"/>
    </w:rPr>
  </w:style>
  <w:style w:type="character" w:styleId="FollowedHyperlink">
    <w:name w:val="FollowedHyperlink"/>
    <w:basedOn w:val="DefaultParagraphFont"/>
    <w:uiPriority w:val="99"/>
    <w:semiHidden/>
    <w:rsid w:val="0072174A"/>
    <w:rPr>
      <w:color w:val="800080" w:themeColor="followedHyperlink"/>
      <w:u w:val="none"/>
    </w:rPr>
  </w:style>
  <w:style w:type="paragraph" w:styleId="Revision">
    <w:name w:val="Revision"/>
    <w:hidden/>
    <w:uiPriority w:val="99"/>
    <w:semiHidden/>
    <w:rsid w:val="009F5720"/>
    <w:pPr>
      <w:spacing w:after="0" w:line="240" w:lineRule="auto"/>
    </w:pPr>
    <w:rPr>
      <w:rFonts w:ascii="Times New Roman" w:eastAsia="Times New Roman" w:hAnsi="Times New Roman" w:cs="Times New Roman"/>
      <w:szCs w:val="20"/>
    </w:rPr>
  </w:style>
  <w:style w:type="paragraph" w:styleId="Header">
    <w:name w:val="header"/>
    <w:basedOn w:val="Normal"/>
    <w:link w:val="HeaderChar"/>
    <w:uiPriority w:val="99"/>
    <w:semiHidden/>
    <w:rsid w:val="0072174A"/>
    <w:pPr>
      <w:tabs>
        <w:tab w:val="center" w:pos="4513"/>
        <w:tab w:val="right" w:pos="9026"/>
      </w:tabs>
    </w:pPr>
  </w:style>
  <w:style w:type="character" w:customStyle="1" w:styleId="HeaderChar">
    <w:name w:val="Header Char"/>
    <w:basedOn w:val="DefaultParagraphFont"/>
    <w:link w:val="Header"/>
    <w:uiPriority w:val="99"/>
    <w:semiHidden/>
    <w:rsid w:val="00A64448"/>
    <w:rPr>
      <w:rFonts w:ascii="Calibri" w:hAnsi="Calibri"/>
    </w:rPr>
  </w:style>
  <w:style w:type="paragraph" w:styleId="Footer">
    <w:name w:val="footer"/>
    <w:basedOn w:val="Normal"/>
    <w:link w:val="FooterChar"/>
    <w:semiHidden/>
    <w:rsid w:val="0072174A"/>
    <w:pPr>
      <w:tabs>
        <w:tab w:val="center" w:pos="4513"/>
        <w:tab w:val="right" w:pos="9026"/>
      </w:tabs>
    </w:pPr>
  </w:style>
  <w:style w:type="character" w:customStyle="1" w:styleId="FooterChar">
    <w:name w:val="Footer Char"/>
    <w:basedOn w:val="DefaultParagraphFont"/>
    <w:link w:val="Footer"/>
    <w:semiHidden/>
    <w:rsid w:val="002874EF"/>
    <w:rPr>
      <w:rFonts w:ascii="Calibri" w:hAnsi="Calibri"/>
    </w:rPr>
  </w:style>
  <w:style w:type="paragraph" w:customStyle="1" w:styleId="Default">
    <w:name w:val="Default"/>
    <w:semiHidden/>
    <w:rsid w:val="006C0425"/>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rsid w:val="009F5720"/>
    <w:pPr>
      <w:spacing w:before="100" w:beforeAutospacing="1" w:after="100" w:afterAutospacing="1"/>
    </w:pPr>
    <w:rPr>
      <w:sz w:val="24"/>
      <w:szCs w:val="24"/>
    </w:rPr>
  </w:style>
  <w:style w:type="paragraph" w:styleId="TOCHeading">
    <w:name w:val="TOC Heading"/>
    <w:basedOn w:val="Heading1"/>
    <w:next w:val="Normal"/>
    <w:uiPriority w:val="39"/>
    <w:unhideWhenUsed/>
    <w:qFormat/>
    <w:rsid w:val="00E87158"/>
  </w:style>
  <w:style w:type="paragraph" w:styleId="TOC1">
    <w:name w:val="toc 1"/>
    <w:basedOn w:val="Normal"/>
    <w:next w:val="Normal"/>
    <w:autoRedefine/>
    <w:uiPriority w:val="39"/>
    <w:unhideWhenUsed/>
    <w:rsid w:val="005424B2"/>
    <w:pPr>
      <w:tabs>
        <w:tab w:val="right" w:pos="8493"/>
      </w:tabs>
      <w:spacing w:before="240" w:after="60"/>
      <w:ind w:right="567"/>
    </w:pPr>
  </w:style>
  <w:style w:type="paragraph" w:styleId="TOC2">
    <w:name w:val="toc 2"/>
    <w:basedOn w:val="Normal"/>
    <w:next w:val="Normal"/>
    <w:uiPriority w:val="39"/>
    <w:unhideWhenUsed/>
    <w:rsid w:val="00161552"/>
    <w:pPr>
      <w:tabs>
        <w:tab w:val="left" w:pos="567"/>
        <w:tab w:val="right" w:pos="8494"/>
      </w:tabs>
      <w:spacing w:before="60" w:after="60"/>
      <w:ind w:left="567" w:right="567"/>
    </w:pPr>
    <w:rPr>
      <w:noProof/>
    </w:rPr>
  </w:style>
  <w:style w:type="paragraph" w:styleId="TOC3">
    <w:name w:val="toc 3"/>
    <w:basedOn w:val="Normal"/>
    <w:next w:val="Normal"/>
    <w:autoRedefine/>
    <w:uiPriority w:val="39"/>
    <w:semiHidden/>
    <w:rsid w:val="0072174A"/>
    <w:pPr>
      <w:tabs>
        <w:tab w:val="left" w:pos="1134"/>
        <w:tab w:val="right" w:pos="9060"/>
      </w:tabs>
      <w:spacing w:before="60" w:after="60"/>
      <w:ind w:left="567" w:right="567"/>
    </w:pPr>
  </w:style>
  <w:style w:type="paragraph" w:customStyle="1" w:styleId="Heading">
    <w:name w:val="Heading"/>
    <w:basedOn w:val="Heading1"/>
    <w:next w:val="Normal"/>
    <w:semiHidden/>
    <w:rsid w:val="00E87158"/>
    <w:pPr>
      <w:tabs>
        <w:tab w:val="clear" w:pos="851"/>
        <w:tab w:val="left" w:pos="567"/>
      </w:tabs>
      <w:spacing w:after="120"/>
      <w:outlineLvl w:val="9"/>
    </w:pPr>
    <w:rPr>
      <w:rFonts w:cs="Times New Roman"/>
      <w:bCs w:val="0"/>
      <w:sz w:val="44"/>
      <w:szCs w:val="20"/>
    </w:rPr>
  </w:style>
  <w:style w:type="paragraph" w:styleId="Quote">
    <w:name w:val="Quote"/>
    <w:basedOn w:val="Normal"/>
    <w:next w:val="Normal"/>
    <w:link w:val="QuoteChar"/>
    <w:qFormat/>
    <w:rsid w:val="0075000F"/>
    <w:pPr>
      <w:spacing w:before="60"/>
      <w:ind w:left="397" w:right="397"/>
    </w:pPr>
    <w:rPr>
      <w:iCs/>
      <w:sz w:val="20"/>
    </w:rPr>
  </w:style>
  <w:style w:type="character" w:customStyle="1" w:styleId="QuoteChar">
    <w:name w:val="Quote Char"/>
    <w:basedOn w:val="DefaultParagraphFont"/>
    <w:link w:val="Quote"/>
    <w:rsid w:val="0075000F"/>
    <w:rPr>
      <w:rFonts w:ascii="Calibri" w:hAnsi="Calibri"/>
      <w:iCs/>
      <w:sz w:val="20"/>
    </w:rPr>
  </w:style>
  <w:style w:type="paragraph" w:customStyle="1" w:styleId="Box">
    <w:name w:val="Box"/>
    <w:basedOn w:val="Normal"/>
    <w:next w:val="Normal"/>
    <w:uiPriority w:val="1"/>
    <w:semiHidden/>
    <w:rsid w:val="0072174A"/>
    <w:pPr>
      <w:pBdr>
        <w:top w:val="single" w:sz="6" w:space="15" w:color="auto"/>
        <w:left w:val="single" w:sz="6" w:space="15" w:color="auto"/>
        <w:bottom w:val="single" w:sz="6" w:space="15" w:color="auto"/>
        <w:right w:val="single" w:sz="6" w:space="15" w:color="auto"/>
      </w:pBdr>
      <w:ind w:left="284" w:right="284"/>
    </w:pPr>
    <w:rPr>
      <w:rFonts w:cs="Times New Roman"/>
      <w:szCs w:val="20"/>
    </w:rPr>
  </w:style>
  <w:style w:type="paragraph" w:customStyle="1" w:styleId="Boxbullet">
    <w:name w:val="Box bullet"/>
    <w:basedOn w:val="Box"/>
    <w:uiPriority w:val="1"/>
    <w:semiHidden/>
    <w:rsid w:val="0072174A"/>
    <w:pPr>
      <w:numPr>
        <w:numId w:val="1"/>
      </w:numPr>
    </w:pPr>
  </w:style>
  <w:style w:type="paragraph" w:customStyle="1" w:styleId="Boxheading">
    <w:name w:val="Box heading"/>
    <w:basedOn w:val="Box"/>
    <w:next w:val="Box"/>
    <w:uiPriority w:val="1"/>
    <w:semiHidden/>
    <w:rsid w:val="0072174A"/>
    <w:pPr>
      <w:keepNext/>
    </w:pPr>
    <w:rPr>
      <w:b/>
    </w:rPr>
  </w:style>
  <w:style w:type="paragraph" w:customStyle="1" w:styleId="Bullet">
    <w:name w:val="Bullet"/>
    <w:basedOn w:val="Normal"/>
    <w:qFormat/>
    <w:rsid w:val="001C52F9"/>
    <w:pPr>
      <w:numPr>
        <w:numId w:val="2"/>
      </w:numPr>
    </w:pPr>
  </w:style>
  <w:style w:type="paragraph" w:customStyle="1" w:styleId="Figureheading">
    <w:name w:val="Figure heading"/>
    <w:basedOn w:val="Normal"/>
    <w:next w:val="Normal"/>
    <w:rsid w:val="007E564C"/>
    <w:pPr>
      <w:keepNext/>
      <w:ind w:left="1134" w:hanging="1134"/>
    </w:pPr>
    <w:rPr>
      <w:rFonts w:cs="Times New Roman"/>
      <w:b/>
      <w:sz w:val="20"/>
      <w:szCs w:val="20"/>
    </w:rPr>
  </w:style>
  <w:style w:type="paragraph" w:customStyle="1" w:styleId="Imprint">
    <w:name w:val="Imprint"/>
    <w:basedOn w:val="Normal"/>
    <w:rsid w:val="0072174A"/>
    <w:pPr>
      <w:spacing w:after="240"/>
    </w:pPr>
    <w:rPr>
      <w:rFonts w:cs="Times New Roman"/>
      <w:szCs w:val="20"/>
    </w:rPr>
  </w:style>
  <w:style w:type="paragraph" w:customStyle="1" w:styleId="Note">
    <w:name w:val="Note"/>
    <w:basedOn w:val="Normal"/>
    <w:next w:val="Normal"/>
    <w:semiHidden/>
    <w:rsid w:val="0072174A"/>
    <w:pPr>
      <w:tabs>
        <w:tab w:val="left" w:pos="680"/>
      </w:tabs>
      <w:spacing w:after="240"/>
      <w:ind w:left="680" w:hanging="680"/>
    </w:pPr>
    <w:rPr>
      <w:rFonts w:cs="Times New Roman"/>
      <w:sz w:val="16"/>
      <w:szCs w:val="20"/>
    </w:rPr>
  </w:style>
  <w:style w:type="character" w:styleId="PageNumber">
    <w:name w:val="page number"/>
    <w:basedOn w:val="DefaultParagraphFont"/>
    <w:semiHidden/>
    <w:rsid w:val="0072174A"/>
    <w:rPr>
      <w:rFonts w:ascii="Arial" w:hAnsi="Arial" w:cs="Arial"/>
      <w:b/>
      <w:bCs/>
      <w:sz w:val="20"/>
      <w:szCs w:val="20"/>
    </w:rPr>
  </w:style>
  <w:style w:type="paragraph" w:customStyle="1" w:styleId="References">
    <w:name w:val="References"/>
    <w:basedOn w:val="Normal"/>
    <w:rsid w:val="00BD1B9F"/>
    <w:rPr>
      <w:rFonts w:cs="Times New Roman"/>
      <w:sz w:val="20"/>
      <w:szCs w:val="20"/>
    </w:rPr>
  </w:style>
  <w:style w:type="paragraph" w:customStyle="1" w:styleId="Source">
    <w:name w:val="Source"/>
    <w:basedOn w:val="Normal"/>
    <w:next w:val="Normal"/>
    <w:semiHidden/>
    <w:rsid w:val="0072174A"/>
    <w:pPr>
      <w:tabs>
        <w:tab w:val="left" w:pos="680"/>
      </w:tabs>
      <w:spacing w:after="240"/>
    </w:pPr>
    <w:rPr>
      <w:rFonts w:cs="Times New Roman"/>
      <w:sz w:val="16"/>
      <w:szCs w:val="20"/>
    </w:rPr>
  </w:style>
  <w:style w:type="paragraph" w:styleId="Title">
    <w:name w:val="Title"/>
    <w:basedOn w:val="Normal"/>
    <w:next w:val="Normal"/>
    <w:link w:val="TitleChar"/>
    <w:semiHidden/>
    <w:rsid w:val="00F82CE8"/>
    <w:pPr>
      <w:spacing w:after="600"/>
    </w:pPr>
    <w:rPr>
      <w:rFonts w:eastAsiaTheme="majorEastAsia" w:cstheme="majorBidi"/>
      <w:b/>
      <w:color w:val="00264C"/>
      <w:sz w:val="52"/>
      <w:szCs w:val="52"/>
      <w:lang w:eastAsia="en-NZ"/>
    </w:rPr>
  </w:style>
  <w:style w:type="character" w:customStyle="1" w:styleId="TitleChar">
    <w:name w:val="Title Char"/>
    <w:basedOn w:val="DefaultParagraphFont"/>
    <w:link w:val="Title"/>
    <w:semiHidden/>
    <w:rsid w:val="002874EF"/>
    <w:rPr>
      <w:rFonts w:ascii="Calibri" w:eastAsiaTheme="majorEastAsia" w:hAnsi="Calibri" w:cstheme="majorBidi"/>
      <w:b/>
      <w:color w:val="00264C"/>
      <w:sz w:val="52"/>
      <w:szCs w:val="52"/>
      <w:lang w:eastAsia="en-NZ"/>
    </w:rPr>
  </w:style>
  <w:style w:type="paragraph" w:styleId="Subtitle">
    <w:name w:val="Subtitle"/>
    <w:basedOn w:val="Normal"/>
    <w:link w:val="SubtitleChar"/>
    <w:qFormat/>
    <w:rsid w:val="001C52F9"/>
    <w:pPr>
      <w:outlineLvl w:val="1"/>
    </w:pPr>
    <w:rPr>
      <w:b/>
      <w:bCs/>
      <w:caps/>
      <w:color w:val="005984"/>
      <w:spacing w:val="10"/>
      <w:sz w:val="28"/>
      <w:szCs w:val="28"/>
    </w:rPr>
  </w:style>
  <w:style w:type="character" w:customStyle="1" w:styleId="SubtitleChar">
    <w:name w:val="Subtitle Char"/>
    <w:link w:val="Subtitle"/>
    <w:rsid w:val="001C52F9"/>
    <w:rPr>
      <w:rFonts w:ascii="Calibri" w:eastAsia="Times New Roman" w:hAnsi="Calibri" w:cs="Calibri"/>
      <w:b/>
      <w:bCs/>
      <w:caps/>
      <w:color w:val="005984"/>
      <w:spacing w:val="10"/>
      <w:sz w:val="28"/>
      <w:szCs w:val="28"/>
    </w:rPr>
  </w:style>
  <w:style w:type="paragraph" w:customStyle="1" w:styleId="Tableheading">
    <w:name w:val="Table heading"/>
    <w:basedOn w:val="Normal"/>
    <w:next w:val="Normal"/>
    <w:rsid w:val="000A7A4C"/>
    <w:pPr>
      <w:keepNext/>
      <w:ind w:left="1134" w:hanging="1134"/>
    </w:pPr>
    <w:rPr>
      <w:rFonts w:cs="Times New Roman"/>
      <w:b/>
      <w:sz w:val="20"/>
      <w:szCs w:val="20"/>
    </w:rPr>
  </w:style>
  <w:style w:type="paragraph" w:customStyle="1" w:styleId="TableText">
    <w:name w:val="TableText"/>
    <w:basedOn w:val="Normal"/>
    <w:rsid w:val="00EB76E2"/>
    <w:pPr>
      <w:spacing w:before="60" w:after="60"/>
    </w:pPr>
    <w:rPr>
      <w:sz w:val="18"/>
      <w:szCs w:val="18"/>
    </w:rPr>
  </w:style>
  <w:style w:type="paragraph" w:customStyle="1" w:styleId="TableTextbold">
    <w:name w:val="TableText bold"/>
    <w:basedOn w:val="TableText"/>
    <w:rsid w:val="0072174A"/>
    <w:rPr>
      <w:b/>
    </w:rPr>
  </w:style>
  <w:style w:type="paragraph" w:customStyle="1" w:styleId="Captions">
    <w:name w:val="Captions"/>
    <w:basedOn w:val="Note"/>
    <w:next w:val="Normal"/>
    <w:semiHidden/>
    <w:rsid w:val="009F5720"/>
    <w:pPr>
      <w:tabs>
        <w:tab w:val="clear" w:pos="680"/>
        <w:tab w:val="left" w:pos="851"/>
      </w:tabs>
      <w:ind w:left="0" w:firstLine="0"/>
    </w:pPr>
  </w:style>
  <w:style w:type="paragraph" w:customStyle="1" w:styleId="Glossary">
    <w:name w:val="Glossary"/>
    <w:basedOn w:val="Normal"/>
    <w:semiHidden/>
    <w:rsid w:val="0072174A"/>
    <w:pPr>
      <w:tabs>
        <w:tab w:val="left" w:pos="2835"/>
      </w:tabs>
      <w:spacing w:after="240"/>
      <w:ind w:left="2835" w:hanging="2835"/>
    </w:pPr>
    <w:rPr>
      <w:rFonts w:ascii="Times New Roman" w:hAnsi="Times New Roman" w:cs="Times New Roman"/>
      <w:szCs w:val="20"/>
    </w:rPr>
  </w:style>
  <w:style w:type="paragraph" w:customStyle="1" w:styleId="Footerodd">
    <w:name w:val="Footer odd"/>
    <w:basedOn w:val="Normal"/>
    <w:rsid w:val="0072174A"/>
    <w:pPr>
      <w:tabs>
        <w:tab w:val="right" w:pos="7938"/>
        <w:tab w:val="right" w:pos="8505"/>
      </w:tabs>
    </w:pPr>
    <w:rPr>
      <w:sz w:val="18"/>
      <w:szCs w:val="16"/>
    </w:rPr>
  </w:style>
  <w:style w:type="paragraph" w:customStyle="1" w:styleId="Footereven">
    <w:name w:val="Footer even"/>
    <w:basedOn w:val="Normal"/>
    <w:rsid w:val="0072174A"/>
    <w:pPr>
      <w:tabs>
        <w:tab w:val="left" w:pos="567"/>
      </w:tabs>
    </w:pPr>
    <w:rPr>
      <w:sz w:val="18"/>
      <w:szCs w:val="16"/>
    </w:rPr>
  </w:style>
  <w:style w:type="paragraph" w:customStyle="1" w:styleId="Numberedparagraph">
    <w:name w:val="Numbered paragraph"/>
    <w:basedOn w:val="Normal"/>
    <w:semiHidden/>
    <w:rsid w:val="0072174A"/>
    <w:pPr>
      <w:numPr>
        <w:numId w:val="3"/>
      </w:numPr>
    </w:pPr>
    <w:rPr>
      <w:rFonts w:ascii="Times New Roman" w:hAnsi="Times New Roman" w:cs="Times New Roman"/>
      <w:szCs w:val="20"/>
    </w:rPr>
  </w:style>
  <w:style w:type="paragraph" w:customStyle="1" w:styleId="Sub-lista">
    <w:name w:val="Sub-list a"/>
    <w:aliases w:val="b,Body text a"/>
    <w:basedOn w:val="BodyText"/>
    <w:semiHidden/>
    <w:rsid w:val="0072174A"/>
    <w:pPr>
      <w:numPr>
        <w:numId w:val="12"/>
      </w:numPr>
    </w:pPr>
  </w:style>
  <w:style w:type="paragraph" w:styleId="EndnoteText">
    <w:name w:val="endnote text"/>
    <w:basedOn w:val="Normal"/>
    <w:link w:val="EndnoteTextChar"/>
    <w:semiHidden/>
    <w:rsid w:val="0072174A"/>
    <w:pPr>
      <w:spacing w:line="240" w:lineRule="exact"/>
      <w:ind w:left="397" w:hanging="397"/>
    </w:pPr>
    <w:rPr>
      <w:sz w:val="20"/>
      <w:szCs w:val="20"/>
    </w:rPr>
  </w:style>
  <w:style w:type="character" w:customStyle="1" w:styleId="EndnoteTextChar">
    <w:name w:val="Endnote Text Char"/>
    <w:basedOn w:val="DefaultParagraphFont"/>
    <w:link w:val="EndnoteText"/>
    <w:semiHidden/>
    <w:rsid w:val="0072174A"/>
    <w:rPr>
      <w:rFonts w:ascii="Calibri" w:eastAsiaTheme="minorEastAsia" w:hAnsi="Calibri"/>
      <w:sz w:val="20"/>
      <w:szCs w:val="20"/>
      <w:lang w:eastAsia="en-NZ"/>
    </w:rPr>
  </w:style>
  <w:style w:type="paragraph" w:styleId="TableofFigures">
    <w:name w:val="table of figures"/>
    <w:basedOn w:val="Normal"/>
    <w:next w:val="Normal"/>
    <w:uiPriority w:val="99"/>
    <w:rsid w:val="0018011C"/>
    <w:pPr>
      <w:ind w:left="1134" w:right="567" w:hanging="1134"/>
    </w:pPr>
    <w:rPr>
      <w:rFonts w:cs="Times New Roman"/>
      <w:sz w:val="20"/>
      <w:szCs w:val="20"/>
    </w:rPr>
  </w:style>
  <w:style w:type="paragraph" w:customStyle="1" w:styleId="Sub-listi">
    <w:name w:val="Sub-list i"/>
    <w:aliases w:val="ii"/>
    <w:basedOn w:val="BodyText"/>
    <w:semiHidden/>
    <w:rsid w:val="0072174A"/>
    <w:pPr>
      <w:numPr>
        <w:numId w:val="4"/>
      </w:numPr>
      <w:spacing w:before="60" w:after="60"/>
      <w:jc w:val="both"/>
    </w:pPr>
    <w:rPr>
      <w:rFonts w:ascii="Times New Roman" w:hAnsi="Times New Roman" w:cs="Times New Roman"/>
      <w:szCs w:val="20"/>
    </w:rPr>
  </w:style>
  <w:style w:type="paragraph" w:customStyle="1" w:styleId="TableBullet">
    <w:name w:val="TableBullet"/>
    <w:basedOn w:val="Normal"/>
    <w:rsid w:val="003225B7"/>
    <w:pPr>
      <w:numPr>
        <w:numId w:val="5"/>
      </w:numPr>
      <w:spacing w:after="60"/>
    </w:pPr>
    <w:rPr>
      <w:sz w:val="18"/>
      <w:szCs w:val="16"/>
      <w:lang w:eastAsia="en-NZ"/>
    </w:rPr>
  </w:style>
  <w:style w:type="paragraph" w:customStyle="1" w:styleId="TableDash">
    <w:name w:val="TableDash"/>
    <w:basedOn w:val="Normal"/>
    <w:rsid w:val="00A64448"/>
    <w:pPr>
      <w:numPr>
        <w:ilvl w:val="1"/>
        <w:numId w:val="7"/>
      </w:numPr>
      <w:tabs>
        <w:tab w:val="left" w:pos="397"/>
      </w:tabs>
      <w:spacing w:before="80" w:after="40"/>
    </w:pPr>
    <w:rPr>
      <w:rFonts w:cs="Times New Roman"/>
      <w:sz w:val="18"/>
      <w:szCs w:val="20"/>
    </w:rPr>
  </w:style>
  <w:style w:type="paragraph" w:styleId="z-BottomofForm">
    <w:name w:val="HTML Bottom of Form"/>
    <w:basedOn w:val="Normal"/>
    <w:next w:val="Normal"/>
    <w:link w:val="z-BottomofFormChar"/>
    <w:hidden/>
    <w:uiPriority w:val="99"/>
    <w:semiHidden/>
    <w:unhideWhenUsed/>
    <w:rsid w:val="009F5720"/>
    <w:pPr>
      <w:pBdr>
        <w:top w:val="single" w:sz="6" w:space="1" w:color="auto"/>
      </w:pBdr>
      <w:jc w:val="center"/>
    </w:pPr>
    <w:rPr>
      <w:rFonts w:eastAsia="Calibri"/>
      <w:vanish/>
      <w:sz w:val="16"/>
      <w:szCs w:val="16"/>
    </w:rPr>
  </w:style>
  <w:style w:type="character" w:customStyle="1" w:styleId="z-BottomofFormChar">
    <w:name w:val="z-Bottom of Form Char"/>
    <w:basedOn w:val="DefaultParagraphFont"/>
    <w:link w:val="z-BottomofForm"/>
    <w:uiPriority w:val="99"/>
    <w:semiHidden/>
    <w:rsid w:val="009F5720"/>
    <w:rPr>
      <w:rFonts w:ascii="Arial" w:eastAsia="Calibri" w:hAnsi="Arial"/>
      <w:vanish/>
      <w:sz w:val="16"/>
      <w:szCs w:val="16"/>
      <w:lang w:val="en-US" w:eastAsia="en-NZ"/>
    </w:rPr>
  </w:style>
  <w:style w:type="paragraph" w:styleId="z-TopofForm">
    <w:name w:val="HTML Top of Form"/>
    <w:basedOn w:val="Normal"/>
    <w:next w:val="Normal"/>
    <w:link w:val="z-TopofFormChar"/>
    <w:hidden/>
    <w:uiPriority w:val="99"/>
    <w:semiHidden/>
    <w:unhideWhenUsed/>
    <w:rsid w:val="009F5720"/>
    <w:pPr>
      <w:pBdr>
        <w:bottom w:val="single" w:sz="6" w:space="1" w:color="auto"/>
      </w:pBdr>
      <w:jc w:val="center"/>
    </w:pPr>
    <w:rPr>
      <w:rFonts w:eastAsia="Calibri"/>
      <w:vanish/>
      <w:sz w:val="16"/>
      <w:szCs w:val="16"/>
    </w:rPr>
  </w:style>
  <w:style w:type="character" w:customStyle="1" w:styleId="z-TopofFormChar">
    <w:name w:val="z-Top of Form Char"/>
    <w:basedOn w:val="DefaultParagraphFont"/>
    <w:link w:val="z-TopofForm"/>
    <w:uiPriority w:val="99"/>
    <w:semiHidden/>
    <w:rsid w:val="009F5720"/>
    <w:rPr>
      <w:rFonts w:ascii="Arial" w:eastAsia="Calibri" w:hAnsi="Arial"/>
      <w:vanish/>
      <w:sz w:val="16"/>
      <w:szCs w:val="16"/>
      <w:lang w:val="en-US" w:eastAsia="en-NZ"/>
    </w:rPr>
  </w:style>
  <w:style w:type="table" w:styleId="MediumShading1-Accent2">
    <w:name w:val="Medium Shading 1 Accent 2"/>
    <w:basedOn w:val="TableNormal"/>
    <w:uiPriority w:val="63"/>
    <w:rsid w:val="009F5720"/>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LightList-Accent5">
    <w:name w:val="Light List Accent 5"/>
    <w:basedOn w:val="TableNormal"/>
    <w:uiPriority w:val="61"/>
    <w:rsid w:val="009F5720"/>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Grid-Accent5">
    <w:name w:val="Light Grid Accent 5"/>
    <w:basedOn w:val="TableNormal"/>
    <w:uiPriority w:val="62"/>
    <w:rsid w:val="009F5720"/>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Accent11">
    <w:name w:val="Light Grid - Accent 11"/>
    <w:basedOn w:val="TableNormal"/>
    <w:uiPriority w:val="62"/>
    <w:rsid w:val="009F572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Shading-Accent11">
    <w:name w:val="Light Shading - Accent 11"/>
    <w:basedOn w:val="TableNormal"/>
    <w:uiPriority w:val="60"/>
    <w:rsid w:val="009F572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List-Accent11">
    <w:name w:val="Light List - Accent 11"/>
    <w:basedOn w:val="TableNormal"/>
    <w:uiPriority w:val="61"/>
    <w:rsid w:val="009F572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Heading1-lightblue">
    <w:name w:val="Heading 1 - light blue"/>
    <w:basedOn w:val="Heading1"/>
    <w:next w:val="BodyText"/>
    <w:semiHidden/>
    <w:qFormat/>
    <w:rsid w:val="009F5720"/>
  </w:style>
  <w:style w:type="character" w:styleId="Strong">
    <w:name w:val="Strong"/>
    <w:uiPriority w:val="99"/>
    <w:qFormat/>
    <w:rsid w:val="001C52F9"/>
    <w:rPr>
      <w:b/>
      <w:bCs/>
    </w:rPr>
  </w:style>
  <w:style w:type="paragraph" w:customStyle="1" w:styleId="Boxa">
    <w:name w:val="Box a"/>
    <w:aliases w:val="b list"/>
    <w:basedOn w:val="Sub-listi"/>
    <w:semiHidden/>
    <w:qFormat/>
    <w:rsid w:val="009F5720"/>
    <w:pPr>
      <w:numPr>
        <w:ilvl w:val="1"/>
        <w:numId w:val="6"/>
      </w:numPr>
      <w:pBdr>
        <w:top w:val="single" w:sz="6" w:space="15" w:color="0092CF"/>
        <w:left w:val="single" w:sz="6" w:space="15" w:color="0092CF"/>
        <w:bottom w:val="single" w:sz="6" w:space="15" w:color="0092CF"/>
        <w:right w:val="single" w:sz="6" w:space="15" w:color="0092CF"/>
      </w:pBdr>
      <w:tabs>
        <w:tab w:val="left" w:pos="426"/>
      </w:tabs>
      <w:spacing w:before="120" w:after="0"/>
      <w:ind w:right="284"/>
    </w:pPr>
    <w:rPr>
      <w:color w:val="0092CF"/>
      <w:sz w:val="20"/>
    </w:rPr>
  </w:style>
  <w:style w:type="character" w:styleId="EndnoteReference">
    <w:name w:val="endnote reference"/>
    <w:basedOn w:val="DefaultParagraphFont"/>
    <w:uiPriority w:val="99"/>
    <w:semiHidden/>
    <w:unhideWhenUsed/>
    <w:rsid w:val="0072174A"/>
    <w:rPr>
      <w:vertAlign w:val="superscript"/>
    </w:rPr>
  </w:style>
  <w:style w:type="table" w:customStyle="1" w:styleId="TableGrid1">
    <w:name w:val="Table Grid1"/>
    <w:basedOn w:val="TableNormal"/>
    <w:next w:val="TableGrid"/>
    <w:uiPriority w:val="59"/>
    <w:rsid w:val="009E538A"/>
    <w:pPr>
      <w:spacing w:after="0" w:line="240" w:lineRule="auto"/>
      <w:jc w:val="both"/>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title-lightbrown">
    <w:name w:val="Section title - light brown"/>
    <w:basedOn w:val="Sectiontitle-darkbrown"/>
    <w:next w:val="BodyText"/>
    <w:semiHidden/>
    <w:qFormat/>
    <w:rsid w:val="0072174A"/>
    <w:rPr>
      <w:color w:val="F4D19C"/>
    </w:rPr>
  </w:style>
  <w:style w:type="paragraph" w:customStyle="1" w:styleId="Sectiontitle-darkbrown">
    <w:name w:val="Section title - dark brown"/>
    <w:basedOn w:val="Heading1"/>
    <w:semiHidden/>
    <w:qFormat/>
    <w:rsid w:val="0072174A"/>
    <w:pPr>
      <w:spacing w:after="0"/>
    </w:pPr>
    <w:rPr>
      <w:sz w:val="72"/>
    </w:rPr>
  </w:style>
  <w:style w:type="paragraph" w:customStyle="1" w:styleId="Tablehead">
    <w:name w:val="Tablehead"/>
    <w:basedOn w:val="Normal"/>
    <w:semiHidden/>
    <w:rsid w:val="0072174A"/>
    <w:pPr>
      <w:keepNext/>
      <w:spacing w:before="60" w:after="60"/>
      <w:outlineLvl w:val="0"/>
    </w:pPr>
    <w:rPr>
      <w:rFonts w:cs="Times New Roman"/>
      <w:b/>
      <w:bCs/>
      <w:sz w:val="18"/>
      <w:szCs w:val="20"/>
    </w:rPr>
  </w:style>
  <w:style w:type="paragraph" w:customStyle="1" w:styleId="Sub-bullet">
    <w:name w:val="Sub-bullet"/>
    <w:basedOn w:val="ListParagraph"/>
    <w:next w:val="BodyText"/>
    <w:qFormat/>
    <w:rsid w:val="0072174A"/>
    <w:pPr>
      <w:numPr>
        <w:ilvl w:val="1"/>
        <w:numId w:val="8"/>
      </w:numPr>
      <w:ind w:left="794" w:hanging="397"/>
    </w:pPr>
    <w:rPr>
      <w:rFonts w:cs="Times New Roman"/>
    </w:rPr>
  </w:style>
  <w:style w:type="paragraph" w:customStyle="1" w:styleId="Boxnumbered">
    <w:name w:val="Box numbered"/>
    <w:basedOn w:val="Boxbullet"/>
    <w:next w:val="BodyText"/>
    <w:semiHidden/>
    <w:qFormat/>
    <w:rsid w:val="0072174A"/>
    <w:pPr>
      <w:numPr>
        <w:numId w:val="9"/>
      </w:numPr>
    </w:pPr>
  </w:style>
  <w:style w:type="paragraph" w:customStyle="1" w:styleId="Greenbullet-tables">
    <w:name w:val="Green bullet - tables"/>
    <w:basedOn w:val="Bullet"/>
    <w:rsid w:val="0072174A"/>
    <w:pPr>
      <w:numPr>
        <w:numId w:val="10"/>
      </w:numPr>
      <w:ind w:left="681" w:right="284" w:hanging="397"/>
    </w:pPr>
    <w:rPr>
      <w:color w:val="677719"/>
    </w:rPr>
  </w:style>
  <w:style w:type="paragraph" w:customStyle="1" w:styleId="Brownboxheading">
    <w:name w:val="Brown box heading"/>
    <w:basedOn w:val="Boxheading"/>
    <w:uiPriority w:val="1"/>
    <w:semiHidden/>
    <w:qFormat/>
    <w:rsid w:val="0072174A"/>
    <w:pPr>
      <w:keepLines/>
      <w:pBdr>
        <w:top w:val="single" w:sz="4" w:space="15" w:color="F3CC97"/>
        <w:left w:val="single" w:sz="4" w:space="15" w:color="F3CC97"/>
        <w:bottom w:val="single" w:sz="4" w:space="15" w:color="F3CC97"/>
        <w:right w:val="single" w:sz="4" w:space="15" w:color="F3CC97"/>
      </w:pBdr>
      <w:shd w:val="clear" w:color="B47015" w:fill="F3CC97"/>
    </w:pPr>
    <w:rPr>
      <w:color w:val="B47015"/>
      <w:szCs w:val="22"/>
    </w:rPr>
  </w:style>
  <w:style w:type="paragraph" w:customStyle="1" w:styleId="Brownboxtext">
    <w:name w:val="Brown box text"/>
    <w:basedOn w:val="Box"/>
    <w:uiPriority w:val="1"/>
    <w:semiHidden/>
    <w:qFormat/>
    <w:rsid w:val="0072174A"/>
    <w:pPr>
      <w:pBdr>
        <w:top w:val="single" w:sz="4" w:space="15" w:color="F3CC97"/>
        <w:left w:val="single" w:sz="4" w:space="15" w:color="F3CC97"/>
        <w:bottom w:val="single" w:sz="4" w:space="15" w:color="F3CC97"/>
        <w:right w:val="single" w:sz="4" w:space="15" w:color="F3CC97"/>
      </w:pBdr>
      <w:shd w:val="clear" w:color="B47015" w:fill="F3CC97"/>
    </w:pPr>
    <w:rPr>
      <w:color w:val="B47015"/>
      <w:szCs w:val="22"/>
    </w:rPr>
  </w:style>
  <w:style w:type="paragraph" w:customStyle="1" w:styleId="Casestudyheading">
    <w:name w:val="Case study heading"/>
    <w:basedOn w:val="BodyText"/>
    <w:rsid w:val="0072174A"/>
    <w:pPr>
      <w:keepNext/>
      <w:spacing w:before="160"/>
      <w:ind w:left="284"/>
    </w:pPr>
    <w:rPr>
      <w:b/>
      <w:caps/>
    </w:rPr>
  </w:style>
  <w:style w:type="paragraph" w:customStyle="1" w:styleId="Greentext-tables">
    <w:name w:val="Green text - tables"/>
    <w:basedOn w:val="BodyText"/>
    <w:rsid w:val="0072174A"/>
    <w:pPr>
      <w:ind w:left="284" w:right="284"/>
    </w:pPr>
    <w:rPr>
      <w:color w:val="677719"/>
    </w:rPr>
  </w:style>
  <w:style w:type="paragraph" w:customStyle="1" w:styleId="Questionsub-bullet">
    <w:name w:val="Question sub-bullet"/>
    <w:basedOn w:val="Sub-bullet"/>
    <w:semiHidden/>
    <w:qFormat/>
    <w:rsid w:val="0072174A"/>
    <w:pPr>
      <w:ind w:left="1077" w:right="284"/>
    </w:pPr>
    <w:rPr>
      <w:color w:val="E36F1E"/>
    </w:rPr>
  </w:style>
  <w:style w:type="paragraph" w:customStyle="1" w:styleId="Heading1-lightbrown">
    <w:name w:val="Heading 1 - light brown"/>
    <w:basedOn w:val="Heading1"/>
    <w:next w:val="BodyText"/>
    <w:semiHidden/>
    <w:qFormat/>
    <w:rsid w:val="0072174A"/>
    <w:rPr>
      <w:color w:val="F1B78E"/>
    </w:rPr>
  </w:style>
  <w:style w:type="paragraph" w:customStyle="1" w:styleId="Browntextnumbered">
    <w:name w:val="Brown text numbered"/>
    <w:basedOn w:val="BodyText"/>
    <w:semiHidden/>
    <w:qFormat/>
    <w:rsid w:val="0072174A"/>
    <w:pPr>
      <w:numPr>
        <w:numId w:val="11"/>
      </w:numPr>
      <w:ind w:left="681" w:right="284" w:hanging="397"/>
    </w:pPr>
    <w:rPr>
      <w:color w:val="B47015"/>
    </w:rPr>
  </w:style>
  <w:style w:type="paragraph" w:customStyle="1" w:styleId="Quotebullet">
    <w:name w:val="Quote bullet"/>
    <w:basedOn w:val="Bullet"/>
    <w:qFormat/>
    <w:rsid w:val="0072174A"/>
    <w:pPr>
      <w:tabs>
        <w:tab w:val="clear" w:pos="397"/>
      </w:tabs>
      <w:ind w:left="794" w:right="397"/>
    </w:pPr>
    <w:rPr>
      <w:sz w:val="20"/>
    </w:rPr>
  </w:style>
  <w:style w:type="paragraph" w:customStyle="1" w:styleId="Greenheading-tables">
    <w:name w:val="Green heading - tables"/>
    <w:basedOn w:val="Greentext-tables"/>
    <w:rsid w:val="0072174A"/>
    <w:pPr>
      <w:keepNext/>
      <w:spacing w:before="240" w:after="0"/>
    </w:pPr>
    <w:rPr>
      <w:b/>
    </w:rPr>
  </w:style>
  <w:style w:type="paragraph" w:customStyle="1" w:styleId="Bodytextnumbered">
    <w:name w:val="Body text numbered"/>
    <w:basedOn w:val="BodyText"/>
    <w:uiPriority w:val="1"/>
    <w:semiHidden/>
    <w:rsid w:val="00F82CE8"/>
    <w:pPr>
      <w:numPr>
        <w:numId w:val="14"/>
      </w:numPr>
    </w:pPr>
  </w:style>
  <w:style w:type="paragraph" w:customStyle="1" w:styleId="HeadingnotforTOC">
    <w:name w:val="Heading not for TOC"/>
    <w:basedOn w:val="BodyText"/>
    <w:semiHidden/>
    <w:qFormat/>
    <w:rsid w:val="0072174A"/>
    <w:pPr>
      <w:keepNext/>
      <w:spacing w:after="360"/>
    </w:pPr>
    <w:rPr>
      <w:b/>
      <w:color w:val="F4D19C"/>
      <w:sz w:val="64"/>
      <w:szCs w:val="64"/>
    </w:rPr>
  </w:style>
  <w:style w:type="paragraph" w:customStyle="1" w:styleId="Questiontext">
    <w:name w:val="Question text"/>
    <w:basedOn w:val="Greentext-tables"/>
    <w:semiHidden/>
    <w:qFormat/>
    <w:rsid w:val="0072174A"/>
    <w:rPr>
      <w:color w:val="E36F1E"/>
    </w:rPr>
  </w:style>
  <w:style w:type="paragraph" w:customStyle="1" w:styleId="Questionbullet">
    <w:name w:val="Question bullet"/>
    <w:basedOn w:val="Greenbullet-tables"/>
    <w:semiHidden/>
    <w:qFormat/>
    <w:rsid w:val="0072174A"/>
    <w:pPr>
      <w:numPr>
        <w:numId w:val="13"/>
      </w:numPr>
      <w:ind w:left="681" w:hanging="397"/>
    </w:pPr>
    <w:rPr>
      <w:color w:val="E36F1E"/>
    </w:rPr>
  </w:style>
  <w:style w:type="paragraph" w:customStyle="1" w:styleId="Questionheading">
    <w:name w:val="Question heading"/>
    <w:basedOn w:val="Greenheading-tables"/>
    <w:semiHidden/>
    <w:qFormat/>
    <w:rsid w:val="0072174A"/>
    <w:rPr>
      <w:color w:val="E36F1E"/>
    </w:rPr>
  </w:style>
  <w:style w:type="paragraph" w:styleId="PlainText">
    <w:name w:val="Plain Text"/>
    <w:basedOn w:val="Normal"/>
    <w:link w:val="PlainTextChar"/>
    <w:uiPriority w:val="99"/>
    <w:semiHidden/>
    <w:rsid w:val="0072174A"/>
    <w:pPr>
      <w:spacing w:after="240"/>
    </w:pPr>
    <w:rPr>
      <w:rFonts w:ascii="Consolas" w:eastAsia="Calibri" w:hAnsi="Consolas" w:cs="Times New Roman"/>
      <w:sz w:val="21"/>
      <w:szCs w:val="21"/>
    </w:rPr>
  </w:style>
  <w:style w:type="character" w:customStyle="1" w:styleId="PlainTextChar">
    <w:name w:val="Plain Text Char"/>
    <w:basedOn w:val="DefaultParagraphFont"/>
    <w:link w:val="PlainText"/>
    <w:uiPriority w:val="99"/>
    <w:semiHidden/>
    <w:rsid w:val="0072174A"/>
    <w:rPr>
      <w:rFonts w:ascii="Consolas" w:eastAsia="Calibri" w:hAnsi="Consolas" w:cs="Times New Roman"/>
      <w:sz w:val="21"/>
      <w:szCs w:val="21"/>
      <w:lang w:eastAsia="en-NZ"/>
    </w:rPr>
  </w:style>
  <w:style w:type="paragraph" w:customStyle="1" w:styleId="Questionforconsultationfeedback">
    <w:name w:val="Question for consultation feedback"/>
    <w:basedOn w:val="BodyText"/>
    <w:semiHidden/>
    <w:qFormat/>
    <w:rsid w:val="0072174A"/>
    <w:pPr>
      <w:spacing w:after="240"/>
      <w:jc w:val="both"/>
    </w:pPr>
    <w:rPr>
      <w:rFonts w:ascii="Times New Roman" w:hAnsi="Times New Roman" w:cs="Times New Roman"/>
      <w:i/>
      <w:szCs w:val="20"/>
    </w:rPr>
  </w:style>
  <w:style w:type="character" w:styleId="HTMLDefinition">
    <w:name w:val="HTML Definition"/>
    <w:basedOn w:val="DefaultParagraphFont"/>
    <w:uiPriority w:val="99"/>
    <w:semiHidden/>
    <w:unhideWhenUsed/>
    <w:rsid w:val="00B66B46"/>
    <w:rPr>
      <w:i/>
      <w:iCs/>
    </w:rPr>
  </w:style>
  <w:style w:type="character" w:customStyle="1" w:styleId="label2">
    <w:name w:val="label2"/>
    <w:basedOn w:val="DefaultParagraphFont"/>
    <w:rsid w:val="00B66B46"/>
  </w:style>
  <w:style w:type="character" w:customStyle="1" w:styleId="label3">
    <w:name w:val="label3"/>
    <w:basedOn w:val="DefaultParagraphFont"/>
    <w:rsid w:val="00B66B46"/>
  </w:style>
  <w:style w:type="paragraph" w:customStyle="1" w:styleId="text5">
    <w:name w:val="text5"/>
    <w:basedOn w:val="Normal"/>
    <w:rsid w:val="00B66B46"/>
    <w:pPr>
      <w:spacing w:before="83" w:after="216" w:line="288" w:lineRule="atLeast"/>
    </w:pPr>
    <w:rPr>
      <w:rFonts w:ascii="Times New Roman" w:hAnsi="Times New Roman" w:cs="Times New Roman"/>
      <w:sz w:val="24"/>
      <w:szCs w:val="24"/>
      <w:lang w:eastAsia="en-NZ"/>
    </w:rPr>
  </w:style>
  <w:style w:type="character" w:styleId="Emphasis">
    <w:name w:val="Emphasis"/>
    <w:uiPriority w:val="99"/>
    <w:qFormat/>
    <w:rsid w:val="001C52F9"/>
    <w:rPr>
      <w:i/>
      <w:iCs/>
    </w:rPr>
  </w:style>
  <w:style w:type="character" w:styleId="IntenseEmphasis">
    <w:name w:val="Intense Emphasis"/>
    <w:uiPriority w:val="21"/>
    <w:qFormat/>
    <w:rsid w:val="001C52F9"/>
    <w:rPr>
      <w:b/>
      <w:bCs/>
      <w:i/>
      <w:iCs/>
      <w:color w:val="4F81B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endnote text" w:uiPriority="0"/>
    <w:lsdException w:name="Title" w:semiHidden="0" w:uiPriority="0" w:unhideWhenUsed="0" w:qFormat="1"/>
    <w:lsdException w:name="Default Paragraph Font" w:uiPriority="1"/>
    <w:lsdException w:name="Body Text" w:qFormat="1"/>
    <w:lsdException w:name="Subtitle" w:semiHidden="0" w:uiPriority="0" w:unhideWhenUsed="0" w:qFormat="1"/>
    <w:lsdException w:name="Strong" w:semiHidden="0" w:unhideWhenUsed="0" w:qFormat="1"/>
    <w:lsdException w:name="Emphasis" w:semiHidden="0" w:unhideWhenUsed="0" w:qFormat="1"/>
    <w:lsdException w:name="Table Grid" w:uiPriority="59"/>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376"/>
  </w:style>
  <w:style w:type="paragraph" w:styleId="Heading1">
    <w:name w:val="heading 1"/>
    <w:aliases w:val="dark brown"/>
    <w:basedOn w:val="Normal"/>
    <w:next w:val="BodyText"/>
    <w:link w:val="Heading1Char"/>
    <w:qFormat/>
    <w:rsid w:val="001C52F9"/>
    <w:pPr>
      <w:tabs>
        <w:tab w:val="left" w:pos="851"/>
      </w:tabs>
      <w:spacing w:after="240"/>
      <w:ind w:left="851" w:hanging="851"/>
      <w:outlineLvl w:val="0"/>
    </w:pPr>
    <w:rPr>
      <w:b/>
      <w:bCs/>
      <w:color w:val="005984"/>
      <w:sz w:val="36"/>
      <w:szCs w:val="36"/>
    </w:rPr>
  </w:style>
  <w:style w:type="paragraph" w:styleId="Heading2">
    <w:name w:val="heading 2"/>
    <w:basedOn w:val="Normal"/>
    <w:next w:val="BodyText"/>
    <w:link w:val="Heading2Char"/>
    <w:qFormat/>
    <w:rsid w:val="001C52F9"/>
    <w:pPr>
      <w:keepNext/>
      <w:tabs>
        <w:tab w:val="left" w:pos="851"/>
      </w:tabs>
      <w:spacing w:before="320" w:after="0"/>
      <w:ind w:left="851" w:hanging="851"/>
      <w:outlineLvl w:val="1"/>
    </w:pPr>
    <w:rPr>
      <w:b/>
      <w:bCs/>
      <w:color w:val="387C2B"/>
      <w:sz w:val="32"/>
      <w:szCs w:val="32"/>
    </w:rPr>
  </w:style>
  <w:style w:type="paragraph" w:styleId="Heading3">
    <w:name w:val="heading 3"/>
    <w:basedOn w:val="Normal"/>
    <w:next w:val="BodyText"/>
    <w:link w:val="Heading3Char"/>
    <w:qFormat/>
    <w:rsid w:val="001C52F9"/>
    <w:pPr>
      <w:keepNext/>
      <w:spacing w:before="240" w:after="0"/>
      <w:outlineLvl w:val="2"/>
    </w:pPr>
    <w:rPr>
      <w:b/>
      <w:bCs/>
      <w:color w:val="387C2B"/>
      <w:sz w:val="28"/>
      <w:szCs w:val="28"/>
    </w:rPr>
  </w:style>
  <w:style w:type="paragraph" w:styleId="Heading4">
    <w:name w:val="heading 4"/>
    <w:basedOn w:val="Normal"/>
    <w:next w:val="BodyText"/>
    <w:link w:val="Heading4Char"/>
    <w:qFormat/>
    <w:rsid w:val="001C52F9"/>
    <w:pPr>
      <w:keepNext/>
      <w:spacing w:before="240" w:after="0"/>
      <w:outlineLvl w:val="3"/>
    </w:pPr>
    <w:rPr>
      <w:b/>
      <w:bCs/>
      <w:sz w:val="24"/>
      <w:szCs w:val="24"/>
    </w:rPr>
  </w:style>
  <w:style w:type="paragraph" w:styleId="Heading5">
    <w:name w:val="heading 5"/>
    <w:basedOn w:val="Normal"/>
    <w:next w:val="BodyText"/>
    <w:link w:val="Heading5Char"/>
    <w:uiPriority w:val="99"/>
    <w:qFormat/>
    <w:rsid w:val="001C52F9"/>
    <w:pPr>
      <w:keepNext/>
      <w:numPr>
        <w:ilvl w:val="4"/>
        <w:numId w:val="21"/>
      </w:numPr>
      <w:spacing w:before="240" w:after="60"/>
      <w:outlineLvl w:val="4"/>
    </w:pPr>
    <w:rPr>
      <w:rFonts w:ascii="Arial" w:hAnsi="Arial" w:cs="Arial"/>
      <w:i/>
      <w:iCs/>
    </w:rPr>
  </w:style>
  <w:style w:type="paragraph" w:styleId="Heading6">
    <w:name w:val="heading 6"/>
    <w:basedOn w:val="Normal"/>
    <w:next w:val="Normal"/>
    <w:link w:val="Heading6Char"/>
    <w:uiPriority w:val="99"/>
    <w:semiHidden/>
    <w:qFormat/>
    <w:rsid w:val="001C52F9"/>
    <w:pPr>
      <w:numPr>
        <w:ilvl w:val="5"/>
        <w:numId w:val="21"/>
      </w:numPr>
      <w:spacing w:before="240" w:after="60"/>
      <w:outlineLvl w:val="5"/>
    </w:pPr>
    <w:rPr>
      <w:b/>
      <w:bCs/>
    </w:rPr>
  </w:style>
  <w:style w:type="paragraph" w:styleId="Heading7">
    <w:name w:val="heading 7"/>
    <w:basedOn w:val="Normal"/>
    <w:next w:val="Normal"/>
    <w:link w:val="Heading7Char"/>
    <w:uiPriority w:val="99"/>
    <w:semiHidden/>
    <w:qFormat/>
    <w:rsid w:val="001C52F9"/>
    <w:pPr>
      <w:numPr>
        <w:ilvl w:val="6"/>
        <w:numId w:val="21"/>
      </w:numPr>
      <w:spacing w:before="240" w:after="60"/>
      <w:outlineLvl w:val="6"/>
    </w:pPr>
    <w:rPr>
      <w:sz w:val="24"/>
      <w:szCs w:val="24"/>
    </w:rPr>
  </w:style>
  <w:style w:type="paragraph" w:styleId="Heading8">
    <w:name w:val="heading 8"/>
    <w:basedOn w:val="Normal"/>
    <w:next w:val="Normal"/>
    <w:link w:val="Heading8Char"/>
    <w:uiPriority w:val="99"/>
    <w:semiHidden/>
    <w:qFormat/>
    <w:rsid w:val="001C52F9"/>
    <w:pPr>
      <w:numPr>
        <w:ilvl w:val="7"/>
        <w:numId w:val="21"/>
      </w:numPr>
      <w:spacing w:before="240" w:after="60"/>
      <w:outlineLvl w:val="7"/>
    </w:pPr>
    <w:rPr>
      <w:i/>
      <w:iCs/>
      <w:sz w:val="24"/>
      <w:szCs w:val="24"/>
    </w:rPr>
  </w:style>
  <w:style w:type="paragraph" w:styleId="Heading9">
    <w:name w:val="heading 9"/>
    <w:basedOn w:val="Normal"/>
    <w:next w:val="Normal"/>
    <w:link w:val="Heading9Char"/>
    <w:uiPriority w:val="99"/>
    <w:semiHidden/>
    <w:qFormat/>
    <w:rsid w:val="001C52F9"/>
    <w:pPr>
      <w:tabs>
        <w:tab w:val="num" w:pos="1584"/>
      </w:tabs>
      <w:spacing w:before="240" w:after="60"/>
      <w:ind w:left="1584" w:hanging="144"/>
      <w:outlineLvl w:val="8"/>
    </w:pPr>
    <w:rPr>
      <w:rFonts w:ascii="Arial" w:hAnsi="Arial" w:cs="Arial"/>
    </w:rPr>
  </w:style>
  <w:style w:type="character" w:default="1" w:styleId="DefaultParagraphFont">
    <w:name w:val="Default Paragraph Font"/>
    <w:uiPriority w:val="1"/>
    <w:semiHidden/>
    <w:unhideWhenUsed/>
    <w:rsid w:val="0034237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42376"/>
  </w:style>
  <w:style w:type="paragraph" w:styleId="BodyText">
    <w:name w:val="Body Text"/>
    <w:basedOn w:val="Normal"/>
    <w:link w:val="BodyTextChar"/>
    <w:uiPriority w:val="99"/>
    <w:unhideWhenUsed/>
    <w:rsid w:val="001C52F9"/>
  </w:style>
  <w:style w:type="character" w:customStyle="1" w:styleId="BodyTextChar">
    <w:name w:val="Body Text Char"/>
    <w:basedOn w:val="DefaultParagraphFont"/>
    <w:link w:val="BodyText"/>
    <w:uiPriority w:val="99"/>
    <w:rsid w:val="001C52F9"/>
    <w:rPr>
      <w:rFonts w:ascii="Calibri" w:eastAsia="Times New Roman" w:hAnsi="Calibri" w:cs="Calibri"/>
    </w:rPr>
  </w:style>
  <w:style w:type="character" w:customStyle="1" w:styleId="Heading1Char">
    <w:name w:val="Heading 1 Char"/>
    <w:aliases w:val="dark brown Char"/>
    <w:link w:val="Heading1"/>
    <w:rsid w:val="001C52F9"/>
    <w:rPr>
      <w:rFonts w:ascii="Calibri" w:eastAsia="Times New Roman" w:hAnsi="Calibri" w:cs="Calibri"/>
      <w:b/>
      <w:bCs/>
      <w:color w:val="005984"/>
      <w:sz w:val="36"/>
      <w:szCs w:val="36"/>
    </w:rPr>
  </w:style>
  <w:style w:type="character" w:customStyle="1" w:styleId="Heading2Char">
    <w:name w:val="Heading 2 Char"/>
    <w:link w:val="Heading2"/>
    <w:rsid w:val="001C52F9"/>
    <w:rPr>
      <w:rFonts w:ascii="Calibri" w:eastAsia="Times New Roman" w:hAnsi="Calibri" w:cs="Calibri"/>
      <w:b/>
      <w:bCs/>
      <w:color w:val="387C2B"/>
      <w:sz w:val="32"/>
      <w:szCs w:val="32"/>
    </w:rPr>
  </w:style>
  <w:style w:type="character" w:customStyle="1" w:styleId="Heading3Char">
    <w:name w:val="Heading 3 Char"/>
    <w:link w:val="Heading3"/>
    <w:rsid w:val="001C52F9"/>
    <w:rPr>
      <w:rFonts w:ascii="Calibri" w:eastAsia="Times New Roman" w:hAnsi="Calibri" w:cs="Calibri"/>
      <w:b/>
      <w:bCs/>
      <w:color w:val="387C2B"/>
      <w:sz w:val="28"/>
      <w:szCs w:val="28"/>
    </w:rPr>
  </w:style>
  <w:style w:type="character" w:customStyle="1" w:styleId="Heading4Char">
    <w:name w:val="Heading 4 Char"/>
    <w:link w:val="Heading4"/>
    <w:rsid w:val="001C52F9"/>
    <w:rPr>
      <w:rFonts w:ascii="Calibri" w:eastAsia="Times New Roman" w:hAnsi="Calibri" w:cs="Calibri"/>
      <w:b/>
      <w:bCs/>
      <w:sz w:val="24"/>
      <w:szCs w:val="24"/>
    </w:rPr>
  </w:style>
  <w:style w:type="character" w:customStyle="1" w:styleId="Heading5Char">
    <w:name w:val="Heading 5 Char"/>
    <w:link w:val="Heading5"/>
    <w:uiPriority w:val="99"/>
    <w:rsid w:val="001C52F9"/>
    <w:rPr>
      <w:rFonts w:ascii="Arial" w:hAnsi="Arial" w:cs="Arial"/>
      <w:i/>
      <w:iCs/>
    </w:rPr>
  </w:style>
  <w:style w:type="character" w:customStyle="1" w:styleId="Heading6Char">
    <w:name w:val="Heading 6 Char"/>
    <w:link w:val="Heading6"/>
    <w:uiPriority w:val="99"/>
    <w:semiHidden/>
    <w:rsid w:val="001C52F9"/>
    <w:rPr>
      <w:b/>
      <w:bCs/>
    </w:rPr>
  </w:style>
  <w:style w:type="character" w:customStyle="1" w:styleId="Heading7Char">
    <w:name w:val="Heading 7 Char"/>
    <w:link w:val="Heading7"/>
    <w:uiPriority w:val="99"/>
    <w:semiHidden/>
    <w:rsid w:val="001C52F9"/>
    <w:rPr>
      <w:sz w:val="24"/>
      <w:szCs w:val="24"/>
    </w:rPr>
  </w:style>
  <w:style w:type="character" w:customStyle="1" w:styleId="Heading8Char">
    <w:name w:val="Heading 8 Char"/>
    <w:link w:val="Heading8"/>
    <w:uiPriority w:val="99"/>
    <w:semiHidden/>
    <w:rsid w:val="001C52F9"/>
    <w:rPr>
      <w:i/>
      <w:iCs/>
      <w:sz w:val="24"/>
      <w:szCs w:val="24"/>
    </w:rPr>
  </w:style>
  <w:style w:type="character" w:customStyle="1" w:styleId="Heading9Char">
    <w:name w:val="Heading 9 Char"/>
    <w:link w:val="Heading9"/>
    <w:uiPriority w:val="99"/>
    <w:semiHidden/>
    <w:rsid w:val="001C52F9"/>
    <w:rPr>
      <w:rFonts w:ascii="Arial" w:eastAsia="Times New Roman" w:hAnsi="Arial" w:cs="Arial"/>
    </w:rPr>
  </w:style>
  <w:style w:type="paragraph" w:styleId="BalloonText">
    <w:name w:val="Balloon Text"/>
    <w:basedOn w:val="Normal"/>
    <w:link w:val="BalloonTextChar"/>
    <w:uiPriority w:val="99"/>
    <w:semiHidden/>
    <w:unhideWhenUsed/>
    <w:rsid w:val="0072174A"/>
    <w:rPr>
      <w:rFonts w:ascii="Tahoma" w:hAnsi="Tahoma" w:cs="Tahoma"/>
      <w:sz w:val="16"/>
      <w:szCs w:val="16"/>
    </w:rPr>
  </w:style>
  <w:style w:type="character" w:customStyle="1" w:styleId="BalloonTextChar">
    <w:name w:val="Balloon Text Char"/>
    <w:basedOn w:val="DefaultParagraphFont"/>
    <w:link w:val="BalloonText"/>
    <w:uiPriority w:val="99"/>
    <w:semiHidden/>
    <w:rsid w:val="0072174A"/>
    <w:rPr>
      <w:rFonts w:ascii="Tahoma" w:eastAsiaTheme="minorEastAsia" w:hAnsi="Tahoma" w:cs="Tahoma"/>
      <w:sz w:val="16"/>
      <w:szCs w:val="16"/>
      <w:lang w:eastAsia="en-NZ"/>
    </w:rPr>
  </w:style>
  <w:style w:type="character" w:styleId="FootnoteReference">
    <w:name w:val="footnote reference"/>
    <w:basedOn w:val="DefaultParagraphFont"/>
    <w:uiPriority w:val="99"/>
    <w:rsid w:val="0072174A"/>
    <w:rPr>
      <w:rFonts w:ascii="Calibri" w:hAnsi="Calibri"/>
      <w:sz w:val="22"/>
      <w:vertAlign w:val="superscript"/>
    </w:rPr>
  </w:style>
  <w:style w:type="paragraph" w:styleId="FootnoteText">
    <w:name w:val="footnote text"/>
    <w:basedOn w:val="Normal"/>
    <w:link w:val="FootnoteTextChar"/>
    <w:rsid w:val="00A968DB"/>
    <w:pPr>
      <w:spacing w:after="60" w:line="240" w:lineRule="atLeast"/>
      <w:ind w:left="397" w:hanging="397"/>
    </w:pPr>
    <w:rPr>
      <w:rFonts w:cs="Times New Roman"/>
      <w:sz w:val="18"/>
      <w:szCs w:val="18"/>
      <w:lang w:val="x-none"/>
    </w:rPr>
  </w:style>
  <w:style w:type="character" w:customStyle="1" w:styleId="FootnoteTextChar">
    <w:name w:val="Footnote Text Char"/>
    <w:basedOn w:val="DefaultParagraphFont"/>
    <w:link w:val="FootnoteText"/>
    <w:rsid w:val="00A968DB"/>
    <w:rPr>
      <w:rFonts w:ascii="Calibri" w:eastAsia="Times New Roman" w:hAnsi="Calibri" w:cs="Times New Roman"/>
      <w:sz w:val="18"/>
      <w:szCs w:val="18"/>
      <w:lang w:val="x-none"/>
    </w:rPr>
  </w:style>
  <w:style w:type="character" w:styleId="CommentReference">
    <w:name w:val="annotation reference"/>
    <w:basedOn w:val="DefaultParagraphFont"/>
    <w:uiPriority w:val="99"/>
    <w:semiHidden/>
    <w:unhideWhenUsed/>
    <w:rsid w:val="0072174A"/>
    <w:rPr>
      <w:sz w:val="16"/>
      <w:szCs w:val="16"/>
    </w:rPr>
  </w:style>
  <w:style w:type="paragraph" w:styleId="CommentText">
    <w:name w:val="annotation text"/>
    <w:basedOn w:val="Normal"/>
    <w:link w:val="CommentTextChar"/>
    <w:uiPriority w:val="99"/>
    <w:semiHidden/>
    <w:unhideWhenUsed/>
    <w:rsid w:val="0072174A"/>
    <w:rPr>
      <w:sz w:val="20"/>
      <w:szCs w:val="20"/>
    </w:rPr>
  </w:style>
  <w:style w:type="character" w:customStyle="1" w:styleId="CommentTextChar">
    <w:name w:val="Comment Text Char"/>
    <w:basedOn w:val="DefaultParagraphFont"/>
    <w:link w:val="CommentText"/>
    <w:uiPriority w:val="99"/>
    <w:semiHidden/>
    <w:rsid w:val="0072174A"/>
    <w:rPr>
      <w:sz w:val="20"/>
      <w:szCs w:val="20"/>
    </w:rPr>
  </w:style>
  <w:style w:type="table" w:styleId="TableGrid">
    <w:name w:val="Table Grid"/>
    <w:basedOn w:val="TableNormal"/>
    <w:uiPriority w:val="59"/>
    <w:rsid w:val="0072174A"/>
    <w:pPr>
      <w:spacing w:after="0" w:line="240" w:lineRule="auto"/>
    </w:pPr>
    <w:rPr>
      <w:rFonts w:eastAsiaTheme="minorEastAsia"/>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2174A"/>
    <w:pPr>
      <w:spacing w:after="240"/>
      <w:jc w:val="both"/>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72174A"/>
    <w:rPr>
      <w:rFonts w:ascii="Times New Roman" w:eastAsia="Times New Roman" w:hAnsi="Times New Roman" w:cs="Times New Roman"/>
      <w:b/>
      <w:bCs/>
      <w:sz w:val="20"/>
      <w:szCs w:val="20"/>
    </w:rPr>
  </w:style>
  <w:style w:type="paragraph" w:styleId="ListParagraph">
    <w:name w:val="List Paragraph"/>
    <w:basedOn w:val="Normal"/>
    <w:link w:val="ListParagraphChar"/>
    <w:uiPriority w:val="34"/>
    <w:qFormat/>
    <w:rsid w:val="001C52F9"/>
    <w:pPr>
      <w:ind w:left="720"/>
    </w:pPr>
  </w:style>
  <w:style w:type="character" w:customStyle="1" w:styleId="ListParagraphChar">
    <w:name w:val="List Paragraph Char"/>
    <w:link w:val="ListParagraph"/>
    <w:uiPriority w:val="34"/>
    <w:locked/>
    <w:rsid w:val="006B2947"/>
    <w:rPr>
      <w:rFonts w:ascii="Calibri" w:eastAsia="Times New Roman" w:hAnsi="Calibri" w:cs="Calibri"/>
    </w:rPr>
  </w:style>
  <w:style w:type="character" w:styleId="Hyperlink">
    <w:name w:val="Hyperlink"/>
    <w:basedOn w:val="DefaultParagraphFont"/>
    <w:uiPriority w:val="99"/>
    <w:rsid w:val="00E87158"/>
    <w:rPr>
      <w:color w:val="14456E"/>
      <w:u w:val="none"/>
    </w:rPr>
  </w:style>
  <w:style w:type="character" w:styleId="FollowedHyperlink">
    <w:name w:val="FollowedHyperlink"/>
    <w:basedOn w:val="DefaultParagraphFont"/>
    <w:uiPriority w:val="99"/>
    <w:semiHidden/>
    <w:rsid w:val="0072174A"/>
    <w:rPr>
      <w:color w:val="800080" w:themeColor="followedHyperlink"/>
      <w:u w:val="none"/>
    </w:rPr>
  </w:style>
  <w:style w:type="paragraph" w:styleId="Revision">
    <w:name w:val="Revision"/>
    <w:hidden/>
    <w:uiPriority w:val="99"/>
    <w:semiHidden/>
    <w:rsid w:val="009F5720"/>
    <w:pPr>
      <w:spacing w:after="0" w:line="240" w:lineRule="auto"/>
    </w:pPr>
    <w:rPr>
      <w:rFonts w:ascii="Times New Roman" w:eastAsia="Times New Roman" w:hAnsi="Times New Roman" w:cs="Times New Roman"/>
      <w:szCs w:val="20"/>
    </w:rPr>
  </w:style>
  <w:style w:type="paragraph" w:styleId="Header">
    <w:name w:val="header"/>
    <w:basedOn w:val="Normal"/>
    <w:link w:val="HeaderChar"/>
    <w:uiPriority w:val="99"/>
    <w:semiHidden/>
    <w:rsid w:val="0072174A"/>
    <w:pPr>
      <w:tabs>
        <w:tab w:val="center" w:pos="4513"/>
        <w:tab w:val="right" w:pos="9026"/>
      </w:tabs>
    </w:pPr>
  </w:style>
  <w:style w:type="character" w:customStyle="1" w:styleId="HeaderChar">
    <w:name w:val="Header Char"/>
    <w:basedOn w:val="DefaultParagraphFont"/>
    <w:link w:val="Header"/>
    <w:uiPriority w:val="99"/>
    <w:semiHidden/>
    <w:rsid w:val="00A64448"/>
    <w:rPr>
      <w:rFonts w:ascii="Calibri" w:hAnsi="Calibri"/>
    </w:rPr>
  </w:style>
  <w:style w:type="paragraph" w:styleId="Footer">
    <w:name w:val="footer"/>
    <w:basedOn w:val="Normal"/>
    <w:link w:val="FooterChar"/>
    <w:semiHidden/>
    <w:rsid w:val="0072174A"/>
    <w:pPr>
      <w:tabs>
        <w:tab w:val="center" w:pos="4513"/>
        <w:tab w:val="right" w:pos="9026"/>
      </w:tabs>
    </w:pPr>
  </w:style>
  <w:style w:type="character" w:customStyle="1" w:styleId="FooterChar">
    <w:name w:val="Footer Char"/>
    <w:basedOn w:val="DefaultParagraphFont"/>
    <w:link w:val="Footer"/>
    <w:semiHidden/>
    <w:rsid w:val="002874EF"/>
    <w:rPr>
      <w:rFonts w:ascii="Calibri" w:hAnsi="Calibri"/>
    </w:rPr>
  </w:style>
  <w:style w:type="paragraph" w:customStyle="1" w:styleId="Default">
    <w:name w:val="Default"/>
    <w:semiHidden/>
    <w:rsid w:val="006C0425"/>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rsid w:val="009F5720"/>
    <w:pPr>
      <w:spacing w:before="100" w:beforeAutospacing="1" w:after="100" w:afterAutospacing="1"/>
    </w:pPr>
    <w:rPr>
      <w:sz w:val="24"/>
      <w:szCs w:val="24"/>
    </w:rPr>
  </w:style>
  <w:style w:type="paragraph" w:styleId="TOCHeading">
    <w:name w:val="TOC Heading"/>
    <w:basedOn w:val="Heading1"/>
    <w:next w:val="Normal"/>
    <w:uiPriority w:val="39"/>
    <w:unhideWhenUsed/>
    <w:qFormat/>
    <w:rsid w:val="00E87158"/>
  </w:style>
  <w:style w:type="paragraph" w:styleId="TOC1">
    <w:name w:val="toc 1"/>
    <w:basedOn w:val="Normal"/>
    <w:next w:val="Normal"/>
    <w:autoRedefine/>
    <w:uiPriority w:val="39"/>
    <w:unhideWhenUsed/>
    <w:rsid w:val="005424B2"/>
    <w:pPr>
      <w:tabs>
        <w:tab w:val="right" w:pos="8493"/>
      </w:tabs>
      <w:spacing w:before="240" w:after="60"/>
      <w:ind w:right="567"/>
    </w:pPr>
  </w:style>
  <w:style w:type="paragraph" w:styleId="TOC2">
    <w:name w:val="toc 2"/>
    <w:basedOn w:val="Normal"/>
    <w:next w:val="Normal"/>
    <w:uiPriority w:val="39"/>
    <w:unhideWhenUsed/>
    <w:rsid w:val="00161552"/>
    <w:pPr>
      <w:tabs>
        <w:tab w:val="left" w:pos="567"/>
        <w:tab w:val="right" w:pos="8494"/>
      </w:tabs>
      <w:spacing w:before="60" w:after="60"/>
      <w:ind w:left="567" w:right="567"/>
    </w:pPr>
    <w:rPr>
      <w:noProof/>
    </w:rPr>
  </w:style>
  <w:style w:type="paragraph" w:styleId="TOC3">
    <w:name w:val="toc 3"/>
    <w:basedOn w:val="Normal"/>
    <w:next w:val="Normal"/>
    <w:autoRedefine/>
    <w:uiPriority w:val="39"/>
    <w:semiHidden/>
    <w:rsid w:val="0072174A"/>
    <w:pPr>
      <w:tabs>
        <w:tab w:val="left" w:pos="1134"/>
        <w:tab w:val="right" w:pos="9060"/>
      </w:tabs>
      <w:spacing w:before="60" w:after="60"/>
      <w:ind w:left="567" w:right="567"/>
    </w:pPr>
  </w:style>
  <w:style w:type="paragraph" w:customStyle="1" w:styleId="Heading">
    <w:name w:val="Heading"/>
    <w:basedOn w:val="Heading1"/>
    <w:next w:val="Normal"/>
    <w:semiHidden/>
    <w:rsid w:val="00E87158"/>
    <w:pPr>
      <w:tabs>
        <w:tab w:val="clear" w:pos="851"/>
        <w:tab w:val="left" w:pos="567"/>
      </w:tabs>
      <w:spacing w:after="120"/>
      <w:outlineLvl w:val="9"/>
    </w:pPr>
    <w:rPr>
      <w:rFonts w:cs="Times New Roman"/>
      <w:bCs w:val="0"/>
      <w:sz w:val="44"/>
      <w:szCs w:val="20"/>
    </w:rPr>
  </w:style>
  <w:style w:type="paragraph" w:styleId="Quote">
    <w:name w:val="Quote"/>
    <w:basedOn w:val="Normal"/>
    <w:next w:val="Normal"/>
    <w:link w:val="QuoteChar"/>
    <w:qFormat/>
    <w:rsid w:val="0075000F"/>
    <w:pPr>
      <w:spacing w:before="60"/>
      <w:ind w:left="397" w:right="397"/>
    </w:pPr>
    <w:rPr>
      <w:iCs/>
      <w:sz w:val="20"/>
    </w:rPr>
  </w:style>
  <w:style w:type="character" w:customStyle="1" w:styleId="QuoteChar">
    <w:name w:val="Quote Char"/>
    <w:basedOn w:val="DefaultParagraphFont"/>
    <w:link w:val="Quote"/>
    <w:rsid w:val="0075000F"/>
    <w:rPr>
      <w:rFonts w:ascii="Calibri" w:hAnsi="Calibri"/>
      <w:iCs/>
      <w:sz w:val="20"/>
    </w:rPr>
  </w:style>
  <w:style w:type="paragraph" w:customStyle="1" w:styleId="Box">
    <w:name w:val="Box"/>
    <w:basedOn w:val="Normal"/>
    <w:next w:val="Normal"/>
    <w:uiPriority w:val="1"/>
    <w:semiHidden/>
    <w:rsid w:val="0072174A"/>
    <w:pPr>
      <w:pBdr>
        <w:top w:val="single" w:sz="6" w:space="15" w:color="auto"/>
        <w:left w:val="single" w:sz="6" w:space="15" w:color="auto"/>
        <w:bottom w:val="single" w:sz="6" w:space="15" w:color="auto"/>
        <w:right w:val="single" w:sz="6" w:space="15" w:color="auto"/>
      </w:pBdr>
      <w:ind w:left="284" w:right="284"/>
    </w:pPr>
    <w:rPr>
      <w:rFonts w:cs="Times New Roman"/>
      <w:szCs w:val="20"/>
    </w:rPr>
  </w:style>
  <w:style w:type="paragraph" w:customStyle="1" w:styleId="Boxbullet">
    <w:name w:val="Box bullet"/>
    <w:basedOn w:val="Box"/>
    <w:uiPriority w:val="1"/>
    <w:semiHidden/>
    <w:rsid w:val="0072174A"/>
    <w:pPr>
      <w:numPr>
        <w:numId w:val="1"/>
      </w:numPr>
    </w:pPr>
  </w:style>
  <w:style w:type="paragraph" w:customStyle="1" w:styleId="Boxheading">
    <w:name w:val="Box heading"/>
    <w:basedOn w:val="Box"/>
    <w:next w:val="Box"/>
    <w:uiPriority w:val="1"/>
    <w:semiHidden/>
    <w:rsid w:val="0072174A"/>
    <w:pPr>
      <w:keepNext/>
    </w:pPr>
    <w:rPr>
      <w:b/>
    </w:rPr>
  </w:style>
  <w:style w:type="paragraph" w:customStyle="1" w:styleId="Bullet">
    <w:name w:val="Bullet"/>
    <w:basedOn w:val="Normal"/>
    <w:qFormat/>
    <w:rsid w:val="001C52F9"/>
    <w:pPr>
      <w:numPr>
        <w:numId w:val="2"/>
      </w:numPr>
    </w:pPr>
  </w:style>
  <w:style w:type="paragraph" w:customStyle="1" w:styleId="Figureheading">
    <w:name w:val="Figure heading"/>
    <w:basedOn w:val="Normal"/>
    <w:next w:val="Normal"/>
    <w:rsid w:val="007E564C"/>
    <w:pPr>
      <w:keepNext/>
      <w:ind w:left="1134" w:hanging="1134"/>
    </w:pPr>
    <w:rPr>
      <w:rFonts w:cs="Times New Roman"/>
      <w:b/>
      <w:sz w:val="20"/>
      <w:szCs w:val="20"/>
    </w:rPr>
  </w:style>
  <w:style w:type="paragraph" w:customStyle="1" w:styleId="Imprint">
    <w:name w:val="Imprint"/>
    <w:basedOn w:val="Normal"/>
    <w:rsid w:val="0072174A"/>
    <w:pPr>
      <w:spacing w:after="240"/>
    </w:pPr>
    <w:rPr>
      <w:rFonts w:cs="Times New Roman"/>
      <w:szCs w:val="20"/>
    </w:rPr>
  </w:style>
  <w:style w:type="paragraph" w:customStyle="1" w:styleId="Note">
    <w:name w:val="Note"/>
    <w:basedOn w:val="Normal"/>
    <w:next w:val="Normal"/>
    <w:semiHidden/>
    <w:rsid w:val="0072174A"/>
    <w:pPr>
      <w:tabs>
        <w:tab w:val="left" w:pos="680"/>
      </w:tabs>
      <w:spacing w:after="240"/>
      <w:ind w:left="680" w:hanging="680"/>
    </w:pPr>
    <w:rPr>
      <w:rFonts w:cs="Times New Roman"/>
      <w:sz w:val="16"/>
      <w:szCs w:val="20"/>
    </w:rPr>
  </w:style>
  <w:style w:type="character" w:styleId="PageNumber">
    <w:name w:val="page number"/>
    <w:basedOn w:val="DefaultParagraphFont"/>
    <w:semiHidden/>
    <w:rsid w:val="0072174A"/>
    <w:rPr>
      <w:rFonts w:ascii="Arial" w:hAnsi="Arial" w:cs="Arial"/>
      <w:b/>
      <w:bCs/>
      <w:sz w:val="20"/>
      <w:szCs w:val="20"/>
    </w:rPr>
  </w:style>
  <w:style w:type="paragraph" w:customStyle="1" w:styleId="References">
    <w:name w:val="References"/>
    <w:basedOn w:val="Normal"/>
    <w:rsid w:val="00BD1B9F"/>
    <w:rPr>
      <w:rFonts w:cs="Times New Roman"/>
      <w:sz w:val="20"/>
      <w:szCs w:val="20"/>
    </w:rPr>
  </w:style>
  <w:style w:type="paragraph" w:customStyle="1" w:styleId="Source">
    <w:name w:val="Source"/>
    <w:basedOn w:val="Normal"/>
    <w:next w:val="Normal"/>
    <w:semiHidden/>
    <w:rsid w:val="0072174A"/>
    <w:pPr>
      <w:tabs>
        <w:tab w:val="left" w:pos="680"/>
      </w:tabs>
      <w:spacing w:after="240"/>
    </w:pPr>
    <w:rPr>
      <w:rFonts w:cs="Times New Roman"/>
      <w:sz w:val="16"/>
      <w:szCs w:val="20"/>
    </w:rPr>
  </w:style>
  <w:style w:type="paragraph" w:styleId="Title">
    <w:name w:val="Title"/>
    <w:basedOn w:val="Normal"/>
    <w:next w:val="Normal"/>
    <w:link w:val="TitleChar"/>
    <w:semiHidden/>
    <w:rsid w:val="00F82CE8"/>
    <w:pPr>
      <w:spacing w:after="600"/>
    </w:pPr>
    <w:rPr>
      <w:rFonts w:eastAsiaTheme="majorEastAsia" w:cstheme="majorBidi"/>
      <w:b/>
      <w:color w:val="00264C"/>
      <w:sz w:val="52"/>
      <w:szCs w:val="52"/>
      <w:lang w:eastAsia="en-NZ"/>
    </w:rPr>
  </w:style>
  <w:style w:type="character" w:customStyle="1" w:styleId="TitleChar">
    <w:name w:val="Title Char"/>
    <w:basedOn w:val="DefaultParagraphFont"/>
    <w:link w:val="Title"/>
    <w:semiHidden/>
    <w:rsid w:val="002874EF"/>
    <w:rPr>
      <w:rFonts w:ascii="Calibri" w:eastAsiaTheme="majorEastAsia" w:hAnsi="Calibri" w:cstheme="majorBidi"/>
      <w:b/>
      <w:color w:val="00264C"/>
      <w:sz w:val="52"/>
      <w:szCs w:val="52"/>
      <w:lang w:eastAsia="en-NZ"/>
    </w:rPr>
  </w:style>
  <w:style w:type="paragraph" w:styleId="Subtitle">
    <w:name w:val="Subtitle"/>
    <w:basedOn w:val="Normal"/>
    <w:link w:val="SubtitleChar"/>
    <w:qFormat/>
    <w:rsid w:val="001C52F9"/>
    <w:pPr>
      <w:outlineLvl w:val="1"/>
    </w:pPr>
    <w:rPr>
      <w:b/>
      <w:bCs/>
      <w:caps/>
      <w:color w:val="005984"/>
      <w:spacing w:val="10"/>
      <w:sz w:val="28"/>
      <w:szCs w:val="28"/>
    </w:rPr>
  </w:style>
  <w:style w:type="character" w:customStyle="1" w:styleId="SubtitleChar">
    <w:name w:val="Subtitle Char"/>
    <w:link w:val="Subtitle"/>
    <w:rsid w:val="001C52F9"/>
    <w:rPr>
      <w:rFonts w:ascii="Calibri" w:eastAsia="Times New Roman" w:hAnsi="Calibri" w:cs="Calibri"/>
      <w:b/>
      <w:bCs/>
      <w:caps/>
      <w:color w:val="005984"/>
      <w:spacing w:val="10"/>
      <w:sz w:val="28"/>
      <w:szCs w:val="28"/>
    </w:rPr>
  </w:style>
  <w:style w:type="paragraph" w:customStyle="1" w:styleId="Tableheading">
    <w:name w:val="Table heading"/>
    <w:basedOn w:val="Normal"/>
    <w:next w:val="Normal"/>
    <w:rsid w:val="000A7A4C"/>
    <w:pPr>
      <w:keepNext/>
      <w:ind w:left="1134" w:hanging="1134"/>
    </w:pPr>
    <w:rPr>
      <w:rFonts w:cs="Times New Roman"/>
      <w:b/>
      <w:sz w:val="20"/>
      <w:szCs w:val="20"/>
    </w:rPr>
  </w:style>
  <w:style w:type="paragraph" w:customStyle="1" w:styleId="TableText">
    <w:name w:val="TableText"/>
    <w:basedOn w:val="Normal"/>
    <w:rsid w:val="00EB76E2"/>
    <w:pPr>
      <w:spacing w:before="60" w:after="60"/>
    </w:pPr>
    <w:rPr>
      <w:sz w:val="18"/>
      <w:szCs w:val="18"/>
    </w:rPr>
  </w:style>
  <w:style w:type="paragraph" w:customStyle="1" w:styleId="TableTextbold">
    <w:name w:val="TableText bold"/>
    <w:basedOn w:val="TableText"/>
    <w:rsid w:val="0072174A"/>
    <w:rPr>
      <w:b/>
    </w:rPr>
  </w:style>
  <w:style w:type="paragraph" w:customStyle="1" w:styleId="Captions">
    <w:name w:val="Captions"/>
    <w:basedOn w:val="Note"/>
    <w:next w:val="Normal"/>
    <w:semiHidden/>
    <w:rsid w:val="009F5720"/>
    <w:pPr>
      <w:tabs>
        <w:tab w:val="clear" w:pos="680"/>
        <w:tab w:val="left" w:pos="851"/>
      </w:tabs>
      <w:ind w:left="0" w:firstLine="0"/>
    </w:pPr>
  </w:style>
  <w:style w:type="paragraph" w:customStyle="1" w:styleId="Glossary">
    <w:name w:val="Glossary"/>
    <w:basedOn w:val="Normal"/>
    <w:semiHidden/>
    <w:rsid w:val="0072174A"/>
    <w:pPr>
      <w:tabs>
        <w:tab w:val="left" w:pos="2835"/>
      </w:tabs>
      <w:spacing w:after="240"/>
      <w:ind w:left="2835" w:hanging="2835"/>
    </w:pPr>
    <w:rPr>
      <w:rFonts w:ascii="Times New Roman" w:hAnsi="Times New Roman" w:cs="Times New Roman"/>
      <w:szCs w:val="20"/>
    </w:rPr>
  </w:style>
  <w:style w:type="paragraph" w:customStyle="1" w:styleId="Footerodd">
    <w:name w:val="Footer odd"/>
    <w:basedOn w:val="Normal"/>
    <w:rsid w:val="0072174A"/>
    <w:pPr>
      <w:tabs>
        <w:tab w:val="right" w:pos="7938"/>
        <w:tab w:val="right" w:pos="8505"/>
      </w:tabs>
    </w:pPr>
    <w:rPr>
      <w:sz w:val="18"/>
      <w:szCs w:val="16"/>
    </w:rPr>
  </w:style>
  <w:style w:type="paragraph" w:customStyle="1" w:styleId="Footereven">
    <w:name w:val="Footer even"/>
    <w:basedOn w:val="Normal"/>
    <w:rsid w:val="0072174A"/>
    <w:pPr>
      <w:tabs>
        <w:tab w:val="left" w:pos="567"/>
      </w:tabs>
    </w:pPr>
    <w:rPr>
      <w:sz w:val="18"/>
      <w:szCs w:val="16"/>
    </w:rPr>
  </w:style>
  <w:style w:type="paragraph" w:customStyle="1" w:styleId="Numberedparagraph">
    <w:name w:val="Numbered paragraph"/>
    <w:basedOn w:val="Normal"/>
    <w:semiHidden/>
    <w:rsid w:val="0072174A"/>
    <w:pPr>
      <w:numPr>
        <w:numId w:val="3"/>
      </w:numPr>
    </w:pPr>
    <w:rPr>
      <w:rFonts w:ascii="Times New Roman" w:hAnsi="Times New Roman" w:cs="Times New Roman"/>
      <w:szCs w:val="20"/>
    </w:rPr>
  </w:style>
  <w:style w:type="paragraph" w:customStyle="1" w:styleId="Sub-lista">
    <w:name w:val="Sub-list a"/>
    <w:aliases w:val="b,Body text a"/>
    <w:basedOn w:val="BodyText"/>
    <w:semiHidden/>
    <w:rsid w:val="0072174A"/>
    <w:pPr>
      <w:numPr>
        <w:numId w:val="12"/>
      </w:numPr>
    </w:pPr>
  </w:style>
  <w:style w:type="paragraph" w:styleId="EndnoteText">
    <w:name w:val="endnote text"/>
    <w:basedOn w:val="Normal"/>
    <w:link w:val="EndnoteTextChar"/>
    <w:semiHidden/>
    <w:rsid w:val="0072174A"/>
    <w:pPr>
      <w:spacing w:line="240" w:lineRule="exact"/>
      <w:ind w:left="397" w:hanging="397"/>
    </w:pPr>
    <w:rPr>
      <w:sz w:val="20"/>
      <w:szCs w:val="20"/>
    </w:rPr>
  </w:style>
  <w:style w:type="character" w:customStyle="1" w:styleId="EndnoteTextChar">
    <w:name w:val="Endnote Text Char"/>
    <w:basedOn w:val="DefaultParagraphFont"/>
    <w:link w:val="EndnoteText"/>
    <w:semiHidden/>
    <w:rsid w:val="0072174A"/>
    <w:rPr>
      <w:rFonts w:ascii="Calibri" w:eastAsiaTheme="minorEastAsia" w:hAnsi="Calibri"/>
      <w:sz w:val="20"/>
      <w:szCs w:val="20"/>
      <w:lang w:eastAsia="en-NZ"/>
    </w:rPr>
  </w:style>
  <w:style w:type="paragraph" w:styleId="TableofFigures">
    <w:name w:val="table of figures"/>
    <w:basedOn w:val="Normal"/>
    <w:next w:val="Normal"/>
    <w:uiPriority w:val="99"/>
    <w:rsid w:val="0018011C"/>
    <w:pPr>
      <w:ind w:left="1134" w:right="567" w:hanging="1134"/>
    </w:pPr>
    <w:rPr>
      <w:rFonts w:cs="Times New Roman"/>
      <w:sz w:val="20"/>
      <w:szCs w:val="20"/>
    </w:rPr>
  </w:style>
  <w:style w:type="paragraph" w:customStyle="1" w:styleId="Sub-listi">
    <w:name w:val="Sub-list i"/>
    <w:aliases w:val="ii"/>
    <w:basedOn w:val="BodyText"/>
    <w:semiHidden/>
    <w:rsid w:val="0072174A"/>
    <w:pPr>
      <w:numPr>
        <w:numId w:val="4"/>
      </w:numPr>
      <w:spacing w:before="60" w:after="60"/>
      <w:jc w:val="both"/>
    </w:pPr>
    <w:rPr>
      <w:rFonts w:ascii="Times New Roman" w:hAnsi="Times New Roman" w:cs="Times New Roman"/>
      <w:szCs w:val="20"/>
    </w:rPr>
  </w:style>
  <w:style w:type="paragraph" w:customStyle="1" w:styleId="TableBullet">
    <w:name w:val="TableBullet"/>
    <w:basedOn w:val="Normal"/>
    <w:rsid w:val="003225B7"/>
    <w:pPr>
      <w:numPr>
        <w:numId w:val="5"/>
      </w:numPr>
      <w:spacing w:after="60"/>
    </w:pPr>
    <w:rPr>
      <w:sz w:val="18"/>
      <w:szCs w:val="16"/>
      <w:lang w:eastAsia="en-NZ"/>
    </w:rPr>
  </w:style>
  <w:style w:type="paragraph" w:customStyle="1" w:styleId="TableDash">
    <w:name w:val="TableDash"/>
    <w:basedOn w:val="Normal"/>
    <w:rsid w:val="00A64448"/>
    <w:pPr>
      <w:numPr>
        <w:ilvl w:val="1"/>
        <w:numId w:val="7"/>
      </w:numPr>
      <w:tabs>
        <w:tab w:val="left" w:pos="397"/>
      </w:tabs>
      <w:spacing w:before="80" w:after="40"/>
    </w:pPr>
    <w:rPr>
      <w:rFonts w:cs="Times New Roman"/>
      <w:sz w:val="18"/>
      <w:szCs w:val="20"/>
    </w:rPr>
  </w:style>
  <w:style w:type="paragraph" w:styleId="z-BottomofForm">
    <w:name w:val="HTML Bottom of Form"/>
    <w:basedOn w:val="Normal"/>
    <w:next w:val="Normal"/>
    <w:link w:val="z-BottomofFormChar"/>
    <w:hidden/>
    <w:uiPriority w:val="99"/>
    <w:semiHidden/>
    <w:unhideWhenUsed/>
    <w:rsid w:val="009F5720"/>
    <w:pPr>
      <w:pBdr>
        <w:top w:val="single" w:sz="6" w:space="1" w:color="auto"/>
      </w:pBdr>
      <w:jc w:val="center"/>
    </w:pPr>
    <w:rPr>
      <w:rFonts w:eastAsia="Calibri"/>
      <w:vanish/>
      <w:sz w:val="16"/>
      <w:szCs w:val="16"/>
    </w:rPr>
  </w:style>
  <w:style w:type="character" w:customStyle="1" w:styleId="z-BottomofFormChar">
    <w:name w:val="z-Bottom of Form Char"/>
    <w:basedOn w:val="DefaultParagraphFont"/>
    <w:link w:val="z-BottomofForm"/>
    <w:uiPriority w:val="99"/>
    <w:semiHidden/>
    <w:rsid w:val="009F5720"/>
    <w:rPr>
      <w:rFonts w:ascii="Arial" w:eastAsia="Calibri" w:hAnsi="Arial"/>
      <w:vanish/>
      <w:sz w:val="16"/>
      <w:szCs w:val="16"/>
      <w:lang w:val="en-US" w:eastAsia="en-NZ"/>
    </w:rPr>
  </w:style>
  <w:style w:type="paragraph" w:styleId="z-TopofForm">
    <w:name w:val="HTML Top of Form"/>
    <w:basedOn w:val="Normal"/>
    <w:next w:val="Normal"/>
    <w:link w:val="z-TopofFormChar"/>
    <w:hidden/>
    <w:uiPriority w:val="99"/>
    <w:semiHidden/>
    <w:unhideWhenUsed/>
    <w:rsid w:val="009F5720"/>
    <w:pPr>
      <w:pBdr>
        <w:bottom w:val="single" w:sz="6" w:space="1" w:color="auto"/>
      </w:pBdr>
      <w:jc w:val="center"/>
    </w:pPr>
    <w:rPr>
      <w:rFonts w:eastAsia="Calibri"/>
      <w:vanish/>
      <w:sz w:val="16"/>
      <w:szCs w:val="16"/>
    </w:rPr>
  </w:style>
  <w:style w:type="character" w:customStyle="1" w:styleId="z-TopofFormChar">
    <w:name w:val="z-Top of Form Char"/>
    <w:basedOn w:val="DefaultParagraphFont"/>
    <w:link w:val="z-TopofForm"/>
    <w:uiPriority w:val="99"/>
    <w:semiHidden/>
    <w:rsid w:val="009F5720"/>
    <w:rPr>
      <w:rFonts w:ascii="Arial" w:eastAsia="Calibri" w:hAnsi="Arial"/>
      <w:vanish/>
      <w:sz w:val="16"/>
      <w:szCs w:val="16"/>
      <w:lang w:val="en-US" w:eastAsia="en-NZ"/>
    </w:rPr>
  </w:style>
  <w:style w:type="table" w:styleId="MediumShading1-Accent2">
    <w:name w:val="Medium Shading 1 Accent 2"/>
    <w:basedOn w:val="TableNormal"/>
    <w:uiPriority w:val="63"/>
    <w:rsid w:val="009F5720"/>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LightList-Accent5">
    <w:name w:val="Light List Accent 5"/>
    <w:basedOn w:val="TableNormal"/>
    <w:uiPriority w:val="61"/>
    <w:rsid w:val="009F5720"/>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Grid-Accent5">
    <w:name w:val="Light Grid Accent 5"/>
    <w:basedOn w:val="TableNormal"/>
    <w:uiPriority w:val="62"/>
    <w:rsid w:val="009F5720"/>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Accent11">
    <w:name w:val="Light Grid - Accent 11"/>
    <w:basedOn w:val="TableNormal"/>
    <w:uiPriority w:val="62"/>
    <w:rsid w:val="009F572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Shading-Accent11">
    <w:name w:val="Light Shading - Accent 11"/>
    <w:basedOn w:val="TableNormal"/>
    <w:uiPriority w:val="60"/>
    <w:rsid w:val="009F572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List-Accent11">
    <w:name w:val="Light List - Accent 11"/>
    <w:basedOn w:val="TableNormal"/>
    <w:uiPriority w:val="61"/>
    <w:rsid w:val="009F572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Heading1-lightblue">
    <w:name w:val="Heading 1 - light blue"/>
    <w:basedOn w:val="Heading1"/>
    <w:next w:val="BodyText"/>
    <w:semiHidden/>
    <w:qFormat/>
    <w:rsid w:val="009F5720"/>
  </w:style>
  <w:style w:type="character" w:styleId="Strong">
    <w:name w:val="Strong"/>
    <w:uiPriority w:val="99"/>
    <w:qFormat/>
    <w:rsid w:val="001C52F9"/>
    <w:rPr>
      <w:b/>
      <w:bCs/>
    </w:rPr>
  </w:style>
  <w:style w:type="paragraph" w:customStyle="1" w:styleId="Boxa">
    <w:name w:val="Box a"/>
    <w:aliases w:val="b list"/>
    <w:basedOn w:val="Sub-listi"/>
    <w:semiHidden/>
    <w:qFormat/>
    <w:rsid w:val="009F5720"/>
    <w:pPr>
      <w:numPr>
        <w:ilvl w:val="1"/>
        <w:numId w:val="6"/>
      </w:numPr>
      <w:pBdr>
        <w:top w:val="single" w:sz="6" w:space="15" w:color="0092CF"/>
        <w:left w:val="single" w:sz="6" w:space="15" w:color="0092CF"/>
        <w:bottom w:val="single" w:sz="6" w:space="15" w:color="0092CF"/>
        <w:right w:val="single" w:sz="6" w:space="15" w:color="0092CF"/>
      </w:pBdr>
      <w:tabs>
        <w:tab w:val="left" w:pos="426"/>
      </w:tabs>
      <w:spacing w:before="120" w:after="0"/>
      <w:ind w:right="284"/>
    </w:pPr>
    <w:rPr>
      <w:color w:val="0092CF"/>
      <w:sz w:val="20"/>
    </w:rPr>
  </w:style>
  <w:style w:type="character" w:styleId="EndnoteReference">
    <w:name w:val="endnote reference"/>
    <w:basedOn w:val="DefaultParagraphFont"/>
    <w:uiPriority w:val="99"/>
    <w:semiHidden/>
    <w:unhideWhenUsed/>
    <w:rsid w:val="0072174A"/>
    <w:rPr>
      <w:vertAlign w:val="superscript"/>
    </w:rPr>
  </w:style>
  <w:style w:type="table" w:customStyle="1" w:styleId="TableGrid1">
    <w:name w:val="Table Grid1"/>
    <w:basedOn w:val="TableNormal"/>
    <w:next w:val="TableGrid"/>
    <w:uiPriority w:val="59"/>
    <w:rsid w:val="009E538A"/>
    <w:pPr>
      <w:spacing w:after="0" w:line="240" w:lineRule="auto"/>
      <w:jc w:val="both"/>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title-lightbrown">
    <w:name w:val="Section title - light brown"/>
    <w:basedOn w:val="Sectiontitle-darkbrown"/>
    <w:next w:val="BodyText"/>
    <w:semiHidden/>
    <w:qFormat/>
    <w:rsid w:val="0072174A"/>
    <w:rPr>
      <w:color w:val="F4D19C"/>
    </w:rPr>
  </w:style>
  <w:style w:type="paragraph" w:customStyle="1" w:styleId="Sectiontitle-darkbrown">
    <w:name w:val="Section title - dark brown"/>
    <w:basedOn w:val="Heading1"/>
    <w:semiHidden/>
    <w:qFormat/>
    <w:rsid w:val="0072174A"/>
    <w:pPr>
      <w:spacing w:after="0"/>
    </w:pPr>
    <w:rPr>
      <w:sz w:val="72"/>
    </w:rPr>
  </w:style>
  <w:style w:type="paragraph" w:customStyle="1" w:styleId="Tablehead">
    <w:name w:val="Tablehead"/>
    <w:basedOn w:val="Normal"/>
    <w:semiHidden/>
    <w:rsid w:val="0072174A"/>
    <w:pPr>
      <w:keepNext/>
      <w:spacing w:before="60" w:after="60"/>
      <w:outlineLvl w:val="0"/>
    </w:pPr>
    <w:rPr>
      <w:rFonts w:cs="Times New Roman"/>
      <w:b/>
      <w:bCs/>
      <w:sz w:val="18"/>
      <w:szCs w:val="20"/>
    </w:rPr>
  </w:style>
  <w:style w:type="paragraph" w:customStyle="1" w:styleId="Sub-bullet">
    <w:name w:val="Sub-bullet"/>
    <w:basedOn w:val="ListParagraph"/>
    <w:next w:val="BodyText"/>
    <w:qFormat/>
    <w:rsid w:val="0072174A"/>
    <w:pPr>
      <w:numPr>
        <w:ilvl w:val="1"/>
        <w:numId w:val="8"/>
      </w:numPr>
      <w:ind w:left="794" w:hanging="397"/>
    </w:pPr>
    <w:rPr>
      <w:rFonts w:cs="Times New Roman"/>
    </w:rPr>
  </w:style>
  <w:style w:type="paragraph" w:customStyle="1" w:styleId="Boxnumbered">
    <w:name w:val="Box numbered"/>
    <w:basedOn w:val="Boxbullet"/>
    <w:next w:val="BodyText"/>
    <w:semiHidden/>
    <w:qFormat/>
    <w:rsid w:val="0072174A"/>
    <w:pPr>
      <w:numPr>
        <w:numId w:val="9"/>
      </w:numPr>
    </w:pPr>
  </w:style>
  <w:style w:type="paragraph" w:customStyle="1" w:styleId="Greenbullet-tables">
    <w:name w:val="Green bullet - tables"/>
    <w:basedOn w:val="Bullet"/>
    <w:rsid w:val="0072174A"/>
    <w:pPr>
      <w:numPr>
        <w:numId w:val="10"/>
      </w:numPr>
      <w:ind w:left="681" w:right="284" w:hanging="397"/>
    </w:pPr>
    <w:rPr>
      <w:color w:val="677719"/>
    </w:rPr>
  </w:style>
  <w:style w:type="paragraph" w:customStyle="1" w:styleId="Brownboxheading">
    <w:name w:val="Brown box heading"/>
    <w:basedOn w:val="Boxheading"/>
    <w:uiPriority w:val="1"/>
    <w:semiHidden/>
    <w:qFormat/>
    <w:rsid w:val="0072174A"/>
    <w:pPr>
      <w:keepLines/>
      <w:pBdr>
        <w:top w:val="single" w:sz="4" w:space="15" w:color="F3CC97"/>
        <w:left w:val="single" w:sz="4" w:space="15" w:color="F3CC97"/>
        <w:bottom w:val="single" w:sz="4" w:space="15" w:color="F3CC97"/>
        <w:right w:val="single" w:sz="4" w:space="15" w:color="F3CC97"/>
      </w:pBdr>
      <w:shd w:val="clear" w:color="B47015" w:fill="F3CC97"/>
    </w:pPr>
    <w:rPr>
      <w:color w:val="B47015"/>
      <w:szCs w:val="22"/>
    </w:rPr>
  </w:style>
  <w:style w:type="paragraph" w:customStyle="1" w:styleId="Brownboxtext">
    <w:name w:val="Brown box text"/>
    <w:basedOn w:val="Box"/>
    <w:uiPriority w:val="1"/>
    <w:semiHidden/>
    <w:qFormat/>
    <w:rsid w:val="0072174A"/>
    <w:pPr>
      <w:pBdr>
        <w:top w:val="single" w:sz="4" w:space="15" w:color="F3CC97"/>
        <w:left w:val="single" w:sz="4" w:space="15" w:color="F3CC97"/>
        <w:bottom w:val="single" w:sz="4" w:space="15" w:color="F3CC97"/>
        <w:right w:val="single" w:sz="4" w:space="15" w:color="F3CC97"/>
      </w:pBdr>
      <w:shd w:val="clear" w:color="B47015" w:fill="F3CC97"/>
    </w:pPr>
    <w:rPr>
      <w:color w:val="B47015"/>
      <w:szCs w:val="22"/>
    </w:rPr>
  </w:style>
  <w:style w:type="paragraph" w:customStyle="1" w:styleId="Casestudyheading">
    <w:name w:val="Case study heading"/>
    <w:basedOn w:val="BodyText"/>
    <w:rsid w:val="0072174A"/>
    <w:pPr>
      <w:keepNext/>
      <w:spacing w:before="160"/>
      <w:ind w:left="284"/>
    </w:pPr>
    <w:rPr>
      <w:b/>
      <w:caps/>
    </w:rPr>
  </w:style>
  <w:style w:type="paragraph" w:customStyle="1" w:styleId="Greentext-tables">
    <w:name w:val="Green text - tables"/>
    <w:basedOn w:val="BodyText"/>
    <w:rsid w:val="0072174A"/>
    <w:pPr>
      <w:ind w:left="284" w:right="284"/>
    </w:pPr>
    <w:rPr>
      <w:color w:val="677719"/>
    </w:rPr>
  </w:style>
  <w:style w:type="paragraph" w:customStyle="1" w:styleId="Questionsub-bullet">
    <w:name w:val="Question sub-bullet"/>
    <w:basedOn w:val="Sub-bullet"/>
    <w:semiHidden/>
    <w:qFormat/>
    <w:rsid w:val="0072174A"/>
    <w:pPr>
      <w:ind w:left="1077" w:right="284"/>
    </w:pPr>
    <w:rPr>
      <w:color w:val="E36F1E"/>
    </w:rPr>
  </w:style>
  <w:style w:type="paragraph" w:customStyle="1" w:styleId="Heading1-lightbrown">
    <w:name w:val="Heading 1 - light brown"/>
    <w:basedOn w:val="Heading1"/>
    <w:next w:val="BodyText"/>
    <w:semiHidden/>
    <w:qFormat/>
    <w:rsid w:val="0072174A"/>
    <w:rPr>
      <w:color w:val="F1B78E"/>
    </w:rPr>
  </w:style>
  <w:style w:type="paragraph" w:customStyle="1" w:styleId="Browntextnumbered">
    <w:name w:val="Brown text numbered"/>
    <w:basedOn w:val="BodyText"/>
    <w:semiHidden/>
    <w:qFormat/>
    <w:rsid w:val="0072174A"/>
    <w:pPr>
      <w:numPr>
        <w:numId w:val="11"/>
      </w:numPr>
      <w:ind w:left="681" w:right="284" w:hanging="397"/>
    </w:pPr>
    <w:rPr>
      <w:color w:val="B47015"/>
    </w:rPr>
  </w:style>
  <w:style w:type="paragraph" w:customStyle="1" w:styleId="Quotebullet">
    <w:name w:val="Quote bullet"/>
    <w:basedOn w:val="Bullet"/>
    <w:qFormat/>
    <w:rsid w:val="0072174A"/>
    <w:pPr>
      <w:tabs>
        <w:tab w:val="clear" w:pos="397"/>
      </w:tabs>
      <w:ind w:left="794" w:right="397"/>
    </w:pPr>
    <w:rPr>
      <w:sz w:val="20"/>
    </w:rPr>
  </w:style>
  <w:style w:type="paragraph" w:customStyle="1" w:styleId="Greenheading-tables">
    <w:name w:val="Green heading - tables"/>
    <w:basedOn w:val="Greentext-tables"/>
    <w:rsid w:val="0072174A"/>
    <w:pPr>
      <w:keepNext/>
      <w:spacing w:before="240" w:after="0"/>
    </w:pPr>
    <w:rPr>
      <w:b/>
    </w:rPr>
  </w:style>
  <w:style w:type="paragraph" w:customStyle="1" w:styleId="Bodytextnumbered">
    <w:name w:val="Body text numbered"/>
    <w:basedOn w:val="BodyText"/>
    <w:uiPriority w:val="1"/>
    <w:semiHidden/>
    <w:rsid w:val="00F82CE8"/>
    <w:pPr>
      <w:numPr>
        <w:numId w:val="14"/>
      </w:numPr>
    </w:pPr>
  </w:style>
  <w:style w:type="paragraph" w:customStyle="1" w:styleId="HeadingnotforTOC">
    <w:name w:val="Heading not for TOC"/>
    <w:basedOn w:val="BodyText"/>
    <w:semiHidden/>
    <w:qFormat/>
    <w:rsid w:val="0072174A"/>
    <w:pPr>
      <w:keepNext/>
      <w:spacing w:after="360"/>
    </w:pPr>
    <w:rPr>
      <w:b/>
      <w:color w:val="F4D19C"/>
      <w:sz w:val="64"/>
      <w:szCs w:val="64"/>
    </w:rPr>
  </w:style>
  <w:style w:type="paragraph" w:customStyle="1" w:styleId="Questiontext">
    <w:name w:val="Question text"/>
    <w:basedOn w:val="Greentext-tables"/>
    <w:semiHidden/>
    <w:qFormat/>
    <w:rsid w:val="0072174A"/>
    <w:rPr>
      <w:color w:val="E36F1E"/>
    </w:rPr>
  </w:style>
  <w:style w:type="paragraph" w:customStyle="1" w:styleId="Questionbullet">
    <w:name w:val="Question bullet"/>
    <w:basedOn w:val="Greenbullet-tables"/>
    <w:semiHidden/>
    <w:qFormat/>
    <w:rsid w:val="0072174A"/>
    <w:pPr>
      <w:numPr>
        <w:numId w:val="13"/>
      </w:numPr>
      <w:ind w:left="681" w:hanging="397"/>
    </w:pPr>
    <w:rPr>
      <w:color w:val="E36F1E"/>
    </w:rPr>
  </w:style>
  <w:style w:type="paragraph" w:customStyle="1" w:styleId="Questionheading">
    <w:name w:val="Question heading"/>
    <w:basedOn w:val="Greenheading-tables"/>
    <w:semiHidden/>
    <w:qFormat/>
    <w:rsid w:val="0072174A"/>
    <w:rPr>
      <w:color w:val="E36F1E"/>
    </w:rPr>
  </w:style>
  <w:style w:type="paragraph" w:styleId="PlainText">
    <w:name w:val="Plain Text"/>
    <w:basedOn w:val="Normal"/>
    <w:link w:val="PlainTextChar"/>
    <w:uiPriority w:val="99"/>
    <w:semiHidden/>
    <w:rsid w:val="0072174A"/>
    <w:pPr>
      <w:spacing w:after="240"/>
    </w:pPr>
    <w:rPr>
      <w:rFonts w:ascii="Consolas" w:eastAsia="Calibri" w:hAnsi="Consolas" w:cs="Times New Roman"/>
      <w:sz w:val="21"/>
      <w:szCs w:val="21"/>
    </w:rPr>
  </w:style>
  <w:style w:type="character" w:customStyle="1" w:styleId="PlainTextChar">
    <w:name w:val="Plain Text Char"/>
    <w:basedOn w:val="DefaultParagraphFont"/>
    <w:link w:val="PlainText"/>
    <w:uiPriority w:val="99"/>
    <w:semiHidden/>
    <w:rsid w:val="0072174A"/>
    <w:rPr>
      <w:rFonts w:ascii="Consolas" w:eastAsia="Calibri" w:hAnsi="Consolas" w:cs="Times New Roman"/>
      <w:sz w:val="21"/>
      <w:szCs w:val="21"/>
      <w:lang w:eastAsia="en-NZ"/>
    </w:rPr>
  </w:style>
  <w:style w:type="paragraph" w:customStyle="1" w:styleId="Questionforconsultationfeedback">
    <w:name w:val="Question for consultation feedback"/>
    <w:basedOn w:val="BodyText"/>
    <w:semiHidden/>
    <w:qFormat/>
    <w:rsid w:val="0072174A"/>
    <w:pPr>
      <w:spacing w:after="240"/>
      <w:jc w:val="both"/>
    </w:pPr>
    <w:rPr>
      <w:rFonts w:ascii="Times New Roman" w:hAnsi="Times New Roman" w:cs="Times New Roman"/>
      <w:i/>
      <w:szCs w:val="20"/>
    </w:rPr>
  </w:style>
  <w:style w:type="character" w:styleId="HTMLDefinition">
    <w:name w:val="HTML Definition"/>
    <w:basedOn w:val="DefaultParagraphFont"/>
    <w:uiPriority w:val="99"/>
    <w:semiHidden/>
    <w:unhideWhenUsed/>
    <w:rsid w:val="00B66B46"/>
    <w:rPr>
      <w:i/>
      <w:iCs/>
    </w:rPr>
  </w:style>
  <w:style w:type="character" w:customStyle="1" w:styleId="label2">
    <w:name w:val="label2"/>
    <w:basedOn w:val="DefaultParagraphFont"/>
    <w:rsid w:val="00B66B46"/>
  </w:style>
  <w:style w:type="character" w:customStyle="1" w:styleId="label3">
    <w:name w:val="label3"/>
    <w:basedOn w:val="DefaultParagraphFont"/>
    <w:rsid w:val="00B66B46"/>
  </w:style>
  <w:style w:type="paragraph" w:customStyle="1" w:styleId="text5">
    <w:name w:val="text5"/>
    <w:basedOn w:val="Normal"/>
    <w:rsid w:val="00B66B46"/>
    <w:pPr>
      <w:spacing w:before="83" w:after="216" w:line="288" w:lineRule="atLeast"/>
    </w:pPr>
    <w:rPr>
      <w:rFonts w:ascii="Times New Roman" w:hAnsi="Times New Roman" w:cs="Times New Roman"/>
      <w:sz w:val="24"/>
      <w:szCs w:val="24"/>
      <w:lang w:eastAsia="en-NZ"/>
    </w:rPr>
  </w:style>
  <w:style w:type="character" w:styleId="Emphasis">
    <w:name w:val="Emphasis"/>
    <w:uiPriority w:val="99"/>
    <w:qFormat/>
    <w:rsid w:val="001C52F9"/>
    <w:rPr>
      <w:i/>
      <w:iCs/>
    </w:rPr>
  </w:style>
  <w:style w:type="character" w:styleId="IntenseEmphasis">
    <w:name w:val="Intense Emphasis"/>
    <w:uiPriority w:val="21"/>
    <w:qFormat/>
    <w:rsid w:val="001C52F9"/>
    <w:rPr>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6993">
      <w:bodyDiv w:val="1"/>
      <w:marLeft w:val="0"/>
      <w:marRight w:val="0"/>
      <w:marTop w:val="0"/>
      <w:marBottom w:val="0"/>
      <w:divBdr>
        <w:top w:val="none" w:sz="0" w:space="0" w:color="auto"/>
        <w:left w:val="none" w:sz="0" w:space="0" w:color="auto"/>
        <w:bottom w:val="none" w:sz="0" w:space="0" w:color="auto"/>
        <w:right w:val="none" w:sz="0" w:space="0" w:color="auto"/>
      </w:divBdr>
    </w:div>
    <w:div w:id="19359848">
      <w:bodyDiv w:val="1"/>
      <w:marLeft w:val="0"/>
      <w:marRight w:val="0"/>
      <w:marTop w:val="0"/>
      <w:marBottom w:val="0"/>
      <w:divBdr>
        <w:top w:val="none" w:sz="0" w:space="0" w:color="auto"/>
        <w:left w:val="none" w:sz="0" w:space="0" w:color="auto"/>
        <w:bottom w:val="none" w:sz="0" w:space="0" w:color="auto"/>
        <w:right w:val="none" w:sz="0" w:space="0" w:color="auto"/>
      </w:divBdr>
    </w:div>
    <w:div w:id="28190843">
      <w:bodyDiv w:val="1"/>
      <w:marLeft w:val="0"/>
      <w:marRight w:val="0"/>
      <w:marTop w:val="0"/>
      <w:marBottom w:val="0"/>
      <w:divBdr>
        <w:top w:val="none" w:sz="0" w:space="0" w:color="auto"/>
        <w:left w:val="none" w:sz="0" w:space="0" w:color="auto"/>
        <w:bottom w:val="none" w:sz="0" w:space="0" w:color="auto"/>
        <w:right w:val="none" w:sz="0" w:space="0" w:color="auto"/>
      </w:divBdr>
    </w:div>
    <w:div w:id="67769003">
      <w:bodyDiv w:val="1"/>
      <w:marLeft w:val="0"/>
      <w:marRight w:val="0"/>
      <w:marTop w:val="0"/>
      <w:marBottom w:val="0"/>
      <w:divBdr>
        <w:top w:val="none" w:sz="0" w:space="0" w:color="auto"/>
        <w:left w:val="none" w:sz="0" w:space="0" w:color="auto"/>
        <w:bottom w:val="none" w:sz="0" w:space="0" w:color="auto"/>
        <w:right w:val="none" w:sz="0" w:space="0" w:color="auto"/>
      </w:divBdr>
    </w:div>
    <w:div w:id="132522565">
      <w:bodyDiv w:val="1"/>
      <w:marLeft w:val="0"/>
      <w:marRight w:val="0"/>
      <w:marTop w:val="0"/>
      <w:marBottom w:val="0"/>
      <w:divBdr>
        <w:top w:val="none" w:sz="0" w:space="0" w:color="auto"/>
        <w:left w:val="none" w:sz="0" w:space="0" w:color="auto"/>
        <w:bottom w:val="none" w:sz="0" w:space="0" w:color="auto"/>
        <w:right w:val="none" w:sz="0" w:space="0" w:color="auto"/>
      </w:divBdr>
      <w:divsChild>
        <w:div w:id="1415274816">
          <w:marLeft w:val="0"/>
          <w:marRight w:val="0"/>
          <w:marTop w:val="0"/>
          <w:marBottom w:val="0"/>
          <w:divBdr>
            <w:top w:val="none" w:sz="0" w:space="0" w:color="auto"/>
            <w:left w:val="none" w:sz="0" w:space="0" w:color="auto"/>
            <w:bottom w:val="none" w:sz="0" w:space="0" w:color="auto"/>
            <w:right w:val="none" w:sz="0" w:space="0" w:color="auto"/>
          </w:divBdr>
          <w:divsChild>
            <w:div w:id="528378933">
              <w:marLeft w:val="0"/>
              <w:marRight w:val="0"/>
              <w:marTop w:val="0"/>
              <w:marBottom w:val="0"/>
              <w:divBdr>
                <w:top w:val="none" w:sz="0" w:space="0" w:color="auto"/>
                <w:left w:val="none" w:sz="0" w:space="0" w:color="auto"/>
                <w:bottom w:val="none" w:sz="0" w:space="0" w:color="auto"/>
                <w:right w:val="none" w:sz="0" w:space="0" w:color="auto"/>
              </w:divBdr>
              <w:divsChild>
                <w:div w:id="1482037497">
                  <w:marLeft w:val="0"/>
                  <w:marRight w:val="0"/>
                  <w:marTop w:val="0"/>
                  <w:marBottom w:val="0"/>
                  <w:divBdr>
                    <w:top w:val="none" w:sz="0" w:space="0" w:color="auto"/>
                    <w:left w:val="none" w:sz="0" w:space="0" w:color="auto"/>
                    <w:bottom w:val="none" w:sz="0" w:space="0" w:color="auto"/>
                    <w:right w:val="none" w:sz="0" w:space="0" w:color="auto"/>
                  </w:divBdr>
                  <w:divsChild>
                    <w:div w:id="808548302">
                      <w:marLeft w:val="0"/>
                      <w:marRight w:val="0"/>
                      <w:marTop w:val="0"/>
                      <w:marBottom w:val="0"/>
                      <w:divBdr>
                        <w:top w:val="none" w:sz="0" w:space="0" w:color="auto"/>
                        <w:left w:val="none" w:sz="0" w:space="0" w:color="auto"/>
                        <w:bottom w:val="none" w:sz="0" w:space="0" w:color="auto"/>
                        <w:right w:val="none" w:sz="0" w:space="0" w:color="auto"/>
                      </w:divBdr>
                      <w:divsChild>
                        <w:div w:id="207685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73769">
      <w:bodyDiv w:val="1"/>
      <w:marLeft w:val="0"/>
      <w:marRight w:val="0"/>
      <w:marTop w:val="0"/>
      <w:marBottom w:val="0"/>
      <w:divBdr>
        <w:top w:val="none" w:sz="0" w:space="0" w:color="auto"/>
        <w:left w:val="none" w:sz="0" w:space="0" w:color="auto"/>
        <w:bottom w:val="none" w:sz="0" w:space="0" w:color="auto"/>
        <w:right w:val="none" w:sz="0" w:space="0" w:color="auto"/>
      </w:divBdr>
    </w:div>
    <w:div w:id="142282680">
      <w:bodyDiv w:val="1"/>
      <w:marLeft w:val="0"/>
      <w:marRight w:val="0"/>
      <w:marTop w:val="0"/>
      <w:marBottom w:val="0"/>
      <w:divBdr>
        <w:top w:val="none" w:sz="0" w:space="0" w:color="auto"/>
        <w:left w:val="none" w:sz="0" w:space="0" w:color="auto"/>
        <w:bottom w:val="none" w:sz="0" w:space="0" w:color="auto"/>
        <w:right w:val="none" w:sz="0" w:space="0" w:color="auto"/>
      </w:divBdr>
    </w:div>
    <w:div w:id="300810726">
      <w:bodyDiv w:val="1"/>
      <w:marLeft w:val="0"/>
      <w:marRight w:val="0"/>
      <w:marTop w:val="0"/>
      <w:marBottom w:val="0"/>
      <w:divBdr>
        <w:top w:val="none" w:sz="0" w:space="0" w:color="auto"/>
        <w:left w:val="none" w:sz="0" w:space="0" w:color="auto"/>
        <w:bottom w:val="none" w:sz="0" w:space="0" w:color="auto"/>
        <w:right w:val="none" w:sz="0" w:space="0" w:color="auto"/>
      </w:divBdr>
    </w:div>
    <w:div w:id="360667101">
      <w:bodyDiv w:val="1"/>
      <w:marLeft w:val="0"/>
      <w:marRight w:val="0"/>
      <w:marTop w:val="0"/>
      <w:marBottom w:val="0"/>
      <w:divBdr>
        <w:top w:val="none" w:sz="0" w:space="0" w:color="auto"/>
        <w:left w:val="none" w:sz="0" w:space="0" w:color="auto"/>
        <w:bottom w:val="none" w:sz="0" w:space="0" w:color="auto"/>
        <w:right w:val="none" w:sz="0" w:space="0" w:color="auto"/>
      </w:divBdr>
    </w:div>
    <w:div w:id="417335256">
      <w:bodyDiv w:val="1"/>
      <w:marLeft w:val="0"/>
      <w:marRight w:val="0"/>
      <w:marTop w:val="0"/>
      <w:marBottom w:val="0"/>
      <w:divBdr>
        <w:top w:val="none" w:sz="0" w:space="0" w:color="auto"/>
        <w:left w:val="none" w:sz="0" w:space="0" w:color="auto"/>
        <w:bottom w:val="none" w:sz="0" w:space="0" w:color="auto"/>
        <w:right w:val="none" w:sz="0" w:space="0" w:color="auto"/>
      </w:divBdr>
      <w:divsChild>
        <w:div w:id="1565945230">
          <w:marLeft w:val="0"/>
          <w:marRight w:val="0"/>
          <w:marTop w:val="0"/>
          <w:marBottom w:val="0"/>
          <w:divBdr>
            <w:top w:val="none" w:sz="0" w:space="0" w:color="auto"/>
            <w:left w:val="none" w:sz="0" w:space="0" w:color="auto"/>
            <w:bottom w:val="none" w:sz="0" w:space="0" w:color="auto"/>
            <w:right w:val="none" w:sz="0" w:space="0" w:color="auto"/>
          </w:divBdr>
          <w:divsChild>
            <w:div w:id="1585914982">
              <w:marLeft w:val="0"/>
              <w:marRight w:val="0"/>
              <w:marTop w:val="0"/>
              <w:marBottom w:val="0"/>
              <w:divBdr>
                <w:top w:val="none" w:sz="0" w:space="0" w:color="auto"/>
                <w:left w:val="none" w:sz="0" w:space="0" w:color="auto"/>
                <w:bottom w:val="none" w:sz="0" w:space="0" w:color="auto"/>
                <w:right w:val="none" w:sz="0" w:space="0" w:color="auto"/>
              </w:divBdr>
              <w:divsChild>
                <w:div w:id="1141144907">
                  <w:marLeft w:val="0"/>
                  <w:marRight w:val="0"/>
                  <w:marTop w:val="0"/>
                  <w:marBottom w:val="0"/>
                  <w:divBdr>
                    <w:top w:val="none" w:sz="0" w:space="0" w:color="auto"/>
                    <w:left w:val="none" w:sz="0" w:space="0" w:color="auto"/>
                    <w:bottom w:val="none" w:sz="0" w:space="0" w:color="auto"/>
                    <w:right w:val="none" w:sz="0" w:space="0" w:color="auto"/>
                  </w:divBdr>
                  <w:divsChild>
                    <w:div w:id="1736853681">
                      <w:marLeft w:val="150"/>
                      <w:marRight w:val="150"/>
                      <w:marTop w:val="0"/>
                      <w:marBottom w:val="0"/>
                      <w:divBdr>
                        <w:top w:val="none" w:sz="0" w:space="0" w:color="auto"/>
                        <w:left w:val="none" w:sz="0" w:space="0" w:color="auto"/>
                        <w:bottom w:val="none" w:sz="0" w:space="0" w:color="auto"/>
                        <w:right w:val="none" w:sz="0" w:space="0" w:color="auto"/>
                      </w:divBdr>
                      <w:divsChild>
                        <w:div w:id="1003053092">
                          <w:marLeft w:val="0"/>
                          <w:marRight w:val="0"/>
                          <w:marTop w:val="0"/>
                          <w:marBottom w:val="0"/>
                          <w:divBdr>
                            <w:top w:val="none" w:sz="0" w:space="0" w:color="auto"/>
                            <w:left w:val="none" w:sz="0" w:space="0" w:color="auto"/>
                            <w:bottom w:val="none" w:sz="0" w:space="0" w:color="auto"/>
                            <w:right w:val="none" w:sz="0" w:space="0" w:color="auto"/>
                          </w:divBdr>
                          <w:divsChild>
                            <w:div w:id="753164616">
                              <w:marLeft w:val="0"/>
                              <w:marRight w:val="0"/>
                              <w:marTop w:val="0"/>
                              <w:marBottom w:val="0"/>
                              <w:divBdr>
                                <w:top w:val="none" w:sz="0" w:space="0" w:color="auto"/>
                                <w:left w:val="none" w:sz="0" w:space="0" w:color="auto"/>
                                <w:bottom w:val="none" w:sz="0" w:space="0" w:color="auto"/>
                                <w:right w:val="none" w:sz="0" w:space="0" w:color="auto"/>
                              </w:divBdr>
                              <w:divsChild>
                                <w:div w:id="1220701907">
                                  <w:marLeft w:val="0"/>
                                  <w:marRight w:val="0"/>
                                  <w:marTop w:val="0"/>
                                  <w:marBottom w:val="0"/>
                                  <w:divBdr>
                                    <w:top w:val="none" w:sz="0" w:space="0" w:color="auto"/>
                                    <w:left w:val="none" w:sz="0" w:space="0" w:color="auto"/>
                                    <w:bottom w:val="none" w:sz="0" w:space="0" w:color="auto"/>
                                    <w:right w:val="none" w:sz="0" w:space="0" w:color="auto"/>
                                  </w:divBdr>
                                  <w:divsChild>
                                    <w:div w:id="538862104">
                                      <w:marLeft w:val="0"/>
                                      <w:marRight w:val="0"/>
                                      <w:marTop w:val="0"/>
                                      <w:marBottom w:val="0"/>
                                      <w:divBdr>
                                        <w:top w:val="none" w:sz="0" w:space="0" w:color="auto"/>
                                        <w:left w:val="none" w:sz="0" w:space="0" w:color="auto"/>
                                        <w:bottom w:val="none" w:sz="0" w:space="0" w:color="auto"/>
                                        <w:right w:val="none" w:sz="0" w:space="0" w:color="auto"/>
                                      </w:divBdr>
                                      <w:divsChild>
                                        <w:div w:id="1753038543">
                                          <w:marLeft w:val="0"/>
                                          <w:marRight w:val="0"/>
                                          <w:marTop w:val="0"/>
                                          <w:marBottom w:val="0"/>
                                          <w:divBdr>
                                            <w:top w:val="none" w:sz="0" w:space="0" w:color="auto"/>
                                            <w:left w:val="none" w:sz="0" w:space="0" w:color="auto"/>
                                            <w:bottom w:val="none" w:sz="0" w:space="0" w:color="auto"/>
                                            <w:right w:val="none" w:sz="0" w:space="0" w:color="auto"/>
                                          </w:divBdr>
                                          <w:divsChild>
                                            <w:div w:id="547377237">
                                              <w:marLeft w:val="0"/>
                                              <w:marRight w:val="0"/>
                                              <w:marTop w:val="0"/>
                                              <w:marBottom w:val="0"/>
                                              <w:divBdr>
                                                <w:top w:val="none" w:sz="0" w:space="0" w:color="auto"/>
                                                <w:left w:val="none" w:sz="0" w:space="0" w:color="auto"/>
                                                <w:bottom w:val="none" w:sz="0" w:space="0" w:color="auto"/>
                                                <w:right w:val="none" w:sz="0" w:space="0" w:color="auto"/>
                                              </w:divBdr>
                                              <w:divsChild>
                                                <w:div w:id="614406143">
                                                  <w:marLeft w:val="0"/>
                                                  <w:marRight w:val="0"/>
                                                  <w:marTop w:val="0"/>
                                                  <w:marBottom w:val="0"/>
                                                  <w:divBdr>
                                                    <w:top w:val="none" w:sz="0" w:space="0" w:color="auto"/>
                                                    <w:left w:val="none" w:sz="0" w:space="0" w:color="auto"/>
                                                    <w:bottom w:val="none" w:sz="0" w:space="0" w:color="auto"/>
                                                    <w:right w:val="none" w:sz="0" w:space="0" w:color="auto"/>
                                                  </w:divBdr>
                                                  <w:divsChild>
                                                    <w:div w:id="92446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3483662">
      <w:bodyDiv w:val="1"/>
      <w:marLeft w:val="0"/>
      <w:marRight w:val="0"/>
      <w:marTop w:val="0"/>
      <w:marBottom w:val="0"/>
      <w:divBdr>
        <w:top w:val="none" w:sz="0" w:space="0" w:color="auto"/>
        <w:left w:val="none" w:sz="0" w:space="0" w:color="auto"/>
        <w:bottom w:val="none" w:sz="0" w:space="0" w:color="auto"/>
        <w:right w:val="none" w:sz="0" w:space="0" w:color="auto"/>
      </w:divBdr>
      <w:divsChild>
        <w:div w:id="2031107764">
          <w:marLeft w:val="0"/>
          <w:marRight w:val="0"/>
          <w:marTop w:val="0"/>
          <w:marBottom w:val="0"/>
          <w:divBdr>
            <w:top w:val="none" w:sz="0" w:space="0" w:color="auto"/>
            <w:left w:val="none" w:sz="0" w:space="0" w:color="auto"/>
            <w:bottom w:val="none" w:sz="0" w:space="0" w:color="auto"/>
            <w:right w:val="none" w:sz="0" w:space="0" w:color="auto"/>
          </w:divBdr>
          <w:divsChild>
            <w:div w:id="200284358">
              <w:marLeft w:val="0"/>
              <w:marRight w:val="0"/>
              <w:marTop w:val="0"/>
              <w:marBottom w:val="0"/>
              <w:divBdr>
                <w:top w:val="none" w:sz="0" w:space="0" w:color="auto"/>
                <w:left w:val="none" w:sz="0" w:space="0" w:color="auto"/>
                <w:bottom w:val="none" w:sz="0" w:space="0" w:color="auto"/>
                <w:right w:val="none" w:sz="0" w:space="0" w:color="auto"/>
              </w:divBdr>
              <w:divsChild>
                <w:div w:id="1731658292">
                  <w:marLeft w:val="0"/>
                  <w:marRight w:val="0"/>
                  <w:marTop w:val="0"/>
                  <w:marBottom w:val="0"/>
                  <w:divBdr>
                    <w:top w:val="none" w:sz="0" w:space="0" w:color="auto"/>
                    <w:left w:val="none" w:sz="0" w:space="0" w:color="auto"/>
                    <w:bottom w:val="none" w:sz="0" w:space="0" w:color="auto"/>
                    <w:right w:val="none" w:sz="0" w:space="0" w:color="auto"/>
                  </w:divBdr>
                  <w:divsChild>
                    <w:div w:id="1463571251">
                      <w:marLeft w:val="0"/>
                      <w:marRight w:val="0"/>
                      <w:marTop w:val="0"/>
                      <w:marBottom w:val="0"/>
                      <w:divBdr>
                        <w:top w:val="none" w:sz="0" w:space="0" w:color="auto"/>
                        <w:left w:val="none" w:sz="0" w:space="0" w:color="auto"/>
                        <w:bottom w:val="none" w:sz="0" w:space="0" w:color="auto"/>
                        <w:right w:val="none" w:sz="0" w:space="0" w:color="auto"/>
                      </w:divBdr>
                      <w:divsChild>
                        <w:div w:id="195736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7868590">
      <w:bodyDiv w:val="1"/>
      <w:marLeft w:val="0"/>
      <w:marRight w:val="0"/>
      <w:marTop w:val="0"/>
      <w:marBottom w:val="0"/>
      <w:divBdr>
        <w:top w:val="none" w:sz="0" w:space="0" w:color="auto"/>
        <w:left w:val="none" w:sz="0" w:space="0" w:color="auto"/>
        <w:bottom w:val="none" w:sz="0" w:space="0" w:color="auto"/>
        <w:right w:val="none" w:sz="0" w:space="0" w:color="auto"/>
      </w:divBdr>
    </w:div>
    <w:div w:id="494610074">
      <w:bodyDiv w:val="1"/>
      <w:marLeft w:val="0"/>
      <w:marRight w:val="0"/>
      <w:marTop w:val="0"/>
      <w:marBottom w:val="0"/>
      <w:divBdr>
        <w:top w:val="none" w:sz="0" w:space="0" w:color="auto"/>
        <w:left w:val="none" w:sz="0" w:space="0" w:color="auto"/>
        <w:bottom w:val="none" w:sz="0" w:space="0" w:color="auto"/>
        <w:right w:val="none" w:sz="0" w:space="0" w:color="auto"/>
      </w:divBdr>
    </w:div>
    <w:div w:id="495221001">
      <w:bodyDiv w:val="1"/>
      <w:marLeft w:val="0"/>
      <w:marRight w:val="0"/>
      <w:marTop w:val="0"/>
      <w:marBottom w:val="0"/>
      <w:divBdr>
        <w:top w:val="none" w:sz="0" w:space="0" w:color="auto"/>
        <w:left w:val="none" w:sz="0" w:space="0" w:color="auto"/>
        <w:bottom w:val="none" w:sz="0" w:space="0" w:color="auto"/>
        <w:right w:val="none" w:sz="0" w:space="0" w:color="auto"/>
      </w:divBdr>
    </w:div>
    <w:div w:id="531305229">
      <w:bodyDiv w:val="1"/>
      <w:marLeft w:val="0"/>
      <w:marRight w:val="0"/>
      <w:marTop w:val="0"/>
      <w:marBottom w:val="0"/>
      <w:divBdr>
        <w:top w:val="none" w:sz="0" w:space="0" w:color="auto"/>
        <w:left w:val="none" w:sz="0" w:space="0" w:color="auto"/>
        <w:bottom w:val="none" w:sz="0" w:space="0" w:color="auto"/>
        <w:right w:val="none" w:sz="0" w:space="0" w:color="auto"/>
      </w:divBdr>
      <w:divsChild>
        <w:div w:id="1082071766">
          <w:marLeft w:val="0"/>
          <w:marRight w:val="0"/>
          <w:marTop w:val="0"/>
          <w:marBottom w:val="0"/>
          <w:divBdr>
            <w:top w:val="none" w:sz="0" w:space="0" w:color="auto"/>
            <w:left w:val="none" w:sz="0" w:space="0" w:color="auto"/>
            <w:bottom w:val="none" w:sz="0" w:space="0" w:color="auto"/>
            <w:right w:val="none" w:sz="0" w:space="0" w:color="auto"/>
          </w:divBdr>
          <w:divsChild>
            <w:div w:id="1266620769">
              <w:marLeft w:val="0"/>
              <w:marRight w:val="0"/>
              <w:marTop w:val="0"/>
              <w:marBottom w:val="0"/>
              <w:divBdr>
                <w:top w:val="none" w:sz="0" w:space="0" w:color="auto"/>
                <w:left w:val="none" w:sz="0" w:space="0" w:color="auto"/>
                <w:bottom w:val="none" w:sz="0" w:space="0" w:color="auto"/>
                <w:right w:val="none" w:sz="0" w:space="0" w:color="auto"/>
              </w:divBdr>
              <w:divsChild>
                <w:div w:id="79259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677159">
      <w:bodyDiv w:val="1"/>
      <w:marLeft w:val="0"/>
      <w:marRight w:val="0"/>
      <w:marTop w:val="0"/>
      <w:marBottom w:val="0"/>
      <w:divBdr>
        <w:top w:val="none" w:sz="0" w:space="0" w:color="auto"/>
        <w:left w:val="none" w:sz="0" w:space="0" w:color="auto"/>
        <w:bottom w:val="none" w:sz="0" w:space="0" w:color="auto"/>
        <w:right w:val="none" w:sz="0" w:space="0" w:color="auto"/>
      </w:divBdr>
      <w:divsChild>
        <w:div w:id="1239170784">
          <w:marLeft w:val="0"/>
          <w:marRight w:val="0"/>
          <w:marTop w:val="0"/>
          <w:marBottom w:val="0"/>
          <w:divBdr>
            <w:top w:val="none" w:sz="0" w:space="0" w:color="auto"/>
            <w:left w:val="none" w:sz="0" w:space="0" w:color="auto"/>
            <w:bottom w:val="none" w:sz="0" w:space="0" w:color="auto"/>
            <w:right w:val="none" w:sz="0" w:space="0" w:color="auto"/>
          </w:divBdr>
          <w:divsChild>
            <w:div w:id="431048561">
              <w:marLeft w:val="-450"/>
              <w:marRight w:val="-450"/>
              <w:marTop w:val="0"/>
              <w:marBottom w:val="0"/>
              <w:divBdr>
                <w:top w:val="none" w:sz="0" w:space="0" w:color="auto"/>
                <w:left w:val="none" w:sz="0" w:space="0" w:color="auto"/>
                <w:bottom w:val="none" w:sz="0" w:space="0" w:color="auto"/>
                <w:right w:val="none" w:sz="0" w:space="0" w:color="auto"/>
              </w:divBdr>
              <w:divsChild>
                <w:div w:id="69734138">
                  <w:marLeft w:val="0"/>
                  <w:marRight w:val="0"/>
                  <w:marTop w:val="0"/>
                  <w:marBottom w:val="0"/>
                  <w:divBdr>
                    <w:top w:val="none" w:sz="0" w:space="0" w:color="auto"/>
                    <w:left w:val="none" w:sz="0" w:space="0" w:color="auto"/>
                    <w:bottom w:val="none" w:sz="0" w:space="0" w:color="auto"/>
                    <w:right w:val="none" w:sz="0" w:space="0" w:color="auto"/>
                  </w:divBdr>
                  <w:divsChild>
                    <w:div w:id="1826121558">
                      <w:marLeft w:val="-450"/>
                      <w:marRight w:val="-450"/>
                      <w:marTop w:val="0"/>
                      <w:marBottom w:val="0"/>
                      <w:divBdr>
                        <w:top w:val="none" w:sz="0" w:space="0" w:color="auto"/>
                        <w:left w:val="none" w:sz="0" w:space="0" w:color="auto"/>
                        <w:bottom w:val="none" w:sz="0" w:space="0" w:color="auto"/>
                        <w:right w:val="none" w:sz="0" w:space="0" w:color="auto"/>
                      </w:divBdr>
                      <w:divsChild>
                        <w:div w:id="107744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975292">
      <w:bodyDiv w:val="1"/>
      <w:marLeft w:val="0"/>
      <w:marRight w:val="0"/>
      <w:marTop w:val="0"/>
      <w:marBottom w:val="0"/>
      <w:divBdr>
        <w:top w:val="none" w:sz="0" w:space="0" w:color="auto"/>
        <w:left w:val="none" w:sz="0" w:space="0" w:color="auto"/>
        <w:bottom w:val="none" w:sz="0" w:space="0" w:color="auto"/>
        <w:right w:val="none" w:sz="0" w:space="0" w:color="auto"/>
      </w:divBdr>
    </w:div>
    <w:div w:id="733087739">
      <w:bodyDiv w:val="1"/>
      <w:marLeft w:val="0"/>
      <w:marRight w:val="0"/>
      <w:marTop w:val="0"/>
      <w:marBottom w:val="0"/>
      <w:divBdr>
        <w:top w:val="none" w:sz="0" w:space="0" w:color="auto"/>
        <w:left w:val="none" w:sz="0" w:space="0" w:color="auto"/>
        <w:bottom w:val="none" w:sz="0" w:space="0" w:color="auto"/>
        <w:right w:val="none" w:sz="0" w:space="0" w:color="auto"/>
      </w:divBdr>
    </w:div>
    <w:div w:id="733313316">
      <w:bodyDiv w:val="1"/>
      <w:marLeft w:val="0"/>
      <w:marRight w:val="0"/>
      <w:marTop w:val="0"/>
      <w:marBottom w:val="0"/>
      <w:divBdr>
        <w:top w:val="none" w:sz="0" w:space="0" w:color="auto"/>
        <w:left w:val="none" w:sz="0" w:space="0" w:color="auto"/>
        <w:bottom w:val="none" w:sz="0" w:space="0" w:color="auto"/>
        <w:right w:val="none" w:sz="0" w:space="0" w:color="auto"/>
      </w:divBdr>
    </w:div>
    <w:div w:id="740369780">
      <w:bodyDiv w:val="1"/>
      <w:marLeft w:val="0"/>
      <w:marRight w:val="0"/>
      <w:marTop w:val="0"/>
      <w:marBottom w:val="0"/>
      <w:divBdr>
        <w:top w:val="none" w:sz="0" w:space="0" w:color="auto"/>
        <w:left w:val="none" w:sz="0" w:space="0" w:color="auto"/>
        <w:bottom w:val="none" w:sz="0" w:space="0" w:color="auto"/>
        <w:right w:val="none" w:sz="0" w:space="0" w:color="auto"/>
      </w:divBdr>
      <w:divsChild>
        <w:div w:id="200285407">
          <w:marLeft w:val="0"/>
          <w:marRight w:val="0"/>
          <w:marTop w:val="0"/>
          <w:marBottom w:val="0"/>
          <w:divBdr>
            <w:top w:val="none" w:sz="0" w:space="0" w:color="auto"/>
            <w:left w:val="none" w:sz="0" w:space="0" w:color="auto"/>
            <w:bottom w:val="none" w:sz="0" w:space="0" w:color="auto"/>
            <w:right w:val="none" w:sz="0" w:space="0" w:color="auto"/>
          </w:divBdr>
          <w:divsChild>
            <w:div w:id="1410617400">
              <w:marLeft w:val="0"/>
              <w:marRight w:val="0"/>
              <w:marTop w:val="0"/>
              <w:marBottom w:val="0"/>
              <w:divBdr>
                <w:top w:val="none" w:sz="0" w:space="0" w:color="auto"/>
                <w:left w:val="none" w:sz="0" w:space="0" w:color="auto"/>
                <w:bottom w:val="none" w:sz="0" w:space="0" w:color="auto"/>
                <w:right w:val="none" w:sz="0" w:space="0" w:color="auto"/>
              </w:divBdr>
              <w:divsChild>
                <w:div w:id="2093768890">
                  <w:marLeft w:val="0"/>
                  <w:marRight w:val="0"/>
                  <w:marTop w:val="0"/>
                  <w:marBottom w:val="0"/>
                  <w:divBdr>
                    <w:top w:val="none" w:sz="0" w:space="0" w:color="auto"/>
                    <w:left w:val="none" w:sz="0" w:space="0" w:color="auto"/>
                    <w:bottom w:val="none" w:sz="0" w:space="0" w:color="auto"/>
                    <w:right w:val="none" w:sz="0" w:space="0" w:color="auto"/>
                  </w:divBdr>
                  <w:divsChild>
                    <w:div w:id="2009362376">
                      <w:marLeft w:val="150"/>
                      <w:marRight w:val="150"/>
                      <w:marTop w:val="0"/>
                      <w:marBottom w:val="0"/>
                      <w:divBdr>
                        <w:top w:val="none" w:sz="0" w:space="0" w:color="auto"/>
                        <w:left w:val="none" w:sz="0" w:space="0" w:color="auto"/>
                        <w:bottom w:val="none" w:sz="0" w:space="0" w:color="auto"/>
                        <w:right w:val="none" w:sz="0" w:space="0" w:color="auto"/>
                      </w:divBdr>
                      <w:divsChild>
                        <w:div w:id="1280448800">
                          <w:marLeft w:val="0"/>
                          <w:marRight w:val="0"/>
                          <w:marTop w:val="0"/>
                          <w:marBottom w:val="0"/>
                          <w:divBdr>
                            <w:top w:val="none" w:sz="0" w:space="0" w:color="auto"/>
                            <w:left w:val="none" w:sz="0" w:space="0" w:color="auto"/>
                            <w:bottom w:val="none" w:sz="0" w:space="0" w:color="auto"/>
                            <w:right w:val="none" w:sz="0" w:space="0" w:color="auto"/>
                          </w:divBdr>
                          <w:divsChild>
                            <w:div w:id="1005784203">
                              <w:marLeft w:val="0"/>
                              <w:marRight w:val="0"/>
                              <w:marTop w:val="0"/>
                              <w:marBottom w:val="0"/>
                              <w:divBdr>
                                <w:top w:val="none" w:sz="0" w:space="0" w:color="auto"/>
                                <w:left w:val="none" w:sz="0" w:space="0" w:color="auto"/>
                                <w:bottom w:val="none" w:sz="0" w:space="0" w:color="auto"/>
                                <w:right w:val="none" w:sz="0" w:space="0" w:color="auto"/>
                              </w:divBdr>
                              <w:divsChild>
                                <w:div w:id="832911719">
                                  <w:marLeft w:val="0"/>
                                  <w:marRight w:val="0"/>
                                  <w:marTop w:val="0"/>
                                  <w:marBottom w:val="0"/>
                                  <w:divBdr>
                                    <w:top w:val="none" w:sz="0" w:space="0" w:color="auto"/>
                                    <w:left w:val="none" w:sz="0" w:space="0" w:color="auto"/>
                                    <w:bottom w:val="none" w:sz="0" w:space="0" w:color="auto"/>
                                    <w:right w:val="none" w:sz="0" w:space="0" w:color="auto"/>
                                  </w:divBdr>
                                  <w:divsChild>
                                    <w:div w:id="1117601154">
                                      <w:marLeft w:val="0"/>
                                      <w:marRight w:val="0"/>
                                      <w:marTop w:val="0"/>
                                      <w:marBottom w:val="0"/>
                                      <w:divBdr>
                                        <w:top w:val="none" w:sz="0" w:space="0" w:color="auto"/>
                                        <w:left w:val="none" w:sz="0" w:space="0" w:color="auto"/>
                                        <w:bottom w:val="none" w:sz="0" w:space="0" w:color="auto"/>
                                        <w:right w:val="none" w:sz="0" w:space="0" w:color="auto"/>
                                      </w:divBdr>
                                      <w:divsChild>
                                        <w:div w:id="225993189">
                                          <w:marLeft w:val="0"/>
                                          <w:marRight w:val="0"/>
                                          <w:marTop w:val="0"/>
                                          <w:marBottom w:val="0"/>
                                          <w:divBdr>
                                            <w:top w:val="none" w:sz="0" w:space="0" w:color="auto"/>
                                            <w:left w:val="none" w:sz="0" w:space="0" w:color="auto"/>
                                            <w:bottom w:val="none" w:sz="0" w:space="0" w:color="auto"/>
                                            <w:right w:val="none" w:sz="0" w:space="0" w:color="auto"/>
                                          </w:divBdr>
                                          <w:divsChild>
                                            <w:div w:id="2134668640">
                                              <w:marLeft w:val="0"/>
                                              <w:marRight w:val="0"/>
                                              <w:marTop w:val="0"/>
                                              <w:marBottom w:val="0"/>
                                              <w:divBdr>
                                                <w:top w:val="none" w:sz="0" w:space="0" w:color="auto"/>
                                                <w:left w:val="none" w:sz="0" w:space="0" w:color="auto"/>
                                                <w:bottom w:val="none" w:sz="0" w:space="0" w:color="auto"/>
                                                <w:right w:val="none" w:sz="0" w:space="0" w:color="auto"/>
                                              </w:divBdr>
                                              <w:divsChild>
                                                <w:div w:id="1529952944">
                                                  <w:marLeft w:val="0"/>
                                                  <w:marRight w:val="0"/>
                                                  <w:marTop w:val="0"/>
                                                  <w:marBottom w:val="0"/>
                                                  <w:divBdr>
                                                    <w:top w:val="none" w:sz="0" w:space="0" w:color="auto"/>
                                                    <w:left w:val="none" w:sz="0" w:space="0" w:color="auto"/>
                                                    <w:bottom w:val="none" w:sz="0" w:space="0" w:color="auto"/>
                                                    <w:right w:val="none" w:sz="0" w:space="0" w:color="auto"/>
                                                  </w:divBdr>
                                                  <w:divsChild>
                                                    <w:div w:id="122729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8260034">
      <w:bodyDiv w:val="1"/>
      <w:marLeft w:val="0"/>
      <w:marRight w:val="0"/>
      <w:marTop w:val="0"/>
      <w:marBottom w:val="0"/>
      <w:divBdr>
        <w:top w:val="none" w:sz="0" w:space="0" w:color="auto"/>
        <w:left w:val="none" w:sz="0" w:space="0" w:color="auto"/>
        <w:bottom w:val="none" w:sz="0" w:space="0" w:color="auto"/>
        <w:right w:val="none" w:sz="0" w:space="0" w:color="auto"/>
      </w:divBdr>
    </w:div>
    <w:div w:id="832373408">
      <w:bodyDiv w:val="1"/>
      <w:marLeft w:val="0"/>
      <w:marRight w:val="0"/>
      <w:marTop w:val="0"/>
      <w:marBottom w:val="0"/>
      <w:divBdr>
        <w:top w:val="none" w:sz="0" w:space="0" w:color="auto"/>
        <w:left w:val="none" w:sz="0" w:space="0" w:color="auto"/>
        <w:bottom w:val="none" w:sz="0" w:space="0" w:color="auto"/>
        <w:right w:val="none" w:sz="0" w:space="0" w:color="auto"/>
      </w:divBdr>
    </w:div>
    <w:div w:id="925579298">
      <w:bodyDiv w:val="1"/>
      <w:marLeft w:val="0"/>
      <w:marRight w:val="0"/>
      <w:marTop w:val="0"/>
      <w:marBottom w:val="0"/>
      <w:divBdr>
        <w:top w:val="none" w:sz="0" w:space="0" w:color="auto"/>
        <w:left w:val="none" w:sz="0" w:space="0" w:color="auto"/>
        <w:bottom w:val="none" w:sz="0" w:space="0" w:color="auto"/>
        <w:right w:val="none" w:sz="0" w:space="0" w:color="auto"/>
      </w:divBdr>
      <w:divsChild>
        <w:div w:id="2073042377">
          <w:marLeft w:val="0"/>
          <w:marRight w:val="0"/>
          <w:marTop w:val="0"/>
          <w:marBottom w:val="0"/>
          <w:divBdr>
            <w:top w:val="none" w:sz="0" w:space="0" w:color="auto"/>
            <w:left w:val="none" w:sz="0" w:space="0" w:color="auto"/>
            <w:bottom w:val="none" w:sz="0" w:space="0" w:color="auto"/>
            <w:right w:val="none" w:sz="0" w:space="0" w:color="auto"/>
          </w:divBdr>
          <w:divsChild>
            <w:div w:id="373702096">
              <w:marLeft w:val="0"/>
              <w:marRight w:val="0"/>
              <w:marTop w:val="0"/>
              <w:marBottom w:val="0"/>
              <w:divBdr>
                <w:top w:val="none" w:sz="0" w:space="0" w:color="auto"/>
                <w:left w:val="none" w:sz="0" w:space="0" w:color="auto"/>
                <w:bottom w:val="none" w:sz="0" w:space="0" w:color="auto"/>
                <w:right w:val="none" w:sz="0" w:space="0" w:color="auto"/>
              </w:divBdr>
              <w:divsChild>
                <w:div w:id="1479345283">
                  <w:marLeft w:val="0"/>
                  <w:marRight w:val="0"/>
                  <w:marTop w:val="0"/>
                  <w:marBottom w:val="0"/>
                  <w:divBdr>
                    <w:top w:val="none" w:sz="0" w:space="0" w:color="auto"/>
                    <w:left w:val="none" w:sz="0" w:space="0" w:color="auto"/>
                    <w:bottom w:val="none" w:sz="0" w:space="0" w:color="auto"/>
                    <w:right w:val="none" w:sz="0" w:space="0" w:color="auto"/>
                  </w:divBdr>
                  <w:divsChild>
                    <w:div w:id="196503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055185">
      <w:bodyDiv w:val="1"/>
      <w:marLeft w:val="0"/>
      <w:marRight w:val="0"/>
      <w:marTop w:val="0"/>
      <w:marBottom w:val="0"/>
      <w:divBdr>
        <w:top w:val="none" w:sz="0" w:space="0" w:color="auto"/>
        <w:left w:val="none" w:sz="0" w:space="0" w:color="auto"/>
        <w:bottom w:val="none" w:sz="0" w:space="0" w:color="auto"/>
        <w:right w:val="none" w:sz="0" w:space="0" w:color="auto"/>
      </w:divBdr>
    </w:div>
    <w:div w:id="1061251195">
      <w:bodyDiv w:val="1"/>
      <w:marLeft w:val="0"/>
      <w:marRight w:val="0"/>
      <w:marTop w:val="0"/>
      <w:marBottom w:val="0"/>
      <w:divBdr>
        <w:top w:val="none" w:sz="0" w:space="0" w:color="auto"/>
        <w:left w:val="none" w:sz="0" w:space="0" w:color="auto"/>
        <w:bottom w:val="none" w:sz="0" w:space="0" w:color="auto"/>
        <w:right w:val="none" w:sz="0" w:space="0" w:color="auto"/>
      </w:divBdr>
    </w:div>
    <w:div w:id="1088381266">
      <w:bodyDiv w:val="1"/>
      <w:marLeft w:val="0"/>
      <w:marRight w:val="0"/>
      <w:marTop w:val="0"/>
      <w:marBottom w:val="0"/>
      <w:divBdr>
        <w:top w:val="none" w:sz="0" w:space="0" w:color="auto"/>
        <w:left w:val="none" w:sz="0" w:space="0" w:color="auto"/>
        <w:bottom w:val="none" w:sz="0" w:space="0" w:color="auto"/>
        <w:right w:val="none" w:sz="0" w:space="0" w:color="auto"/>
      </w:divBdr>
    </w:div>
    <w:div w:id="1136067815">
      <w:bodyDiv w:val="1"/>
      <w:marLeft w:val="0"/>
      <w:marRight w:val="0"/>
      <w:marTop w:val="0"/>
      <w:marBottom w:val="0"/>
      <w:divBdr>
        <w:top w:val="none" w:sz="0" w:space="0" w:color="auto"/>
        <w:left w:val="none" w:sz="0" w:space="0" w:color="auto"/>
        <w:bottom w:val="none" w:sz="0" w:space="0" w:color="auto"/>
        <w:right w:val="none" w:sz="0" w:space="0" w:color="auto"/>
      </w:divBdr>
    </w:div>
    <w:div w:id="1154296261">
      <w:bodyDiv w:val="1"/>
      <w:marLeft w:val="0"/>
      <w:marRight w:val="0"/>
      <w:marTop w:val="0"/>
      <w:marBottom w:val="0"/>
      <w:divBdr>
        <w:top w:val="none" w:sz="0" w:space="0" w:color="auto"/>
        <w:left w:val="none" w:sz="0" w:space="0" w:color="auto"/>
        <w:bottom w:val="none" w:sz="0" w:space="0" w:color="auto"/>
        <w:right w:val="none" w:sz="0" w:space="0" w:color="auto"/>
      </w:divBdr>
      <w:divsChild>
        <w:div w:id="639654950">
          <w:marLeft w:val="0"/>
          <w:marRight w:val="0"/>
          <w:marTop w:val="83"/>
          <w:marBottom w:val="0"/>
          <w:divBdr>
            <w:top w:val="none" w:sz="0" w:space="0" w:color="auto"/>
            <w:left w:val="none" w:sz="0" w:space="0" w:color="auto"/>
            <w:bottom w:val="none" w:sz="0" w:space="0" w:color="auto"/>
            <w:right w:val="none" w:sz="0" w:space="0" w:color="auto"/>
          </w:divBdr>
          <w:divsChild>
            <w:div w:id="485824528">
              <w:marLeft w:val="0"/>
              <w:marRight w:val="0"/>
              <w:marTop w:val="83"/>
              <w:marBottom w:val="0"/>
              <w:divBdr>
                <w:top w:val="none" w:sz="0" w:space="0" w:color="auto"/>
                <w:left w:val="none" w:sz="0" w:space="0" w:color="auto"/>
                <w:bottom w:val="none" w:sz="0" w:space="0" w:color="auto"/>
                <w:right w:val="none" w:sz="0" w:space="0" w:color="auto"/>
              </w:divBdr>
              <w:divsChild>
                <w:div w:id="383405130">
                  <w:marLeft w:val="0"/>
                  <w:marRight w:val="0"/>
                  <w:marTop w:val="83"/>
                  <w:marBottom w:val="0"/>
                  <w:divBdr>
                    <w:top w:val="none" w:sz="0" w:space="0" w:color="auto"/>
                    <w:left w:val="none" w:sz="0" w:space="0" w:color="auto"/>
                    <w:bottom w:val="none" w:sz="0" w:space="0" w:color="auto"/>
                    <w:right w:val="none" w:sz="0" w:space="0" w:color="auto"/>
                  </w:divBdr>
                </w:div>
                <w:div w:id="618414372">
                  <w:marLeft w:val="0"/>
                  <w:marRight w:val="0"/>
                  <w:marTop w:val="83"/>
                  <w:marBottom w:val="0"/>
                  <w:divBdr>
                    <w:top w:val="none" w:sz="0" w:space="0" w:color="auto"/>
                    <w:left w:val="none" w:sz="0" w:space="0" w:color="auto"/>
                    <w:bottom w:val="none" w:sz="0" w:space="0" w:color="auto"/>
                    <w:right w:val="none" w:sz="0" w:space="0" w:color="auto"/>
                  </w:divBdr>
                </w:div>
                <w:div w:id="630981818">
                  <w:marLeft w:val="0"/>
                  <w:marRight w:val="0"/>
                  <w:marTop w:val="83"/>
                  <w:marBottom w:val="0"/>
                  <w:divBdr>
                    <w:top w:val="none" w:sz="0" w:space="0" w:color="auto"/>
                    <w:left w:val="none" w:sz="0" w:space="0" w:color="auto"/>
                    <w:bottom w:val="none" w:sz="0" w:space="0" w:color="auto"/>
                    <w:right w:val="none" w:sz="0" w:space="0" w:color="auto"/>
                  </w:divBdr>
                </w:div>
                <w:div w:id="1432242681">
                  <w:marLeft w:val="0"/>
                  <w:marRight w:val="0"/>
                  <w:marTop w:val="83"/>
                  <w:marBottom w:val="0"/>
                  <w:divBdr>
                    <w:top w:val="none" w:sz="0" w:space="0" w:color="auto"/>
                    <w:left w:val="none" w:sz="0" w:space="0" w:color="auto"/>
                    <w:bottom w:val="none" w:sz="0" w:space="0" w:color="auto"/>
                    <w:right w:val="none" w:sz="0" w:space="0" w:color="auto"/>
                  </w:divBdr>
                </w:div>
                <w:div w:id="1616935725">
                  <w:marLeft w:val="0"/>
                  <w:marRight w:val="0"/>
                  <w:marTop w:val="83"/>
                  <w:marBottom w:val="0"/>
                  <w:divBdr>
                    <w:top w:val="none" w:sz="0" w:space="0" w:color="auto"/>
                    <w:left w:val="none" w:sz="0" w:space="0" w:color="auto"/>
                    <w:bottom w:val="none" w:sz="0" w:space="0" w:color="auto"/>
                    <w:right w:val="none" w:sz="0" w:space="0" w:color="auto"/>
                  </w:divBdr>
                </w:div>
                <w:div w:id="1990164403">
                  <w:marLeft w:val="0"/>
                  <w:marRight w:val="0"/>
                  <w:marTop w:val="83"/>
                  <w:marBottom w:val="0"/>
                  <w:divBdr>
                    <w:top w:val="none" w:sz="0" w:space="0" w:color="auto"/>
                    <w:left w:val="none" w:sz="0" w:space="0" w:color="auto"/>
                    <w:bottom w:val="none" w:sz="0" w:space="0" w:color="auto"/>
                    <w:right w:val="none" w:sz="0" w:space="0" w:color="auto"/>
                  </w:divBdr>
                </w:div>
              </w:divsChild>
            </w:div>
            <w:div w:id="663124151">
              <w:marLeft w:val="0"/>
              <w:marRight w:val="0"/>
              <w:marTop w:val="83"/>
              <w:marBottom w:val="0"/>
              <w:divBdr>
                <w:top w:val="none" w:sz="0" w:space="0" w:color="auto"/>
                <w:left w:val="none" w:sz="0" w:space="0" w:color="auto"/>
                <w:bottom w:val="none" w:sz="0" w:space="0" w:color="auto"/>
                <w:right w:val="none" w:sz="0" w:space="0" w:color="auto"/>
              </w:divBdr>
            </w:div>
            <w:div w:id="870797689">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158183286">
      <w:bodyDiv w:val="1"/>
      <w:marLeft w:val="0"/>
      <w:marRight w:val="0"/>
      <w:marTop w:val="0"/>
      <w:marBottom w:val="0"/>
      <w:divBdr>
        <w:top w:val="none" w:sz="0" w:space="0" w:color="auto"/>
        <w:left w:val="none" w:sz="0" w:space="0" w:color="auto"/>
        <w:bottom w:val="none" w:sz="0" w:space="0" w:color="auto"/>
        <w:right w:val="none" w:sz="0" w:space="0" w:color="auto"/>
      </w:divBdr>
    </w:div>
    <w:div w:id="1195650703">
      <w:bodyDiv w:val="1"/>
      <w:marLeft w:val="0"/>
      <w:marRight w:val="0"/>
      <w:marTop w:val="0"/>
      <w:marBottom w:val="0"/>
      <w:divBdr>
        <w:top w:val="none" w:sz="0" w:space="0" w:color="auto"/>
        <w:left w:val="none" w:sz="0" w:space="0" w:color="auto"/>
        <w:bottom w:val="none" w:sz="0" w:space="0" w:color="auto"/>
        <w:right w:val="none" w:sz="0" w:space="0" w:color="auto"/>
      </w:divBdr>
    </w:div>
    <w:div w:id="1238589909">
      <w:bodyDiv w:val="1"/>
      <w:marLeft w:val="0"/>
      <w:marRight w:val="0"/>
      <w:marTop w:val="0"/>
      <w:marBottom w:val="0"/>
      <w:divBdr>
        <w:top w:val="none" w:sz="0" w:space="0" w:color="auto"/>
        <w:left w:val="none" w:sz="0" w:space="0" w:color="auto"/>
        <w:bottom w:val="none" w:sz="0" w:space="0" w:color="auto"/>
        <w:right w:val="none" w:sz="0" w:space="0" w:color="auto"/>
      </w:divBdr>
    </w:div>
    <w:div w:id="1248732986">
      <w:bodyDiv w:val="1"/>
      <w:marLeft w:val="0"/>
      <w:marRight w:val="0"/>
      <w:marTop w:val="0"/>
      <w:marBottom w:val="0"/>
      <w:divBdr>
        <w:top w:val="none" w:sz="0" w:space="0" w:color="auto"/>
        <w:left w:val="none" w:sz="0" w:space="0" w:color="auto"/>
        <w:bottom w:val="none" w:sz="0" w:space="0" w:color="auto"/>
        <w:right w:val="none" w:sz="0" w:space="0" w:color="auto"/>
      </w:divBdr>
    </w:div>
    <w:div w:id="1315790775">
      <w:bodyDiv w:val="1"/>
      <w:marLeft w:val="0"/>
      <w:marRight w:val="0"/>
      <w:marTop w:val="0"/>
      <w:marBottom w:val="0"/>
      <w:divBdr>
        <w:top w:val="none" w:sz="0" w:space="0" w:color="auto"/>
        <w:left w:val="none" w:sz="0" w:space="0" w:color="auto"/>
        <w:bottom w:val="none" w:sz="0" w:space="0" w:color="auto"/>
        <w:right w:val="none" w:sz="0" w:space="0" w:color="auto"/>
      </w:divBdr>
    </w:div>
    <w:div w:id="1324697193">
      <w:bodyDiv w:val="1"/>
      <w:marLeft w:val="0"/>
      <w:marRight w:val="0"/>
      <w:marTop w:val="0"/>
      <w:marBottom w:val="0"/>
      <w:divBdr>
        <w:top w:val="none" w:sz="0" w:space="0" w:color="auto"/>
        <w:left w:val="none" w:sz="0" w:space="0" w:color="auto"/>
        <w:bottom w:val="none" w:sz="0" w:space="0" w:color="auto"/>
        <w:right w:val="none" w:sz="0" w:space="0" w:color="auto"/>
      </w:divBdr>
    </w:div>
    <w:div w:id="1327132997">
      <w:bodyDiv w:val="1"/>
      <w:marLeft w:val="0"/>
      <w:marRight w:val="0"/>
      <w:marTop w:val="0"/>
      <w:marBottom w:val="0"/>
      <w:divBdr>
        <w:top w:val="none" w:sz="0" w:space="0" w:color="auto"/>
        <w:left w:val="none" w:sz="0" w:space="0" w:color="auto"/>
        <w:bottom w:val="none" w:sz="0" w:space="0" w:color="auto"/>
        <w:right w:val="none" w:sz="0" w:space="0" w:color="auto"/>
      </w:divBdr>
      <w:divsChild>
        <w:div w:id="1986818198">
          <w:marLeft w:val="0"/>
          <w:marRight w:val="0"/>
          <w:marTop w:val="83"/>
          <w:marBottom w:val="0"/>
          <w:divBdr>
            <w:top w:val="none" w:sz="0" w:space="0" w:color="auto"/>
            <w:left w:val="none" w:sz="0" w:space="0" w:color="auto"/>
            <w:bottom w:val="none" w:sz="0" w:space="0" w:color="auto"/>
            <w:right w:val="none" w:sz="0" w:space="0" w:color="auto"/>
          </w:divBdr>
        </w:div>
      </w:divsChild>
    </w:div>
    <w:div w:id="1459183543">
      <w:bodyDiv w:val="1"/>
      <w:marLeft w:val="0"/>
      <w:marRight w:val="0"/>
      <w:marTop w:val="0"/>
      <w:marBottom w:val="0"/>
      <w:divBdr>
        <w:top w:val="none" w:sz="0" w:space="0" w:color="auto"/>
        <w:left w:val="none" w:sz="0" w:space="0" w:color="auto"/>
        <w:bottom w:val="none" w:sz="0" w:space="0" w:color="auto"/>
        <w:right w:val="none" w:sz="0" w:space="0" w:color="auto"/>
      </w:divBdr>
    </w:div>
    <w:div w:id="1477533451">
      <w:bodyDiv w:val="1"/>
      <w:marLeft w:val="0"/>
      <w:marRight w:val="0"/>
      <w:marTop w:val="0"/>
      <w:marBottom w:val="0"/>
      <w:divBdr>
        <w:top w:val="none" w:sz="0" w:space="0" w:color="auto"/>
        <w:left w:val="none" w:sz="0" w:space="0" w:color="auto"/>
        <w:bottom w:val="none" w:sz="0" w:space="0" w:color="auto"/>
        <w:right w:val="none" w:sz="0" w:space="0" w:color="auto"/>
      </w:divBdr>
      <w:divsChild>
        <w:div w:id="180552042">
          <w:marLeft w:val="0"/>
          <w:marRight w:val="0"/>
          <w:marTop w:val="0"/>
          <w:marBottom w:val="0"/>
          <w:divBdr>
            <w:top w:val="none" w:sz="0" w:space="0" w:color="auto"/>
            <w:left w:val="none" w:sz="0" w:space="0" w:color="auto"/>
            <w:bottom w:val="none" w:sz="0" w:space="0" w:color="auto"/>
            <w:right w:val="none" w:sz="0" w:space="0" w:color="auto"/>
          </w:divBdr>
          <w:divsChild>
            <w:div w:id="2081756775">
              <w:marLeft w:val="0"/>
              <w:marRight w:val="0"/>
              <w:marTop w:val="0"/>
              <w:marBottom w:val="0"/>
              <w:divBdr>
                <w:top w:val="none" w:sz="0" w:space="0" w:color="auto"/>
                <w:left w:val="none" w:sz="0" w:space="0" w:color="auto"/>
                <w:bottom w:val="none" w:sz="0" w:space="0" w:color="auto"/>
                <w:right w:val="none" w:sz="0" w:space="0" w:color="auto"/>
              </w:divBdr>
              <w:divsChild>
                <w:div w:id="130179152">
                  <w:marLeft w:val="0"/>
                  <w:marRight w:val="0"/>
                  <w:marTop w:val="105"/>
                  <w:marBottom w:val="0"/>
                  <w:divBdr>
                    <w:top w:val="none" w:sz="0" w:space="0" w:color="auto"/>
                    <w:left w:val="none" w:sz="0" w:space="0" w:color="auto"/>
                    <w:bottom w:val="none" w:sz="0" w:space="0" w:color="auto"/>
                    <w:right w:val="none" w:sz="0" w:space="0" w:color="auto"/>
                  </w:divBdr>
                  <w:divsChild>
                    <w:div w:id="695883729">
                      <w:marLeft w:val="450"/>
                      <w:marRight w:val="225"/>
                      <w:marTop w:val="0"/>
                      <w:marBottom w:val="0"/>
                      <w:divBdr>
                        <w:top w:val="none" w:sz="0" w:space="0" w:color="auto"/>
                        <w:left w:val="none" w:sz="0" w:space="0" w:color="auto"/>
                        <w:bottom w:val="none" w:sz="0" w:space="0" w:color="auto"/>
                        <w:right w:val="none" w:sz="0" w:space="0" w:color="auto"/>
                      </w:divBdr>
                      <w:divsChild>
                        <w:div w:id="1597590581">
                          <w:marLeft w:val="0"/>
                          <w:marRight w:val="0"/>
                          <w:marTop w:val="0"/>
                          <w:marBottom w:val="600"/>
                          <w:divBdr>
                            <w:top w:val="single" w:sz="6" w:space="0" w:color="314664"/>
                            <w:left w:val="single" w:sz="6" w:space="0" w:color="314664"/>
                            <w:bottom w:val="single" w:sz="6" w:space="0" w:color="314664"/>
                            <w:right w:val="single" w:sz="6" w:space="0" w:color="314664"/>
                          </w:divBdr>
                          <w:divsChild>
                            <w:div w:id="254486456">
                              <w:marLeft w:val="0"/>
                              <w:marRight w:val="0"/>
                              <w:marTop w:val="0"/>
                              <w:marBottom w:val="0"/>
                              <w:divBdr>
                                <w:top w:val="none" w:sz="0" w:space="0" w:color="auto"/>
                                <w:left w:val="none" w:sz="0" w:space="0" w:color="auto"/>
                                <w:bottom w:val="none" w:sz="0" w:space="0" w:color="auto"/>
                                <w:right w:val="none" w:sz="0" w:space="0" w:color="auto"/>
                              </w:divBdr>
                              <w:divsChild>
                                <w:div w:id="846363637">
                                  <w:marLeft w:val="0"/>
                                  <w:marRight w:val="0"/>
                                  <w:marTop w:val="0"/>
                                  <w:marBottom w:val="0"/>
                                  <w:divBdr>
                                    <w:top w:val="none" w:sz="0" w:space="0" w:color="auto"/>
                                    <w:left w:val="none" w:sz="0" w:space="0" w:color="auto"/>
                                    <w:bottom w:val="none" w:sz="0" w:space="0" w:color="auto"/>
                                    <w:right w:val="none" w:sz="0" w:space="0" w:color="auto"/>
                                  </w:divBdr>
                                  <w:divsChild>
                                    <w:div w:id="154959091">
                                      <w:marLeft w:val="0"/>
                                      <w:marRight w:val="0"/>
                                      <w:marTop w:val="0"/>
                                      <w:marBottom w:val="0"/>
                                      <w:divBdr>
                                        <w:top w:val="none" w:sz="0" w:space="0" w:color="auto"/>
                                        <w:left w:val="none" w:sz="0" w:space="0" w:color="auto"/>
                                        <w:bottom w:val="none" w:sz="0" w:space="0" w:color="auto"/>
                                        <w:right w:val="none" w:sz="0" w:space="0" w:color="auto"/>
                                      </w:divBdr>
                                      <w:divsChild>
                                        <w:div w:id="1654523491">
                                          <w:marLeft w:val="0"/>
                                          <w:marRight w:val="0"/>
                                          <w:marTop w:val="0"/>
                                          <w:marBottom w:val="0"/>
                                          <w:divBdr>
                                            <w:top w:val="none" w:sz="0" w:space="0" w:color="auto"/>
                                            <w:left w:val="none" w:sz="0" w:space="0" w:color="auto"/>
                                            <w:bottom w:val="none" w:sz="0" w:space="0" w:color="auto"/>
                                            <w:right w:val="none" w:sz="0" w:space="0" w:color="auto"/>
                                          </w:divBdr>
                                          <w:divsChild>
                                            <w:div w:id="315576144">
                                              <w:marLeft w:val="0"/>
                                              <w:marRight w:val="0"/>
                                              <w:marTop w:val="0"/>
                                              <w:marBottom w:val="0"/>
                                              <w:divBdr>
                                                <w:top w:val="none" w:sz="0" w:space="0" w:color="auto"/>
                                                <w:left w:val="none" w:sz="0" w:space="0" w:color="auto"/>
                                                <w:bottom w:val="none" w:sz="0" w:space="0" w:color="auto"/>
                                                <w:right w:val="none" w:sz="0" w:space="0" w:color="auto"/>
                                              </w:divBdr>
                                              <w:divsChild>
                                                <w:div w:id="774640158">
                                                  <w:marLeft w:val="0"/>
                                                  <w:marRight w:val="0"/>
                                                  <w:marTop w:val="0"/>
                                                  <w:marBottom w:val="0"/>
                                                  <w:divBdr>
                                                    <w:top w:val="none" w:sz="0" w:space="0" w:color="auto"/>
                                                    <w:left w:val="none" w:sz="0" w:space="0" w:color="auto"/>
                                                    <w:bottom w:val="none" w:sz="0" w:space="0" w:color="auto"/>
                                                    <w:right w:val="none" w:sz="0" w:space="0" w:color="auto"/>
                                                  </w:divBdr>
                                                  <w:divsChild>
                                                    <w:div w:id="709190497">
                                                      <w:marLeft w:val="0"/>
                                                      <w:marRight w:val="0"/>
                                                      <w:marTop w:val="0"/>
                                                      <w:marBottom w:val="0"/>
                                                      <w:divBdr>
                                                        <w:top w:val="none" w:sz="0" w:space="0" w:color="auto"/>
                                                        <w:left w:val="none" w:sz="0" w:space="0" w:color="auto"/>
                                                        <w:bottom w:val="none" w:sz="0" w:space="0" w:color="auto"/>
                                                        <w:right w:val="none" w:sz="0" w:space="0" w:color="auto"/>
                                                      </w:divBdr>
                                                      <w:divsChild>
                                                        <w:div w:id="527649091">
                                                          <w:marLeft w:val="0"/>
                                                          <w:marRight w:val="0"/>
                                                          <w:marTop w:val="0"/>
                                                          <w:marBottom w:val="0"/>
                                                          <w:divBdr>
                                                            <w:top w:val="none" w:sz="0" w:space="0" w:color="auto"/>
                                                            <w:left w:val="none" w:sz="0" w:space="0" w:color="auto"/>
                                                            <w:bottom w:val="none" w:sz="0" w:space="0" w:color="auto"/>
                                                            <w:right w:val="none" w:sz="0" w:space="0" w:color="auto"/>
                                                          </w:divBdr>
                                                          <w:divsChild>
                                                            <w:div w:id="1990476686">
                                                              <w:marLeft w:val="0"/>
                                                              <w:marRight w:val="0"/>
                                                              <w:marTop w:val="0"/>
                                                              <w:marBottom w:val="0"/>
                                                              <w:divBdr>
                                                                <w:top w:val="none" w:sz="0" w:space="0" w:color="auto"/>
                                                                <w:left w:val="none" w:sz="0" w:space="0" w:color="auto"/>
                                                                <w:bottom w:val="none" w:sz="0" w:space="0" w:color="auto"/>
                                                                <w:right w:val="none" w:sz="0" w:space="0" w:color="auto"/>
                                                              </w:divBdr>
                                                              <w:divsChild>
                                                                <w:div w:id="915211811">
                                                                  <w:marLeft w:val="0"/>
                                                                  <w:marRight w:val="0"/>
                                                                  <w:marTop w:val="83"/>
                                                                  <w:marBottom w:val="0"/>
                                                                  <w:divBdr>
                                                                    <w:top w:val="none" w:sz="0" w:space="0" w:color="auto"/>
                                                                    <w:left w:val="none" w:sz="0" w:space="0" w:color="auto"/>
                                                                    <w:bottom w:val="none" w:sz="0" w:space="0" w:color="auto"/>
                                                                    <w:right w:val="none" w:sz="0" w:space="0" w:color="auto"/>
                                                                  </w:divBdr>
                                                                </w:div>
                                                              </w:divsChild>
                                                            </w:div>
                                                            <w:div w:id="69426697">
                                                              <w:marLeft w:val="0"/>
                                                              <w:marRight w:val="0"/>
                                                              <w:marTop w:val="0"/>
                                                              <w:marBottom w:val="0"/>
                                                              <w:divBdr>
                                                                <w:top w:val="none" w:sz="0" w:space="0" w:color="auto"/>
                                                                <w:left w:val="none" w:sz="0" w:space="0" w:color="auto"/>
                                                                <w:bottom w:val="none" w:sz="0" w:space="0" w:color="auto"/>
                                                                <w:right w:val="none" w:sz="0" w:space="0" w:color="auto"/>
                                                              </w:divBdr>
                                                              <w:divsChild>
                                                                <w:div w:id="2044208985">
                                                                  <w:marLeft w:val="0"/>
                                                                  <w:marRight w:val="0"/>
                                                                  <w:marTop w:val="83"/>
                                                                  <w:marBottom w:val="0"/>
                                                                  <w:divBdr>
                                                                    <w:top w:val="none" w:sz="0" w:space="0" w:color="auto"/>
                                                                    <w:left w:val="none" w:sz="0" w:space="0" w:color="auto"/>
                                                                    <w:bottom w:val="none" w:sz="0" w:space="0" w:color="auto"/>
                                                                    <w:right w:val="none" w:sz="0" w:space="0" w:color="auto"/>
                                                                  </w:divBdr>
                                                                  <w:divsChild>
                                                                    <w:div w:id="333921095">
                                                                      <w:marLeft w:val="0"/>
                                                                      <w:marRight w:val="0"/>
                                                                      <w:marTop w:val="0"/>
                                                                      <w:marBottom w:val="0"/>
                                                                      <w:divBdr>
                                                                        <w:top w:val="none" w:sz="0" w:space="0" w:color="auto"/>
                                                                        <w:left w:val="none" w:sz="0" w:space="0" w:color="auto"/>
                                                                        <w:bottom w:val="none" w:sz="0" w:space="0" w:color="auto"/>
                                                                        <w:right w:val="none" w:sz="0" w:space="0" w:color="auto"/>
                                                                      </w:divBdr>
                                                                      <w:divsChild>
                                                                        <w:div w:id="825512082">
                                                                          <w:marLeft w:val="0"/>
                                                                          <w:marRight w:val="0"/>
                                                                          <w:marTop w:val="83"/>
                                                                          <w:marBottom w:val="0"/>
                                                                          <w:divBdr>
                                                                            <w:top w:val="none" w:sz="0" w:space="0" w:color="auto"/>
                                                                            <w:left w:val="none" w:sz="0" w:space="0" w:color="auto"/>
                                                                            <w:bottom w:val="none" w:sz="0" w:space="0" w:color="auto"/>
                                                                            <w:right w:val="none" w:sz="0" w:space="0" w:color="auto"/>
                                                                          </w:divBdr>
                                                                        </w:div>
                                                                      </w:divsChild>
                                                                    </w:div>
                                                                    <w:div w:id="556429323">
                                                                      <w:marLeft w:val="0"/>
                                                                      <w:marRight w:val="0"/>
                                                                      <w:marTop w:val="0"/>
                                                                      <w:marBottom w:val="0"/>
                                                                      <w:divBdr>
                                                                        <w:top w:val="none" w:sz="0" w:space="0" w:color="auto"/>
                                                                        <w:left w:val="none" w:sz="0" w:space="0" w:color="auto"/>
                                                                        <w:bottom w:val="none" w:sz="0" w:space="0" w:color="auto"/>
                                                                        <w:right w:val="none" w:sz="0" w:space="0" w:color="auto"/>
                                                                      </w:divBdr>
                                                                      <w:divsChild>
                                                                        <w:div w:id="539782329">
                                                                          <w:marLeft w:val="0"/>
                                                                          <w:marRight w:val="0"/>
                                                                          <w:marTop w:val="83"/>
                                                                          <w:marBottom w:val="0"/>
                                                                          <w:divBdr>
                                                                            <w:top w:val="none" w:sz="0" w:space="0" w:color="auto"/>
                                                                            <w:left w:val="none" w:sz="0" w:space="0" w:color="auto"/>
                                                                            <w:bottom w:val="none" w:sz="0" w:space="0" w:color="auto"/>
                                                                            <w:right w:val="none" w:sz="0" w:space="0" w:color="auto"/>
                                                                          </w:divBdr>
                                                                        </w:div>
                                                                      </w:divsChild>
                                                                    </w:div>
                                                                    <w:div w:id="759762604">
                                                                      <w:marLeft w:val="0"/>
                                                                      <w:marRight w:val="0"/>
                                                                      <w:marTop w:val="0"/>
                                                                      <w:marBottom w:val="0"/>
                                                                      <w:divBdr>
                                                                        <w:top w:val="none" w:sz="0" w:space="0" w:color="auto"/>
                                                                        <w:left w:val="none" w:sz="0" w:space="0" w:color="auto"/>
                                                                        <w:bottom w:val="none" w:sz="0" w:space="0" w:color="auto"/>
                                                                        <w:right w:val="none" w:sz="0" w:space="0" w:color="auto"/>
                                                                      </w:divBdr>
                                                                      <w:divsChild>
                                                                        <w:div w:id="188303573">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5221413">
      <w:bodyDiv w:val="1"/>
      <w:marLeft w:val="0"/>
      <w:marRight w:val="0"/>
      <w:marTop w:val="0"/>
      <w:marBottom w:val="15"/>
      <w:divBdr>
        <w:top w:val="none" w:sz="0" w:space="0" w:color="auto"/>
        <w:left w:val="none" w:sz="0" w:space="0" w:color="auto"/>
        <w:bottom w:val="none" w:sz="0" w:space="0" w:color="auto"/>
        <w:right w:val="none" w:sz="0" w:space="0" w:color="auto"/>
      </w:divBdr>
      <w:divsChild>
        <w:div w:id="592972963">
          <w:marLeft w:val="0"/>
          <w:marRight w:val="0"/>
          <w:marTop w:val="0"/>
          <w:marBottom w:val="0"/>
          <w:divBdr>
            <w:top w:val="none" w:sz="0" w:space="0" w:color="auto"/>
            <w:left w:val="none" w:sz="0" w:space="0" w:color="auto"/>
            <w:bottom w:val="none" w:sz="0" w:space="0" w:color="auto"/>
            <w:right w:val="none" w:sz="0" w:space="0" w:color="auto"/>
          </w:divBdr>
          <w:divsChild>
            <w:div w:id="165826460">
              <w:marLeft w:val="0"/>
              <w:marRight w:val="0"/>
              <w:marTop w:val="0"/>
              <w:marBottom w:val="0"/>
              <w:divBdr>
                <w:top w:val="none" w:sz="0" w:space="0" w:color="auto"/>
                <w:left w:val="none" w:sz="0" w:space="0" w:color="auto"/>
                <w:bottom w:val="none" w:sz="0" w:space="0" w:color="auto"/>
                <w:right w:val="none" w:sz="0" w:space="0" w:color="auto"/>
              </w:divBdr>
              <w:divsChild>
                <w:div w:id="779760994">
                  <w:marLeft w:val="0"/>
                  <w:marRight w:val="0"/>
                  <w:marTop w:val="0"/>
                  <w:marBottom w:val="0"/>
                  <w:divBdr>
                    <w:top w:val="none" w:sz="0" w:space="0" w:color="auto"/>
                    <w:left w:val="none" w:sz="0" w:space="0" w:color="auto"/>
                    <w:bottom w:val="none" w:sz="0" w:space="0" w:color="auto"/>
                    <w:right w:val="none" w:sz="0" w:space="0" w:color="auto"/>
                  </w:divBdr>
                  <w:divsChild>
                    <w:div w:id="331495169">
                      <w:marLeft w:val="0"/>
                      <w:marRight w:val="0"/>
                      <w:marTop w:val="0"/>
                      <w:marBottom w:val="0"/>
                      <w:divBdr>
                        <w:top w:val="none" w:sz="0" w:space="0" w:color="auto"/>
                        <w:left w:val="none" w:sz="0" w:space="0" w:color="auto"/>
                        <w:bottom w:val="none" w:sz="0" w:space="0" w:color="auto"/>
                        <w:right w:val="none" w:sz="0" w:space="0" w:color="auto"/>
                      </w:divBdr>
                      <w:divsChild>
                        <w:div w:id="1841313923">
                          <w:marLeft w:val="0"/>
                          <w:marRight w:val="0"/>
                          <w:marTop w:val="0"/>
                          <w:marBottom w:val="0"/>
                          <w:divBdr>
                            <w:top w:val="none" w:sz="0" w:space="0" w:color="auto"/>
                            <w:left w:val="none" w:sz="0" w:space="0" w:color="auto"/>
                            <w:bottom w:val="none" w:sz="0" w:space="0" w:color="auto"/>
                            <w:right w:val="none" w:sz="0" w:space="0" w:color="auto"/>
                          </w:divBdr>
                          <w:divsChild>
                            <w:div w:id="2019699691">
                              <w:marLeft w:val="0"/>
                              <w:marRight w:val="0"/>
                              <w:marTop w:val="0"/>
                              <w:marBottom w:val="0"/>
                              <w:divBdr>
                                <w:top w:val="none" w:sz="0" w:space="0" w:color="auto"/>
                                <w:left w:val="none" w:sz="0" w:space="0" w:color="auto"/>
                                <w:bottom w:val="none" w:sz="0" w:space="0" w:color="auto"/>
                                <w:right w:val="none" w:sz="0" w:space="0" w:color="auto"/>
                              </w:divBdr>
                              <w:divsChild>
                                <w:div w:id="2145997372">
                                  <w:marLeft w:val="0"/>
                                  <w:marRight w:val="0"/>
                                  <w:marTop w:val="0"/>
                                  <w:marBottom w:val="0"/>
                                  <w:divBdr>
                                    <w:top w:val="none" w:sz="0" w:space="0" w:color="auto"/>
                                    <w:left w:val="none" w:sz="0" w:space="0" w:color="auto"/>
                                    <w:bottom w:val="none" w:sz="0" w:space="0" w:color="auto"/>
                                    <w:right w:val="none" w:sz="0" w:space="0" w:color="auto"/>
                                  </w:divBdr>
                                  <w:divsChild>
                                    <w:div w:id="1188955760">
                                      <w:marLeft w:val="0"/>
                                      <w:marRight w:val="0"/>
                                      <w:marTop w:val="0"/>
                                      <w:marBottom w:val="0"/>
                                      <w:divBdr>
                                        <w:top w:val="none" w:sz="0" w:space="0" w:color="auto"/>
                                        <w:left w:val="none" w:sz="0" w:space="0" w:color="auto"/>
                                        <w:bottom w:val="none" w:sz="0" w:space="0" w:color="auto"/>
                                        <w:right w:val="none" w:sz="0" w:space="0" w:color="auto"/>
                                      </w:divBdr>
                                      <w:divsChild>
                                        <w:div w:id="751704278">
                                          <w:marLeft w:val="150"/>
                                          <w:marRight w:val="150"/>
                                          <w:marTop w:val="225"/>
                                          <w:marBottom w:val="225"/>
                                          <w:divBdr>
                                            <w:top w:val="none" w:sz="0" w:space="0" w:color="auto"/>
                                            <w:left w:val="none" w:sz="0" w:space="0" w:color="auto"/>
                                            <w:bottom w:val="none" w:sz="0" w:space="0" w:color="auto"/>
                                            <w:right w:val="none" w:sz="0" w:space="0" w:color="auto"/>
                                          </w:divBdr>
                                          <w:divsChild>
                                            <w:div w:id="1074350226">
                                              <w:marLeft w:val="0"/>
                                              <w:marRight w:val="0"/>
                                              <w:marTop w:val="0"/>
                                              <w:marBottom w:val="0"/>
                                              <w:divBdr>
                                                <w:top w:val="none" w:sz="0" w:space="0" w:color="auto"/>
                                                <w:left w:val="none" w:sz="0" w:space="0" w:color="auto"/>
                                                <w:bottom w:val="none" w:sz="0" w:space="0" w:color="auto"/>
                                                <w:right w:val="none" w:sz="0" w:space="0" w:color="auto"/>
                                              </w:divBdr>
                                              <w:divsChild>
                                                <w:div w:id="323317646">
                                                  <w:marLeft w:val="0"/>
                                                  <w:marRight w:val="0"/>
                                                  <w:marTop w:val="0"/>
                                                  <w:marBottom w:val="0"/>
                                                  <w:divBdr>
                                                    <w:top w:val="none" w:sz="0" w:space="0" w:color="auto"/>
                                                    <w:left w:val="none" w:sz="0" w:space="0" w:color="auto"/>
                                                    <w:bottom w:val="none" w:sz="0" w:space="0" w:color="auto"/>
                                                    <w:right w:val="none" w:sz="0" w:space="0" w:color="auto"/>
                                                  </w:divBdr>
                                                  <w:divsChild>
                                                    <w:div w:id="1783718609">
                                                      <w:marLeft w:val="0"/>
                                                      <w:marRight w:val="0"/>
                                                      <w:marTop w:val="0"/>
                                                      <w:marBottom w:val="0"/>
                                                      <w:divBdr>
                                                        <w:top w:val="none" w:sz="0" w:space="0" w:color="auto"/>
                                                        <w:left w:val="none" w:sz="0" w:space="0" w:color="auto"/>
                                                        <w:bottom w:val="none" w:sz="0" w:space="0" w:color="auto"/>
                                                        <w:right w:val="none" w:sz="0" w:space="0" w:color="auto"/>
                                                      </w:divBdr>
                                                      <w:divsChild>
                                                        <w:div w:id="150034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13032526">
      <w:bodyDiv w:val="1"/>
      <w:marLeft w:val="0"/>
      <w:marRight w:val="0"/>
      <w:marTop w:val="0"/>
      <w:marBottom w:val="0"/>
      <w:divBdr>
        <w:top w:val="none" w:sz="0" w:space="0" w:color="auto"/>
        <w:left w:val="none" w:sz="0" w:space="0" w:color="auto"/>
        <w:bottom w:val="none" w:sz="0" w:space="0" w:color="auto"/>
        <w:right w:val="none" w:sz="0" w:space="0" w:color="auto"/>
      </w:divBdr>
    </w:div>
    <w:div w:id="1547334149">
      <w:bodyDiv w:val="1"/>
      <w:marLeft w:val="0"/>
      <w:marRight w:val="0"/>
      <w:marTop w:val="0"/>
      <w:marBottom w:val="0"/>
      <w:divBdr>
        <w:top w:val="none" w:sz="0" w:space="0" w:color="auto"/>
        <w:left w:val="none" w:sz="0" w:space="0" w:color="auto"/>
        <w:bottom w:val="none" w:sz="0" w:space="0" w:color="auto"/>
        <w:right w:val="none" w:sz="0" w:space="0" w:color="auto"/>
      </w:divBdr>
    </w:div>
    <w:div w:id="1587575226">
      <w:bodyDiv w:val="1"/>
      <w:marLeft w:val="0"/>
      <w:marRight w:val="0"/>
      <w:marTop w:val="0"/>
      <w:marBottom w:val="0"/>
      <w:divBdr>
        <w:top w:val="none" w:sz="0" w:space="0" w:color="auto"/>
        <w:left w:val="none" w:sz="0" w:space="0" w:color="auto"/>
        <w:bottom w:val="none" w:sz="0" w:space="0" w:color="auto"/>
        <w:right w:val="none" w:sz="0" w:space="0" w:color="auto"/>
      </w:divBdr>
    </w:div>
    <w:div w:id="1604914980">
      <w:bodyDiv w:val="1"/>
      <w:marLeft w:val="0"/>
      <w:marRight w:val="0"/>
      <w:marTop w:val="0"/>
      <w:marBottom w:val="0"/>
      <w:divBdr>
        <w:top w:val="none" w:sz="0" w:space="0" w:color="auto"/>
        <w:left w:val="none" w:sz="0" w:space="0" w:color="auto"/>
        <w:bottom w:val="none" w:sz="0" w:space="0" w:color="auto"/>
        <w:right w:val="none" w:sz="0" w:space="0" w:color="auto"/>
      </w:divBdr>
    </w:div>
    <w:div w:id="1620840153">
      <w:bodyDiv w:val="1"/>
      <w:marLeft w:val="0"/>
      <w:marRight w:val="0"/>
      <w:marTop w:val="0"/>
      <w:marBottom w:val="0"/>
      <w:divBdr>
        <w:top w:val="none" w:sz="0" w:space="0" w:color="auto"/>
        <w:left w:val="none" w:sz="0" w:space="0" w:color="auto"/>
        <w:bottom w:val="none" w:sz="0" w:space="0" w:color="auto"/>
        <w:right w:val="none" w:sz="0" w:space="0" w:color="auto"/>
      </w:divBdr>
    </w:div>
    <w:div w:id="1638875600">
      <w:bodyDiv w:val="1"/>
      <w:marLeft w:val="0"/>
      <w:marRight w:val="0"/>
      <w:marTop w:val="0"/>
      <w:marBottom w:val="0"/>
      <w:divBdr>
        <w:top w:val="none" w:sz="0" w:space="0" w:color="auto"/>
        <w:left w:val="none" w:sz="0" w:space="0" w:color="auto"/>
        <w:bottom w:val="none" w:sz="0" w:space="0" w:color="auto"/>
        <w:right w:val="none" w:sz="0" w:space="0" w:color="auto"/>
      </w:divBdr>
    </w:div>
    <w:div w:id="1666200384">
      <w:bodyDiv w:val="1"/>
      <w:marLeft w:val="0"/>
      <w:marRight w:val="0"/>
      <w:marTop w:val="0"/>
      <w:marBottom w:val="0"/>
      <w:divBdr>
        <w:top w:val="none" w:sz="0" w:space="0" w:color="auto"/>
        <w:left w:val="none" w:sz="0" w:space="0" w:color="auto"/>
        <w:bottom w:val="none" w:sz="0" w:space="0" w:color="auto"/>
        <w:right w:val="none" w:sz="0" w:space="0" w:color="auto"/>
      </w:divBdr>
      <w:divsChild>
        <w:div w:id="1633436129">
          <w:marLeft w:val="0"/>
          <w:marRight w:val="0"/>
          <w:marTop w:val="0"/>
          <w:marBottom w:val="0"/>
          <w:divBdr>
            <w:top w:val="none" w:sz="0" w:space="0" w:color="auto"/>
            <w:left w:val="none" w:sz="0" w:space="0" w:color="auto"/>
            <w:bottom w:val="none" w:sz="0" w:space="0" w:color="auto"/>
            <w:right w:val="none" w:sz="0" w:space="0" w:color="auto"/>
          </w:divBdr>
          <w:divsChild>
            <w:div w:id="1944216689">
              <w:marLeft w:val="0"/>
              <w:marRight w:val="0"/>
              <w:marTop w:val="0"/>
              <w:marBottom w:val="0"/>
              <w:divBdr>
                <w:top w:val="none" w:sz="0" w:space="0" w:color="auto"/>
                <w:left w:val="none" w:sz="0" w:space="0" w:color="auto"/>
                <w:bottom w:val="none" w:sz="0" w:space="0" w:color="auto"/>
                <w:right w:val="none" w:sz="0" w:space="0" w:color="auto"/>
              </w:divBdr>
              <w:divsChild>
                <w:div w:id="143938632">
                  <w:marLeft w:val="0"/>
                  <w:marRight w:val="0"/>
                  <w:marTop w:val="0"/>
                  <w:marBottom w:val="0"/>
                  <w:divBdr>
                    <w:top w:val="none" w:sz="0" w:space="0" w:color="auto"/>
                    <w:left w:val="none" w:sz="0" w:space="0" w:color="auto"/>
                    <w:bottom w:val="none" w:sz="0" w:space="0" w:color="auto"/>
                    <w:right w:val="none" w:sz="0" w:space="0" w:color="auto"/>
                  </w:divBdr>
                  <w:divsChild>
                    <w:div w:id="2143963011">
                      <w:marLeft w:val="0"/>
                      <w:marRight w:val="0"/>
                      <w:marTop w:val="0"/>
                      <w:marBottom w:val="0"/>
                      <w:divBdr>
                        <w:top w:val="none" w:sz="0" w:space="0" w:color="auto"/>
                        <w:left w:val="none" w:sz="0" w:space="0" w:color="auto"/>
                        <w:bottom w:val="none" w:sz="0" w:space="0" w:color="auto"/>
                        <w:right w:val="none" w:sz="0" w:space="0" w:color="auto"/>
                      </w:divBdr>
                      <w:divsChild>
                        <w:div w:id="18706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908934">
      <w:bodyDiv w:val="1"/>
      <w:marLeft w:val="0"/>
      <w:marRight w:val="0"/>
      <w:marTop w:val="0"/>
      <w:marBottom w:val="0"/>
      <w:divBdr>
        <w:top w:val="none" w:sz="0" w:space="0" w:color="auto"/>
        <w:left w:val="none" w:sz="0" w:space="0" w:color="auto"/>
        <w:bottom w:val="none" w:sz="0" w:space="0" w:color="auto"/>
        <w:right w:val="none" w:sz="0" w:space="0" w:color="auto"/>
      </w:divBdr>
    </w:div>
    <w:div w:id="1716000407">
      <w:bodyDiv w:val="1"/>
      <w:marLeft w:val="0"/>
      <w:marRight w:val="0"/>
      <w:marTop w:val="0"/>
      <w:marBottom w:val="0"/>
      <w:divBdr>
        <w:top w:val="none" w:sz="0" w:space="0" w:color="auto"/>
        <w:left w:val="none" w:sz="0" w:space="0" w:color="auto"/>
        <w:bottom w:val="none" w:sz="0" w:space="0" w:color="auto"/>
        <w:right w:val="none" w:sz="0" w:space="0" w:color="auto"/>
      </w:divBdr>
    </w:div>
    <w:div w:id="1717314156">
      <w:bodyDiv w:val="1"/>
      <w:marLeft w:val="0"/>
      <w:marRight w:val="0"/>
      <w:marTop w:val="0"/>
      <w:marBottom w:val="0"/>
      <w:divBdr>
        <w:top w:val="none" w:sz="0" w:space="0" w:color="auto"/>
        <w:left w:val="none" w:sz="0" w:space="0" w:color="auto"/>
        <w:bottom w:val="none" w:sz="0" w:space="0" w:color="auto"/>
        <w:right w:val="none" w:sz="0" w:space="0" w:color="auto"/>
      </w:divBdr>
    </w:div>
    <w:div w:id="1748766205">
      <w:bodyDiv w:val="1"/>
      <w:marLeft w:val="0"/>
      <w:marRight w:val="0"/>
      <w:marTop w:val="0"/>
      <w:marBottom w:val="0"/>
      <w:divBdr>
        <w:top w:val="none" w:sz="0" w:space="0" w:color="auto"/>
        <w:left w:val="none" w:sz="0" w:space="0" w:color="auto"/>
        <w:bottom w:val="none" w:sz="0" w:space="0" w:color="auto"/>
        <w:right w:val="none" w:sz="0" w:space="0" w:color="auto"/>
      </w:divBdr>
    </w:div>
    <w:div w:id="1772357473">
      <w:bodyDiv w:val="1"/>
      <w:marLeft w:val="0"/>
      <w:marRight w:val="0"/>
      <w:marTop w:val="0"/>
      <w:marBottom w:val="0"/>
      <w:divBdr>
        <w:top w:val="none" w:sz="0" w:space="0" w:color="auto"/>
        <w:left w:val="none" w:sz="0" w:space="0" w:color="auto"/>
        <w:bottom w:val="none" w:sz="0" w:space="0" w:color="auto"/>
        <w:right w:val="none" w:sz="0" w:space="0" w:color="auto"/>
      </w:divBdr>
    </w:div>
    <w:div w:id="1816407046">
      <w:bodyDiv w:val="1"/>
      <w:marLeft w:val="0"/>
      <w:marRight w:val="0"/>
      <w:marTop w:val="0"/>
      <w:marBottom w:val="0"/>
      <w:divBdr>
        <w:top w:val="none" w:sz="0" w:space="0" w:color="auto"/>
        <w:left w:val="none" w:sz="0" w:space="0" w:color="auto"/>
        <w:bottom w:val="none" w:sz="0" w:space="0" w:color="auto"/>
        <w:right w:val="none" w:sz="0" w:space="0" w:color="auto"/>
      </w:divBdr>
    </w:div>
    <w:div w:id="1863665407">
      <w:bodyDiv w:val="1"/>
      <w:marLeft w:val="0"/>
      <w:marRight w:val="0"/>
      <w:marTop w:val="0"/>
      <w:marBottom w:val="0"/>
      <w:divBdr>
        <w:top w:val="none" w:sz="0" w:space="0" w:color="auto"/>
        <w:left w:val="none" w:sz="0" w:space="0" w:color="auto"/>
        <w:bottom w:val="none" w:sz="0" w:space="0" w:color="auto"/>
        <w:right w:val="none" w:sz="0" w:space="0" w:color="auto"/>
      </w:divBdr>
      <w:divsChild>
        <w:div w:id="2133011205">
          <w:marLeft w:val="0"/>
          <w:marRight w:val="0"/>
          <w:marTop w:val="0"/>
          <w:marBottom w:val="0"/>
          <w:divBdr>
            <w:top w:val="none" w:sz="0" w:space="0" w:color="auto"/>
            <w:left w:val="none" w:sz="0" w:space="0" w:color="auto"/>
            <w:bottom w:val="none" w:sz="0" w:space="0" w:color="auto"/>
            <w:right w:val="none" w:sz="0" w:space="0" w:color="auto"/>
          </w:divBdr>
          <w:divsChild>
            <w:div w:id="608198713">
              <w:marLeft w:val="0"/>
              <w:marRight w:val="0"/>
              <w:marTop w:val="0"/>
              <w:marBottom w:val="0"/>
              <w:divBdr>
                <w:top w:val="none" w:sz="0" w:space="0" w:color="auto"/>
                <w:left w:val="none" w:sz="0" w:space="0" w:color="auto"/>
                <w:bottom w:val="none" w:sz="0" w:space="0" w:color="auto"/>
                <w:right w:val="none" w:sz="0" w:space="0" w:color="auto"/>
              </w:divBdr>
              <w:divsChild>
                <w:div w:id="143621133">
                  <w:marLeft w:val="0"/>
                  <w:marRight w:val="0"/>
                  <w:marTop w:val="105"/>
                  <w:marBottom w:val="0"/>
                  <w:divBdr>
                    <w:top w:val="none" w:sz="0" w:space="0" w:color="auto"/>
                    <w:left w:val="none" w:sz="0" w:space="0" w:color="auto"/>
                    <w:bottom w:val="none" w:sz="0" w:space="0" w:color="auto"/>
                    <w:right w:val="none" w:sz="0" w:space="0" w:color="auto"/>
                  </w:divBdr>
                  <w:divsChild>
                    <w:div w:id="1967810557">
                      <w:marLeft w:val="450"/>
                      <w:marRight w:val="225"/>
                      <w:marTop w:val="0"/>
                      <w:marBottom w:val="0"/>
                      <w:divBdr>
                        <w:top w:val="none" w:sz="0" w:space="0" w:color="auto"/>
                        <w:left w:val="none" w:sz="0" w:space="0" w:color="auto"/>
                        <w:bottom w:val="none" w:sz="0" w:space="0" w:color="auto"/>
                        <w:right w:val="none" w:sz="0" w:space="0" w:color="auto"/>
                      </w:divBdr>
                      <w:divsChild>
                        <w:div w:id="556823660">
                          <w:marLeft w:val="0"/>
                          <w:marRight w:val="0"/>
                          <w:marTop w:val="0"/>
                          <w:marBottom w:val="600"/>
                          <w:divBdr>
                            <w:top w:val="single" w:sz="6" w:space="0" w:color="314664"/>
                            <w:left w:val="single" w:sz="6" w:space="0" w:color="314664"/>
                            <w:bottom w:val="single" w:sz="6" w:space="0" w:color="314664"/>
                            <w:right w:val="single" w:sz="6" w:space="0" w:color="314664"/>
                          </w:divBdr>
                          <w:divsChild>
                            <w:div w:id="1375038789">
                              <w:marLeft w:val="0"/>
                              <w:marRight w:val="0"/>
                              <w:marTop w:val="0"/>
                              <w:marBottom w:val="0"/>
                              <w:divBdr>
                                <w:top w:val="none" w:sz="0" w:space="0" w:color="auto"/>
                                <w:left w:val="none" w:sz="0" w:space="0" w:color="auto"/>
                                <w:bottom w:val="none" w:sz="0" w:space="0" w:color="auto"/>
                                <w:right w:val="none" w:sz="0" w:space="0" w:color="auto"/>
                              </w:divBdr>
                              <w:divsChild>
                                <w:div w:id="754669329">
                                  <w:marLeft w:val="0"/>
                                  <w:marRight w:val="0"/>
                                  <w:marTop w:val="0"/>
                                  <w:marBottom w:val="0"/>
                                  <w:divBdr>
                                    <w:top w:val="none" w:sz="0" w:space="0" w:color="auto"/>
                                    <w:left w:val="none" w:sz="0" w:space="0" w:color="auto"/>
                                    <w:bottom w:val="none" w:sz="0" w:space="0" w:color="auto"/>
                                    <w:right w:val="none" w:sz="0" w:space="0" w:color="auto"/>
                                  </w:divBdr>
                                  <w:divsChild>
                                    <w:div w:id="1263881796">
                                      <w:marLeft w:val="0"/>
                                      <w:marRight w:val="0"/>
                                      <w:marTop w:val="0"/>
                                      <w:marBottom w:val="0"/>
                                      <w:divBdr>
                                        <w:top w:val="none" w:sz="0" w:space="0" w:color="auto"/>
                                        <w:left w:val="none" w:sz="0" w:space="0" w:color="auto"/>
                                        <w:bottom w:val="none" w:sz="0" w:space="0" w:color="auto"/>
                                        <w:right w:val="none" w:sz="0" w:space="0" w:color="auto"/>
                                      </w:divBdr>
                                      <w:divsChild>
                                        <w:div w:id="1445224243">
                                          <w:marLeft w:val="0"/>
                                          <w:marRight w:val="0"/>
                                          <w:marTop w:val="0"/>
                                          <w:marBottom w:val="0"/>
                                          <w:divBdr>
                                            <w:top w:val="none" w:sz="0" w:space="0" w:color="auto"/>
                                            <w:left w:val="none" w:sz="0" w:space="0" w:color="auto"/>
                                            <w:bottom w:val="none" w:sz="0" w:space="0" w:color="auto"/>
                                            <w:right w:val="none" w:sz="0" w:space="0" w:color="auto"/>
                                          </w:divBdr>
                                          <w:divsChild>
                                            <w:div w:id="172230205">
                                              <w:marLeft w:val="0"/>
                                              <w:marRight w:val="0"/>
                                              <w:marTop w:val="0"/>
                                              <w:marBottom w:val="0"/>
                                              <w:divBdr>
                                                <w:top w:val="none" w:sz="0" w:space="0" w:color="auto"/>
                                                <w:left w:val="none" w:sz="0" w:space="0" w:color="auto"/>
                                                <w:bottom w:val="none" w:sz="0" w:space="0" w:color="auto"/>
                                                <w:right w:val="none" w:sz="0" w:space="0" w:color="auto"/>
                                              </w:divBdr>
                                              <w:divsChild>
                                                <w:div w:id="1412964051">
                                                  <w:marLeft w:val="0"/>
                                                  <w:marRight w:val="0"/>
                                                  <w:marTop w:val="0"/>
                                                  <w:marBottom w:val="0"/>
                                                  <w:divBdr>
                                                    <w:top w:val="none" w:sz="0" w:space="0" w:color="auto"/>
                                                    <w:left w:val="none" w:sz="0" w:space="0" w:color="auto"/>
                                                    <w:bottom w:val="none" w:sz="0" w:space="0" w:color="auto"/>
                                                    <w:right w:val="none" w:sz="0" w:space="0" w:color="auto"/>
                                                  </w:divBdr>
                                                  <w:divsChild>
                                                    <w:div w:id="70355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3899686">
      <w:bodyDiv w:val="1"/>
      <w:marLeft w:val="0"/>
      <w:marRight w:val="0"/>
      <w:marTop w:val="0"/>
      <w:marBottom w:val="0"/>
      <w:divBdr>
        <w:top w:val="none" w:sz="0" w:space="0" w:color="auto"/>
        <w:left w:val="none" w:sz="0" w:space="0" w:color="auto"/>
        <w:bottom w:val="none" w:sz="0" w:space="0" w:color="auto"/>
        <w:right w:val="none" w:sz="0" w:space="0" w:color="auto"/>
      </w:divBdr>
    </w:div>
    <w:div w:id="1991594812">
      <w:bodyDiv w:val="1"/>
      <w:marLeft w:val="0"/>
      <w:marRight w:val="0"/>
      <w:marTop w:val="0"/>
      <w:marBottom w:val="0"/>
      <w:divBdr>
        <w:top w:val="none" w:sz="0" w:space="0" w:color="auto"/>
        <w:left w:val="none" w:sz="0" w:space="0" w:color="auto"/>
        <w:bottom w:val="none" w:sz="0" w:space="0" w:color="auto"/>
        <w:right w:val="none" w:sz="0" w:space="0" w:color="auto"/>
      </w:divBdr>
    </w:div>
    <w:div w:id="2001229151">
      <w:bodyDiv w:val="1"/>
      <w:marLeft w:val="0"/>
      <w:marRight w:val="0"/>
      <w:marTop w:val="0"/>
      <w:marBottom w:val="15"/>
      <w:divBdr>
        <w:top w:val="none" w:sz="0" w:space="0" w:color="auto"/>
        <w:left w:val="none" w:sz="0" w:space="0" w:color="auto"/>
        <w:bottom w:val="none" w:sz="0" w:space="0" w:color="auto"/>
        <w:right w:val="none" w:sz="0" w:space="0" w:color="auto"/>
      </w:divBdr>
      <w:divsChild>
        <w:div w:id="1320497272">
          <w:marLeft w:val="0"/>
          <w:marRight w:val="0"/>
          <w:marTop w:val="0"/>
          <w:marBottom w:val="0"/>
          <w:divBdr>
            <w:top w:val="none" w:sz="0" w:space="0" w:color="auto"/>
            <w:left w:val="none" w:sz="0" w:space="0" w:color="auto"/>
            <w:bottom w:val="none" w:sz="0" w:space="0" w:color="auto"/>
            <w:right w:val="none" w:sz="0" w:space="0" w:color="auto"/>
          </w:divBdr>
          <w:divsChild>
            <w:div w:id="1365211330">
              <w:marLeft w:val="0"/>
              <w:marRight w:val="0"/>
              <w:marTop w:val="0"/>
              <w:marBottom w:val="0"/>
              <w:divBdr>
                <w:top w:val="none" w:sz="0" w:space="0" w:color="auto"/>
                <w:left w:val="none" w:sz="0" w:space="0" w:color="auto"/>
                <w:bottom w:val="none" w:sz="0" w:space="0" w:color="auto"/>
                <w:right w:val="none" w:sz="0" w:space="0" w:color="auto"/>
              </w:divBdr>
              <w:divsChild>
                <w:div w:id="147597434">
                  <w:marLeft w:val="0"/>
                  <w:marRight w:val="0"/>
                  <w:marTop w:val="0"/>
                  <w:marBottom w:val="0"/>
                  <w:divBdr>
                    <w:top w:val="none" w:sz="0" w:space="0" w:color="auto"/>
                    <w:left w:val="none" w:sz="0" w:space="0" w:color="auto"/>
                    <w:bottom w:val="none" w:sz="0" w:space="0" w:color="auto"/>
                    <w:right w:val="none" w:sz="0" w:space="0" w:color="auto"/>
                  </w:divBdr>
                  <w:divsChild>
                    <w:div w:id="413866319">
                      <w:marLeft w:val="0"/>
                      <w:marRight w:val="0"/>
                      <w:marTop w:val="0"/>
                      <w:marBottom w:val="0"/>
                      <w:divBdr>
                        <w:top w:val="none" w:sz="0" w:space="0" w:color="auto"/>
                        <w:left w:val="none" w:sz="0" w:space="0" w:color="auto"/>
                        <w:bottom w:val="none" w:sz="0" w:space="0" w:color="auto"/>
                        <w:right w:val="none" w:sz="0" w:space="0" w:color="auto"/>
                      </w:divBdr>
                      <w:divsChild>
                        <w:div w:id="729812470">
                          <w:marLeft w:val="0"/>
                          <w:marRight w:val="0"/>
                          <w:marTop w:val="0"/>
                          <w:marBottom w:val="0"/>
                          <w:divBdr>
                            <w:top w:val="none" w:sz="0" w:space="0" w:color="auto"/>
                            <w:left w:val="none" w:sz="0" w:space="0" w:color="auto"/>
                            <w:bottom w:val="none" w:sz="0" w:space="0" w:color="auto"/>
                            <w:right w:val="none" w:sz="0" w:space="0" w:color="auto"/>
                          </w:divBdr>
                          <w:divsChild>
                            <w:div w:id="1199007295">
                              <w:marLeft w:val="0"/>
                              <w:marRight w:val="0"/>
                              <w:marTop w:val="0"/>
                              <w:marBottom w:val="0"/>
                              <w:divBdr>
                                <w:top w:val="none" w:sz="0" w:space="0" w:color="auto"/>
                                <w:left w:val="none" w:sz="0" w:space="0" w:color="auto"/>
                                <w:bottom w:val="none" w:sz="0" w:space="0" w:color="auto"/>
                                <w:right w:val="none" w:sz="0" w:space="0" w:color="auto"/>
                              </w:divBdr>
                              <w:divsChild>
                                <w:div w:id="1748919618">
                                  <w:marLeft w:val="0"/>
                                  <w:marRight w:val="0"/>
                                  <w:marTop w:val="0"/>
                                  <w:marBottom w:val="0"/>
                                  <w:divBdr>
                                    <w:top w:val="none" w:sz="0" w:space="0" w:color="auto"/>
                                    <w:left w:val="none" w:sz="0" w:space="0" w:color="auto"/>
                                    <w:bottom w:val="none" w:sz="0" w:space="0" w:color="auto"/>
                                    <w:right w:val="none" w:sz="0" w:space="0" w:color="auto"/>
                                  </w:divBdr>
                                  <w:divsChild>
                                    <w:div w:id="1893155370">
                                      <w:marLeft w:val="0"/>
                                      <w:marRight w:val="0"/>
                                      <w:marTop w:val="0"/>
                                      <w:marBottom w:val="0"/>
                                      <w:divBdr>
                                        <w:top w:val="none" w:sz="0" w:space="0" w:color="auto"/>
                                        <w:left w:val="none" w:sz="0" w:space="0" w:color="auto"/>
                                        <w:bottom w:val="none" w:sz="0" w:space="0" w:color="auto"/>
                                        <w:right w:val="none" w:sz="0" w:space="0" w:color="auto"/>
                                      </w:divBdr>
                                      <w:divsChild>
                                        <w:div w:id="741222052">
                                          <w:marLeft w:val="150"/>
                                          <w:marRight w:val="150"/>
                                          <w:marTop w:val="225"/>
                                          <w:marBottom w:val="225"/>
                                          <w:divBdr>
                                            <w:top w:val="none" w:sz="0" w:space="0" w:color="auto"/>
                                            <w:left w:val="none" w:sz="0" w:space="0" w:color="auto"/>
                                            <w:bottom w:val="none" w:sz="0" w:space="0" w:color="auto"/>
                                            <w:right w:val="none" w:sz="0" w:space="0" w:color="auto"/>
                                          </w:divBdr>
                                          <w:divsChild>
                                            <w:div w:id="1212228521">
                                              <w:marLeft w:val="0"/>
                                              <w:marRight w:val="0"/>
                                              <w:marTop w:val="0"/>
                                              <w:marBottom w:val="0"/>
                                              <w:divBdr>
                                                <w:top w:val="none" w:sz="0" w:space="0" w:color="auto"/>
                                                <w:left w:val="none" w:sz="0" w:space="0" w:color="auto"/>
                                                <w:bottom w:val="none" w:sz="0" w:space="0" w:color="auto"/>
                                                <w:right w:val="none" w:sz="0" w:space="0" w:color="auto"/>
                                              </w:divBdr>
                                              <w:divsChild>
                                                <w:div w:id="915824772">
                                                  <w:marLeft w:val="0"/>
                                                  <w:marRight w:val="0"/>
                                                  <w:marTop w:val="0"/>
                                                  <w:marBottom w:val="0"/>
                                                  <w:divBdr>
                                                    <w:top w:val="none" w:sz="0" w:space="0" w:color="auto"/>
                                                    <w:left w:val="none" w:sz="0" w:space="0" w:color="auto"/>
                                                    <w:bottom w:val="none" w:sz="0" w:space="0" w:color="auto"/>
                                                    <w:right w:val="none" w:sz="0" w:space="0" w:color="auto"/>
                                                  </w:divBdr>
                                                  <w:divsChild>
                                                    <w:div w:id="2086535436">
                                                      <w:marLeft w:val="0"/>
                                                      <w:marRight w:val="0"/>
                                                      <w:marTop w:val="0"/>
                                                      <w:marBottom w:val="0"/>
                                                      <w:divBdr>
                                                        <w:top w:val="none" w:sz="0" w:space="0" w:color="auto"/>
                                                        <w:left w:val="none" w:sz="0" w:space="0" w:color="auto"/>
                                                        <w:bottom w:val="none" w:sz="0" w:space="0" w:color="auto"/>
                                                        <w:right w:val="none" w:sz="0" w:space="0" w:color="auto"/>
                                                      </w:divBdr>
                                                      <w:divsChild>
                                                        <w:div w:id="107108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2681227">
      <w:bodyDiv w:val="1"/>
      <w:marLeft w:val="0"/>
      <w:marRight w:val="0"/>
      <w:marTop w:val="0"/>
      <w:marBottom w:val="0"/>
      <w:divBdr>
        <w:top w:val="none" w:sz="0" w:space="0" w:color="auto"/>
        <w:left w:val="none" w:sz="0" w:space="0" w:color="auto"/>
        <w:bottom w:val="none" w:sz="0" w:space="0" w:color="auto"/>
        <w:right w:val="none" w:sz="0" w:space="0" w:color="auto"/>
      </w:divBdr>
      <w:divsChild>
        <w:div w:id="1978148583">
          <w:marLeft w:val="0"/>
          <w:marRight w:val="0"/>
          <w:marTop w:val="0"/>
          <w:marBottom w:val="0"/>
          <w:divBdr>
            <w:top w:val="none" w:sz="0" w:space="0" w:color="auto"/>
            <w:left w:val="none" w:sz="0" w:space="0" w:color="auto"/>
            <w:bottom w:val="none" w:sz="0" w:space="0" w:color="auto"/>
            <w:right w:val="none" w:sz="0" w:space="0" w:color="auto"/>
          </w:divBdr>
          <w:divsChild>
            <w:div w:id="350230980">
              <w:marLeft w:val="-450"/>
              <w:marRight w:val="-450"/>
              <w:marTop w:val="0"/>
              <w:marBottom w:val="0"/>
              <w:divBdr>
                <w:top w:val="none" w:sz="0" w:space="0" w:color="auto"/>
                <w:left w:val="none" w:sz="0" w:space="0" w:color="auto"/>
                <w:bottom w:val="none" w:sz="0" w:space="0" w:color="auto"/>
                <w:right w:val="none" w:sz="0" w:space="0" w:color="auto"/>
              </w:divBdr>
              <w:divsChild>
                <w:div w:id="1264189564">
                  <w:marLeft w:val="0"/>
                  <w:marRight w:val="0"/>
                  <w:marTop w:val="0"/>
                  <w:marBottom w:val="0"/>
                  <w:divBdr>
                    <w:top w:val="none" w:sz="0" w:space="0" w:color="auto"/>
                    <w:left w:val="none" w:sz="0" w:space="0" w:color="auto"/>
                    <w:bottom w:val="none" w:sz="0" w:space="0" w:color="auto"/>
                    <w:right w:val="none" w:sz="0" w:space="0" w:color="auto"/>
                  </w:divBdr>
                  <w:divsChild>
                    <w:div w:id="857084517">
                      <w:marLeft w:val="-450"/>
                      <w:marRight w:val="-450"/>
                      <w:marTop w:val="0"/>
                      <w:marBottom w:val="0"/>
                      <w:divBdr>
                        <w:top w:val="none" w:sz="0" w:space="0" w:color="auto"/>
                        <w:left w:val="none" w:sz="0" w:space="0" w:color="auto"/>
                        <w:bottom w:val="none" w:sz="0" w:space="0" w:color="auto"/>
                        <w:right w:val="none" w:sz="0" w:space="0" w:color="auto"/>
                      </w:divBdr>
                      <w:divsChild>
                        <w:div w:id="118412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968666">
      <w:bodyDiv w:val="1"/>
      <w:marLeft w:val="0"/>
      <w:marRight w:val="0"/>
      <w:marTop w:val="0"/>
      <w:marBottom w:val="0"/>
      <w:divBdr>
        <w:top w:val="none" w:sz="0" w:space="0" w:color="auto"/>
        <w:left w:val="none" w:sz="0" w:space="0" w:color="auto"/>
        <w:bottom w:val="none" w:sz="0" w:space="0" w:color="auto"/>
        <w:right w:val="none" w:sz="0" w:space="0" w:color="auto"/>
      </w:divBdr>
    </w:div>
    <w:div w:id="2068334620">
      <w:bodyDiv w:val="1"/>
      <w:marLeft w:val="0"/>
      <w:marRight w:val="0"/>
      <w:marTop w:val="0"/>
      <w:marBottom w:val="0"/>
      <w:divBdr>
        <w:top w:val="none" w:sz="0" w:space="0" w:color="auto"/>
        <w:left w:val="none" w:sz="0" w:space="0" w:color="auto"/>
        <w:bottom w:val="none" w:sz="0" w:space="0" w:color="auto"/>
        <w:right w:val="none" w:sz="0" w:space="0" w:color="auto"/>
      </w:divBdr>
    </w:div>
    <w:div w:id="2088112453">
      <w:bodyDiv w:val="1"/>
      <w:marLeft w:val="0"/>
      <w:marRight w:val="0"/>
      <w:marTop w:val="0"/>
      <w:marBottom w:val="0"/>
      <w:divBdr>
        <w:top w:val="none" w:sz="0" w:space="0" w:color="auto"/>
        <w:left w:val="none" w:sz="0" w:space="0" w:color="auto"/>
        <w:bottom w:val="none" w:sz="0" w:space="0" w:color="auto"/>
        <w:right w:val="none" w:sz="0" w:space="0" w:color="auto"/>
      </w:divBdr>
    </w:div>
    <w:div w:id="2146972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oogle.co.nz/url?sa=i&amp;rct=j&amp;q=&amp;esrc=s&amp;source=images&amp;cd=&amp;cad=rja&amp;uact=8&amp;ved=0ahUKEwjs9p_nqfTMAhXFopQKHanHCLkQjRwIBw&amp;url=http://www.oag.govt.nz/2007/customs-service/part1.htm&amp;bvm=bv.122676328,d.dGo&amp;psig=AFQjCNHCBC7R-2qkjVj6YP3gC0ijDPerCA&amp;ust=1464234789134342" TargetMode="External"/><Relationship Id="rId18" Type="http://schemas.openxmlformats.org/officeDocument/2006/relationships/hyperlink" Target="http://www.crownlaw.govt.nz/assets/Uploads/Prosecution-Guidelines/prosecution-guidelines-2013.pdf" TargetMode="External"/><Relationship Id="rId26" Type="http://schemas.openxmlformats.org/officeDocument/2006/relationships/hyperlink" Target="http://www.treasury.govt.nz/regulation/informationreleases/pdfs/reg-2601082.pdf/at_download/file" TargetMode="External"/><Relationship Id="rId3" Type="http://schemas.openxmlformats.org/officeDocument/2006/relationships/styles" Target="styles.xml"/><Relationship Id="rId21" Type="http://schemas.openxmlformats.org/officeDocument/2006/relationships/hyperlink" Target="http://ecan.govt.nz/publications/Reports/CME_Compliance_Monitoring_Sheet_Regional_Sept2015.pdf" TargetMode="External"/><Relationship Id="rId34" Type="http://schemas.openxmlformats.org/officeDocument/2006/relationships/header" Target="header2.xml"/><Relationship Id="rId42"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oag.govt.nz/2011/freshwater" TargetMode="External"/><Relationship Id="rId25" Type="http://schemas.openxmlformats.org/officeDocument/2006/relationships/hyperlink" Target="http://www.mfe.govt.nz/rma/rma-monitoring-and-reporting/reporting-201415"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boprc.govt.nz/media/520780/2014_2015-pollution-prevention-and-compliance-report.pdf" TargetMode="External"/><Relationship Id="rId20" Type="http://schemas.openxmlformats.org/officeDocument/2006/relationships/hyperlink" Target="http://ecan.govt.nz/publications/Plans/compliance-monitoring-annual-report-april-2015.pdf" TargetMode="External"/><Relationship Id="rId29" Type="http://schemas.openxmlformats.org/officeDocument/2006/relationships/hyperlink" Target="http://www.stuff.co.nz/business/farming/81191467/Millions-of-litres-of-water-illegally-taken-Is-ECan-doing-enoug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www.stats.co.nz" TargetMode="External"/><Relationship Id="rId32" Type="http://schemas.openxmlformats.org/officeDocument/2006/relationships/hyperlink" Target="http://www.waikatoregion.govt.nz/Services/Regional-services/Investigation-and-enforcement/Basic-investigative-skills-for-local-government/"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www.mfe.govt.nz" TargetMode="External"/><Relationship Id="rId28" Type="http://schemas.openxmlformats.org/officeDocument/2006/relationships/hyperlink" Target="http://www.stuff.co.nz/business/farming/dairy/71333959/councils-prosecuting-fewer-farmers-for-dirty-dairying-offences" TargetMode="External"/><Relationship Id="rId36" Type="http://schemas.openxmlformats.org/officeDocument/2006/relationships/footer" Target="footer3.xml"/><Relationship Id="rId10" Type="http://schemas.openxmlformats.org/officeDocument/2006/relationships/hyperlink" Target="http://www.mfe.govt.nz" TargetMode="External"/><Relationship Id="rId19" Type="http://schemas.openxmlformats.org/officeDocument/2006/relationships/hyperlink" Target="http://www.dairynz.co.nz/environment/" TargetMode="External"/><Relationship Id="rId31" Type="http://schemas.openxmlformats.org/officeDocument/2006/relationships/hyperlink" Target="http://www.tasman.govt.nz/policy/policies/enforcement-policies/"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image" Target="media/image3.gif"/><Relationship Id="rId22" Type="http://schemas.openxmlformats.org/officeDocument/2006/relationships/hyperlink" Target="http://www.lgnz.co.nz/assets/RMA-Sector-Position-Paper-15-October-2015.pdf" TargetMode="External"/><Relationship Id="rId27" Type="http://schemas.openxmlformats.org/officeDocument/2006/relationships/hyperlink" Target="http://www.radionz.co.nz/news/regional/303751/ecan-criticised-for-lack-of-action-over-waterways" TargetMode="External"/><Relationship Id="rId30" Type="http://schemas.openxmlformats.org/officeDocument/2006/relationships/hyperlink" Target="http://www.stuff.co.nz/manawatu-standard/news/80014164/councillors-question-if-horizons-is-holding-district-councils-to-account" TargetMode="External"/><Relationship Id="rId35"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www.qualityplanning.org.nz/" TargetMode="External"/><Relationship Id="rId1" Type="http://schemas.openxmlformats.org/officeDocument/2006/relationships/hyperlink" Target="http://www.mfe.govt.nz/rma/rma-monitoring-and-reporting/reporting-2014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FDD3D-8353-46AB-82F2-39F54C78C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14773</Words>
  <Characters>84207</Characters>
  <Application>Microsoft Office Word</Application>
  <DocSecurity>0</DocSecurity>
  <Lines>701</Lines>
  <Paragraphs>197</Paragraphs>
  <ScaleCrop>false</ScaleCrop>
  <HeadingPairs>
    <vt:vector size="2" baseType="variant">
      <vt:variant>
        <vt:lpstr>Title</vt:lpstr>
      </vt:variant>
      <vt:variant>
        <vt:i4>1</vt:i4>
      </vt:variant>
    </vt:vector>
  </HeadingPairs>
  <TitlesOfParts>
    <vt:vector size="1" baseType="lpstr">
      <vt:lpstr/>
    </vt:vector>
  </TitlesOfParts>
  <Company>Ministry of Economic Development</Company>
  <LinksUpToDate>false</LinksUpToDate>
  <CharactersWithSpaces>98783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 van Kregten</dc:creator>
  <cp:lastModifiedBy>Linda Stirling</cp:lastModifiedBy>
  <cp:revision>3</cp:revision>
  <cp:lastPrinted>2017-02-08T02:06:00Z</cp:lastPrinted>
  <dcterms:created xsi:type="dcterms:W3CDTF">2017-02-08T02:06:00Z</dcterms:created>
  <dcterms:modified xsi:type="dcterms:W3CDTF">2017-02-08T02:06:00Z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1713481142</vt:i4>
  </property>
  <property fmtid="{D5CDD505-2E9C-101B-9397-08002B2CF9AE}" pid="4" name="_EmailSubject">
    <vt:lpwstr>Changes made to Formatted Compliance Monitoring and Enforcement Report</vt:lpwstr>
  </property>
  <property fmtid="{D5CDD505-2E9C-101B-9397-08002B2CF9AE}" pid="5" name="_AuthorEmail">
    <vt:lpwstr>Lauren.Kelly@mfe.govt.nz</vt:lpwstr>
  </property>
  <property fmtid="{D5CDD505-2E9C-101B-9397-08002B2CF9AE}" pid="6" name="_AuthorEmailDisplayName">
    <vt:lpwstr>Lauren Kelly</vt:lpwstr>
  </property>
  <property fmtid="{D5CDD505-2E9C-101B-9397-08002B2CF9AE}" pid="7" name="_PreviousAdHocReviewCycleID">
    <vt:i4>-748951830</vt:i4>
  </property>
  <property fmtid="{D5CDD505-2E9C-101B-9397-08002B2CF9AE}" pid="8" name="_ReviewingToolsShownOnce">
    <vt:lpwstr/>
  </property>
</Properties>
</file>