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0DFCB" w14:textId="75FD3ACE" w:rsidR="0080531E" w:rsidRPr="006B77BB" w:rsidRDefault="00820660" w:rsidP="0003640E">
      <w:pPr>
        <w:pStyle w:val="BodyText"/>
      </w:pPr>
      <w:r>
        <w:rPr>
          <w:noProof/>
        </w:rPr>
        <w:drawing>
          <wp:anchor distT="0" distB="0" distL="114300" distR="114300" simplePos="0" relativeHeight="251658240" behindDoc="0" locked="0" layoutInCell="1" allowOverlap="1" wp14:anchorId="3ED20481" wp14:editId="24EC984C">
            <wp:simplePos x="0" y="0"/>
            <wp:positionH relativeFrom="margin">
              <wp:posOffset>-1181100</wp:posOffset>
            </wp:positionH>
            <wp:positionV relativeFrom="margin">
              <wp:posOffset>-923925</wp:posOffset>
            </wp:positionV>
            <wp:extent cx="7629525" cy="107899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climate-related-financial-disclosures-summary-of-submiss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525" cy="10789920"/>
                    </a:xfrm>
                    <a:prstGeom prst="rect">
                      <a:avLst/>
                    </a:prstGeom>
                  </pic:spPr>
                </pic:pic>
              </a:graphicData>
            </a:graphic>
            <wp14:sizeRelH relativeFrom="margin">
              <wp14:pctWidth>0</wp14:pctWidth>
            </wp14:sizeRelH>
            <wp14:sizeRelV relativeFrom="margin">
              <wp14:pctHeight>0</wp14:pctHeight>
            </wp14:sizeRelV>
          </wp:anchor>
        </w:drawing>
      </w:r>
    </w:p>
    <w:p w14:paraId="1E9885A4" w14:textId="77777777" w:rsidR="0003640E" w:rsidRPr="006B77BB" w:rsidRDefault="0003640E" w:rsidP="0080531E">
      <w:pPr>
        <w:jc w:val="left"/>
        <w:rPr>
          <w:color w:val="FF0000"/>
        </w:rPr>
        <w:sectPr w:rsidR="0003640E" w:rsidRPr="006B77BB" w:rsidSect="00A17427">
          <w:headerReference w:type="default" r:id="rId9"/>
          <w:footerReference w:type="default" r:id="rId10"/>
          <w:pgSz w:w="11907" w:h="16840" w:code="9"/>
          <w:pgMar w:top="1440" w:right="1440" w:bottom="1440" w:left="1800" w:header="567" w:footer="1134" w:gutter="0"/>
          <w:cols w:space="720"/>
          <w:docGrid w:linePitch="299"/>
        </w:sectPr>
      </w:pPr>
    </w:p>
    <w:p w14:paraId="5C4BB187" w14:textId="77777777" w:rsidR="00452EC4" w:rsidRPr="006B77BB" w:rsidRDefault="00452EC4" w:rsidP="00775F57">
      <w:pPr>
        <w:pStyle w:val="Imprint"/>
        <w:spacing w:before="0" w:after="0"/>
        <w:rPr>
          <w:b/>
        </w:rPr>
      </w:pPr>
      <w:r w:rsidRPr="006B77BB">
        <w:rPr>
          <w:b/>
        </w:rPr>
        <w:lastRenderedPageBreak/>
        <w:t>Disclaimer</w:t>
      </w:r>
    </w:p>
    <w:p w14:paraId="5EE676C9" w14:textId="77777777" w:rsidR="00452EC4" w:rsidRPr="006B77BB" w:rsidRDefault="005E1706" w:rsidP="005E1706">
      <w:pPr>
        <w:pStyle w:val="BodyText"/>
      </w:pPr>
      <w:r w:rsidRPr="005E1706">
        <w:t>The opinions contained in this document are for consultation purposes only and do not reflect official Government policy. Readers are advised to seek specific legal advice from a qualified professional person before undertaking any action in reliance on the contents of this publication. The contents of this discussion paper must not be construed as legal advice. The Ministry for the Environment and the Ministry of Business, Innovation and Employment do not accept any responsibility or liability whatsoever whether in contract, tort, equity or otherwise for any action taken as a result of reading, or reliance placed on the Ministries because of having read, any part, or all, of the information in this document.</w:t>
      </w:r>
    </w:p>
    <w:p w14:paraId="4A67E8B1" w14:textId="77777777" w:rsidR="00452EC4" w:rsidRPr="006B77BB" w:rsidRDefault="00452EC4" w:rsidP="00452EC4">
      <w:pPr>
        <w:pStyle w:val="Imprint"/>
      </w:pPr>
    </w:p>
    <w:p w14:paraId="0F56A8D1" w14:textId="7F26CE95" w:rsidR="0080531E" w:rsidRPr="006B77BB" w:rsidRDefault="00452EC4" w:rsidP="005E1706">
      <w:pPr>
        <w:pStyle w:val="BodyText"/>
      </w:pPr>
      <w:r w:rsidRPr="006B77BB">
        <w:t xml:space="preserve">This </w:t>
      </w:r>
      <w:r w:rsidR="00775F57" w:rsidRPr="006B77BB">
        <w:t>document</w:t>
      </w:r>
      <w:r w:rsidRPr="006B77BB">
        <w:t xml:space="preserve"> may be cited as:</w:t>
      </w:r>
      <w:r w:rsidR="00775F57" w:rsidRPr="006B77BB">
        <w:t xml:space="preserve"> </w:t>
      </w:r>
      <w:r w:rsidR="005E1706" w:rsidRPr="005E1706">
        <w:t xml:space="preserve">Ministry for the Environment </w:t>
      </w:r>
      <w:r w:rsidR="002A6002">
        <w:t>and</w:t>
      </w:r>
      <w:r w:rsidR="002A6002" w:rsidRPr="005E1706">
        <w:t xml:space="preserve"> </w:t>
      </w:r>
      <w:r w:rsidR="005E1706" w:rsidRPr="005E1706">
        <w:t>Ministry of Busine</w:t>
      </w:r>
      <w:r w:rsidR="005E1706">
        <w:t>ss, Innovation &amp; Employment. 2020</w:t>
      </w:r>
      <w:r w:rsidR="005E1706" w:rsidRPr="005E1706">
        <w:t xml:space="preserve">. </w:t>
      </w:r>
      <w:r w:rsidR="005E1706" w:rsidRPr="005E1706">
        <w:rPr>
          <w:i/>
        </w:rPr>
        <w:t>Climate-related financial disclosures – Understanding your business risks and opportunities related to climate change: Summary of submissions</w:t>
      </w:r>
      <w:r w:rsidR="005E1706" w:rsidRPr="005E1706">
        <w:t>. Wellington: Ministry for the Environment.</w:t>
      </w:r>
    </w:p>
    <w:p w14:paraId="0A971D97" w14:textId="77777777" w:rsidR="0080531E" w:rsidRPr="006B77BB" w:rsidRDefault="0080531E" w:rsidP="0080531E">
      <w:pPr>
        <w:pStyle w:val="Imprint"/>
      </w:pPr>
    </w:p>
    <w:p w14:paraId="6256DE27" w14:textId="77777777" w:rsidR="0080531E" w:rsidRPr="006B77BB" w:rsidRDefault="0080531E" w:rsidP="0080531E">
      <w:pPr>
        <w:pStyle w:val="Imprint"/>
      </w:pPr>
    </w:p>
    <w:p w14:paraId="39957621" w14:textId="77777777" w:rsidR="0080531E" w:rsidRPr="006B77BB" w:rsidRDefault="0080531E" w:rsidP="0080531E">
      <w:pPr>
        <w:pStyle w:val="Imprint"/>
      </w:pPr>
    </w:p>
    <w:p w14:paraId="35E1A269" w14:textId="77777777" w:rsidR="0080531E" w:rsidRPr="006B77BB" w:rsidRDefault="0080531E" w:rsidP="0080531E">
      <w:pPr>
        <w:pStyle w:val="Imprint"/>
      </w:pPr>
    </w:p>
    <w:p w14:paraId="2C20687E" w14:textId="77777777" w:rsidR="0080531E" w:rsidRPr="006B77BB" w:rsidRDefault="0080531E" w:rsidP="0080531E">
      <w:pPr>
        <w:pStyle w:val="Imprint"/>
      </w:pPr>
    </w:p>
    <w:p w14:paraId="72557526" w14:textId="77777777" w:rsidR="0080531E" w:rsidRDefault="0080531E" w:rsidP="0080531E">
      <w:pPr>
        <w:pStyle w:val="Imprint"/>
      </w:pPr>
    </w:p>
    <w:p w14:paraId="537C28AB" w14:textId="77777777" w:rsidR="00663783" w:rsidRPr="006B77BB" w:rsidRDefault="00663783" w:rsidP="0080531E">
      <w:pPr>
        <w:pStyle w:val="Imprint"/>
      </w:pPr>
    </w:p>
    <w:p w14:paraId="5D30F752" w14:textId="77777777" w:rsidR="00760C00" w:rsidRPr="006B77BB" w:rsidRDefault="00760C00" w:rsidP="0080531E">
      <w:pPr>
        <w:pStyle w:val="Imprint"/>
      </w:pPr>
    </w:p>
    <w:p w14:paraId="3A8CDE67" w14:textId="77777777" w:rsidR="0080531E" w:rsidRPr="006B77BB" w:rsidRDefault="0080531E" w:rsidP="0080531E">
      <w:pPr>
        <w:pStyle w:val="Imprint"/>
      </w:pPr>
      <w:r w:rsidRPr="006B77BB">
        <w:t xml:space="preserve">Published in </w:t>
      </w:r>
      <w:r w:rsidR="005E1706">
        <w:t>March</w:t>
      </w:r>
      <w:r w:rsidR="00775F57" w:rsidRPr="00663783">
        <w:t xml:space="preserve"> </w:t>
      </w:r>
      <w:r w:rsidR="005E1706" w:rsidRPr="005E1706">
        <w:t>2020</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493CF88C" w14:textId="5E60E25D" w:rsidR="0080531E" w:rsidRPr="006B77BB" w:rsidRDefault="0080531E" w:rsidP="00BE6B07">
      <w:pPr>
        <w:pStyle w:val="Imprint"/>
        <w:tabs>
          <w:tab w:val="left" w:pos="720"/>
        </w:tabs>
        <w:spacing w:after="0"/>
        <w:ind w:left="720" w:hanging="720"/>
      </w:pPr>
      <w:r w:rsidRPr="006B77BB">
        <w:t xml:space="preserve">ISBN: </w:t>
      </w:r>
      <w:r w:rsidRPr="006B77BB">
        <w:tab/>
      </w:r>
      <w:r w:rsidR="002A6002" w:rsidRPr="000A2914">
        <w:rPr>
          <w:rFonts w:asciiTheme="minorHAnsi" w:eastAsia="Arial" w:hAnsiTheme="minorHAnsi" w:cstheme="minorHAnsi"/>
          <w:color w:val="000000"/>
        </w:rPr>
        <w:t>978-1-98-857974-0</w:t>
      </w:r>
      <w:r w:rsidR="00CD08D9">
        <w:rPr>
          <w:rFonts w:asciiTheme="minorHAnsi" w:eastAsia="Arial" w:hAnsiTheme="minorHAnsi" w:cstheme="minorHAnsi"/>
          <w:color w:val="000000"/>
        </w:rPr>
        <w:t xml:space="preserve"> </w:t>
      </w:r>
      <w:r w:rsidRPr="006B77BB">
        <w:t>(</w:t>
      </w:r>
      <w:r w:rsidR="00775F57" w:rsidRPr="006B77BB">
        <w:t>online</w:t>
      </w:r>
      <w:r w:rsidRPr="006B77BB">
        <w:t>)</w:t>
      </w:r>
    </w:p>
    <w:p w14:paraId="4317F89D" w14:textId="6DA71BF6" w:rsidR="0080531E" w:rsidRPr="006B77BB" w:rsidRDefault="0080531E" w:rsidP="00BE6B07">
      <w:pPr>
        <w:pStyle w:val="Imprint"/>
        <w:spacing w:before="0" w:after="0"/>
        <w:ind w:left="720" w:hanging="720"/>
      </w:pPr>
      <w:r w:rsidRPr="006B77BB">
        <w:t xml:space="preserve">Publication </w:t>
      </w:r>
      <w:r w:rsidRPr="006777A7">
        <w:t xml:space="preserve">number: ME </w:t>
      </w:r>
      <w:r w:rsidR="002A6002" w:rsidRPr="006777A7">
        <w:t>1489</w:t>
      </w:r>
    </w:p>
    <w:p w14:paraId="09A96C24" w14:textId="77777777" w:rsidR="0080531E" w:rsidRPr="006B77BB" w:rsidRDefault="0080531E" w:rsidP="00593E94">
      <w:pPr>
        <w:pStyle w:val="Imprint"/>
        <w:spacing w:after="80"/>
      </w:pPr>
      <w:r w:rsidRPr="006B77BB">
        <w:t xml:space="preserve">© Crown copyright New Zealand </w:t>
      </w:r>
      <w:r w:rsidR="005E1706" w:rsidRPr="005E1706">
        <w:t>2020</w:t>
      </w:r>
    </w:p>
    <w:p w14:paraId="43A65108"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Pr="006B77BB">
          <w:rPr>
            <w:rStyle w:val="Hyperlink"/>
          </w:rPr>
          <w:t>www.mfe.govt.nz</w:t>
        </w:r>
      </w:hyperlink>
      <w:r w:rsidR="00B51610" w:rsidRPr="006B77BB">
        <w:rPr>
          <w:rStyle w:val="Hyperlink"/>
          <w:color w:val="auto"/>
        </w:rPr>
        <w:t>.</w:t>
      </w:r>
    </w:p>
    <w:p w14:paraId="5E7F8356" w14:textId="77777777" w:rsidR="00A84FE1" w:rsidRDefault="00A84FE1" w:rsidP="00A84FE1">
      <w:pPr>
        <w:pStyle w:val="Imprint"/>
        <w:spacing w:before="240" w:after="0"/>
      </w:pPr>
      <w:r>
        <w:rPr>
          <w:noProof/>
        </w:rPr>
        <w:drawing>
          <wp:inline distT="0" distB="0" distL="0" distR="0" wp14:anchorId="5F153C61" wp14:editId="4CBA493A">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CDE5581" w14:textId="77777777" w:rsidR="0080531E" w:rsidRPr="00A84FE1" w:rsidRDefault="0080531E" w:rsidP="00A84FE1">
      <w:pPr>
        <w:sectPr w:rsidR="0080531E" w:rsidRPr="00A84FE1"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588318D8" w14:textId="77777777" w:rsidR="0080531E" w:rsidRPr="006B77BB" w:rsidRDefault="0080531E" w:rsidP="008B68EC">
      <w:pPr>
        <w:pStyle w:val="Heading"/>
      </w:pPr>
      <w:bookmarkStart w:id="0" w:name="_Toc32847615"/>
      <w:r w:rsidRPr="006B77BB">
        <w:lastRenderedPageBreak/>
        <w:t>Contents</w:t>
      </w:r>
      <w:bookmarkEnd w:id="0"/>
    </w:p>
    <w:p w14:paraId="5C3A47BD" w14:textId="7435CB57" w:rsidR="00573E83" w:rsidRDefault="00775F57" w:rsidP="00573E83">
      <w:pPr>
        <w:pStyle w:val="TOC1"/>
        <w:ind w:right="238"/>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34216943" w:history="1">
        <w:r w:rsidR="00573E83" w:rsidRPr="005F09CC">
          <w:rPr>
            <w:rStyle w:val="Hyperlink"/>
            <w:noProof/>
          </w:rPr>
          <w:t>Introduction</w:t>
        </w:r>
        <w:r w:rsidR="00573E83">
          <w:rPr>
            <w:noProof/>
            <w:webHidden/>
          </w:rPr>
          <w:tab/>
        </w:r>
        <w:r w:rsidR="00573E83">
          <w:rPr>
            <w:noProof/>
            <w:webHidden/>
          </w:rPr>
          <w:fldChar w:fldCharType="begin"/>
        </w:r>
        <w:r w:rsidR="00573E83">
          <w:rPr>
            <w:noProof/>
            <w:webHidden/>
          </w:rPr>
          <w:instrText xml:space="preserve"> PAGEREF _Toc34216943 \h </w:instrText>
        </w:r>
        <w:r w:rsidR="00573E83">
          <w:rPr>
            <w:noProof/>
            <w:webHidden/>
          </w:rPr>
        </w:r>
        <w:r w:rsidR="00573E83">
          <w:rPr>
            <w:noProof/>
            <w:webHidden/>
          </w:rPr>
          <w:fldChar w:fldCharType="separate"/>
        </w:r>
        <w:r w:rsidR="00746D80">
          <w:rPr>
            <w:noProof/>
            <w:webHidden/>
          </w:rPr>
          <w:t>5</w:t>
        </w:r>
        <w:r w:rsidR="00573E83">
          <w:rPr>
            <w:noProof/>
            <w:webHidden/>
          </w:rPr>
          <w:fldChar w:fldCharType="end"/>
        </w:r>
      </w:hyperlink>
    </w:p>
    <w:p w14:paraId="42DEF5ED" w14:textId="734E50B4" w:rsidR="00573E83" w:rsidRDefault="0081674D" w:rsidP="00573E83">
      <w:pPr>
        <w:pStyle w:val="TOC2"/>
        <w:ind w:right="238"/>
        <w:rPr>
          <w:rFonts w:asciiTheme="minorHAnsi" w:hAnsiTheme="minorHAnsi"/>
          <w:noProof/>
        </w:rPr>
      </w:pPr>
      <w:hyperlink w:anchor="_Toc34216944" w:history="1">
        <w:r w:rsidR="00573E83" w:rsidRPr="005F09CC">
          <w:rPr>
            <w:rStyle w:val="Hyperlink"/>
            <w:noProof/>
          </w:rPr>
          <w:t>The purpose of the discussion document on  climate-related financial disclosures</w:t>
        </w:r>
        <w:r w:rsidR="00573E83">
          <w:rPr>
            <w:noProof/>
            <w:webHidden/>
          </w:rPr>
          <w:tab/>
        </w:r>
        <w:r w:rsidR="00573E83">
          <w:rPr>
            <w:noProof/>
            <w:webHidden/>
          </w:rPr>
          <w:fldChar w:fldCharType="begin"/>
        </w:r>
        <w:r w:rsidR="00573E83">
          <w:rPr>
            <w:noProof/>
            <w:webHidden/>
          </w:rPr>
          <w:instrText xml:space="preserve"> PAGEREF _Toc34216944 \h </w:instrText>
        </w:r>
        <w:r w:rsidR="00573E83">
          <w:rPr>
            <w:noProof/>
            <w:webHidden/>
          </w:rPr>
        </w:r>
        <w:r w:rsidR="00573E83">
          <w:rPr>
            <w:noProof/>
            <w:webHidden/>
          </w:rPr>
          <w:fldChar w:fldCharType="separate"/>
        </w:r>
        <w:r w:rsidR="00746D80">
          <w:rPr>
            <w:noProof/>
            <w:webHidden/>
          </w:rPr>
          <w:t>5</w:t>
        </w:r>
        <w:r w:rsidR="00573E83">
          <w:rPr>
            <w:noProof/>
            <w:webHidden/>
          </w:rPr>
          <w:fldChar w:fldCharType="end"/>
        </w:r>
      </w:hyperlink>
    </w:p>
    <w:p w14:paraId="7E8D5DE2" w14:textId="0477183C" w:rsidR="00573E83" w:rsidRDefault="0081674D" w:rsidP="00573E83">
      <w:pPr>
        <w:pStyle w:val="TOC2"/>
        <w:ind w:right="238"/>
        <w:rPr>
          <w:rFonts w:asciiTheme="minorHAnsi" w:hAnsiTheme="minorHAnsi"/>
          <w:noProof/>
        </w:rPr>
      </w:pPr>
      <w:hyperlink w:anchor="_Toc34216945" w:history="1">
        <w:r w:rsidR="00573E83" w:rsidRPr="005F09CC">
          <w:rPr>
            <w:rStyle w:val="Hyperlink"/>
            <w:noProof/>
          </w:rPr>
          <w:t>What we proposed</w:t>
        </w:r>
        <w:r w:rsidR="00573E83">
          <w:rPr>
            <w:noProof/>
            <w:webHidden/>
          </w:rPr>
          <w:tab/>
        </w:r>
        <w:r w:rsidR="00573E83">
          <w:rPr>
            <w:noProof/>
            <w:webHidden/>
          </w:rPr>
          <w:fldChar w:fldCharType="begin"/>
        </w:r>
        <w:r w:rsidR="00573E83">
          <w:rPr>
            <w:noProof/>
            <w:webHidden/>
          </w:rPr>
          <w:instrText xml:space="preserve"> PAGEREF _Toc34216945 \h </w:instrText>
        </w:r>
        <w:r w:rsidR="00573E83">
          <w:rPr>
            <w:noProof/>
            <w:webHidden/>
          </w:rPr>
        </w:r>
        <w:r w:rsidR="00573E83">
          <w:rPr>
            <w:noProof/>
            <w:webHidden/>
          </w:rPr>
          <w:fldChar w:fldCharType="separate"/>
        </w:r>
        <w:r w:rsidR="00746D80">
          <w:rPr>
            <w:noProof/>
            <w:webHidden/>
          </w:rPr>
          <w:t>6</w:t>
        </w:r>
        <w:r w:rsidR="00573E83">
          <w:rPr>
            <w:noProof/>
            <w:webHidden/>
          </w:rPr>
          <w:fldChar w:fldCharType="end"/>
        </w:r>
      </w:hyperlink>
    </w:p>
    <w:p w14:paraId="1057B0AC" w14:textId="553EBD96" w:rsidR="00573E83" w:rsidRDefault="0081674D" w:rsidP="00573E83">
      <w:pPr>
        <w:pStyle w:val="TOC2"/>
        <w:ind w:right="238"/>
        <w:rPr>
          <w:rFonts w:asciiTheme="minorHAnsi" w:hAnsiTheme="minorHAnsi"/>
          <w:noProof/>
        </w:rPr>
      </w:pPr>
      <w:hyperlink w:anchor="_Toc34216946" w:history="1">
        <w:r w:rsidR="00573E83" w:rsidRPr="005F09CC">
          <w:rPr>
            <w:rStyle w:val="Hyperlink"/>
            <w:noProof/>
          </w:rPr>
          <w:t>Submissions analysis and next steps</w:t>
        </w:r>
        <w:r w:rsidR="00573E83">
          <w:rPr>
            <w:noProof/>
            <w:webHidden/>
          </w:rPr>
          <w:tab/>
        </w:r>
        <w:r w:rsidR="00573E83">
          <w:rPr>
            <w:noProof/>
            <w:webHidden/>
          </w:rPr>
          <w:fldChar w:fldCharType="begin"/>
        </w:r>
        <w:r w:rsidR="00573E83">
          <w:rPr>
            <w:noProof/>
            <w:webHidden/>
          </w:rPr>
          <w:instrText xml:space="preserve"> PAGEREF _Toc34216946 \h </w:instrText>
        </w:r>
        <w:r w:rsidR="00573E83">
          <w:rPr>
            <w:noProof/>
            <w:webHidden/>
          </w:rPr>
        </w:r>
        <w:r w:rsidR="00573E83">
          <w:rPr>
            <w:noProof/>
            <w:webHidden/>
          </w:rPr>
          <w:fldChar w:fldCharType="separate"/>
        </w:r>
        <w:r w:rsidR="00746D80">
          <w:rPr>
            <w:noProof/>
            <w:webHidden/>
          </w:rPr>
          <w:t>7</w:t>
        </w:r>
        <w:r w:rsidR="00573E83">
          <w:rPr>
            <w:noProof/>
            <w:webHidden/>
          </w:rPr>
          <w:fldChar w:fldCharType="end"/>
        </w:r>
      </w:hyperlink>
    </w:p>
    <w:p w14:paraId="0F217CD8" w14:textId="623A2A88" w:rsidR="00573E83" w:rsidRDefault="0081674D" w:rsidP="00573E83">
      <w:pPr>
        <w:pStyle w:val="TOC1"/>
        <w:ind w:right="238"/>
        <w:rPr>
          <w:rFonts w:asciiTheme="minorHAnsi" w:hAnsiTheme="minorHAnsi"/>
          <w:noProof/>
        </w:rPr>
      </w:pPr>
      <w:hyperlink w:anchor="_Toc34216947" w:history="1">
        <w:r w:rsidR="00573E83" w:rsidRPr="005F09CC">
          <w:rPr>
            <w:rStyle w:val="Hyperlink"/>
            <w:noProof/>
          </w:rPr>
          <w:t>Consultation process</w:t>
        </w:r>
        <w:r w:rsidR="00573E83">
          <w:rPr>
            <w:noProof/>
            <w:webHidden/>
          </w:rPr>
          <w:tab/>
        </w:r>
        <w:r w:rsidR="00573E83">
          <w:rPr>
            <w:noProof/>
            <w:webHidden/>
          </w:rPr>
          <w:fldChar w:fldCharType="begin"/>
        </w:r>
        <w:r w:rsidR="00573E83">
          <w:rPr>
            <w:noProof/>
            <w:webHidden/>
          </w:rPr>
          <w:instrText xml:space="preserve"> PAGEREF _Toc34216947 \h </w:instrText>
        </w:r>
        <w:r w:rsidR="00573E83">
          <w:rPr>
            <w:noProof/>
            <w:webHidden/>
          </w:rPr>
        </w:r>
        <w:r w:rsidR="00573E83">
          <w:rPr>
            <w:noProof/>
            <w:webHidden/>
          </w:rPr>
          <w:fldChar w:fldCharType="separate"/>
        </w:r>
        <w:r w:rsidR="00746D80">
          <w:rPr>
            <w:noProof/>
            <w:webHidden/>
          </w:rPr>
          <w:t>8</w:t>
        </w:r>
        <w:r w:rsidR="00573E83">
          <w:rPr>
            <w:noProof/>
            <w:webHidden/>
          </w:rPr>
          <w:fldChar w:fldCharType="end"/>
        </w:r>
      </w:hyperlink>
    </w:p>
    <w:p w14:paraId="12BF3374" w14:textId="41D1413E" w:rsidR="00573E83" w:rsidRDefault="0081674D" w:rsidP="00573E83">
      <w:pPr>
        <w:pStyle w:val="TOC2"/>
        <w:ind w:right="238"/>
        <w:rPr>
          <w:rFonts w:asciiTheme="minorHAnsi" w:hAnsiTheme="minorHAnsi"/>
          <w:noProof/>
        </w:rPr>
      </w:pPr>
      <w:hyperlink w:anchor="_Toc34216948" w:history="1">
        <w:r w:rsidR="00573E83" w:rsidRPr="005F09CC">
          <w:rPr>
            <w:rStyle w:val="Hyperlink"/>
            <w:noProof/>
          </w:rPr>
          <w:t>Consultation events</w:t>
        </w:r>
        <w:r w:rsidR="00573E83">
          <w:rPr>
            <w:noProof/>
            <w:webHidden/>
          </w:rPr>
          <w:tab/>
        </w:r>
        <w:r w:rsidR="00573E83">
          <w:rPr>
            <w:noProof/>
            <w:webHidden/>
          </w:rPr>
          <w:fldChar w:fldCharType="begin"/>
        </w:r>
        <w:r w:rsidR="00573E83">
          <w:rPr>
            <w:noProof/>
            <w:webHidden/>
          </w:rPr>
          <w:instrText xml:space="preserve"> PAGEREF _Toc34216948 \h </w:instrText>
        </w:r>
        <w:r w:rsidR="00573E83">
          <w:rPr>
            <w:noProof/>
            <w:webHidden/>
          </w:rPr>
        </w:r>
        <w:r w:rsidR="00573E83">
          <w:rPr>
            <w:noProof/>
            <w:webHidden/>
          </w:rPr>
          <w:fldChar w:fldCharType="separate"/>
        </w:r>
        <w:r w:rsidR="00746D80">
          <w:rPr>
            <w:noProof/>
            <w:webHidden/>
          </w:rPr>
          <w:t>8</w:t>
        </w:r>
        <w:r w:rsidR="00573E83">
          <w:rPr>
            <w:noProof/>
            <w:webHidden/>
          </w:rPr>
          <w:fldChar w:fldCharType="end"/>
        </w:r>
      </w:hyperlink>
    </w:p>
    <w:p w14:paraId="4C259978" w14:textId="6C07583E" w:rsidR="00573E83" w:rsidRDefault="0081674D" w:rsidP="00573E83">
      <w:pPr>
        <w:pStyle w:val="TOC1"/>
        <w:ind w:right="238"/>
        <w:rPr>
          <w:rFonts w:asciiTheme="minorHAnsi" w:hAnsiTheme="minorHAnsi"/>
          <w:noProof/>
        </w:rPr>
      </w:pPr>
      <w:hyperlink w:anchor="_Toc34216949" w:history="1">
        <w:r w:rsidR="00573E83" w:rsidRPr="005F09CC">
          <w:rPr>
            <w:rStyle w:val="Hyperlink"/>
            <w:noProof/>
          </w:rPr>
          <w:t>Who responded to the consultation?</w:t>
        </w:r>
        <w:r w:rsidR="00573E83">
          <w:rPr>
            <w:noProof/>
            <w:webHidden/>
          </w:rPr>
          <w:tab/>
        </w:r>
        <w:r w:rsidR="00573E83">
          <w:rPr>
            <w:noProof/>
            <w:webHidden/>
          </w:rPr>
          <w:fldChar w:fldCharType="begin"/>
        </w:r>
        <w:r w:rsidR="00573E83">
          <w:rPr>
            <w:noProof/>
            <w:webHidden/>
          </w:rPr>
          <w:instrText xml:space="preserve"> PAGEREF _Toc34216949 \h </w:instrText>
        </w:r>
        <w:r w:rsidR="00573E83">
          <w:rPr>
            <w:noProof/>
            <w:webHidden/>
          </w:rPr>
        </w:r>
        <w:r w:rsidR="00573E83">
          <w:rPr>
            <w:noProof/>
            <w:webHidden/>
          </w:rPr>
          <w:fldChar w:fldCharType="separate"/>
        </w:r>
        <w:r w:rsidR="00746D80">
          <w:rPr>
            <w:noProof/>
            <w:webHidden/>
          </w:rPr>
          <w:t>9</w:t>
        </w:r>
        <w:r w:rsidR="00573E83">
          <w:rPr>
            <w:noProof/>
            <w:webHidden/>
          </w:rPr>
          <w:fldChar w:fldCharType="end"/>
        </w:r>
      </w:hyperlink>
    </w:p>
    <w:p w14:paraId="597D7080" w14:textId="16C32799" w:rsidR="00573E83" w:rsidRDefault="0081674D" w:rsidP="00573E83">
      <w:pPr>
        <w:pStyle w:val="TOC1"/>
        <w:ind w:right="238"/>
        <w:rPr>
          <w:rFonts w:asciiTheme="minorHAnsi" w:hAnsiTheme="minorHAnsi"/>
          <w:noProof/>
        </w:rPr>
      </w:pPr>
      <w:hyperlink w:anchor="_Toc34216950" w:history="1">
        <w:r w:rsidR="00573E83" w:rsidRPr="005F09CC">
          <w:rPr>
            <w:rStyle w:val="Hyperlink"/>
            <w:noProof/>
          </w:rPr>
          <w:t>What we heard</w:t>
        </w:r>
        <w:r w:rsidR="00573E83">
          <w:rPr>
            <w:noProof/>
            <w:webHidden/>
          </w:rPr>
          <w:tab/>
        </w:r>
        <w:r w:rsidR="00573E83">
          <w:rPr>
            <w:noProof/>
            <w:webHidden/>
          </w:rPr>
          <w:fldChar w:fldCharType="begin"/>
        </w:r>
        <w:r w:rsidR="00573E83">
          <w:rPr>
            <w:noProof/>
            <w:webHidden/>
          </w:rPr>
          <w:instrText xml:space="preserve"> PAGEREF _Toc34216950 \h </w:instrText>
        </w:r>
        <w:r w:rsidR="00573E83">
          <w:rPr>
            <w:noProof/>
            <w:webHidden/>
          </w:rPr>
        </w:r>
        <w:r w:rsidR="00573E83">
          <w:rPr>
            <w:noProof/>
            <w:webHidden/>
          </w:rPr>
          <w:fldChar w:fldCharType="separate"/>
        </w:r>
        <w:r w:rsidR="00746D80">
          <w:rPr>
            <w:noProof/>
            <w:webHidden/>
          </w:rPr>
          <w:t>11</w:t>
        </w:r>
        <w:r w:rsidR="00573E83">
          <w:rPr>
            <w:noProof/>
            <w:webHidden/>
          </w:rPr>
          <w:fldChar w:fldCharType="end"/>
        </w:r>
      </w:hyperlink>
    </w:p>
    <w:p w14:paraId="3C51CB85" w14:textId="1438AA36" w:rsidR="00573E83" w:rsidRDefault="0081674D" w:rsidP="00573E83">
      <w:pPr>
        <w:pStyle w:val="TOC2"/>
        <w:ind w:right="238"/>
        <w:rPr>
          <w:rFonts w:asciiTheme="minorHAnsi" w:hAnsiTheme="minorHAnsi"/>
          <w:noProof/>
        </w:rPr>
      </w:pPr>
      <w:hyperlink w:anchor="_Toc34216951" w:history="1">
        <w:r w:rsidR="00573E83" w:rsidRPr="005F09CC">
          <w:rPr>
            <w:rStyle w:val="Hyperlink"/>
            <w:noProof/>
          </w:rPr>
          <w:t>Chapter 1: The context</w:t>
        </w:r>
        <w:r w:rsidR="00573E83">
          <w:rPr>
            <w:noProof/>
            <w:webHidden/>
          </w:rPr>
          <w:tab/>
        </w:r>
        <w:r w:rsidR="00573E83">
          <w:rPr>
            <w:noProof/>
            <w:webHidden/>
          </w:rPr>
          <w:fldChar w:fldCharType="begin"/>
        </w:r>
        <w:r w:rsidR="00573E83">
          <w:rPr>
            <w:noProof/>
            <w:webHidden/>
          </w:rPr>
          <w:instrText xml:space="preserve"> PAGEREF _Toc34216951 \h </w:instrText>
        </w:r>
        <w:r w:rsidR="00573E83">
          <w:rPr>
            <w:noProof/>
            <w:webHidden/>
          </w:rPr>
        </w:r>
        <w:r w:rsidR="00573E83">
          <w:rPr>
            <w:noProof/>
            <w:webHidden/>
          </w:rPr>
          <w:fldChar w:fldCharType="separate"/>
        </w:r>
        <w:r w:rsidR="00746D80">
          <w:rPr>
            <w:noProof/>
            <w:webHidden/>
          </w:rPr>
          <w:t>12</w:t>
        </w:r>
        <w:r w:rsidR="00573E83">
          <w:rPr>
            <w:noProof/>
            <w:webHidden/>
          </w:rPr>
          <w:fldChar w:fldCharType="end"/>
        </w:r>
      </w:hyperlink>
    </w:p>
    <w:p w14:paraId="28F9922C" w14:textId="76D37C68" w:rsidR="00573E83" w:rsidRDefault="0081674D" w:rsidP="00573E83">
      <w:pPr>
        <w:pStyle w:val="TOC2"/>
        <w:ind w:right="238"/>
        <w:rPr>
          <w:rFonts w:asciiTheme="minorHAnsi" w:hAnsiTheme="minorHAnsi"/>
          <w:noProof/>
        </w:rPr>
      </w:pPr>
      <w:hyperlink w:anchor="_Toc34216952" w:history="1">
        <w:r w:rsidR="00573E83" w:rsidRPr="005F09CC">
          <w:rPr>
            <w:rStyle w:val="Hyperlink"/>
            <w:noProof/>
          </w:rPr>
          <w:t>Chapter 2: Objective and problem definition</w:t>
        </w:r>
        <w:r w:rsidR="00573E83">
          <w:rPr>
            <w:noProof/>
            <w:webHidden/>
          </w:rPr>
          <w:tab/>
        </w:r>
        <w:r w:rsidR="00573E83">
          <w:rPr>
            <w:noProof/>
            <w:webHidden/>
          </w:rPr>
          <w:fldChar w:fldCharType="begin"/>
        </w:r>
        <w:r w:rsidR="00573E83">
          <w:rPr>
            <w:noProof/>
            <w:webHidden/>
          </w:rPr>
          <w:instrText xml:space="preserve"> PAGEREF _Toc34216952 \h </w:instrText>
        </w:r>
        <w:r w:rsidR="00573E83">
          <w:rPr>
            <w:noProof/>
            <w:webHidden/>
          </w:rPr>
        </w:r>
        <w:r w:rsidR="00573E83">
          <w:rPr>
            <w:noProof/>
            <w:webHidden/>
          </w:rPr>
          <w:fldChar w:fldCharType="separate"/>
        </w:r>
        <w:r w:rsidR="00746D80">
          <w:rPr>
            <w:noProof/>
            <w:webHidden/>
          </w:rPr>
          <w:t>15</w:t>
        </w:r>
        <w:r w:rsidR="00573E83">
          <w:rPr>
            <w:noProof/>
            <w:webHidden/>
          </w:rPr>
          <w:fldChar w:fldCharType="end"/>
        </w:r>
      </w:hyperlink>
    </w:p>
    <w:p w14:paraId="09696832" w14:textId="2B16111D" w:rsidR="00573E83" w:rsidRDefault="0081674D" w:rsidP="00573E83">
      <w:pPr>
        <w:pStyle w:val="TOC2"/>
        <w:ind w:right="238"/>
        <w:rPr>
          <w:rFonts w:asciiTheme="minorHAnsi" w:hAnsiTheme="minorHAnsi"/>
          <w:noProof/>
        </w:rPr>
      </w:pPr>
      <w:hyperlink w:anchor="_Toc34216953" w:history="1">
        <w:r w:rsidR="00573E83" w:rsidRPr="005F09CC">
          <w:rPr>
            <w:rStyle w:val="Hyperlink"/>
            <w:noProof/>
          </w:rPr>
          <w:t>Chapter 3: Climate-related reporting obligations in  New Zealand</w:t>
        </w:r>
        <w:r w:rsidR="00573E83">
          <w:rPr>
            <w:noProof/>
            <w:webHidden/>
          </w:rPr>
          <w:tab/>
        </w:r>
        <w:r w:rsidR="00573E83">
          <w:rPr>
            <w:noProof/>
            <w:webHidden/>
          </w:rPr>
          <w:fldChar w:fldCharType="begin"/>
        </w:r>
        <w:r w:rsidR="00573E83">
          <w:rPr>
            <w:noProof/>
            <w:webHidden/>
          </w:rPr>
          <w:instrText xml:space="preserve"> PAGEREF _Toc34216953 \h </w:instrText>
        </w:r>
        <w:r w:rsidR="00573E83">
          <w:rPr>
            <w:noProof/>
            <w:webHidden/>
          </w:rPr>
        </w:r>
        <w:r w:rsidR="00573E83">
          <w:rPr>
            <w:noProof/>
            <w:webHidden/>
          </w:rPr>
          <w:fldChar w:fldCharType="separate"/>
        </w:r>
        <w:r w:rsidR="00746D80">
          <w:rPr>
            <w:noProof/>
            <w:webHidden/>
          </w:rPr>
          <w:t>18</w:t>
        </w:r>
        <w:r w:rsidR="00573E83">
          <w:rPr>
            <w:noProof/>
            <w:webHidden/>
          </w:rPr>
          <w:fldChar w:fldCharType="end"/>
        </w:r>
      </w:hyperlink>
    </w:p>
    <w:p w14:paraId="2BCF0136" w14:textId="1301F928" w:rsidR="00573E83" w:rsidRDefault="0081674D" w:rsidP="00573E83">
      <w:pPr>
        <w:pStyle w:val="TOC2"/>
        <w:ind w:right="238"/>
        <w:rPr>
          <w:rFonts w:asciiTheme="minorHAnsi" w:hAnsiTheme="minorHAnsi"/>
          <w:noProof/>
        </w:rPr>
      </w:pPr>
      <w:hyperlink w:anchor="_Toc34216954" w:history="1">
        <w:r w:rsidR="00573E83" w:rsidRPr="005F09CC">
          <w:rPr>
            <w:rStyle w:val="Hyperlink"/>
            <w:noProof/>
          </w:rPr>
          <w:t>Chapter 4: Directors’ legal obligations and climate change</w:t>
        </w:r>
        <w:r w:rsidR="00573E83">
          <w:rPr>
            <w:noProof/>
            <w:webHidden/>
          </w:rPr>
          <w:tab/>
        </w:r>
        <w:r w:rsidR="00573E83">
          <w:rPr>
            <w:noProof/>
            <w:webHidden/>
          </w:rPr>
          <w:fldChar w:fldCharType="begin"/>
        </w:r>
        <w:r w:rsidR="00573E83">
          <w:rPr>
            <w:noProof/>
            <w:webHidden/>
          </w:rPr>
          <w:instrText xml:space="preserve"> PAGEREF _Toc34216954 \h </w:instrText>
        </w:r>
        <w:r w:rsidR="00573E83">
          <w:rPr>
            <w:noProof/>
            <w:webHidden/>
          </w:rPr>
        </w:r>
        <w:r w:rsidR="00573E83">
          <w:rPr>
            <w:noProof/>
            <w:webHidden/>
          </w:rPr>
          <w:fldChar w:fldCharType="separate"/>
        </w:r>
        <w:r w:rsidR="00746D80">
          <w:rPr>
            <w:noProof/>
            <w:webHidden/>
          </w:rPr>
          <w:t>20</w:t>
        </w:r>
        <w:r w:rsidR="00573E83">
          <w:rPr>
            <w:noProof/>
            <w:webHidden/>
          </w:rPr>
          <w:fldChar w:fldCharType="end"/>
        </w:r>
      </w:hyperlink>
    </w:p>
    <w:p w14:paraId="3F6E2D30" w14:textId="5CEBA3EE" w:rsidR="00573E83" w:rsidRDefault="0081674D" w:rsidP="00573E83">
      <w:pPr>
        <w:pStyle w:val="TOC2"/>
        <w:ind w:right="238"/>
        <w:rPr>
          <w:rFonts w:asciiTheme="minorHAnsi" w:hAnsiTheme="minorHAnsi"/>
          <w:noProof/>
        </w:rPr>
      </w:pPr>
      <w:hyperlink w:anchor="_Toc34216955" w:history="1">
        <w:r w:rsidR="00573E83" w:rsidRPr="005F09CC">
          <w:rPr>
            <w:rStyle w:val="Hyperlink"/>
            <w:noProof/>
          </w:rPr>
          <w:t>Chapter 5: Designing a comply-or-explain disclosure system for New Zealand</w:t>
        </w:r>
        <w:r w:rsidR="00573E83">
          <w:rPr>
            <w:noProof/>
            <w:webHidden/>
          </w:rPr>
          <w:tab/>
        </w:r>
        <w:r w:rsidR="00573E83">
          <w:rPr>
            <w:noProof/>
            <w:webHidden/>
          </w:rPr>
          <w:fldChar w:fldCharType="begin"/>
        </w:r>
        <w:r w:rsidR="00573E83">
          <w:rPr>
            <w:noProof/>
            <w:webHidden/>
          </w:rPr>
          <w:instrText xml:space="preserve"> PAGEREF _Toc34216955 \h </w:instrText>
        </w:r>
        <w:r w:rsidR="00573E83">
          <w:rPr>
            <w:noProof/>
            <w:webHidden/>
          </w:rPr>
        </w:r>
        <w:r w:rsidR="00573E83">
          <w:rPr>
            <w:noProof/>
            <w:webHidden/>
          </w:rPr>
          <w:fldChar w:fldCharType="separate"/>
        </w:r>
        <w:r w:rsidR="00746D80">
          <w:rPr>
            <w:noProof/>
            <w:webHidden/>
          </w:rPr>
          <w:t>22</w:t>
        </w:r>
        <w:r w:rsidR="00573E83">
          <w:rPr>
            <w:noProof/>
            <w:webHidden/>
          </w:rPr>
          <w:fldChar w:fldCharType="end"/>
        </w:r>
      </w:hyperlink>
    </w:p>
    <w:p w14:paraId="00C8699A" w14:textId="150246B8" w:rsidR="00573E83" w:rsidRDefault="0081674D" w:rsidP="00573E83">
      <w:pPr>
        <w:pStyle w:val="TOC1"/>
        <w:ind w:right="238"/>
        <w:rPr>
          <w:rFonts w:asciiTheme="minorHAnsi" w:hAnsiTheme="minorHAnsi"/>
          <w:noProof/>
        </w:rPr>
      </w:pPr>
      <w:hyperlink w:anchor="_Toc34216956" w:history="1">
        <w:r w:rsidR="00573E83" w:rsidRPr="005F09CC">
          <w:rPr>
            <w:rStyle w:val="Hyperlink"/>
            <w:noProof/>
          </w:rPr>
          <w:t>Conclusion</w:t>
        </w:r>
        <w:r w:rsidR="00573E83">
          <w:rPr>
            <w:noProof/>
            <w:webHidden/>
          </w:rPr>
          <w:tab/>
        </w:r>
        <w:r w:rsidR="00573E83">
          <w:rPr>
            <w:noProof/>
            <w:webHidden/>
          </w:rPr>
          <w:fldChar w:fldCharType="begin"/>
        </w:r>
        <w:r w:rsidR="00573E83">
          <w:rPr>
            <w:noProof/>
            <w:webHidden/>
          </w:rPr>
          <w:instrText xml:space="preserve"> PAGEREF _Toc34216956 \h </w:instrText>
        </w:r>
        <w:r w:rsidR="00573E83">
          <w:rPr>
            <w:noProof/>
            <w:webHidden/>
          </w:rPr>
        </w:r>
        <w:r w:rsidR="00573E83">
          <w:rPr>
            <w:noProof/>
            <w:webHidden/>
          </w:rPr>
          <w:fldChar w:fldCharType="separate"/>
        </w:r>
        <w:r w:rsidR="00746D80">
          <w:rPr>
            <w:noProof/>
            <w:webHidden/>
          </w:rPr>
          <w:t>45</w:t>
        </w:r>
        <w:r w:rsidR="00573E83">
          <w:rPr>
            <w:noProof/>
            <w:webHidden/>
          </w:rPr>
          <w:fldChar w:fldCharType="end"/>
        </w:r>
      </w:hyperlink>
    </w:p>
    <w:p w14:paraId="2387E049" w14:textId="0A111519" w:rsidR="00573E83" w:rsidRDefault="0081674D" w:rsidP="00573E83">
      <w:pPr>
        <w:pStyle w:val="TOC1"/>
        <w:ind w:right="238"/>
        <w:rPr>
          <w:rFonts w:asciiTheme="minorHAnsi" w:hAnsiTheme="minorHAnsi"/>
          <w:noProof/>
        </w:rPr>
      </w:pPr>
      <w:hyperlink w:anchor="_Toc34216957" w:history="1">
        <w:r w:rsidR="00573E83" w:rsidRPr="005F09CC">
          <w:rPr>
            <w:rStyle w:val="Hyperlink"/>
            <w:noProof/>
          </w:rPr>
          <w:t>References</w:t>
        </w:r>
        <w:r w:rsidR="00573E83">
          <w:rPr>
            <w:noProof/>
            <w:webHidden/>
          </w:rPr>
          <w:tab/>
        </w:r>
        <w:r w:rsidR="00573E83">
          <w:rPr>
            <w:noProof/>
            <w:webHidden/>
          </w:rPr>
          <w:fldChar w:fldCharType="begin"/>
        </w:r>
        <w:r w:rsidR="00573E83">
          <w:rPr>
            <w:noProof/>
            <w:webHidden/>
          </w:rPr>
          <w:instrText xml:space="preserve"> PAGEREF _Toc34216957 \h </w:instrText>
        </w:r>
        <w:r w:rsidR="00573E83">
          <w:rPr>
            <w:noProof/>
            <w:webHidden/>
          </w:rPr>
        </w:r>
        <w:r w:rsidR="00573E83">
          <w:rPr>
            <w:noProof/>
            <w:webHidden/>
          </w:rPr>
          <w:fldChar w:fldCharType="separate"/>
        </w:r>
        <w:r w:rsidR="00746D80">
          <w:rPr>
            <w:noProof/>
            <w:webHidden/>
          </w:rPr>
          <w:t>4</w:t>
        </w:r>
        <w:r w:rsidR="00746D80">
          <w:rPr>
            <w:noProof/>
            <w:webHidden/>
          </w:rPr>
          <w:t>6</w:t>
        </w:r>
        <w:r w:rsidR="00573E83">
          <w:rPr>
            <w:noProof/>
            <w:webHidden/>
          </w:rPr>
          <w:fldChar w:fldCharType="end"/>
        </w:r>
      </w:hyperlink>
    </w:p>
    <w:p w14:paraId="25EDBAC7" w14:textId="57EA8D44" w:rsidR="0080531E" w:rsidRDefault="00775F57" w:rsidP="00573E83">
      <w:pPr>
        <w:pStyle w:val="Glossary"/>
        <w:ind w:right="238"/>
        <w:rPr>
          <w:color w:val="0092CF"/>
        </w:rPr>
      </w:pPr>
      <w:r w:rsidRPr="006B77BB">
        <w:rPr>
          <w:color w:val="0092CF"/>
        </w:rPr>
        <w:fldChar w:fldCharType="end"/>
      </w:r>
    </w:p>
    <w:p w14:paraId="2C231F0A" w14:textId="77777777" w:rsidR="00796A6F" w:rsidRPr="00554B30" w:rsidRDefault="00796A6F" w:rsidP="00554B30">
      <w:r w:rsidRPr="00554B30">
        <w:br w:type="page"/>
      </w:r>
    </w:p>
    <w:p w14:paraId="5A6A85B1" w14:textId="77777777" w:rsidR="00532334" w:rsidRPr="006B77BB" w:rsidRDefault="00532334" w:rsidP="008B68EC">
      <w:pPr>
        <w:pStyle w:val="Heading"/>
      </w:pPr>
      <w:bookmarkStart w:id="1" w:name="_Toc32847616"/>
      <w:r w:rsidRPr="006B77BB">
        <w:lastRenderedPageBreak/>
        <w:t>Tables</w:t>
      </w:r>
      <w:bookmarkEnd w:id="1"/>
    </w:p>
    <w:p w14:paraId="61075281" w14:textId="67D4CBC7" w:rsidR="00FF7F8C" w:rsidRDefault="004943C2">
      <w:pPr>
        <w:pStyle w:val="TableofFigures"/>
        <w:tabs>
          <w:tab w:val="right" w:pos="8494"/>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33772063" w:history="1">
        <w:r w:rsidR="00FF7F8C" w:rsidRPr="00DD3952">
          <w:rPr>
            <w:rStyle w:val="Hyperlink"/>
            <w:noProof/>
          </w:rPr>
          <w:t>Table 1:</w:t>
        </w:r>
        <w:r w:rsidR="00FF7F8C">
          <w:rPr>
            <w:rFonts w:asciiTheme="minorHAnsi" w:hAnsiTheme="minorHAnsi"/>
            <w:noProof/>
          </w:rPr>
          <w:tab/>
        </w:r>
        <w:r w:rsidR="00FF7F8C" w:rsidRPr="00DD3952">
          <w:rPr>
            <w:rStyle w:val="Hyperlink"/>
            <w:noProof/>
          </w:rPr>
          <w:t>Proposals for a climate-related financial reporting regime</w:t>
        </w:r>
        <w:r w:rsidR="00FF7F8C">
          <w:rPr>
            <w:noProof/>
            <w:webHidden/>
          </w:rPr>
          <w:tab/>
        </w:r>
        <w:r w:rsidR="00FF7F8C">
          <w:rPr>
            <w:noProof/>
            <w:webHidden/>
          </w:rPr>
          <w:fldChar w:fldCharType="begin"/>
        </w:r>
        <w:r w:rsidR="00FF7F8C">
          <w:rPr>
            <w:noProof/>
            <w:webHidden/>
          </w:rPr>
          <w:instrText xml:space="preserve"> PAGEREF _Toc33772063 \h </w:instrText>
        </w:r>
        <w:r w:rsidR="00FF7F8C">
          <w:rPr>
            <w:noProof/>
            <w:webHidden/>
          </w:rPr>
        </w:r>
        <w:r w:rsidR="00FF7F8C">
          <w:rPr>
            <w:noProof/>
            <w:webHidden/>
          </w:rPr>
          <w:fldChar w:fldCharType="separate"/>
        </w:r>
        <w:r w:rsidR="00746D80">
          <w:rPr>
            <w:noProof/>
            <w:webHidden/>
          </w:rPr>
          <w:t>6</w:t>
        </w:r>
        <w:r w:rsidR="00FF7F8C">
          <w:rPr>
            <w:noProof/>
            <w:webHidden/>
          </w:rPr>
          <w:fldChar w:fldCharType="end"/>
        </w:r>
      </w:hyperlink>
    </w:p>
    <w:p w14:paraId="70F5037D" w14:textId="6634B031" w:rsidR="00FF7F8C" w:rsidRDefault="0081674D">
      <w:pPr>
        <w:pStyle w:val="TableofFigures"/>
        <w:tabs>
          <w:tab w:val="right" w:pos="8494"/>
        </w:tabs>
        <w:rPr>
          <w:rFonts w:asciiTheme="minorHAnsi" w:hAnsiTheme="minorHAnsi"/>
          <w:noProof/>
        </w:rPr>
      </w:pPr>
      <w:hyperlink w:anchor="_Toc33772064" w:history="1">
        <w:r w:rsidR="00FF7F8C" w:rsidRPr="00DD3952">
          <w:rPr>
            <w:rStyle w:val="Hyperlink"/>
            <w:noProof/>
          </w:rPr>
          <w:t xml:space="preserve">Table 2: </w:t>
        </w:r>
        <w:r w:rsidR="00FF7F8C">
          <w:rPr>
            <w:rFonts w:asciiTheme="minorHAnsi" w:hAnsiTheme="minorHAnsi"/>
            <w:noProof/>
          </w:rPr>
          <w:tab/>
        </w:r>
        <w:r w:rsidR="00FF7F8C" w:rsidRPr="00DD3952">
          <w:rPr>
            <w:rStyle w:val="Hyperlink"/>
            <w:noProof/>
          </w:rPr>
          <w:t>Submitters by type</w:t>
        </w:r>
        <w:r w:rsidR="00FF7F8C">
          <w:rPr>
            <w:noProof/>
            <w:webHidden/>
          </w:rPr>
          <w:tab/>
        </w:r>
        <w:r w:rsidR="00FF7F8C">
          <w:rPr>
            <w:noProof/>
            <w:webHidden/>
          </w:rPr>
          <w:fldChar w:fldCharType="begin"/>
        </w:r>
        <w:r w:rsidR="00FF7F8C">
          <w:rPr>
            <w:noProof/>
            <w:webHidden/>
          </w:rPr>
          <w:instrText xml:space="preserve"> PAGEREF _Toc33772064 \h </w:instrText>
        </w:r>
        <w:r w:rsidR="00FF7F8C">
          <w:rPr>
            <w:noProof/>
            <w:webHidden/>
          </w:rPr>
        </w:r>
        <w:r w:rsidR="00FF7F8C">
          <w:rPr>
            <w:noProof/>
            <w:webHidden/>
          </w:rPr>
          <w:fldChar w:fldCharType="separate"/>
        </w:r>
        <w:r w:rsidR="00746D80">
          <w:rPr>
            <w:noProof/>
            <w:webHidden/>
          </w:rPr>
          <w:t>9</w:t>
        </w:r>
        <w:r w:rsidR="00FF7F8C">
          <w:rPr>
            <w:noProof/>
            <w:webHidden/>
          </w:rPr>
          <w:fldChar w:fldCharType="end"/>
        </w:r>
      </w:hyperlink>
    </w:p>
    <w:p w14:paraId="1D9C9453" w14:textId="1EBD58E0" w:rsidR="00532334" w:rsidRPr="006B77BB" w:rsidRDefault="004943C2" w:rsidP="00D51469">
      <w:pPr>
        <w:pStyle w:val="BodyText"/>
      </w:pPr>
      <w:r w:rsidRPr="006B77BB">
        <w:fldChar w:fldCharType="end"/>
      </w:r>
    </w:p>
    <w:p w14:paraId="1AF2FC50" w14:textId="77777777" w:rsidR="00532334" w:rsidRPr="006B77BB" w:rsidRDefault="00532334" w:rsidP="004B5BDD"/>
    <w:p w14:paraId="76C63977" w14:textId="77777777" w:rsidR="00532334" w:rsidRDefault="00B51610" w:rsidP="008B68EC">
      <w:pPr>
        <w:pStyle w:val="Heading"/>
      </w:pPr>
      <w:bookmarkStart w:id="2" w:name="_Toc32847617"/>
      <w:r w:rsidRPr="006B77BB">
        <w:t>Figure</w:t>
      </w:r>
      <w:r w:rsidR="00532334" w:rsidRPr="006B77BB">
        <w:t>s</w:t>
      </w:r>
      <w:bookmarkEnd w:id="2"/>
    </w:p>
    <w:p w14:paraId="1E172992" w14:textId="258D3180" w:rsidR="00746D80" w:rsidRDefault="00427306">
      <w:pPr>
        <w:pStyle w:val="TableofFigures"/>
        <w:tabs>
          <w:tab w:val="right" w:pos="8450"/>
        </w:tabs>
        <w:rPr>
          <w:rFonts w:asciiTheme="minorHAnsi" w:hAnsiTheme="minorHAnsi"/>
          <w:noProof/>
        </w:rPr>
      </w:pPr>
      <w:r>
        <w:fldChar w:fldCharType="begin"/>
      </w:r>
      <w:r>
        <w:instrText xml:space="preserve"> TOC \h \z \c "Figure" </w:instrText>
      </w:r>
      <w:r>
        <w:fldChar w:fldCharType="separate"/>
      </w:r>
      <w:hyperlink w:anchor="_Toc39504174" w:history="1">
        <w:r w:rsidR="00746D80" w:rsidRPr="00BA4412">
          <w:rPr>
            <w:rStyle w:val="Hyperlink"/>
            <w:noProof/>
          </w:rPr>
          <w:t xml:space="preserve">Figure 1: </w:t>
        </w:r>
        <w:r w:rsidR="00746D80">
          <w:rPr>
            <w:rFonts w:asciiTheme="minorHAnsi" w:hAnsiTheme="minorHAnsi"/>
            <w:noProof/>
          </w:rPr>
          <w:tab/>
        </w:r>
        <w:r w:rsidR="00746D80" w:rsidRPr="00BA4412">
          <w:rPr>
            <w:rStyle w:val="Hyperlink"/>
            <w:noProof/>
          </w:rPr>
          <w:t>The Productivity Commission’s recommendations</w:t>
        </w:r>
        <w:r w:rsidR="00746D80">
          <w:rPr>
            <w:noProof/>
            <w:webHidden/>
          </w:rPr>
          <w:tab/>
        </w:r>
        <w:r w:rsidR="00746D80">
          <w:rPr>
            <w:noProof/>
            <w:webHidden/>
          </w:rPr>
          <w:fldChar w:fldCharType="begin"/>
        </w:r>
        <w:r w:rsidR="00746D80">
          <w:rPr>
            <w:noProof/>
            <w:webHidden/>
          </w:rPr>
          <w:instrText xml:space="preserve"> PAGEREF _Toc39504174 \h </w:instrText>
        </w:r>
        <w:r w:rsidR="00746D80">
          <w:rPr>
            <w:noProof/>
            <w:webHidden/>
          </w:rPr>
        </w:r>
        <w:r w:rsidR="00746D80">
          <w:rPr>
            <w:noProof/>
            <w:webHidden/>
          </w:rPr>
          <w:fldChar w:fldCharType="separate"/>
        </w:r>
        <w:r w:rsidR="00746D80">
          <w:rPr>
            <w:noProof/>
            <w:webHidden/>
          </w:rPr>
          <w:t>5</w:t>
        </w:r>
        <w:r w:rsidR="00746D80">
          <w:rPr>
            <w:noProof/>
            <w:webHidden/>
          </w:rPr>
          <w:fldChar w:fldCharType="end"/>
        </w:r>
      </w:hyperlink>
    </w:p>
    <w:p w14:paraId="79A29037" w14:textId="2DF732CB" w:rsidR="00746D80" w:rsidRDefault="00746D80">
      <w:pPr>
        <w:pStyle w:val="TableofFigures"/>
        <w:tabs>
          <w:tab w:val="right" w:pos="8450"/>
        </w:tabs>
        <w:rPr>
          <w:rFonts w:asciiTheme="minorHAnsi" w:hAnsiTheme="minorHAnsi"/>
          <w:noProof/>
        </w:rPr>
      </w:pPr>
      <w:hyperlink w:anchor="_Toc39504175" w:history="1">
        <w:r w:rsidRPr="00BA4412">
          <w:rPr>
            <w:rStyle w:val="Hyperlink"/>
            <w:noProof/>
          </w:rPr>
          <w:t xml:space="preserve">Figure 2: </w:t>
        </w:r>
        <w:r>
          <w:rPr>
            <w:rFonts w:asciiTheme="minorHAnsi" w:hAnsiTheme="minorHAnsi"/>
            <w:noProof/>
          </w:rPr>
          <w:tab/>
        </w:r>
        <w:r w:rsidRPr="00BA4412">
          <w:rPr>
            <w:rStyle w:val="Hyperlink"/>
            <w:noProof/>
          </w:rPr>
          <w:t>Business/industry by type</w:t>
        </w:r>
        <w:r>
          <w:rPr>
            <w:noProof/>
            <w:webHidden/>
          </w:rPr>
          <w:tab/>
        </w:r>
        <w:r>
          <w:rPr>
            <w:noProof/>
            <w:webHidden/>
          </w:rPr>
          <w:fldChar w:fldCharType="begin"/>
        </w:r>
        <w:r>
          <w:rPr>
            <w:noProof/>
            <w:webHidden/>
          </w:rPr>
          <w:instrText xml:space="preserve"> PAGEREF _Toc39504175 \h </w:instrText>
        </w:r>
        <w:r>
          <w:rPr>
            <w:noProof/>
            <w:webHidden/>
          </w:rPr>
        </w:r>
        <w:r>
          <w:rPr>
            <w:noProof/>
            <w:webHidden/>
          </w:rPr>
          <w:fldChar w:fldCharType="separate"/>
        </w:r>
        <w:r>
          <w:rPr>
            <w:noProof/>
            <w:webHidden/>
          </w:rPr>
          <w:t>10</w:t>
        </w:r>
        <w:r>
          <w:rPr>
            <w:noProof/>
            <w:webHidden/>
          </w:rPr>
          <w:fldChar w:fldCharType="end"/>
        </w:r>
      </w:hyperlink>
    </w:p>
    <w:p w14:paraId="6C838770" w14:textId="74A50FA1" w:rsidR="00746D80" w:rsidRDefault="00746D80">
      <w:pPr>
        <w:pStyle w:val="TableofFigures"/>
        <w:tabs>
          <w:tab w:val="right" w:pos="8450"/>
        </w:tabs>
        <w:rPr>
          <w:rFonts w:asciiTheme="minorHAnsi" w:hAnsiTheme="minorHAnsi"/>
          <w:noProof/>
        </w:rPr>
      </w:pPr>
      <w:hyperlink w:anchor="_Toc39504176" w:history="1">
        <w:r w:rsidRPr="00BA4412">
          <w:rPr>
            <w:rStyle w:val="Hyperlink"/>
            <w:noProof/>
          </w:rPr>
          <w:t xml:space="preserve">Figure 3 </w:t>
        </w:r>
        <w:r>
          <w:rPr>
            <w:rFonts w:asciiTheme="minorHAnsi" w:hAnsiTheme="minorHAnsi"/>
            <w:noProof/>
          </w:rPr>
          <w:tab/>
        </w:r>
        <w:r w:rsidRPr="00BA4412">
          <w:rPr>
            <w:rStyle w:val="Hyperlink"/>
            <w:noProof/>
          </w:rPr>
          <w:t>Overall approach to the proposals</w:t>
        </w:r>
        <w:r>
          <w:rPr>
            <w:noProof/>
            <w:webHidden/>
          </w:rPr>
          <w:tab/>
        </w:r>
        <w:r>
          <w:rPr>
            <w:noProof/>
            <w:webHidden/>
          </w:rPr>
          <w:fldChar w:fldCharType="begin"/>
        </w:r>
        <w:r>
          <w:rPr>
            <w:noProof/>
            <w:webHidden/>
          </w:rPr>
          <w:instrText xml:space="preserve"> PAGEREF _Toc39504176 \h </w:instrText>
        </w:r>
        <w:r>
          <w:rPr>
            <w:noProof/>
            <w:webHidden/>
          </w:rPr>
        </w:r>
        <w:r>
          <w:rPr>
            <w:noProof/>
            <w:webHidden/>
          </w:rPr>
          <w:fldChar w:fldCharType="separate"/>
        </w:r>
        <w:r>
          <w:rPr>
            <w:noProof/>
            <w:webHidden/>
          </w:rPr>
          <w:t>10</w:t>
        </w:r>
        <w:r>
          <w:rPr>
            <w:noProof/>
            <w:webHidden/>
          </w:rPr>
          <w:fldChar w:fldCharType="end"/>
        </w:r>
      </w:hyperlink>
    </w:p>
    <w:p w14:paraId="0CEFBE77" w14:textId="214D2F9E" w:rsidR="00746D80" w:rsidRDefault="00746D80">
      <w:pPr>
        <w:pStyle w:val="TableofFigures"/>
        <w:tabs>
          <w:tab w:val="right" w:pos="8450"/>
        </w:tabs>
        <w:rPr>
          <w:rFonts w:asciiTheme="minorHAnsi" w:hAnsiTheme="minorHAnsi"/>
          <w:noProof/>
        </w:rPr>
      </w:pPr>
      <w:hyperlink w:anchor="_Toc39504177" w:history="1">
        <w:r w:rsidRPr="00BA4412">
          <w:rPr>
            <w:rStyle w:val="Hyperlink"/>
            <w:noProof/>
          </w:rPr>
          <w:t xml:space="preserve">Figure 4: </w:t>
        </w:r>
        <w:r>
          <w:rPr>
            <w:rFonts w:asciiTheme="minorHAnsi" w:hAnsiTheme="minorHAnsi"/>
            <w:noProof/>
          </w:rPr>
          <w:tab/>
        </w:r>
        <w:r w:rsidRPr="00BA4412">
          <w:rPr>
            <w:rStyle w:val="Hyperlink"/>
            <w:noProof/>
          </w:rPr>
          <w:t>The McGuinness Institute proposed approach for embedding TCFD into legislation</w:t>
        </w:r>
        <w:r>
          <w:rPr>
            <w:noProof/>
            <w:webHidden/>
          </w:rPr>
          <w:tab/>
        </w:r>
        <w:r>
          <w:rPr>
            <w:noProof/>
            <w:webHidden/>
          </w:rPr>
          <w:fldChar w:fldCharType="begin"/>
        </w:r>
        <w:r>
          <w:rPr>
            <w:noProof/>
            <w:webHidden/>
          </w:rPr>
          <w:instrText xml:space="preserve"> PAGEREF _Toc39504177 \h </w:instrText>
        </w:r>
        <w:r>
          <w:rPr>
            <w:noProof/>
            <w:webHidden/>
          </w:rPr>
        </w:r>
        <w:r>
          <w:rPr>
            <w:noProof/>
            <w:webHidden/>
          </w:rPr>
          <w:fldChar w:fldCharType="separate"/>
        </w:r>
        <w:r>
          <w:rPr>
            <w:noProof/>
            <w:webHidden/>
          </w:rPr>
          <w:t>40</w:t>
        </w:r>
        <w:r>
          <w:rPr>
            <w:noProof/>
            <w:webHidden/>
          </w:rPr>
          <w:fldChar w:fldCharType="end"/>
        </w:r>
      </w:hyperlink>
    </w:p>
    <w:p w14:paraId="125F22E9" w14:textId="7C9AC0E2" w:rsidR="00427306" w:rsidRPr="006B77BB" w:rsidRDefault="00427306" w:rsidP="00427306">
      <w:r>
        <w:fldChar w:fldCharType="end"/>
      </w:r>
    </w:p>
    <w:p w14:paraId="66CB0B87" w14:textId="77777777" w:rsidR="008A2FF1" w:rsidRPr="006B77BB" w:rsidRDefault="008A2FF1" w:rsidP="00D51469">
      <w:pPr>
        <w:pStyle w:val="BodyText"/>
      </w:pPr>
    </w:p>
    <w:p w14:paraId="16862472" w14:textId="77777777" w:rsidR="00315F21" w:rsidRDefault="00315F21" w:rsidP="005E1706">
      <w:bookmarkStart w:id="3" w:name="_Toc345760336"/>
      <w:r>
        <w:br w:type="page"/>
      </w:r>
    </w:p>
    <w:p w14:paraId="3330DA32" w14:textId="77777777" w:rsidR="00120A25" w:rsidRDefault="00120A25" w:rsidP="00120A25">
      <w:pPr>
        <w:pStyle w:val="Heading1"/>
      </w:pPr>
      <w:bookmarkStart w:id="4" w:name="_Toc32847618"/>
      <w:bookmarkStart w:id="5" w:name="_Toc34216943"/>
      <w:r>
        <w:lastRenderedPageBreak/>
        <w:t>Introduction</w:t>
      </w:r>
      <w:bookmarkEnd w:id="4"/>
      <w:bookmarkEnd w:id="5"/>
    </w:p>
    <w:p w14:paraId="742F6D27" w14:textId="5A0D3E3B" w:rsidR="005E1706" w:rsidRDefault="00120A25" w:rsidP="005E1706">
      <w:pPr>
        <w:pStyle w:val="Heading2"/>
      </w:pPr>
      <w:bookmarkStart w:id="6" w:name="_Toc32847619"/>
      <w:bookmarkStart w:id="7" w:name="_Toc34216944"/>
      <w:r>
        <w:t xml:space="preserve">The purpose of the discussion document on </w:t>
      </w:r>
      <w:r w:rsidR="002A6002">
        <w:br/>
      </w:r>
      <w:r>
        <w:t>climate-related financial disclosures</w:t>
      </w:r>
      <w:bookmarkEnd w:id="6"/>
      <w:bookmarkEnd w:id="7"/>
    </w:p>
    <w:p w14:paraId="5A7B6BD3" w14:textId="4DAAEFB5" w:rsidR="00120A25" w:rsidRDefault="00120A25" w:rsidP="00120A25">
      <w:pPr>
        <w:pStyle w:val="BodyText"/>
      </w:pPr>
      <w:r>
        <w:t xml:space="preserve">In 2017, the Minister for Climate Change Issues, Minister of Finance, and Minister of Economic Development </w:t>
      </w:r>
      <w:r w:rsidR="0048677E">
        <w:t xml:space="preserve">asked </w:t>
      </w:r>
      <w:r>
        <w:t xml:space="preserve">the Productivity Commission </w:t>
      </w:r>
      <w:r w:rsidR="0048677E">
        <w:t xml:space="preserve">to </w:t>
      </w:r>
      <w:r>
        <w:t>“identify options for how New Zealand could reduce its greenhouse gas emissions through a transition towards a lower</w:t>
      </w:r>
      <w:r w:rsidR="002A6002">
        <w:t>-</w:t>
      </w:r>
      <w:r>
        <w:t xml:space="preserve">emissions future, while at the same time continuing to grow incomes and wellbeing”. In 2018, the incoming Minister for Climate Change signalled a more ambitious agenda and asked the </w:t>
      </w:r>
      <w:r w:rsidR="002A6002">
        <w:t xml:space="preserve">Productivity </w:t>
      </w:r>
      <w:r>
        <w:t xml:space="preserve">Commission to include the target of achieving net-zero emissions by 2050 in its analysis. </w:t>
      </w:r>
    </w:p>
    <w:p w14:paraId="4BE464D4" w14:textId="77777777" w:rsidR="00120A25" w:rsidRDefault="00120A25" w:rsidP="00120A25">
      <w:pPr>
        <w:pStyle w:val="BodyText"/>
      </w:pPr>
      <w:r>
        <w:t>The Productivity Commission released its final report in August 2018. The report included a recommendation that “the Government should implement mandatory (on a comply-or-explain basis), principles-based, climate-related financial disclosures by way of a standard under section 17(2</w:t>
      </w:r>
      <w:proofErr w:type="gramStart"/>
      <w:r>
        <w:t>)(</w:t>
      </w:r>
      <w:proofErr w:type="gramEnd"/>
      <w:r>
        <w:t>iii) of the Financial Reporting Act 2013. These disclosures should be audited and accessible to the general p</w:t>
      </w:r>
      <w:r w:rsidR="005E1706">
        <w:t xml:space="preserve">ublic” – see figure 1. </w:t>
      </w:r>
    </w:p>
    <w:p w14:paraId="13FCF76E" w14:textId="35B3AB89" w:rsidR="00BE586B" w:rsidRDefault="00BE586B" w:rsidP="00BE586B">
      <w:pPr>
        <w:pStyle w:val="Figureheading"/>
      </w:pPr>
      <w:bookmarkStart w:id="8" w:name="_Toc32822826"/>
      <w:bookmarkStart w:id="9" w:name="_Toc32822924"/>
      <w:bookmarkStart w:id="10" w:name="_Toc39504174"/>
      <w:r>
        <w:t xml:space="preserve">Figure </w:t>
      </w:r>
      <w:fldSimple w:instr=" SEQ Figure \* ARABIC ">
        <w:r w:rsidR="00185327">
          <w:rPr>
            <w:noProof/>
          </w:rPr>
          <w:t>1</w:t>
        </w:r>
      </w:fldSimple>
      <w:r>
        <w:t xml:space="preserve">: </w:t>
      </w:r>
      <w:r>
        <w:tab/>
      </w:r>
      <w:r w:rsidRPr="00F90F14">
        <w:t>The Productivity Commission’s recommendations</w:t>
      </w:r>
      <w:bookmarkEnd w:id="8"/>
      <w:bookmarkEnd w:id="9"/>
      <w:bookmarkEnd w:id="10"/>
    </w:p>
    <w:p w14:paraId="6AACE557" w14:textId="77777777" w:rsidR="005E1706" w:rsidRDefault="005E1706" w:rsidP="00120A25">
      <w:pPr>
        <w:pStyle w:val="BodyText"/>
      </w:pPr>
      <w:r w:rsidRPr="00F642C5">
        <w:rPr>
          <w:noProof/>
        </w:rPr>
        <w:drawing>
          <wp:inline distT="0" distB="0" distL="0" distR="0" wp14:anchorId="219816CE" wp14:editId="015C668D">
            <wp:extent cx="5314950" cy="119873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21719" cy="1200266"/>
                    </a:xfrm>
                    <a:prstGeom prst="rect">
                      <a:avLst/>
                    </a:prstGeom>
                  </pic:spPr>
                </pic:pic>
              </a:graphicData>
            </a:graphic>
          </wp:inline>
        </w:drawing>
      </w:r>
    </w:p>
    <w:p w14:paraId="05E72528" w14:textId="77777777" w:rsidR="005E1706" w:rsidRDefault="005E1706" w:rsidP="00D56B3E">
      <w:pPr>
        <w:pStyle w:val="Source"/>
      </w:pPr>
      <w:r w:rsidRPr="005E1706">
        <w:t>Source: Productivity Commission, 2018.</w:t>
      </w:r>
    </w:p>
    <w:p w14:paraId="0F892E40" w14:textId="77777777" w:rsidR="005E1706" w:rsidRPr="005E1706" w:rsidRDefault="005E1706" w:rsidP="005E1706">
      <w:pPr>
        <w:pStyle w:val="BodyText"/>
      </w:pPr>
      <w:r w:rsidRPr="005E1706">
        <w:t>The Productivity Commission provided the following rationale for R7.4:</w:t>
      </w:r>
    </w:p>
    <w:p w14:paraId="1CC00201" w14:textId="77777777" w:rsidR="005E1706" w:rsidRPr="00F642C5" w:rsidRDefault="005E1706" w:rsidP="005E1706">
      <w:pPr>
        <w:pStyle w:val="Quote"/>
      </w:pPr>
      <w:r w:rsidRPr="005E1706">
        <w:t>Introducing mandatory climate-related financial disclosures would encourage investment that supports the transition to a low-emissions economy. These disclosures can help overcome information and inertia barriers that prevent entities from adequately addressing climate risk and capitalising on low-emissions opportunities. They can also help to stop investors valuing assets or investment opportunities incorrectly, resulting in misdirected finance or stranded assets.</w:t>
      </w:r>
      <w:r w:rsidRPr="00F642C5">
        <w:rPr>
          <w:vertAlign w:val="superscript"/>
        </w:rPr>
        <w:footnoteReference w:id="1"/>
      </w:r>
    </w:p>
    <w:p w14:paraId="0D198F0C" w14:textId="79CCB8F9" w:rsidR="005E1706" w:rsidRPr="00F642C5" w:rsidRDefault="005E1706" w:rsidP="005E1706">
      <w:pPr>
        <w:pStyle w:val="BodyText"/>
      </w:pPr>
      <w:r w:rsidRPr="00F642C5">
        <w:t>The Government has agreed to R7.3 and agreed to investigate R7.4 as part of its Climate Action Plan.</w:t>
      </w:r>
      <w:r>
        <w:t xml:space="preserve"> </w:t>
      </w:r>
      <w:r w:rsidRPr="00F642C5">
        <w:t>Agreeing to R7.3 signals the Government’s commitment to the idea that high quality</w:t>
      </w:r>
      <w:r w:rsidR="002A6002">
        <w:t>,</w:t>
      </w:r>
      <w:r w:rsidRPr="00F642C5">
        <w:t xml:space="preserve"> climate-related financial disclosures can make a significant contribution to transforming New Zealand to a low-emissions, climate-resilient economy.</w:t>
      </w:r>
    </w:p>
    <w:p w14:paraId="2891790E" w14:textId="7355C6D4" w:rsidR="005E1706" w:rsidRPr="00EE178E" w:rsidRDefault="005E1706" w:rsidP="005E1706">
      <w:pPr>
        <w:pStyle w:val="BodyText"/>
        <w:rPr>
          <w:spacing w:val="-4"/>
        </w:rPr>
      </w:pPr>
      <w:r w:rsidRPr="00EE178E">
        <w:rPr>
          <w:spacing w:val="-4"/>
        </w:rPr>
        <w:lastRenderedPageBreak/>
        <w:t>Agreeing to investigate R7.4 will help New Zealand reach the point where high-quality</w:t>
      </w:r>
      <w:r w:rsidR="002A6002" w:rsidRPr="00EE178E">
        <w:rPr>
          <w:spacing w:val="-4"/>
        </w:rPr>
        <w:t>,</w:t>
      </w:r>
      <w:r w:rsidRPr="00EE178E">
        <w:rPr>
          <w:spacing w:val="-4"/>
        </w:rPr>
        <w:t xml:space="preserve"> climate-related financial disclosures are routinely made, consistent with international best practice. This requires consideration of ‘what’ should be reported and ‘who’ should be reporting.</w:t>
      </w:r>
    </w:p>
    <w:p w14:paraId="6FDDE2AD" w14:textId="77777777" w:rsidR="00120A25" w:rsidRPr="00120A25" w:rsidRDefault="00120A25" w:rsidP="00120A25">
      <w:pPr>
        <w:pStyle w:val="BodyText"/>
      </w:pPr>
      <w:r>
        <w:t xml:space="preserve">The </w:t>
      </w:r>
      <w:r w:rsidRPr="00120A25">
        <w:t xml:space="preserve">discussion document, </w:t>
      </w:r>
      <w:r w:rsidRPr="00120A25">
        <w:rPr>
          <w:i/>
        </w:rPr>
        <w:t>Climate-related financial disclosures: understanding your business risks and opportunitie</w:t>
      </w:r>
      <w:r>
        <w:t>s</w:t>
      </w:r>
      <w:r>
        <w:rPr>
          <w:i/>
        </w:rPr>
        <w:t xml:space="preserve">, </w:t>
      </w:r>
      <w:r>
        <w:t>outline</w:t>
      </w:r>
      <w:r w:rsidR="005E1706">
        <w:t>d</w:t>
      </w:r>
      <w:r>
        <w:t xml:space="preserve"> the Government’s proposals for how </w:t>
      </w:r>
      <w:r w:rsidR="0048677E">
        <w:t xml:space="preserve">to </w:t>
      </w:r>
      <w:r>
        <w:t xml:space="preserve">give effect to </w:t>
      </w:r>
      <w:r w:rsidR="0048677E">
        <w:t xml:space="preserve">R7.4 </w:t>
      </w:r>
      <w:r>
        <w:t>and sought feedback on those proposals.</w:t>
      </w:r>
    </w:p>
    <w:p w14:paraId="2E4E09D3" w14:textId="77777777" w:rsidR="00120A25" w:rsidRDefault="00120A25" w:rsidP="00120A25">
      <w:pPr>
        <w:pStyle w:val="Heading2"/>
      </w:pPr>
      <w:bookmarkStart w:id="11" w:name="_Toc32847620"/>
      <w:bookmarkStart w:id="12" w:name="_Toc34216945"/>
      <w:r>
        <w:t>What we proposed</w:t>
      </w:r>
      <w:bookmarkEnd w:id="11"/>
      <w:bookmarkEnd w:id="12"/>
      <w:r>
        <w:t xml:space="preserve"> </w:t>
      </w:r>
    </w:p>
    <w:p w14:paraId="02DBAA9D" w14:textId="77777777" w:rsidR="00BE586B" w:rsidRDefault="00BE586B" w:rsidP="00A91D68">
      <w:pPr>
        <w:pStyle w:val="Tableheading"/>
      </w:pPr>
      <w:bookmarkStart w:id="13" w:name="_Toc32822827"/>
      <w:bookmarkStart w:id="14" w:name="_Toc33772063"/>
      <w:r>
        <w:t xml:space="preserve">Table </w:t>
      </w:r>
      <w:fldSimple w:instr=" SEQ Table \* ARABIC ">
        <w:r w:rsidR="0048677E">
          <w:rPr>
            <w:noProof/>
          </w:rPr>
          <w:t>1</w:t>
        </w:r>
      </w:fldSimple>
      <w:r w:rsidR="00A87570">
        <w:t>:</w:t>
      </w:r>
      <w:r w:rsidR="00A87570">
        <w:tab/>
      </w:r>
      <w:r w:rsidRPr="00CE22B5">
        <w:t>Proposals for a climate-related financial reporting regime</w:t>
      </w:r>
      <w:bookmarkEnd w:id="13"/>
      <w:bookmarkEnd w:id="14"/>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5"/>
        <w:gridCol w:w="6520"/>
      </w:tblGrid>
      <w:tr w:rsidR="00E901DB" w:rsidRPr="00F642C5" w14:paraId="683D82F7" w14:textId="77777777" w:rsidTr="00EE178E">
        <w:trPr>
          <w:tblHeader/>
        </w:trPr>
        <w:tc>
          <w:tcPr>
            <w:tcW w:w="1985" w:type="dxa"/>
            <w:shd w:val="clear" w:color="auto" w:fill="1C556C"/>
          </w:tcPr>
          <w:p w14:paraId="402CFD09" w14:textId="77777777" w:rsidR="00E901DB" w:rsidRPr="00F642C5" w:rsidRDefault="00E901DB" w:rsidP="00E901DB">
            <w:pPr>
              <w:pStyle w:val="TableTextbold"/>
              <w:rPr>
                <w:color w:val="FFFFFF" w:themeColor="background1"/>
              </w:rPr>
            </w:pPr>
            <w:r w:rsidRPr="00F642C5">
              <w:rPr>
                <w:color w:val="FFFFFF" w:themeColor="background1"/>
              </w:rPr>
              <w:t xml:space="preserve">Issue </w:t>
            </w:r>
          </w:p>
        </w:tc>
        <w:tc>
          <w:tcPr>
            <w:tcW w:w="6520" w:type="dxa"/>
            <w:shd w:val="clear" w:color="auto" w:fill="1C556C"/>
          </w:tcPr>
          <w:p w14:paraId="18F41E5D" w14:textId="77777777" w:rsidR="00E901DB" w:rsidRPr="00F642C5" w:rsidRDefault="00E901DB" w:rsidP="00E901DB">
            <w:pPr>
              <w:pStyle w:val="TableTextbold"/>
              <w:rPr>
                <w:color w:val="FFFFFF" w:themeColor="background1"/>
              </w:rPr>
            </w:pPr>
            <w:r w:rsidRPr="00F642C5">
              <w:rPr>
                <w:color w:val="FFFFFF" w:themeColor="background1"/>
              </w:rPr>
              <w:t>Proposals based on what we currently know and understand</w:t>
            </w:r>
          </w:p>
        </w:tc>
      </w:tr>
      <w:tr w:rsidR="00E901DB" w:rsidRPr="00F642C5" w14:paraId="23CBF0E1" w14:textId="77777777" w:rsidTr="00EE178E">
        <w:tc>
          <w:tcPr>
            <w:tcW w:w="1985" w:type="dxa"/>
            <w:shd w:val="clear" w:color="auto" w:fill="auto"/>
          </w:tcPr>
          <w:p w14:paraId="1AD62BE1" w14:textId="77777777" w:rsidR="00E901DB" w:rsidRPr="005E1706" w:rsidRDefault="00E901DB" w:rsidP="005E1706">
            <w:pPr>
              <w:pStyle w:val="TableText"/>
            </w:pPr>
            <w:r w:rsidRPr="005E1706">
              <w:t>Status quo versus new mandatory (comply-or-explain) reporting</w:t>
            </w:r>
          </w:p>
        </w:tc>
        <w:tc>
          <w:tcPr>
            <w:tcW w:w="6520" w:type="dxa"/>
            <w:shd w:val="clear" w:color="auto" w:fill="auto"/>
          </w:tcPr>
          <w:p w14:paraId="255E0AAA" w14:textId="081A658A" w:rsidR="00E901DB" w:rsidRPr="005E1706" w:rsidRDefault="00E901DB" w:rsidP="005E1706">
            <w:pPr>
              <w:pStyle w:val="TableText"/>
            </w:pPr>
            <w:r w:rsidRPr="005E1706">
              <w:t>The adoption of principles-based mandatory (comply-or-explain)</w:t>
            </w:r>
            <w:r w:rsidR="002A6002">
              <w:t>,</w:t>
            </w:r>
            <w:r w:rsidRPr="005E1706">
              <w:t xml:space="preserve"> climate-related financial disclosures (consistent with the Productivity Commission’s recommendation (R7.4)).</w:t>
            </w:r>
          </w:p>
        </w:tc>
      </w:tr>
      <w:tr w:rsidR="00E901DB" w:rsidRPr="00F642C5" w14:paraId="2A5BD2D1" w14:textId="77777777" w:rsidTr="00EE178E">
        <w:tc>
          <w:tcPr>
            <w:tcW w:w="1985" w:type="dxa"/>
            <w:shd w:val="clear" w:color="auto" w:fill="auto"/>
          </w:tcPr>
          <w:p w14:paraId="61E4A866" w14:textId="77777777" w:rsidR="00E901DB" w:rsidRPr="005E1706" w:rsidRDefault="00E901DB" w:rsidP="005E1706">
            <w:pPr>
              <w:pStyle w:val="TableText"/>
            </w:pPr>
            <w:r w:rsidRPr="005E1706">
              <w:t>Disclosures that would satisfy the comply element</w:t>
            </w:r>
          </w:p>
        </w:tc>
        <w:tc>
          <w:tcPr>
            <w:tcW w:w="6520" w:type="dxa"/>
            <w:shd w:val="clear" w:color="auto" w:fill="auto"/>
          </w:tcPr>
          <w:p w14:paraId="1C1D47E5" w14:textId="3283BA1B" w:rsidR="00E901DB" w:rsidRPr="005E1706" w:rsidRDefault="00E901DB" w:rsidP="005E1706">
            <w:pPr>
              <w:pStyle w:val="TableText"/>
            </w:pPr>
            <w:r w:rsidRPr="005E1706">
              <w:t xml:space="preserve">The </w:t>
            </w:r>
            <w:r w:rsidR="0039786B">
              <w:t>Task Force on Climate-related Financial Disclosures</w:t>
            </w:r>
            <w:r w:rsidR="0039786B" w:rsidRPr="005E1706">
              <w:t xml:space="preserve"> </w:t>
            </w:r>
            <w:r w:rsidR="0039786B">
              <w:t>(</w:t>
            </w:r>
            <w:r w:rsidRPr="005E1706">
              <w:t>TCFD</w:t>
            </w:r>
            <w:r w:rsidR="0039786B">
              <w:t>)</w:t>
            </w:r>
            <w:r w:rsidRPr="005E1706">
              <w:t xml:space="preserve"> reporting framework would be the default ‘comply’. ‘Comply’ would also be met by disclosing climate-related information under other reporting frameworks that are TCFD-aligned.</w:t>
            </w:r>
          </w:p>
        </w:tc>
      </w:tr>
      <w:tr w:rsidR="00E901DB" w:rsidRPr="00F642C5" w14:paraId="0F19FBCE" w14:textId="77777777" w:rsidTr="00EE178E">
        <w:tc>
          <w:tcPr>
            <w:tcW w:w="1985" w:type="dxa"/>
          </w:tcPr>
          <w:p w14:paraId="1FB35F5D" w14:textId="77777777" w:rsidR="00E901DB" w:rsidRPr="005E1706" w:rsidRDefault="00E901DB" w:rsidP="005E1706">
            <w:pPr>
              <w:pStyle w:val="TableText"/>
            </w:pPr>
            <w:r w:rsidRPr="005E1706">
              <w:t>When it would be acceptable to explain</w:t>
            </w:r>
          </w:p>
        </w:tc>
        <w:tc>
          <w:tcPr>
            <w:tcW w:w="6520" w:type="dxa"/>
          </w:tcPr>
          <w:p w14:paraId="3F5E388B" w14:textId="044C60BC" w:rsidR="00E901DB" w:rsidRPr="005E1706" w:rsidRDefault="00E901DB" w:rsidP="005E1706">
            <w:pPr>
              <w:pStyle w:val="TableText"/>
            </w:pPr>
            <w:r w:rsidRPr="005E1706">
              <w:t xml:space="preserve">Not complying with the TCFD in full would be permissible, in year 1 only, subject to explaining why some disclosures have not been made, </w:t>
            </w:r>
            <w:proofErr w:type="spellStart"/>
            <w:r w:rsidRPr="005E1706">
              <w:t>eg</w:t>
            </w:r>
            <w:proofErr w:type="spellEnd"/>
            <w:r w:rsidR="000A2914">
              <w:t>,</w:t>
            </w:r>
            <w:r w:rsidRPr="005E1706">
              <w:t xml:space="preserve"> because targets and metrics are still being developed.</w:t>
            </w:r>
          </w:p>
          <w:p w14:paraId="1CAC0A75" w14:textId="67F5C851" w:rsidR="00E901DB" w:rsidRPr="005E1706" w:rsidRDefault="00E901DB" w:rsidP="00A03D03">
            <w:pPr>
              <w:pStyle w:val="TableText"/>
            </w:pPr>
            <w:r w:rsidRPr="005E1706">
              <w:t>Thereafter, non-disclosure would only be allowable on the basis of a preparer’s analysed and reported conclusion they see themselves as not being materially affected by climate change, with an explanation as to why.</w:t>
            </w:r>
          </w:p>
        </w:tc>
      </w:tr>
      <w:tr w:rsidR="00E901DB" w:rsidRPr="00F642C5" w14:paraId="31A05A48" w14:textId="77777777" w:rsidTr="00EE178E">
        <w:tc>
          <w:tcPr>
            <w:tcW w:w="1985" w:type="dxa"/>
          </w:tcPr>
          <w:p w14:paraId="72DDC462" w14:textId="77777777" w:rsidR="00E901DB" w:rsidRPr="005E1706" w:rsidRDefault="00E901DB" w:rsidP="005E1706">
            <w:pPr>
              <w:pStyle w:val="TableText"/>
            </w:pPr>
            <w:r w:rsidRPr="005E1706">
              <w:t>Who would it apply to</w:t>
            </w:r>
          </w:p>
        </w:tc>
        <w:tc>
          <w:tcPr>
            <w:tcW w:w="6520" w:type="dxa"/>
          </w:tcPr>
          <w:p w14:paraId="40C3C66F" w14:textId="77777777" w:rsidR="00E901DB" w:rsidRPr="005E1706" w:rsidRDefault="00E901DB" w:rsidP="005E1706">
            <w:pPr>
              <w:pStyle w:val="TableText"/>
            </w:pPr>
            <w:r w:rsidRPr="005E1706">
              <w:t>Consistent with the TCFD’s recommendations, the disclosure system would apply to: listed issuers, banks, general insurers, asset owners and asset managers.</w:t>
            </w:r>
          </w:p>
        </w:tc>
      </w:tr>
      <w:tr w:rsidR="00E901DB" w:rsidRPr="00F642C5" w14:paraId="5EABB382" w14:textId="77777777" w:rsidTr="00EE178E">
        <w:tc>
          <w:tcPr>
            <w:tcW w:w="1985" w:type="dxa"/>
          </w:tcPr>
          <w:p w14:paraId="6FB43A58" w14:textId="77777777" w:rsidR="00E901DB" w:rsidRPr="005E1706" w:rsidRDefault="00E901DB" w:rsidP="005E1706">
            <w:pPr>
              <w:pStyle w:val="TableText"/>
            </w:pPr>
            <w:r w:rsidRPr="005E1706">
              <w:t>An exemption for smaller entities</w:t>
            </w:r>
          </w:p>
        </w:tc>
        <w:tc>
          <w:tcPr>
            <w:tcW w:w="6520" w:type="dxa"/>
          </w:tcPr>
          <w:p w14:paraId="702F3907" w14:textId="77777777" w:rsidR="00E901DB" w:rsidRPr="005E1706" w:rsidRDefault="00E901DB" w:rsidP="005E1706">
            <w:pPr>
              <w:pStyle w:val="TableText"/>
            </w:pPr>
            <w:r w:rsidRPr="005E1706">
              <w:t>We have not formed a view, to date, about whether smaller entities should be excluded from the comply-or-explain regime.</w:t>
            </w:r>
          </w:p>
        </w:tc>
      </w:tr>
      <w:tr w:rsidR="00E901DB" w:rsidRPr="00F642C5" w14:paraId="7EF51FB1" w14:textId="77777777" w:rsidTr="00EE178E">
        <w:tc>
          <w:tcPr>
            <w:tcW w:w="1985" w:type="dxa"/>
          </w:tcPr>
          <w:p w14:paraId="7C1266B4" w14:textId="77777777" w:rsidR="00E901DB" w:rsidRPr="005E1706" w:rsidRDefault="00E901DB" w:rsidP="005E1706">
            <w:pPr>
              <w:pStyle w:val="TableText"/>
            </w:pPr>
            <w:r w:rsidRPr="005E1706">
              <w:t>Exemption criteria</w:t>
            </w:r>
          </w:p>
        </w:tc>
        <w:tc>
          <w:tcPr>
            <w:tcW w:w="6520" w:type="dxa"/>
          </w:tcPr>
          <w:p w14:paraId="68FAF77B" w14:textId="014808AC" w:rsidR="00E901DB" w:rsidRPr="005E1706" w:rsidRDefault="00E901DB" w:rsidP="005E1706">
            <w:pPr>
              <w:pStyle w:val="TableText"/>
            </w:pPr>
            <w:r w:rsidRPr="005E1706">
              <w:t>Annual revenue, total assets or a combination of the two</w:t>
            </w:r>
            <w:r w:rsidR="00A03D03">
              <w:t>,</w:t>
            </w:r>
            <w:r w:rsidRPr="005E1706">
              <w:t xml:space="preserve"> could be used if there were to be an exemption for smaller entities.</w:t>
            </w:r>
          </w:p>
        </w:tc>
      </w:tr>
      <w:tr w:rsidR="00E901DB" w:rsidRPr="00F642C5" w14:paraId="43448933" w14:textId="77777777" w:rsidTr="00EE178E">
        <w:tc>
          <w:tcPr>
            <w:tcW w:w="1985" w:type="dxa"/>
          </w:tcPr>
          <w:p w14:paraId="1CCDCCBA" w14:textId="77777777" w:rsidR="00E901DB" w:rsidRPr="005E1706" w:rsidRDefault="00E901DB" w:rsidP="005E1706">
            <w:pPr>
              <w:pStyle w:val="TableText"/>
            </w:pPr>
            <w:r w:rsidRPr="005E1706">
              <w:t>Commencement and transition</w:t>
            </w:r>
          </w:p>
        </w:tc>
        <w:tc>
          <w:tcPr>
            <w:tcW w:w="6520" w:type="dxa"/>
          </w:tcPr>
          <w:p w14:paraId="1E33C620" w14:textId="77777777" w:rsidR="00E901DB" w:rsidRPr="005E1706" w:rsidRDefault="00E901DB" w:rsidP="005E1706">
            <w:pPr>
              <w:pStyle w:val="TableText"/>
            </w:pPr>
            <w:r w:rsidRPr="005E1706">
              <w:t xml:space="preserve">Mandatory (comply-or-explain) regime would come into effect for financial years commencing on or after six months after the regulations are introduced. </w:t>
            </w:r>
          </w:p>
        </w:tc>
      </w:tr>
      <w:tr w:rsidR="00E901DB" w:rsidRPr="00F642C5" w14:paraId="14F72926" w14:textId="77777777" w:rsidTr="00EE178E">
        <w:tc>
          <w:tcPr>
            <w:tcW w:w="1985" w:type="dxa"/>
          </w:tcPr>
          <w:p w14:paraId="37503F9F" w14:textId="34138463" w:rsidR="00E901DB" w:rsidRPr="005E1706" w:rsidRDefault="00E901DB" w:rsidP="005E1706">
            <w:pPr>
              <w:pStyle w:val="TableText"/>
            </w:pPr>
            <w:r w:rsidRPr="005E1706">
              <w:t xml:space="preserve">The role of the </w:t>
            </w:r>
            <w:r w:rsidR="00A03D03">
              <w:t>G</w:t>
            </w:r>
            <w:r w:rsidRPr="005E1706">
              <w:t>overnment</w:t>
            </w:r>
          </w:p>
        </w:tc>
        <w:tc>
          <w:tcPr>
            <w:tcW w:w="6520" w:type="dxa"/>
          </w:tcPr>
          <w:p w14:paraId="1CA5854A" w14:textId="1124C92E" w:rsidR="00E901DB" w:rsidRPr="005E1706" w:rsidRDefault="00E901DB" w:rsidP="005E1706">
            <w:pPr>
              <w:pStyle w:val="TableText"/>
            </w:pPr>
            <w:r w:rsidRPr="005E1706">
              <w:t xml:space="preserve">There are important roles for the </w:t>
            </w:r>
            <w:r w:rsidR="00A03D03">
              <w:t>G</w:t>
            </w:r>
            <w:r w:rsidRPr="005E1706">
              <w:t xml:space="preserve">overnment in relation to guidance, education, monitoring and reporting. These activities might be carried out by </w:t>
            </w:r>
            <w:r w:rsidR="00A03D03">
              <w:t xml:space="preserve">the </w:t>
            </w:r>
            <w:r w:rsidRPr="005E1706">
              <w:t>Ministry for the Environment (</w:t>
            </w:r>
            <w:proofErr w:type="spellStart"/>
            <w:r w:rsidRPr="005E1706">
              <w:t>MfE</w:t>
            </w:r>
            <w:proofErr w:type="spellEnd"/>
            <w:r w:rsidRPr="005E1706">
              <w:t>), Ministry of Business, Innovation and Employment (MBIE) or the Financial Markets Authority (FMA). The Climate Change Commission might have a role in relation to scenario analysis.</w:t>
            </w:r>
          </w:p>
        </w:tc>
      </w:tr>
      <w:tr w:rsidR="00E901DB" w:rsidRPr="00F642C5" w14:paraId="080E49B6" w14:textId="77777777" w:rsidTr="00EE178E">
        <w:tc>
          <w:tcPr>
            <w:tcW w:w="1985" w:type="dxa"/>
          </w:tcPr>
          <w:p w14:paraId="68F2524C" w14:textId="77777777" w:rsidR="00E901DB" w:rsidRPr="005E1706" w:rsidRDefault="00E901DB" w:rsidP="005E1706">
            <w:pPr>
              <w:pStyle w:val="TableText"/>
            </w:pPr>
            <w:r w:rsidRPr="005E1706">
              <w:t>Implementation</w:t>
            </w:r>
          </w:p>
        </w:tc>
        <w:tc>
          <w:tcPr>
            <w:tcW w:w="6520" w:type="dxa"/>
          </w:tcPr>
          <w:p w14:paraId="334C0FFE" w14:textId="45F0FD4F" w:rsidR="00E901DB" w:rsidRPr="005E1706" w:rsidRDefault="00E901DB" w:rsidP="005E1706">
            <w:pPr>
              <w:pStyle w:val="TableText"/>
            </w:pPr>
            <w:r w:rsidRPr="005E1706">
              <w:t xml:space="preserve">Climate-related financial disclosures would be implemented by way of Order-in-Council on the recommendation of the responsible </w:t>
            </w:r>
            <w:r w:rsidR="00A03D03">
              <w:t>m</w:t>
            </w:r>
            <w:r w:rsidRPr="005E1706">
              <w:t>inister.</w:t>
            </w:r>
          </w:p>
        </w:tc>
      </w:tr>
      <w:tr w:rsidR="00E901DB" w:rsidRPr="00F642C5" w14:paraId="7BE590A6" w14:textId="77777777" w:rsidTr="00EE178E">
        <w:tc>
          <w:tcPr>
            <w:tcW w:w="1985" w:type="dxa"/>
          </w:tcPr>
          <w:p w14:paraId="272E74B4" w14:textId="77777777" w:rsidR="00E901DB" w:rsidRPr="005E1706" w:rsidRDefault="00E901DB" w:rsidP="005E1706">
            <w:pPr>
              <w:pStyle w:val="TableText"/>
            </w:pPr>
            <w:r w:rsidRPr="005E1706">
              <w:t>Publication of climate-related reports</w:t>
            </w:r>
          </w:p>
        </w:tc>
        <w:tc>
          <w:tcPr>
            <w:tcW w:w="6520" w:type="dxa"/>
          </w:tcPr>
          <w:p w14:paraId="3C3FEFF6" w14:textId="2EDFCC6B" w:rsidR="00E901DB" w:rsidRPr="005E1706" w:rsidRDefault="00E901DB" w:rsidP="00A03D03">
            <w:pPr>
              <w:pStyle w:val="TableText"/>
            </w:pPr>
            <w:r w:rsidRPr="005E1706">
              <w:t xml:space="preserve">Climate-related financial information should be disclosed in annual reports in a level of detail appropriate to the needs of users of annual reports, and with the use of cross-references or mappings to </w:t>
            </w:r>
            <w:r w:rsidR="00A03D03">
              <w:t>help</w:t>
            </w:r>
            <w:r w:rsidR="00A03D03" w:rsidRPr="005E1706">
              <w:t xml:space="preserve"> </w:t>
            </w:r>
            <w:r w:rsidRPr="005E1706">
              <w:t>users locate further detailed information if needed.</w:t>
            </w:r>
          </w:p>
        </w:tc>
      </w:tr>
      <w:tr w:rsidR="00E901DB" w:rsidRPr="00F642C5" w14:paraId="16F44813" w14:textId="77777777" w:rsidTr="00EE178E">
        <w:tc>
          <w:tcPr>
            <w:tcW w:w="1985" w:type="dxa"/>
          </w:tcPr>
          <w:p w14:paraId="30EB19CE" w14:textId="77777777" w:rsidR="00E901DB" w:rsidRPr="005E1706" w:rsidRDefault="00E901DB" w:rsidP="005E1706">
            <w:pPr>
              <w:pStyle w:val="TableText"/>
            </w:pPr>
            <w:r w:rsidRPr="005E1706">
              <w:t>Independent assurance</w:t>
            </w:r>
          </w:p>
        </w:tc>
        <w:tc>
          <w:tcPr>
            <w:tcW w:w="6520" w:type="dxa"/>
          </w:tcPr>
          <w:p w14:paraId="4649C416" w14:textId="77777777" w:rsidR="00E901DB" w:rsidRPr="005E1706" w:rsidRDefault="00E901DB" w:rsidP="005E1706">
            <w:pPr>
              <w:pStyle w:val="TableText"/>
            </w:pPr>
            <w:r w:rsidRPr="005E1706">
              <w:t>With the possible exception of greenhouse gas emissions disclosures, the Government should not consider imposing mandatory assurance obligations until (a) it becomes clearer what users may want from assurance engagements, and (b) standard setters have responded to user demand with new or amended standards and guidance material.</w:t>
            </w:r>
          </w:p>
        </w:tc>
      </w:tr>
    </w:tbl>
    <w:p w14:paraId="347DD0B4" w14:textId="7C74987F" w:rsidR="00E31E44" w:rsidRDefault="00E31E44" w:rsidP="00E901DB">
      <w:pPr>
        <w:pStyle w:val="Heading2"/>
      </w:pPr>
      <w:bookmarkStart w:id="15" w:name="_Toc32847621"/>
      <w:bookmarkStart w:id="16" w:name="_Toc34216946"/>
      <w:r>
        <w:lastRenderedPageBreak/>
        <w:t>Submissions analysis and next steps</w:t>
      </w:r>
      <w:bookmarkEnd w:id="15"/>
      <w:bookmarkEnd w:id="16"/>
    </w:p>
    <w:p w14:paraId="59BC4E06" w14:textId="7FBDF0F4" w:rsidR="00E31E44" w:rsidRDefault="00E31E44" w:rsidP="00E31E44">
      <w:pPr>
        <w:pStyle w:val="BodyText"/>
      </w:pPr>
      <w:r>
        <w:t>This document summarises the feedback the Ministry of Business, Innovation and Employment an</w:t>
      </w:r>
      <w:r w:rsidR="00FF7F8C">
        <w:t xml:space="preserve">d Ministry for the Environment </w:t>
      </w:r>
      <w:r>
        <w:t xml:space="preserve">received from the consultation phase on the </w:t>
      </w:r>
      <w:r w:rsidR="00AE5922">
        <w:t>proposals set out in the</w:t>
      </w:r>
      <w:r>
        <w:t xml:space="preserve"> discussion document, </w:t>
      </w:r>
      <w:r w:rsidRPr="00E31E44">
        <w:rPr>
          <w:i/>
        </w:rPr>
        <w:t>Climate-related financial disclosures: understanding your business risks and opportunities</w:t>
      </w:r>
      <w:r w:rsidRPr="00E31E44">
        <w:t xml:space="preserve">, published </w:t>
      </w:r>
      <w:r w:rsidR="00A03D03">
        <w:t xml:space="preserve">on </w:t>
      </w:r>
      <w:r w:rsidRPr="00E31E44">
        <w:t>31 October 2019</w:t>
      </w:r>
      <w:r>
        <w:t>.</w:t>
      </w:r>
      <w:r w:rsidR="00CD08D9">
        <w:t xml:space="preserve"> </w:t>
      </w:r>
    </w:p>
    <w:p w14:paraId="280A24B5" w14:textId="75000580" w:rsidR="00E31E44" w:rsidRPr="00E31E44" w:rsidRDefault="00FF7F8C" w:rsidP="00E31E44">
      <w:pPr>
        <w:pStyle w:val="BodyText"/>
      </w:pPr>
      <w:r>
        <w:t xml:space="preserve">We </w:t>
      </w:r>
      <w:r w:rsidR="00E31E44">
        <w:t xml:space="preserve">will use the submissions received during consultation as part of evidence to inform </w:t>
      </w:r>
      <w:r w:rsidR="0039786B">
        <w:t xml:space="preserve">our </w:t>
      </w:r>
      <w:r w:rsidR="00E31E44">
        <w:t>advice on the proposals. Evidence gathered during consultation meetings will also inform advice. Advice will go to the Minister for Commerce</w:t>
      </w:r>
      <w:r w:rsidR="00AE5922">
        <w:t xml:space="preserve"> and Consumer Affairs</w:t>
      </w:r>
      <w:r w:rsidR="00E31E44">
        <w:t xml:space="preserve"> and the Minister for Climate Change with a view to developing a draft Bill. </w:t>
      </w:r>
      <w:r w:rsidR="00E31E44">
        <w:br w:type="page"/>
      </w:r>
    </w:p>
    <w:p w14:paraId="282EF624" w14:textId="77777777" w:rsidR="00315F21" w:rsidRDefault="00315F21" w:rsidP="00315F21">
      <w:pPr>
        <w:pStyle w:val="Heading1"/>
      </w:pPr>
      <w:bookmarkStart w:id="17" w:name="_Toc32847622"/>
      <w:bookmarkStart w:id="18" w:name="_Toc34216947"/>
      <w:r>
        <w:lastRenderedPageBreak/>
        <w:t>Consultation process</w:t>
      </w:r>
      <w:bookmarkEnd w:id="17"/>
      <w:bookmarkEnd w:id="18"/>
    </w:p>
    <w:p w14:paraId="2CA59A5F" w14:textId="53CD7C86" w:rsidR="00315F21" w:rsidRDefault="0039786B" w:rsidP="00315F21">
      <w:pPr>
        <w:pStyle w:val="BodyText"/>
      </w:pPr>
      <w:r>
        <w:t xml:space="preserve">We </w:t>
      </w:r>
      <w:r w:rsidR="00E31E44">
        <w:t>consulted on the proposals between 31 October and 13 Decem</w:t>
      </w:r>
      <w:r w:rsidR="00CF7820">
        <w:t>ber</w:t>
      </w:r>
      <w:r w:rsidR="006F22AE">
        <w:t xml:space="preserve"> </w:t>
      </w:r>
      <w:r w:rsidR="0048677E">
        <w:t>2019</w:t>
      </w:r>
      <w:r w:rsidR="00CF7820">
        <w:t xml:space="preserve">. </w:t>
      </w:r>
      <w:r w:rsidR="0048677E">
        <w:t>The</w:t>
      </w:r>
      <w:r w:rsidR="00CF7820">
        <w:t xml:space="preserve"> </w:t>
      </w:r>
      <w:hyperlink r:id="rId18" w:history="1">
        <w:r w:rsidR="00CF7820" w:rsidRPr="00CF7820">
          <w:rPr>
            <w:rStyle w:val="Hyperlink"/>
          </w:rPr>
          <w:t>discussion document</w:t>
        </w:r>
      </w:hyperlink>
      <w:r w:rsidR="0048677E">
        <w:t xml:space="preserve"> </w:t>
      </w:r>
      <w:r w:rsidR="00E31E44">
        <w:t>presented the context and purpose of the proposals. In particular:</w:t>
      </w:r>
    </w:p>
    <w:p w14:paraId="681FF970" w14:textId="122041A8" w:rsidR="00E31E44" w:rsidRPr="00857B90" w:rsidRDefault="0039786B" w:rsidP="00857B90">
      <w:pPr>
        <w:pStyle w:val="Bullet"/>
      </w:pPr>
      <w:r w:rsidRPr="00857B90">
        <w:t>t</w:t>
      </w:r>
      <w:r w:rsidR="00E31E44" w:rsidRPr="00857B90">
        <w:t>he problem the proposals sought to resolve and the objective of the proposals</w:t>
      </w:r>
    </w:p>
    <w:p w14:paraId="2DB1301B" w14:textId="0DB1A7AA" w:rsidR="00E31E44" w:rsidRPr="00857B90" w:rsidRDefault="0039786B" w:rsidP="00857B90">
      <w:pPr>
        <w:pStyle w:val="Bullet"/>
      </w:pPr>
      <w:r w:rsidRPr="00857B90">
        <w:t>b</w:t>
      </w:r>
      <w:r w:rsidR="00E31E44" w:rsidRPr="00857B90">
        <w:t>ackground on current climate-related reporting obligations in New Zealand</w:t>
      </w:r>
    </w:p>
    <w:p w14:paraId="018F3D4D" w14:textId="2D393BB2" w:rsidR="00E31E44" w:rsidRPr="00857B90" w:rsidRDefault="0039786B" w:rsidP="00857B90">
      <w:pPr>
        <w:pStyle w:val="Bullet"/>
      </w:pPr>
      <w:r w:rsidRPr="00857B90">
        <w:t>b</w:t>
      </w:r>
      <w:r w:rsidR="00E31E44" w:rsidRPr="00857B90">
        <w:t>ackground on directors’ legal obligations in relation to climate change, including trends in other jurisdictions</w:t>
      </w:r>
    </w:p>
    <w:p w14:paraId="6F2F5D01" w14:textId="481340E3" w:rsidR="00E31E44" w:rsidRPr="00857B90" w:rsidRDefault="0039786B" w:rsidP="00857B90">
      <w:pPr>
        <w:pStyle w:val="Bullet"/>
      </w:pPr>
      <w:r w:rsidRPr="00857B90">
        <w:t>t</w:t>
      </w:r>
      <w:r w:rsidR="00E31E44" w:rsidRPr="00857B90">
        <w:t>he proposed design of a disclosure system for New Zealand, including:</w:t>
      </w:r>
    </w:p>
    <w:p w14:paraId="070FEBC0" w14:textId="1D66D7DA" w:rsidR="00E31E44" w:rsidRDefault="0039786B" w:rsidP="00857B90">
      <w:pPr>
        <w:pStyle w:val="Subbullets"/>
      </w:pPr>
      <w:r>
        <w:t>w</w:t>
      </w:r>
      <w:r w:rsidR="00F151F9">
        <w:t xml:space="preserve">hich entities </w:t>
      </w:r>
      <w:r w:rsidR="00E31E44">
        <w:t>would be in scope</w:t>
      </w:r>
    </w:p>
    <w:p w14:paraId="08D3D17C" w14:textId="5AA7C568" w:rsidR="00E31E44" w:rsidRDefault="0039786B" w:rsidP="00857B90">
      <w:pPr>
        <w:pStyle w:val="Subbullets"/>
      </w:pPr>
      <w:r>
        <w:t>w</w:t>
      </w:r>
      <w:r w:rsidR="00E31E44">
        <w:t>hat</w:t>
      </w:r>
      <w:r w:rsidR="0009793B">
        <w:t xml:space="preserve"> and how</w:t>
      </w:r>
      <w:r w:rsidR="00E31E44">
        <w:t xml:space="preserve"> they would be expected to report</w:t>
      </w:r>
    </w:p>
    <w:p w14:paraId="41184662" w14:textId="62D93D20" w:rsidR="0009793B" w:rsidRDefault="009632D2" w:rsidP="00857B90">
      <w:pPr>
        <w:pStyle w:val="Subbullets"/>
      </w:pPr>
      <w:proofErr w:type="gramStart"/>
      <w:r>
        <w:t>w</w:t>
      </w:r>
      <w:r w:rsidR="0009793B">
        <w:t>hen</w:t>
      </w:r>
      <w:proofErr w:type="gramEnd"/>
      <w:r w:rsidR="0009793B">
        <w:t xml:space="preserve"> this would be introduced</w:t>
      </w:r>
      <w:r w:rsidR="0039786B">
        <w:t>.</w:t>
      </w:r>
      <w:r w:rsidR="0009793B">
        <w:t xml:space="preserve"> </w:t>
      </w:r>
    </w:p>
    <w:p w14:paraId="5B50EA40" w14:textId="77777777" w:rsidR="00E718DF" w:rsidRDefault="0009793B" w:rsidP="00E718DF">
      <w:pPr>
        <w:pStyle w:val="BodyText"/>
      </w:pPr>
      <w:r>
        <w:t>The consultation invited people to respond to 42 questions. The full list of questions is available on page</w:t>
      </w:r>
      <w:r w:rsidR="00E718DF">
        <w:t xml:space="preserve"> 59 of the discussion document.</w:t>
      </w:r>
    </w:p>
    <w:p w14:paraId="4A37927C" w14:textId="77777777" w:rsidR="00315F21" w:rsidRDefault="00315F21" w:rsidP="001317A4">
      <w:pPr>
        <w:pStyle w:val="Heading2"/>
        <w:tabs>
          <w:tab w:val="left" w:pos="5105"/>
        </w:tabs>
      </w:pPr>
      <w:bookmarkStart w:id="19" w:name="_Toc32847623"/>
      <w:bookmarkStart w:id="20" w:name="_Toc34216948"/>
      <w:r>
        <w:t>Consultation events</w:t>
      </w:r>
      <w:bookmarkEnd w:id="19"/>
      <w:bookmarkEnd w:id="20"/>
      <w:r w:rsidR="001317A4">
        <w:tab/>
      </w:r>
    </w:p>
    <w:p w14:paraId="50FB74D7" w14:textId="6D3B281D" w:rsidR="0009793B" w:rsidRDefault="0039786B" w:rsidP="00315F21">
      <w:pPr>
        <w:pStyle w:val="BodyText"/>
      </w:pPr>
      <w:r>
        <w:t>We</w:t>
      </w:r>
      <w:r w:rsidR="0009793B">
        <w:t xml:space="preserve"> held four public events in Auckland, Wellington and Christchurch</w:t>
      </w:r>
      <w:r w:rsidR="00C44173">
        <w:t xml:space="preserve"> in late November</w:t>
      </w:r>
      <w:r w:rsidR="0009793B">
        <w:t>, as well as a public webinar</w:t>
      </w:r>
      <w:r w:rsidR="00C44173">
        <w:t xml:space="preserve"> in early December to </w:t>
      </w:r>
      <w:r w:rsidR="00021521">
        <w:t>make the information sessions widely accessible</w:t>
      </w:r>
      <w:r w:rsidR="0009793B">
        <w:t>. We proactively invited stakeholders who would likely be impacted</w:t>
      </w:r>
      <w:r w:rsidR="00021521">
        <w:t xml:space="preserve"> by the proposals</w:t>
      </w:r>
      <w:r w:rsidR="0009793B">
        <w:t xml:space="preserve"> to</w:t>
      </w:r>
      <w:r w:rsidR="00021521">
        <w:t xml:space="preserve"> attend, to</w:t>
      </w:r>
      <w:r w:rsidR="0009793B">
        <w:t xml:space="preserve"> </w:t>
      </w:r>
      <w:r>
        <w:t>make it more likely</w:t>
      </w:r>
      <w:r w:rsidR="0009793B">
        <w:t xml:space="preserve"> relevant stakeholders </w:t>
      </w:r>
      <w:r w:rsidR="00021521">
        <w:t xml:space="preserve">would </w:t>
      </w:r>
      <w:r>
        <w:t>participate in</w:t>
      </w:r>
      <w:r w:rsidR="00021521">
        <w:t xml:space="preserve"> the </w:t>
      </w:r>
      <w:r>
        <w:t>consultation</w:t>
      </w:r>
      <w:r w:rsidR="0009793B">
        <w:t>.</w:t>
      </w:r>
      <w:r w:rsidR="00CD08D9">
        <w:t xml:space="preserve"> </w:t>
      </w:r>
    </w:p>
    <w:p w14:paraId="59BE351E" w14:textId="0D0F37EE" w:rsidR="00C44173" w:rsidRDefault="0009793B" w:rsidP="00315F21">
      <w:pPr>
        <w:pStyle w:val="BodyText"/>
      </w:pPr>
      <w:r>
        <w:t>The sessions were two hours long</w:t>
      </w:r>
      <w:r w:rsidR="00C44173">
        <w:t xml:space="preserve"> and co-hosted by Chartered Account</w:t>
      </w:r>
      <w:r w:rsidR="00021521">
        <w:t>ants Australia and New Zealand</w:t>
      </w:r>
      <w:r>
        <w:t>. We</w:t>
      </w:r>
      <w:r w:rsidR="00C44173">
        <w:t xml:space="preserve"> started each session by explaining the context of the proposals and giving a quick introduction to the disclosure framework proposed within the discussion document. This was followed by an industry panel session to provide a practitioner view of the value and challenges of climate-related financial reporting. Panellists included representatives from each of the ‘Big 4</w:t>
      </w:r>
      <w:r w:rsidR="00AE5922">
        <w:t>’ accounting firms; law firm Chapman Tripp; Westpac;</w:t>
      </w:r>
      <w:r w:rsidR="00C44173">
        <w:t xml:space="preserve"> Meridian Energy</w:t>
      </w:r>
      <w:r w:rsidR="00AE5922">
        <w:t>;</w:t>
      </w:r>
      <w:r w:rsidR="00C44173">
        <w:t xml:space="preserve"> and the Reserve Bank of New Zealand. Finally, </w:t>
      </w:r>
      <w:r w:rsidR="0039786B">
        <w:t>we</w:t>
      </w:r>
      <w:r w:rsidR="00C44173">
        <w:t xml:space="preserve"> presented the proposals in greater depth and provided an open forum for questions and comments afterwards. </w:t>
      </w:r>
    </w:p>
    <w:p w14:paraId="7108B801" w14:textId="68BDE431" w:rsidR="00315F21" w:rsidRDefault="00C44173" w:rsidP="00315F21">
      <w:pPr>
        <w:pStyle w:val="BodyText"/>
        <w:rPr>
          <w:rFonts w:eastAsiaTheme="majorEastAsia"/>
        </w:rPr>
      </w:pPr>
      <w:r>
        <w:t>Total attendance across all five sessions was 151 people.</w:t>
      </w:r>
      <w:r w:rsidR="00CD08D9">
        <w:t xml:space="preserve"> </w:t>
      </w:r>
      <w:r w:rsidR="00315F21">
        <w:br w:type="page"/>
      </w:r>
    </w:p>
    <w:p w14:paraId="76880515" w14:textId="77777777" w:rsidR="007823D6" w:rsidRDefault="00315F21" w:rsidP="00315F21">
      <w:pPr>
        <w:pStyle w:val="Heading1"/>
      </w:pPr>
      <w:bookmarkStart w:id="21" w:name="_Toc32847624"/>
      <w:bookmarkStart w:id="22" w:name="_Toc34216949"/>
      <w:bookmarkStart w:id="23" w:name="_GoBack"/>
      <w:bookmarkEnd w:id="23"/>
      <w:r>
        <w:lastRenderedPageBreak/>
        <w:t>Who responded to the consultation?</w:t>
      </w:r>
      <w:bookmarkEnd w:id="21"/>
      <w:bookmarkEnd w:id="22"/>
    </w:p>
    <w:p w14:paraId="5B37E73F" w14:textId="7B86CC7F" w:rsidR="00E718DF" w:rsidRDefault="0039786B" w:rsidP="00E718DF">
      <w:pPr>
        <w:pStyle w:val="BodyText"/>
      </w:pPr>
      <w:r>
        <w:t>We</w:t>
      </w:r>
      <w:r w:rsidR="00E718DF">
        <w:t xml:space="preserve"> received a total of 7</w:t>
      </w:r>
      <w:r w:rsidR="0072500A">
        <w:t>7</w:t>
      </w:r>
      <w:r w:rsidR="00E718DF">
        <w:t xml:space="preserve"> submissions. No submissions were based on template submissions. All submissions have been analysed and given equal weight in the analysis presented below. </w:t>
      </w:r>
    </w:p>
    <w:p w14:paraId="0AAF3607" w14:textId="77777777" w:rsidR="00CB556F" w:rsidRDefault="00021521" w:rsidP="00CB556F">
      <w:pPr>
        <w:pStyle w:val="Heading3"/>
      </w:pPr>
      <w:bookmarkStart w:id="24" w:name="_Toc32847625"/>
      <w:r>
        <w:t>Submitter groups</w:t>
      </w:r>
      <w:bookmarkEnd w:id="24"/>
    </w:p>
    <w:p w14:paraId="7EB871B9" w14:textId="170B82C6" w:rsidR="00CB556F" w:rsidRPr="00CB556F" w:rsidRDefault="00CB556F" w:rsidP="00CB556F">
      <w:pPr>
        <w:pStyle w:val="BodyText"/>
      </w:pPr>
      <w:r>
        <w:t>Submissions to the consultation were divided int</w:t>
      </w:r>
      <w:r w:rsidR="00D56B3E">
        <w:t>o the groups identified in t</w:t>
      </w:r>
      <w:r>
        <w:t xml:space="preserve">able 1 (in order from the highest to the lowest number of submissions received). </w:t>
      </w:r>
    </w:p>
    <w:p w14:paraId="04EFB57B" w14:textId="77777777" w:rsidR="00BE586B" w:rsidRDefault="00BE586B" w:rsidP="00A91D68">
      <w:pPr>
        <w:pStyle w:val="Tableheading"/>
      </w:pPr>
      <w:bookmarkStart w:id="25" w:name="_Toc32822828"/>
      <w:bookmarkStart w:id="26" w:name="_Toc33772064"/>
      <w:r>
        <w:t xml:space="preserve">Table </w:t>
      </w:r>
      <w:fldSimple w:instr=" SEQ Table \* ARABIC ">
        <w:r w:rsidR="0048677E">
          <w:rPr>
            <w:noProof/>
          </w:rPr>
          <w:t>2</w:t>
        </w:r>
      </w:fldSimple>
      <w:r>
        <w:t xml:space="preserve">: </w:t>
      </w:r>
      <w:r>
        <w:tab/>
      </w:r>
      <w:r w:rsidRPr="00DA2318">
        <w:t>Submitters by type</w:t>
      </w:r>
      <w:bookmarkEnd w:id="25"/>
      <w:bookmarkEnd w:id="26"/>
    </w:p>
    <w:tbl>
      <w:tblPr>
        <w:tblStyle w:val="TableGrid"/>
        <w:tblW w:w="8080"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920"/>
        <w:gridCol w:w="2160"/>
      </w:tblGrid>
      <w:tr w:rsidR="00311885" w:rsidRPr="006B77BB" w14:paraId="3B50BFB8" w14:textId="77777777" w:rsidTr="00A17427">
        <w:trPr>
          <w:tblHeader/>
        </w:trPr>
        <w:tc>
          <w:tcPr>
            <w:tcW w:w="5920" w:type="dxa"/>
            <w:shd w:val="clear" w:color="auto" w:fill="1C556C"/>
          </w:tcPr>
          <w:p w14:paraId="7B11D91E" w14:textId="77777777" w:rsidR="00311885" w:rsidRPr="00021521" w:rsidRDefault="00311885" w:rsidP="00E901DB">
            <w:pPr>
              <w:pStyle w:val="TableText"/>
              <w:rPr>
                <w:b/>
                <w:color w:val="FFFFFF" w:themeColor="background1"/>
              </w:rPr>
            </w:pPr>
            <w:r w:rsidRPr="00021521">
              <w:rPr>
                <w:b/>
                <w:color w:val="FFFFFF" w:themeColor="background1"/>
              </w:rPr>
              <w:t xml:space="preserve">Submitter type </w:t>
            </w:r>
          </w:p>
        </w:tc>
        <w:tc>
          <w:tcPr>
            <w:tcW w:w="2160" w:type="dxa"/>
            <w:shd w:val="clear" w:color="auto" w:fill="1C556C"/>
          </w:tcPr>
          <w:p w14:paraId="76C33EE5" w14:textId="77777777" w:rsidR="00311885" w:rsidRPr="00021521" w:rsidRDefault="00311885" w:rsidP="00A143E3">
            <w:pPr>
              <w:pStyle w:val="TableText"/>
              <w:jc w:val="center"/>
              <w:rPr>
                <w:b/>
                <w:color w:val="FFFFFF" w:themeColor="background1"/>
              </w:rPr>
            </w:pPr>
            <w:r w:rsidRPr="00021521">
              <w:rPr>
                <w:b/>
                <w:color w:val="FFFFFF" w:themeColor="background1"/>
              </w:rPr>
              <w:t>Number of submitters</w:t>
            </w:r>
          </w:p>
        </w:tc>
      </w:tr>
      <w:tr w:rsidR="00311885" w:rsidRPr="006B77BB" w14:paraId="475AC264" w14:textId="77777777" w:rsidTr="00A17427">
        <w:tc>
          <w:tcPr>
            <w:tcW w:w="5920" w:type="dxa"/>
            <w:shd w:val="clear" w:color="auto" w:fill="auto"/>
          </w:tcPr>
          <w:p w14:paraId="23D7B84F" w14:textId="75E5CC6E" w:rsidR="00311885" w:rsidRPr="006B77BB" w:rsidRDefault="00311885" w:rsidP="00E901DB">
            <w:pPr>
              <w:pStyle w:val="TableText"/>
            </w:pPr>
            <w:r>
              <w:t xml:space="preserve">Business / </w:t>
            </w:r>
            <w:r w:rsidR="0039786B">
              <w:t>i</w:t>
            </w:r>
            <w:r>
              <w:t>ndustry</w:t>
            </w:r>
          </w:p>
        </w:tc>
        <w:tc>
          <w:tcPr>
            <w:tcW w:w="2160" w:type="dxa"/>
            <w:shd w:val="clear" w:color="auto" w:fill="auto"/>
          </w:tcPr>
          <w:p w14:paraId="25C66699" w14:textId="77777777" w:rsidR="00311885" w:rsidRPr="006B77BB" w:rsidRDefault="00311885" w:rsidP="00A143E3">
            <w:pPr>
              <w:pStyle w:val="TableText"/>
              <w:jc w:val="center"/>
            </w:pPr>
            <w:r>
              <w:t>36</w:t>
            </w:r>
          </w:p>
        </w:tc>
      </w:tr>
      <w:tr w:rsidR="00311885" w:rsidRPr="006B77BB" w14:paraId="63FC3348" w14:textId="77777777" w:rsidTr="00A17427">
        <w:tc>
          <w:tcPr>
            <w:tcW w:w="5920" w:type="dxa"/>
            <w:shd w:val="clear" w:color="auto" w:fill="auto"/>
          </w:tcPr>
          <w:p w14:paraId="7FE042C0" w14:textId="38BD9E54" w:rsidR="00311885" w:rsidRPr="006B77BB" w:rsidRDefault="00021521" w:rsidP="00E901DB">
            <w:pPr>
              <w:pStyle w:val="TableText"/>
            </w:pPr>
            <w:r>
              <w:t xml:space="preserve">Industry </w:t>
            </w:r>
            <w:r w:rsidR="0039786B">
              <w:t>g</w:t>
            </w:r>
            <w:r>
              <w:t>roup</w:t>
            </w:r>
          </w:p>
        </w:tc>
        <w:tc>
          <w:tcPr>
            <w:tcW w:w="2160" w:type="dxa"/>
            <w:shd w:val="clear" w:color="auto" w:fill="auto"/>
          </w:tcPr>
          <w:p w14:paraId="596DCA71" w14:textId="7D6020AA" w:rsidR="00311885" w:rsidRPr="006B77BB" w:rsidRDefault="007C1661" w:rsidP="00A143E3">
            <w:pPr>
              <w:pStyle w:val="TableText"/>
              <w:jc w:val="center"/>
            </w:pPr>
            <w:r>
              <w:t>11</w:t>
            </w:r>
          </w:p>
        </w:tc>
      </w:tr>
      <w:tr w:rsidR="00311885" w:rsidRPr="006B77BB" w14:paraId="46EB48C3" w14:textId="77777777" w:rsidTr="00A17427">
        <w:tc>
          <w:tcPr>
            <w:tcW w:w="5920" w:type="dxa"/>
          </w:tcPr>
          <w:p w14:paraId="5D483004" w14:textId="77777777" w:rsidR="00311885" w:rsidRPr="006B77BB" w:rsidRDefault="00311885" w:rsidP="00E901DB">
            <w:pPr>
              <w:pStyle w:val="TableText"/>
            </w:pPr>
            <w:r>
              <w:t>NGO</w:t>
            </w:r>
          </w:p>
        </w:tc>
        <w:tc>
          <w:tcPr>
            <w:tcW w:w="2160" w:type="dxa"/>
          </w:tcPr>
          <w:p w14:paraId="3566E1A5" w14:textId="77777777" w:rsidR="00311885" w:rsidRPr="006B77BB" w:rsidRDefault="00311885" w:rsidP="00A143E3">
            <w:pPr>
              <w:pStyle w:val="TableText"/>
              <w:jc w:val="center"/>
            </w:pPr>
            <w:r>
              <w:t>8</w:t>
            </w:r>
          </w:p>
        </w:tc>
      </w:tr>
      <w:tr w:rsidR="00311885" w:rsidRPr="006B77BB" w14:paraId="23D489D0" w14:textId="77777777" w:rsidTr="00A17427">
        <w:tc>
          <w:tcPr>
            <w:tcW w:w="5920" w:type="dxa"/>
          </w:tcPr>
          <w:p w14:paraId="4B53482A" w14:textId="77777777" w:rsidR="00311885" w:rsidRPr="006B77BB" w:rsidRDefault="00311885" w:rsidP="00E901DB">
            <w:pPr>
              <w:pStyle w:val="TableText"/>
            </w:pPr>
            <w:r>
              <w:t>Professional body</w:t>
            </w:r>
          </w:p>
        </w:tc>
        <w:tc>
          <w:tcPr>
            <w:tcW w:w="2160" w:type="dxa"/>
          </w:tcPr>
          <w:p w14:paraId="55045F9A" w14:textId="77777777" w:rsidR="00311885" w:rsidRPr="006B77BB" w:rsidRDefault="00311885" w:rsidP="00A143E3">
            <w:pPr>
              <w:pStyle w:val="TableText"/>
              <w:jc w:val="center"/>
            </w:pPr>
            <w:r>
              <w:t>6</w:t>
            </w:r>
          </w:p>
        </w:tc>
      </w:tr>
      <w:tr w:rsidR="00311885" w:rsidRPr="006B77BB" w14:paraId="30AC1B40" w14:textId="77777777" w:rsidTr="00A17427">
        <w:tc>
          <w:tcPr>
            <w:tcW w:w="5920" w:type="dxa"/>
          </w:tcPr>
          <w:p w14:paraId="2BB7B580" w14:textId="77777777" w:rsidR="00311885" w:rsidRPr="006B77BB" w:rsidRDefault="00311885" w:rsidP="00E901DB">
            <w:pPr>
              <w:pStyle w:val="TableText"/>
            </w:pPr>
            <w:r>
              <w:t>Individual</w:t>
            </w:r>
          </w:p>
        </w:tc>
        <w:tc>
          <w:tcPr>
            <w:tcW w:w="2160" w:type="dxa"/>
          </w:tcPr>
          <w:p w14:paraId="41BAA72C" w14:textId="77777777" w:rsidR="00311885" w:rsidRPr="006B77BB" w:rsidRDefault="00311885" w:rsidP="00A143E3">
            <w:pPr>
              <w:pStyle w:val="TableText"/>
              <w:jc w:val="center"/>
            </w:pPr>
            <w:r>
              <w:t>4</w:t>
            </w:r>
          </w:p>
        </w:tc>
      </w:tr>
      <w:tr w:rsidR="00311885" w:rsidRPr="006B77BB" w14:paraId="20B50F77" w14:textId="77777777" w:rsidTr="00A17427">
        <w:tc>
          <w:tcPr>
            <w:tcW w:w="5920" w:type="dxa"/>
          </w:tcPr>
          <w:p w14:paraId="559E3F0A" w14:textId="77777777" w:rsidR="00311885" w:rsidRPr="006B77BB" w:rsidRDefault="00311885" w:rsidP="00E901DB">
            <w:pPr>
              <w:pStyle w:val="TableText"/>
            </w:pPr>
            <w:r>
              <w:t>Crown entity</w:t>
            </w:r>
          </w:p>
        </w:tc>
        <w:tc>
          <w:tcPr>
            <w:tcW w:w="2160" w:type="dxa"/>
          </w:tcPr>
          <w:p w14:paraId="32E545D7" w14:textId="77777777" w:rsidR="00311885" w:rsidRPr="006B77BB" w:rsidRDefault="00311885" w:rsidP="00A143E3">
            <w:pPr>
              <w:pStyle w:val="TableText"/>
              <w:jc w:val="center"/>
            </w:pPr>
            <w:r>
              <w:t>3</w:t>
            </w:r>
          </w:p>
        </w:tc>
      </w:tr>
      <w:tr w:rsidR="00311885" w:rsidRPr="006B77BB" w14:paraId="48F8859B" w14:textId="77777777" w:rsidTr="00A17427">
        <w:tc>
          <w:tcPr>
            <w:tcW w:w="5920" w:type="dxa"/>
          </w:tcPr>
          <w:p w14:paraId="5D1F1136" w14:textId="1306C799" w:rsidR="00311885" w:rsidRPr="006B77BB" w:rsidRDefault="00311885" w:rsidP="00E901DB">
            <w:pPr>
              <w:pStyle w:val="TableText"/>
            </w:pPr>
            <w:r>
              <w:t xml:space="preserve">Local </w:t>
            </w:r>
            <w:r w:rsidR="0039786B">
              <w:t>g</w:t>
            </w:r>
            <w:r>
              <w:t>overnment</w:t>
            </w:r>
          </w:p>
        </w:tc>
        <w:tc>
          <w:tcPr>
            <w:tcW w:w="2160" w:type="dxa"/>
          </w:tcPr>
          <w:p w14:paraId="0BE41B50" w14:textId="77777777" w:rsidR="00311885" w:rsidRPr="006B77BB" w:rsidRDefault="00311885" w:rsidP="00A143E3">
            <w:pPr>
              <w:pStyle w:val="TableText"/>
              <w:jc w:val="center"/>
            </w:pPr>
            <w:r>
              <w:t>2</w:t>
            </w:r>
          </w:p>
        </w:tc>
      </w:tr>
      <w:tr w:rsidR="00311885" w:rsidRPr="006B77BB" w14:paraId="088EE9B9" w14:textId="77777777" w:rsidTr="00A17427">
        <w:tc>
          <w:tcPr>
            <w:tcW w:w="5920" w:type="dxa"/>
          </w:tcPr>
          <w:p w14:paraId="012A7855" w14:textId="77777777" w:rsidR="00311885" w:rsidRPr="006B77BB" w:rsidRDefault="00311885" w:rsidP="00E901DB">
            <w:pPr>
              <w:pStyle w:val="TableText"/>
            </w:pPr>
            <w:r>
              <w:t>Legal professional</w:t>
            </w:r>
          </w:p>
        </w:tc>
        <w:tc>
          <w:tcPr>
            <w:tcW w:w="2160" w:type="dxa"/>
          </w:tcPr>
          <w:p w14:paraId="5557135E" w14:textId="77777777" w:rsidR="00311885" w:rsidRPr="006B77BB" w:rsidRDefault="00311885" w:rsidP="00A143E3">
            <w:pPr>
              <w:pStyle w:val="TableText"/>
              <w:jc w:val="center"/>
            </w:pPr>
            <w:r>
              <w:t>2</w:t>
            </w:r>
          </w:p>
        </w:tc>
      </w:tr>
      <w:tr w:rsidR="00311885" w:rsidRPr="006B77BB" w14:paraId="480FB281" w14:textId="77777777" w:rsidTr="00A17427">
        <w:tc>
          <w:tcPr>
            <w:tcW w:w="5920" w:type="dxa"/>
          </w:tcPr>
          <w:p w14:paraId="6DA924B6" w14:textId="77777777" w:rsidR="00311885" w:rsidRPr="006B77BB" w:rsidRDefault="009D34B6" w:rsidP="00E901DB">
            <w:pPr>
              <w:pStyle w:val="TableText"/>
            </w:pPr>
            <w:r>
              <w:t xml:space="preserve">Iwi / </w:t>
            </w:r>
            <w:r w:rsidRPr="009D34B6">
              <w:t>Māori</w:t>
            </w:r>
          </w:p>
        </w:tc>
        <w:tc>
          <w:tcPr>
            <w:tcW w:w="2160" w:type="dxa"/>
          </w:tcPr>
          <w:p w14:paraId="0CF25767" w14:textId="77777777" w:rsidR="00311885" w:rsidRPr="006B77BB" w:rsidRDefault="00311885" w:rsidP="00A143E3">
            <w:pPr>
              <w:pStyle w:val="TableText"/>
              <w:jc w:val="center"/>
            </w:pPr>
            <w:r>
              <w:t>2</w:t>
            </w:r>
          </w:p>
        </w:tc>
      </w:tr>
      <w:tr w:rsidR="00311885" w:rsidRPr="006B77BB" w14:paraId="55463A40" w14:textId="77777777" w:rsidTr="00A17427">
        <w:tc>
          <w:tcPr>
            <w:tcW w:w="5920" w:type="dxa"/>
          </w:tcPr>
          <w:p w14:paraId="1D3FDF86" w14:textId="7520FBB4" w:rsidR="00311885" w:rsidRPr="006B77BB" w:rsidRDefault="00A143E3" w:rsidP="00F151F9">
            <w:pPr>
              <w:pStyle w:val="TableText"/>
            </w:pPr>
            <w:r>
              <w:t xml:space="preserve">Academic / </w:t>
            </w:r>
            <w:r w:rsidR="0039786B">
              <w:t>r</w:t>
            </w:r>
            <w:r>
              <w:t>esearch community</w:t>
            </w:r>
          </w:p>
        </w:tc>
        <w:tc>
          <w:tcPr>
            <w:tcW w:w="2160" w:type="dxa"/>
          </w:tcPr>
          <w:p w14:paraId="366ED74B" w14:textId="77777777" w:rsidR="00311885" w:rsidRPr="006B77BB" w:rsidRDefault="00A143E3" w:rsidP="00A143E3">
            <w:pPr>
              <w:pStyle w:val="TableText"/>
              <w:jc w:val="center"/>
            </w:pPr>
            <w:r>
              <w:t>1</w:t>
            </w:r>
          </w:p>
        </w:tc>
      </w:tr>
      <w:tr w:rsidR="00311885" w:rsidRPr="006B77BB" w14:paraId="0F4D8C23" w14:textId="77777777" w:rsidTr="00A17427">
        <w:tc>
          <w:tcPr>
            <w:tcW w:w="5920" w:type="dxa"/>
          </w:tcPr>
          <w:p w14:paraId="02359992" w14:textId="77777777" w:rsidR="00311885" w:rsidRPr="006B77BB" w:rsidRDefault="00A143E3" w:rsidP="00E901DB">
            <w:pPr>
              <w:pStyle w:val="TableText"/>
            </w:pPr>
            <w:r>
              <w:t>Unspecified</w:t>
            </w:r>
          </w:p>
        </w:tc>
        <w:tc>
          <w:tcPr>
            <w:tcW w:w="2160" w:type="dxa"/>
          </w:tcPr>
          <w:p w14:paraId="5D51343A" w14:textId="77777777" w:rsidR="00311885" w:rsidRPr="006B77BB" w:rsidRDefault="00A143E3" w:rsidP="00A143E3">
            <w:pPr>
              <w:pStyle w:val="TableText"/>
              <w:jc w:val="center"/>
            </w:pPr>
            <w:r>
              <w:t>2</w:t>
            </w:r>
          </w:p>
        </w:tc>
      </w:tr>
    </w:tbl>
    <w:p w14:paraId="154D8FFC" w14:textId="1D4D866D" w:rsidR="00BA461C" w:rsidRDefault="003676C5" w:rsidP="00BA461C">
      <w:pPr>
        <w:pStyle w:val="BodyText"/>
      </w:pPr>
      <w:r>
        <w:t xml:space="preserve">Some of the </w:t>
      </w:r>
      <w:r w:rsidR="00B078DC">
        <w:t>11</w:t>
      </w:r>
      <w:r>
        <w:t xml:space="preserve"> i</w:t>
      </w:r>
      <w:r w:rsidR="00BA461C">
        <w:t>ndustry group</w:t>
      </w:r>
      <w:r w:rsidR="00692B85">
        <w:t>s</w:t>
      </w:r>
      <w:r w:rsidR="00BA461C">
        <w:t xml:space="preserve"> and s</w:t>
      </w:r>
      <w:r w:rsidR="00692B85">
        <w:t>ix</w:t>
      </w:r>
      <w:r>
        <w:t xml:space="preserve"> professional bodies</w:t>
      </w:r>
      <w:r w:rsidR="00692B85">
        <w:t>’ members</w:t>
      </w:r>
      <w:r>
        <w:t xml:space="preserve"> </w:t>
      </w:r>
      <w:r w:rsidR="00BA461C">
        <w:t>also sub</w:t>
      </w:r>
      <w:r>
        <w:t>mitted individually as Business</w:t>
      </w:r>
      <w:r w:rsidR="00BA461C">
        <w:t xml:space="preserve">/industry submitters. For example, three banks were represented by the New Zealand Bankers’ Association, but also chose to submit individual responses to clarify additional points. Those banks are also members of </w:t>
      </w:r>
      <w:proofErr w:type="spellStart"/>
      <w:r w:rsidR="00BA461C">
        <w:t>BusinessNZ</w:t>
      </w:r>
      <w:proofErr w:type="spellEnd"/>
      <w:r w:rsidR="00BA461C">
        <w:t xml:space="preserve"> </w:t>
      </w:r>
      <w:r>
        <w:t>which</w:t>
      </w:r>
      <w:r w:rsidR="00BA461C">
        <w:t xml:space="preserve"> submitted, although the banks’ individual views are not reflected in </w:t>
      </w:r>
      <w:proofErr w:type="spellStart"/>
      <w:r w:rsidR="00BA461C">
        <w:t>BusinessNZ’s</w:t>
      </w:r>
      <w:proofErr w:type="spellEnd"/>
      <w:r w:rsidR="00BA461C">
        <w:t xml:space="preserve"> response. </w:t>
      </w:r>
    </w:p>
    <w:p w14:paraId="2D05D6E2" w14:textId="5AA88797" w:rsidR="00CB556F" w:rsidRPr="001E4AE7" w:rsidRDefault="00CB556F" w:rsidP="001E4AE7">
      <w:pPr>
        <w:pStyle w:val="BodyText"/>
      </w:pPr>
      <w:r>
        <w:t>A</w:t>
      </w:r>
      <w:r w:rsidR="003676C5">
        <w:t>s the Business/</w:t>
      </w:r>
      <w:r w:rsidR="0039786B">
        <w:t>i</w:t>
      </w:r>
      <w:r>
        <w:t xml:space="preserve">ndustry group </w:t>
      </w:r>
      <w:r w:rsidR="00895C7B">
        <w:t>represented</w:t>
      </w:r>
      <w:r>
        <w:t xml:space="preserve"> </w:t>
      </w:r>
      <w:r w:rsidR="00895C7B">
        <w:t>a significant proportion of overall submissions</w:t>
      </w:r>
      <w:r w:rsidR="00021521">
        <w:t>, figure 2</w:t>
      </w:r>
      <w:r>
        <w:t xml:space="preserve"> below presents a breakdown of responses by industry type.</w:t>
      </w:r>
      <w:r w:rsidR="00CD08D9">
        <w:t xml:space="preserve"> </w:t>
      </w:r>
    </w:p>
    <w:p w14:paraId="54117078" w14:textId="4688123E" w:rsidR="00BE586B" w:rsidRDefault="00BE586B" w:rsidP="00BE586B">
      <w:pPr>
        <w:pStyle w:val="Figureheading"/>
      </w:pPr>
      <w:bookmarkStart w:id="27" w:name="_Toc32822829"/>
      <w:bookmarkStart w:id="28" w:name="_Toc32822925"/>
      <w:bookmarkStart w:id="29" w:name="_Toc39504175"/>
      <w:r>
        <w:lastRenderedPageBreak/>
        <w:t xml:space="preserve">Figure </w:t>
      </w:r>
      <w:fldSimple w:instr=" SEQ Figure \* ARABIC ">
        <w:r w:rsidR="00185327">
          <w:rPr>
            <w:noProof/>
          </w:rPr>
          <w:t>2</w:t>
        </w:r>
      </w:fldSimple>
      <w:r>
        <w:t xml:space="preserve">: </w:t>
      </w:r>
      <w:r>
        <w:tab/>
      </w:r>
      <w:r w:rsidRPr="00E07E81">
        <w:t>Business/</w:t>
      </w:r>
      <w:r w:rsidR="0039786B">
        <w:t>i</w:t>
      </w:r>
      <w:r w:rsidRPr="00E07E81">
        <w:t>ndustry by type</w:t>
      </w:r>
      <w:bookmarkEnd w:id="27"/>
      <w:bookmarkEnd w:id="28"/>
      <w:bookmarkEnd w:id="29"/>
    </w:p>
    <w:p w14:paraId="3C1499AA" w14:textId="1A8E9FB1" w:rsidR="00CD7DC3" w:rsidRPr="00CD7DC3" w:rsidRDefault="009632D2" w:rsidP="00CD7DC3">
      <w:pPr>
        <w:pStyle w:val="BodyText"/>
      </w:pPr>
      <w:r>
        <w:rPr>
          <w:noProof/>
        </w:rPr>
        <w:drawing>
          <wp:inline distT="0" distB="0" distL="0" distR="0" wp14:anchorId="092FAB12" wp14:editId="390EA665">
            <wp:extent cx="5429250" cy="2628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57E213" w14:textId="77777777" w:rsidR="00492C68" w:rsidRDefault="00492C68" w:rsidP="00F549FB">
      <w:pPr>
        <w:pStyle w:val="BodyText"/>
      </w:pPr>
    </w:p>
    <w:p w14:paraId="2F88F282" w14:textId="77777777" w:rsidR="00F549FB" w:rsidRDefault="00F549FB" w:rsidP="00F549FB">
      <w:pPr>
        <w:pStyle w:val="BodyText"/>
      </w:pPr>
      <w:r>
        <w:t>Most submissions supported the proposals on the whole, with 7</w:t>
      </w:r>
      <w:r w:rsidR="003F5945">
        <w:t>7</w:t>
      </w:r>
      <w:r w:rsidR="005473D6">
        <w:t xml:space="preserve"> per cent</w:t>
      </w:r>
      <w:r>
        <w:t xml:space="preserve"> of respondents either supporting or largely su</w:t>
      </w:r>
      <w:r w:rsidR="005473D6">
        <w:t>pporting the proposals, while 9 per cent</w:t>
      </w:r>
      <w:r>
        <w:t xml:space="preserve"> either oppos</w:t>
      </w:r>
      <w:r w:rsidR="00021521">
        <w:t>ed</w:t>
      </w:r>
      <w:r>
        <w:t xml:space="preserve"> or largely oppos</w:t>
      </w:r>
      <w:r w:rsidR="00021521">
        <w:t>ed</w:t>
      </w:r>
      <w:r>
        <w:t xml:space="preserve"> them</w:t>
      </w:r>
      <w:r w:rsidR="00D56B3E">
        <w:t xml:space="preserve"> (see f</w:t>
      </w:r>
      <w:r w:rsidR="001A392A">
        <w:t xml:space="preserve">igure </w:t>
      </w:r>
      <w:r w:rsidR="00021521">
        <w:t>3</w:t>
      </w:r>
      <w:r w:rsidR="001A392A">
        <w:t>)</w:t>
      </w:r>
      <w:r>
        <w:t>.</w:t>
      </w:r>
    </w:p>
    <w:p w14:paraId="5A77586F" w14:textId="34459B42" w:rsidR="00F422DE" w:rsidRDefault="00F422DE" w:rsidP="00E718DF">
      <w:pPr>
        <w:pStyle w:val="BodyText"/>
      </w:pPr>
    </w:p>
    <w:p w14:paraId="2F888B3E" w14:textId="1C99B1C7" w:rsidR="00F422DE" w:rsidRPr="0081674D" w:rsidRDefault="0081674D" w:rsidP="0081674D">
      <w:pPr>
        <w:pStyle w:val="Caption"/>
        <w:keepNext/>
        <w:jc w:val="left"/>
        <w:rPr>
          <w:rFonts w:ascii="Calibri" w:eastAsiaTheme="minorEastAsia" w:hAnsi="Calibri" w:cstheme="minorBidi"/>
          <w:bCs w:val="0"/>
          <w:color w:val="auto"/>
          <w:sz w:val="20"/>
          <w:szCs w:val="22"/>
          <w:lang w:eastAsia="en-NZ"/>
        </w:rPr>
      </w:pPr>
      <w:bookmarkStart w:id="30" w:name="_Toc39504176"/>
      <w:r>
        <w:rPr>
          <w:noProof/>
        </w:rPr>
        <w:drawing>
          <wp:anchor distT="0" distB="0" distL="114300" distR="114300" simplePos="0" relativeHeight="251659264" behindDoc="0" locked="0" layoutInCell="1" allowOverlap="1" wp14:anchorId="7C707E5F" wp14:editId="044E8C67">
            <wp:simplePos x="0" y="0"/>
            <wp:positionH relativeFrom="column">
              <wp:posOffset>-664845</wp:posOffset>
            </wp:positionH>
            <wp:positionV relativeFrom="paragraph">
              <wp:posOffset>228600</wp:posOffset>
            </wp:positionV>
            <wp:extent cx="5667375" cy="32385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422DE" w:rsidRPr="0081674D">
        <w:rPr>
          <w:rFonts w:ascii="Calibri" w:eastAsiaTheme="minorEastAsia" w:hAnsi="Calibri" w:cstheme="minorBidi"/>
          <w:bCs w:val="0"/>
          <w:color w:val="auto"/>
          <w:sz w:val="20"/>
          <w:szCs w:val="22"/>
          <w:lang w:eastAsia="en-NZ"/>
        </w:rPr>
        <w:t xml:space="preserve">Figure </w:t>
      </w:r>
      <w:r w:rsidR="00F422DE" w:rsidRPr="0081674D">
        <w:rPr>
          <w:rFonts w:ascii="Calibri" w:eastAsiaTheme="minorEastAsia" w:hAnsi="Calibri" w:cstheme="minorBidi"/>
          <w:bCs w:val="0"/>
          <w:color w:val="auto"/>
          <w:sz w:val="20"/>
          <w:szCs w:val="22"/>
          <w:lang w:eastAsia="en-NZ"/>
        </w:rPr>
        <w:fldChar w:fldCharType="begin"/>
      </w:r>
      <w:r w:rsidR="00F422DE" w:rsidRPr="0081674D">
        <w:rPr>
          <w:rFonts w:ascii="Calibri" w:eastAsiaTheme="minorEastAsia" w:hAnsi="Calibri" w:cstheme="minorBidi"/>
          <w:bCs w:val="0"/>
          <w:color w:val="auto"/>
          <w:sz w:val="20"/>
          <w:szCs w:val="22"/>
          <w:lang w:eastAsia="en-NZ"/>
        </w:rPr>
        <w:instrText xml:space="preserve"> SEQ Figure \* ARABIC </w:instrText>
      </w:r>
      <w:r w:rsidR="00F422DE" w:rsidRPr="0081674D">
        <w:rPr>
          <w:rFonts w:ascii="Calibri" w:eastAsiaTheme="minorEastAsia" w:hAnsi="Calibri" w:cstheme="minorBidi"/>
          <w:bCs w:val="0"/>
          <w:color w:val="auto"/>
          <w:sz w:val="20"/>
          <w:szCs w:val="22"/>
          <w:lang w:eastAsia="en-NZ"/>
        </w:rPr>
        <w:fldChar w:fldCharType="separate"/>
      </w:r>
      <w:r w:rsidR="00F422DE" w:rsidRPr="0081674D">
        <w:rPr>
          <w:rFonts w:ascii="Calibri" w:eastAsiaTheme="minorEastAsia" w:hAnsi="Calibri" w:cstheme="minorBidi"/>
          <w:bCs w:val="0"/>
          <w:color w:val="auto"/>
          <w:sz w:val="20"/>
          <w:szCs w:val="22"/>
          <w:lang w:eastAsia="en-NZ"/>
        </w:rPr>
        <w:t>3</w:t>
      </w:r>
      <w:r w:rsidR="00F422DE" w:rsidRPr="0081674D">
        <w:rPr>
          <w:rFonts w:ascii="Calibri" w:eastAsiaTheme="minorEastAsia" w:hAnsi="Calibri" w:cstheme="minorBidi"/>
          <w:bCs w:val="0"/>
          <w:color w:val="auto"/>
          <w:sz w:val="20"/>
          <w:szCs w:val="22"/>
          <w:lang w:eastAsia="en-NZ"/>
        </w:rPr>
        <w:fldChar w:fldCharType="end"/>
      </w:r>
      <w:r w:rsidR="00F422DE" w:rsidRPr="0081674D">
        <w:rPr>
          <w:rFonts w:ascii="Calibri" w:eastAsiaTheme="minorEastAsia" w:hAnsi="Calibri" w:cstheme="minorBidi"/>
          <w:bCs w:val="0"/>
          <w:color w:val="auto"/>
          <w:sz w:val="20"/>
          <w:szCs w:val="22"/>
          <w:lang w:eastAsia="en-NZ"/>
        </w:rPr>
        <w:t xml:space="preserve"> </w:t>
      </w:r>
      <w:r w:rsidR="00F422DE" w:rsidRPr="0081674D">
        <w:rPr>
          <w:rFonts w:ascii="Calibri" w:eastAsiaTheme="minorEastAsia" w:hAnsi="Calibri" w:cstheme="minorBidi"/>
          <w:bCs w:val="0"/>
          <w:color w:val="auto"/>
          <w:sz w:val="20"/>
          <w:szCs w:val="22"/>
          <w:lang w:eastAsia="en-NZ"/>
        </w:rPr>
        <w:tab/>
        <w:t>Overall approach to the proposals</w:t>
      </w:r>
      <w:bookmarkEnd w:id="30"/>
    </w:p>
    <w:p w14:paraId="38EBFB66" w14:textId="76B86F7B" w:rsidR="00CD7DC3" w:rsidRPr="00E718DF" w:rsidRDefault="00CD7DC3" w:rsidP="00E718DF">
      <w:pPr>
        <w:pStyle w:val="BodyText"/>
      </w:pPr>
    </w:p>
    <w:bookmarkEnd w:id="3"/>
    <w:p w14:paraId="501839FE" w14:textId="77777777" w:rsidR="0080531E" w:rsidRPr="006B77BB" w:rsidRDefault="0080531E" w:rsidP="003314B6">
      <w:pPr>
        <w:pStyle w:val="BodyText"/>
      </w:pPr>
    </w:p>
    <w:p w14:paraId="4C75991E" w14:textId="77777777" w:rsidR="003314B6" w:rsidRPr="006B77BB" w:rsidRDefault="003314B6" w:rsidP="003314B6">
      <w:pPr>
        <w:pStyle w:val="BodyText"/>
      </w:pPr>
    </w:p>
    <w:p w14:paraId="567FF78D" w14:textId="77777777" w:rsidR="00315F21" w:rsidRDefault="00375C59" w:rsidP="00315F21">
      <w:pPr>
        <w:pStyle w:val="Heading1"/>
      </w:pPr>
      <w:r w:rsidRPr="006B77BB">
        <w:br w:type="page"/>
      </w:r>
      <w:bookmarkStart w:id="31" w:name="_Toc32847626"/>
      <w:bookmarkStart w:id="32" w:name="_Toc34216950"/>
      <w:r w:rsidR="00315F21">
        <w:lastRenderedPageBreak/>
        <w:t>What we heard</w:t>
      </w:r>
      <w:bookmarkEnd w:id="31"/>
      <w:bookmarkEnd w:id="32"/>
    </w:p>
    <w:tbl>
      <w:tblPr>
        <w:tblStyle w:val="TableGrid"/>
        <w:tblW w:w="8423"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423"/>
      </w:tblGrid>
      <w:tr w:rsidR="00E718DF" w14:paraId="2A4FE3AE" w14:textId="77777777" w:rsidTr="00573E83">
        <w:trPr>
          <w:trHeight w:val="5129"/>
        </w:trPr>
        <w:tc>
          <w:tcPr>
            <w:tcW w:w="8423" w:type="dxa"/>
            <w:shd w:val="clear" w:color="auto" w:fill="D2DDE2"/>
          </w:tcPr>
          <w:p w14:paraId="0648CC65" w14:textId="77777777" w:rsidR="00E718DF" w:rsidRPr="00345928" w:rsidRDefault="00E718DF" w:rsidP="00120A25">
            <w:pPr>
              <w:pStyle w:val="Blueboxheading"/>
            </w:pPr>
            <w:r>
              <w:t>Key findings</w:t>
            </w:r>
          </w:p>
          <w:p w14:paraId="31D5EEF2" w14:textId="7EE3AA3E" w:rsidR="00E718DF" w:rsidRDefault="0039786B" w:rsidP="00120A25">
            <w:pPr>
              <w:pStyle w:val="Blueboxtext"/>
            </w:pPr>
            <w:r>
              <w:t xml:space="preserve">Most </w:t>
            </w:r>
            <w:r w:rsidR="00E718DF">
              <w:t>submissions favoured a new mandatory, principles-based (comply-or-explain) disclosure requirement</w:t>
            </w:r>
            <w:r w:rsidR="00021521">
              <w:t>,</w:t>
            </w:r>
            <w:r w:rsidR="00E718DF">
              <w:t xml:space="preserve"> aligned with </w:t>
            </w:r>
            <w:r>
              <w:t xml:space="preserve">TCFD’s </w:t>
            </w:r>
            <w:r w:rsidR="00E718DF">
              <w:t xml:space="preserve">recommendations </w:t>
            </w:r>
            <w:r w:rsidR="00021521">
              <w:t xml:space="preserve">which </w:t>
            </w:r>
            <w:r>
              <w:t xml:space="preserve">were </w:t>
            </w:r>
            <w:r w:rsidR="00021521">
              <w:t xml:space="preserve">viewed </w:t>
            </w:r>
            <w:r w:rsidR="00E718DF">
              <w:t xml:space="preserve">as international best practice. </w:t>
            </w:r>
          </w:p>
          <w:p w14:paraId="773C92DA" w14:textId="7F2C3399" w:rsidR="00E718DF" w:rsidRDefault="00E718DF" w:rsidP="00120A25">
            <w:pPr>
              <w:pStyle w:val="Blueboxtext"/>
            </w:pPr>
            <w:r>
              <w:t>While most submitters agreed the disclosure requirements should apply to banks, insurers, listed issuers, asset managers and asset owners</w:t>
            </w:r>
            <w:r w:rsidR="00C254DC">
              <w:t xml:space="preserve"> (</w:t>
            </w:r>
            <w:r w:rsidR="00021521">
              <w:t>subject to a size threshold</w:t>
            </w:r>
            <w:r w:rsidR="00C254DC">
              <w:t>)</w:t>
            </w:r>
            <w:r>
              <w:t xml:space="preserve"> as proposed in the discussion document, many submitters also </w:t>
            </w:r>
            <w:r w:rsidR="006F22AE">
              <w:t xml:space="preserve">expressed support </w:t>
            </w:r>
            <w:r>
              <w:t xml:space="preserve">for expanding the scope to </w:t>
            </w:r>
            <w:r w:rsidR="00034905">
              <w:t>other</w:t>
            </w:r>
            <w:r>
              <w:t xml:space="preserve"> entities</w:t>
            </w:r>
            <w:r w:rsidR="0039786B">
              <w:t xml:space="preserve">. This included </w:t>
            </w:r>
            <w:r w:rsidR="00021521">
              <w:t>large non-listed entities and companies in sectors highly at risk from the impacts of climate change</w:t>
            </w:r>
            <w:r>
              <w:t xml:space="preserve">. </w:t>
            </w:r>
          </w:p>
          <w:p w14:paraId="69DAA656" w14:textId="4EA00BC7" w:rsidR="00C254DC" w:rsidRDefault="00C254DC" w:rsidP="00C254DC">
            <w:pPr>
              <w:pStyle w:val="Blueboxtext"/>
            </w:pPr>
            <w:r>
              <w:t xml:space="preserve">There was strong consensus assurance of disclosed information is currently not practicable, </w:t>
            </w:r>
            <w:r w:rsidR="0039786B">
              <w:t xml:space="preserve">and </w:t>
            </w:r>
            <w:r>
              <w:t xml:space="preserve">should be reviewed in future. The exception to this </w:t>
            </w:r>
            <w:r w:rsidR="00392048">
              <w:t xml:space="preserve">was </w:t>
            </w:r>
            <w:r>
              <w:t>greenhouse ga</w:t>
            </w:r>
            <w:r w:rsidR="006867CE">
              <w:t>s emission data, which respondent</w:t>
            </w:r>
            <w:r>
              <w:t>s</w:t>
            </w:r>
            <w:r w:rsidR="00021521">
              <w:t xml:space="preserve"> generally</w:t>
            </w:r>
            <w:r>
              <w:t xml:space="preserve"> felt could</w:t>
            </w:r>
            <w:r w:rsidR="00392048">
              <w:t>,</w:t>
            </w:r>
            <w:r>
              <w:t xml:space="preserve"> and should be</w:t>
            </w:r>
            <w:r w:rsidR="00392048">
              <w:t>,</w:t>
            </w:r>
            <w:r>
              <w:t xml:space="preserve"> assured. </w:t>
            </w:r>
          </w:p>
          <w:p w14:paraId="042C15E0" w14:textId="1C193FF2" w:rsidR="00E718DF" w:rsidRPr="00345928" w:rsidRDefault="00C254DC" w:rsidP="006F22AE">
            <w:pPr>
              <w:pStyle w:val="Blueboxtext"/>
            </w:pPr>
            <w:r>
              <w:t xml:space="preserve">There </w:t>
            </w:r>
            <w:r w:rsidR="006F22AE">
              <w:t>were more diverse</w:t>
            </w:r>
            <w:r w:rsidR="00021521">
              <w:t xml:space="preserve"> </w:t>
            </w:r>
            <w:r w:rsidR="00392048">
              <w:t xml:space="preserve">views </w:t>
            </w:r>
            <w:r>
              <w:t>on matters of design, such as how long a transition period should be and where the information should be disclosed.</w:t>
            </w:r>
            <w:r w:rsidR="00E718DF">
              <w:t xml:space="preserve"> </w:t>
            </w:r>
          </w:p>
        </w:tc>
      </w:tr>
    </w:tbl>
    <w:p w14:paraId="37825E69" w14:textId="77777777" w:rsidR="002D241C" w:rsidRDefault="002D241C" w:rsidP="00120A25">
      <w:pPr>
        <w:pStyle w:val="Heading2"/>
      </w:pPr>
      <w:bookmarkStart w:id="33" w:name="_Toc32847627"/>
    </w:p>
    <w:p w14:paraId="2869303F" w14:textId="77777777" w:rsidR="002D241C" w:rsidRDefault="002D241C">
      <w:pPr>
        <w:spacing w:before="0" w:after="200" w:line="276" w:lineRule="auto"/>
        <w:jc w:val="left"/>
        <w:rPr>
          <w:rFonts w:eastAsiaTheme="majorEastAsia" w:cstheme="majorBidi"/>
          <w:b/>
          <w:bCs/>
          <w:color w:val="0F7B7D"/>
          <w:sz w:val="36"/>
          <w:szCs w:val="26"/>
        </w:rPr>
      </w:pPr>
      <w:r>
        <w:br w:type="page"/>
      </w:r>
    </w:p>
    <w:p w14:paraId="55DE519E" w14:textId="1F6CB504" w:rsidR="00120A25" w:rsidRDefault="00120A25" w:rsidP="00120A25">
      <w:pPr>
        <w:pStyle w:val="Heading2"/>
      </w:pPr>
      <w:bookmarkStart w:id="34" w:name="_Toc34216951"/>
      <w:r>
        <w:lastRenderedPageBreak/>
        <w:t>Chapter 1: The context</w:t>
      </w:r>
      <w:bookmarkEnd w:id="33"/>
      <w:bookmarkEnd w:id="34"/>
      <w:r>
        <w:t xml:space="preserve"> </w:t>
      </w:r>
    </w:p>
    <w:p w14:paraId="4CEDF835" w14:textId="77777777" w:rsidR="00315F21" w:rsidRDefault="00315F21" w:rsidP="00E718DF">
      <w:pPr>
        <w:pStyle w:val="Heading3"/>
      </w:pPr>
      <w:bookmarkStart w:id="35" w:name="_Toc32847628"/>
      <w:r>
        <w:t>Q</w:t>
      </w:r>
      <w:r w:rsidR="0040420A">
        <w:t>.1</w:t>
      </w:r>
      <w:r w:rsidR="00E718DF" w:rsidRPr="00E718DF">
        <w:t xml:space="preserve"> Is the TCFD reporting framework the most appropriate framework for New Zealand?</w:t>
      </w:r>
      <w:bookmarkEnd w:id="35"/>
    </w:p>
    <w:p w14:paraId="6057F2FA" w14:textId="2CD95E34" w:rsidR="00C254DC" w:rsidRDefault="008677FB" w:rsidP="00E718DF">
      <w:pPr>
        <w:pStyle w:val="BodyText"/>
      </w:pPr>
      <w:r>
        <w:t>We received</w:t>
      </w:r>
      <w:r w:rsidR="00E718DF">
        <w:t xml:space="preserve"> </w:t>
      </w:r>
      <w:r w:rsidR="00575683">
        <w:t>50</w:t>
      </w:r>
      <w:r w:rsidR="00E718DF">
        <w:t xml:space="preserve"> responses to this question, </w:t>
      </w:r>
      <w:r>
        <w:t>with</w:t>
      </w:r>
      <w:r w:rsidR="005473D6">
        <w:t xml:space="preserve"> 8</w:t>
      </w:r>
      <w:r w:rsidR="00575683">
        <w:t>4</w:t>
      </w:r>
      <w:r w:rsidR="005473D6">
        <w:t xml:space="preserve"> per</w:t>
      </w:r>
      <w:r w:rsidR="00D46998">
        <w:t xml:space="preserve"> </w:t>
      </w:r>
      <w:r w:rsidR="005473D6">
        <w:t>cent of respondents (4</w:t>
      </w:r>
      <w:r w:rsidR="00575683">
        <w:t>2</w:t>
      </w:r>
      <w:r w:rsidR="005473D6">
        <w:t>)</w:t>
      </w:r>
      <w:r>
        <w:t xml:space="preserve"> agreeing</w:t>
      </w:r>
      <w:r w:rsidR="00E718DF">
        <w:t xml:space="preserve"> the TCFD framework is the most appropriate one for New Zealand. </w:t>
      </w:r>
    </w:p>
    <w:p w14:paraId="291145FA" w14:textId="77777777" w:rsidR="00E56D8C" w:rsidRDefault="00E718DF" w:rsidP="00E718DF">
      <w:pPr>
        <w:pStyle w:val="BodyText"/>
      </w:pPr>
      <w:r>
        <w:t>Common reasons given in support of the TCFD being the most appropriate framework included</w:t>
      </w:r>
      <w:r w:rsidR="00D46998">
        <w:t xml:space="preserve"> its</w:t>
      </w:r>
      <w:r>
        <w:t xml:space="preserve">: </w:t>
      </w:r>
    </w:p>
    <w:p w14:paraId="16B6438A" w14:textId="77777777" w:rsidR="00E56D8C" w:rsidRDefault="00E718DF" w:rsidP="00857B90">
      <w:pPr>
        <w:pStyle w:val="Bullet"/>
      </w:pPr>
      <w:r>
        <w:t>widespread in</w:t>
      </w:r>
      <w:r w:rsidR="00E56D8C">
        <w:t>ternational support and uptake</w:t>
      </w:r>
    </w:p>
    <w:p w14:paraId="6949D60E" w14:textId="77777777" w:rsidR="00E56D8C" w:rsidRDefault="00E718DF" w:rsidP="00857B90">
      <w:pPr>
        <w:pStyle w:val="Bullet"/>
      </w:pPr>
      <w:r>
        <w:t>comprehensi</w:t>
      </w:r>
      <w:r w:rsidR="00E56D8C">
        <w:t>ve, flexible and robust nature</w:t>
      </w:r>
    </w:p>
    <w:p w14:paraId="50A5B785" w14:textId="77777777" w:rsidR="00E56D8C" w:rsidRDefault="00E56D8C" w:rsidP="00857B90">
      <w:pPr>
        <w:pStyle w:val="Bullet"/>
      </w:pPr>
      <w:r>
        <w:t>ability to produce</w:t>
      </w:r>
      <w:r w:rsidR="00E718DF">
        <w:t xml:space="preserve"> comparable and consistent outp</w:t>
      </w:r>
      <w:r>
        <w:t>uts</w:t>
      </w:r>
    </w:p>
    <w:p w14:paraId="007E3A65" w14:textId="77777777" w:rsidR="00E718DF" w:rsidRDefault="00E718DF" w:rsidP="00857B90">
      <w:pPr>
        <w:pStyle w:val="Bullet"/>
      </w:pPr>
      <w:proofErr w:type="gramStart"/>
      <w:r>
        <w:t>industry-led</w:t>
      </w:r>
      <w:proofErr w:type="gramEnd"/>
      <w:r w:rsidR="00D46998">
        <w:t xml:space="preserve"> development</w:t>
      </w:r>
      <w:r>
        <w:t>.</w:t>
      </w:r>
    </w:p>
    <w:p w14:paraId="0592D657" w14:textId="2B532485" w:rsidR="00E718DF" w:rsidRDefault="006867CE" w:rsidP="00E718DF">
      <w:pPr>
        <w:pStyle w:val="BodyText"/>
      </w:pPr>
      <w:r>
        <w:t>Respondent</w:t>
      </w:r>
      <w:r w:rsidR="00E718DF">
        <w:t>s</w:t>
      </w:r>
      <w:r w:rsidR="00D46998">
        <w:t xml:space="preserve"> argued</w:t>
      </w:r>
      <w:r w:rsidR="00E718DF">
        <w:t xml:space="preserve"> taking a different approach would </w:t>
      </w:r>
      <w:r w:rsidR="00BB2439">
        <w:t>likely result in increased compliance cost</w:t>
      </w:r>
      <w:r w:rsidR="00E718DF">
        <w:t xml:space="preserve"> </w:t>
      </w:r>
      <w:r w:rsidR="00BB2439">
        <w:t xml:space="preserve">for </w:t>
      </w:r>
      <w:r w:rsidR="00E718DF">
        <w:t>New Zealand companies p</w:t>
      </w:r>
      <w:r w:rsidR="00E56D8C">
        <w:t>articipating in foreign markets</w:t>
      </w:r>
      <w:r w:rsidR="00392048">
        <w:t xml:space="preserve">. This would make </w:t>
      </w:r>
      <w:r w:rsidR="00BB2439">
        <w:t>those organisations less</w:t>
      </w:r>
      <w:r w:rsidR="00E718DF">
        <w:t xml:space="preserve"> attractive to international investors.</w:t>
      </w:r>
    </w:p>
    <w:p w14:paraId="6D356A12" w14:textId="67F4EB37" w:rsidR="00E718DF" w:rsidRDefault="006867CE" w:rsidP="00E718DF">
      <w:pPr>
        <w:pStyle w:val="BodyText"/>
      </w:pPr>
      <w:r>
        <w:t>However, respondent</w:t>
      </w:r>
      <w:r w:rsidR="00BB2439">
        <w:t>s pointed out the</w:t>
      </w:r>
      <w:r w:rsidR="00E718DF">
        <w:t xml:space="preserve"> TCFD approach is continuing to evolve, and any legislation must therefore ret</w:t>
      </w:r>
      <w:r w:rsidR="00BB2439">
        <w:t xml:space="preserve">ain flexibility to adapt to </w:t>
      </w:r>
      <w:r w:rsidR="00E718DF">
        <w:t>developments in international best practice</w:t>
      </w:r>
      <w:r w:rsidR="00BB2439">
        <w:t>.</w:t>
      </w:r>
    </w:p>
    <w:p w14:paraId="35332F28" w14:textId="13E9A000" w:rsidR="00E718DF" w:rsidRDefault="00E718DF" w:rsidP="00DF390A">
      <w:pPr>
        <w:pStyle w:val="BodyText"/>
        <w:spacing w:before="240"/>
      </w:pPr>
      <w:r>
        <w:t xml:space="preserve">Several </w:t>
      </w:r>
      <w:r w:rsidR="00EE266D">
        <w:t>submitters</w:t>
      </w:r>
      <w:r w:rsidR="00BB2439">
        <w:t xml:space="preserve"> noted the TCFD has a</w:t>
      </w:r>
      <w:r>
        <w:t xml:space="preserve"> narrow focus on climate issues</w:t>
      </w:r>
      <w:r w:rsidR="00392048">
        <w:t xml:space="preserve">. They </w:t>
      </w:r>
      <w:r>
        <w:t>suggested any</w:t>
      </w:r>
      <w:r w:rsidR="00BB2439">
        <w:t xml:space="preserve"> New Zealand reporting </w:t>
      </w:r>
      <w:r>
        <w:t xml:space="preserve">framework should </w:t>
      </w:r>
      <w:r w:rsidR="00BB2439">
        <w:t>enable the</w:t>
      </w:r>
      <w:r>
        <w:t xml:space="preserve"> integration of reporting </w:t>
      </w:r>
      <w:r w:rsidR="00392048">
        <w:t xml:space="preserve">of </w:t>
      </w:r>
      <w:r>
        <w:t>other</w:t>
      </w:r>
      <w:r w:rsidR="00857B90">
        <w:t xml:space="preserve"> environmental, social</w:t>
      </w:r>
      <w:r w:rsidR="00DF390A">
        <w:t xml:space="preserve"> and governance</w:t>
      </w:r>
      <w:r>
        <w:t xml:space="preserve"> </w:t>
      </w:r>
      <w:r w:rsidR="00DF390A">
        <w:t>(</w:t>
      </w:r>
      <w:r>
        <w:t>ESG factors and non-ESG risks to strengthen repo</w:t>
      </w:r>
      <w:r w:rsidR="00BB2439">
        <w:t>rting to stakeholders</w:t>
      </w:r>
      <w:r w:rsidR="00857B90">
        <w:t>)</w:t>
      </w:r>
      <w:r w:rsidR="00BB2439">
        <w:t xml:space="preserve">. </w:t>
      </w:r>
      <w:r>
        <w:t>Four respondents made the point the TCFD recommendations</w:t>
      </w:r>
      <w:r w:rsidR="00BB2439">
        <w:t xml:space="preserve"> are very high level, and therefore r</w:t>
      </w:r>
      <w:r>
        <w:t>equire a more sp</w:t>
      </w:r>
      <w:r w:rsidR="00BB2439">
        <w:t>ecific framework to give effect to reporting,</w:t>
      </w:r>
      <w:r>
        <w:t xml:space="preserve"> such as CDP</w:t>
      </w:r>
      <w:r w:rsidR="00845454">
        <w:t xml:space="preserve"> </w:t>
      </w:r>
      <w:r>
        <w:t>or Integrated Reporting</w:t>
      </w:r>
      <w:r w:rsidR="00BB2439">
        <w:t>.</w:t>
      </w:r>
    </w:p>
    <w:p w14:paraId="07A4DA71" w14:textId="7C2781A3" w:rsidR="00161A5C" w:rsidRDefault="00E718DF" w:rsidP="00161A5C">
      <w:pPr>
        <w:pStyle w:val="Heading3"/>
      </w:pPr>
      <w:bookmarkStart w:id="36" w:name="_Toc32847629"/>
      <w:r>
        <w:t>Q.2 Do you agree with the conclusions we have drawn at the end of chapter 1?</w:t>
      </w:r>
      <w:bookmarkEnd w:id="36"/>
    </w:p>
    <w:p w14:paraId="046F4DE3" w14:textId="77777777" w:rsidR="00FC543C" w:rsidRDefault="00FC543C" w:rsidP="00FC543C">
      <w:pPr>
        <w:pStyle w:val="Boxheading"/>
      </w:pPr>
      <w:r>
        <w:t>Conclusions</w:t>
      </w:r>
    </w:p>
    <w:p w14:paraId="3D0BB9C8" w14:textId="77777777" w:rsidR="00FC543C" w:rsidRDefault="00FC543C" w:rsidP="00FC543C">
      <w:pPr>
        <w:pStyle w:val="Box"/>
      </w:pPr>
      <w:r>
        <w:t xml:space="preserve">The discussion document set out the conclusions we had drawn through our contextual reading. These were: </w:t>
      </w:r>
    </w:p>
    <w:p w14:paraId="72E83631" w14:textId="56F02C43" w:rsidR="00FC543C" w:rsidRDefault="00FC543C" w:rsidP="00FC543C">
      <w:pPr>
        <w:pStyle w:val="Box"/>
      </w:pPr>
      <w:proofErr w:type="gramStart"/>
      <w:r w:rsidRPr="00FC543C">
        <w:rPr>
          <w:b/>
        </w:rPr>
        <w:t>48.1</w:t>
      </w:r>
      <w:r w:rsidR="00573E83">
        <w:t xml:space="preserve"> </w:t>
      </w:r>
      <w:r>
        <w:t xml:space="preserve"> Climate</w:t>
      </w:r>
      <w:proofErr w:type="gramEnd"/>
      <w:r>
        <w:t xml:space="preserve"> change presents material financial risks, both transitional and physical, to many businesses.</w:t>
      </w:r>
    </w:p>
    <w:p w14:paraId="5173F03C" w14:textId="3E931EA9" w:rsidR="00FC543C" w:rsidRDefault="00FC543C" w:rsidP="00FC543C">
      <w:pPr>
        <w:pStyle w:val="Box"/>
      </w:pPr>
      <w:proofErr w:type="gramStart"/>
      <w:r w:rsidRPr="00FC543C">
        <w:rPr>
          <w:b/>
        </w:rPr>
        <w:t>48.2</w:t>
      </w:r>
      <w:r w:rsidR="00573E83">
        <w:t xml:space="preserve"> </w:t>
      </w:r>
      <w:r>
        <w:t xml:space="preserve"> Responding</w:t>
      </w:r>
      <w:proofErr w:type="gramEnd"/>
      <w:r>
        <w:t xml:space="preserve"> to climate change presents investment opportunities in areas such as: renewable energy, energy efficiency, adaptation of infrastructure, and land use in farming and forestry.</w:t>
      </w:r>
    </w:p>
    <w:p w14:paraId="67D40024" w14:textId="42817F86" w:rsidR="00FC543C" w:rsidRDefault="00FC543C" w:rsidP="00FC543C">
      <w:pPr>
        <w:pStyle w:val="Box"/>
      </w:pPr>
      <w:proofErr w:type="gramStart"/>
      <w:r w:rsidRPr="00FC543C">
        <w:rPr>
          <w:b/>
        </w:rPr>
        <w:lastRenderedPageBreak/>
        <w:t>48.3</w:t>
      </w:r>
      <w:r w:rsidR="00573E83">
        <w:t xml:space="preserve"> </w:t>
      </w:r>
      <w:r>
        <w:t xml:space="preserve"> Climate</w:t>
      </w:r>
      <w:proofErr w:type="gramEnd"/>
      <w:r>
        <w:t xml:space="preserve"> change is not material to every company of scale. However, it is not possible to know that without first testing the proposition.</w:t>
      </w:r>
    </w:p>
    <w:p w14:paraId="4B1656D2" w14:textId="6A068D93" w:rsidR="00FC543C" w:rsidRDefault="00FC543C" w:rsidP="00FC543C">
      <w:pPr>
        <w:pStyle w:val="Box"/>
      </w:pPr>
      <w:proofErr w:type="gramStart"/>
      <w:r w:rsidRPr="00FC543C">
        <w:rPr>
          <w:b/>
        </w:rPr>
        <w:t>48.4</w:t>
      </w:r>
      <w:r w:rsidR="00573E83">
        <w:t xml:space="preserve"> </w:t>
      </w:r>
      <w:r>
        <w:t xml:space="preserve"> Businesses</w:t>
      </w:r>
      <w:proofErr w:type="gramEnd"/>
      <w:r>
        <w:t xml:space="preserve"> that identify and manage material climate-related information will be better placed to manage risks and seize opportunities.</w:t>
      </w:r>
    </w:p>
    <w:p w14:paraId="330D85CA" w14:textId="728147D7" w:rsidR="00FC543C" w:rsidRDefault="00FC543C" w:rsidP="00FC543C">
      <w:pPr>
        <w:pStyle w:val="Box"/>
      </w:pPr>
      <w:proofErr w:type="gramStart"/>
      <w:r w:rsidRPr="00FC543C">
        <w:rPr>
          <w:b/>
        </w:rPr>
        <w:t>48.5</w:t>
      </w:r>
      <w:r w:rsidR="00573E83">
        <w:t xml:space="preserve"> </w:t>
      </w:r>
      <w:r>
        <w:t xml:space="preserve"> Capital</w:t>
      </w:r>
      <w:proofErr w:type="gramEnd"/>
      <w:r>
        <w:t xml:space="preserve"> will be allocated more efficiently and profitably if entities disclose material climate-related risks and opportunities to investors.</w:t>
      </w:r>
    </w:p>
    <w:p w14:paraId="28D26582" w14:textId="002C9D32" w:rsidR="00FC543C" w:rsidRDefault="00FC543C" w:rsidP="00FC543C">
      <w:pPr>
        <w:pStyle w:val="Box"/>
      </w:pPr>
      <w:proofErr w:type="gramStart"/>
      <w:r w:rsidRPr="00FC543C">
        <w:rPr>
          <w:b/>
        </w:rPr>
        <w:t>48.6</w:t>
      </w:r>
      <w:r w:rsidR="00573E83">
        <w:t xml:space="preserve"> </w:t>
      </w:r>
      <w:r>
        <w:t xml:space="preserve"> Pressure</w:t>
      </w:r>
      <w:proofErr w:type="gramEnd"/>
      <w:r>
        <w:t xml:space="preserve"> is building from institutional investors for companies to make climate-related disclosures, and is likely to continue to increase.</w:t>
      </w:r>
    </w:p>
    <w:p w14:paraId="2A8CFEE0" w14:textId="25FC5F67" w:rsidR="00FC543C" w:rsidRDefault="00FC543C" w:rsidP="00FC543C">
      <w:pPr>
        <w:pStyle w:val="Box"/>
      </w:pPr>
      <w:proofErr w:type="gramStart"/>
      <w:r w:rsidRPr="00FC543C">
        <w:rPr>
          <w:b/>
        </w:rPr>
        <w:t>48.7</w:t>
      </w:r>
      <w:r w:rsidR="00573E83">
        <w:t xml:space="preserve"> </w:t>
      </w:r>
      <w:r>
        <w:t xml:space="preserve"> The</w:t>
      </w:r>
      <w:proofErr w:type="gramEnd"/>
      <w:r>
        <w:t xml:space="preserve"> TCFD recommendations have received widespread support and are considered best practice for climate-related financial reporting.</w:t>
      </w:r>
    </w:p>
    <w:p w14:paraId="7E1A9842" w14:textId="287DAB33" w:rsidR="00FC543C" w:rsidRDefault="00FC543C" w:rsidP="00FC543C">
      <w:pPr>
        <w:pStyle w:val="Box"/>
      </w:pPr>
      <w:proofErr w:type="gramStart"/>
      <w:r w:rsidRPr="00FC543C">
        <w:rPr>
          <w:b/>
        </w:rPr>
        <w:t>48.8</w:t>
      </w:r>
      <w:r w:rsidR="00573E83">
        <w:t xml:space="preserve"> </w:t>
      </w:r>
      <w:r>
        <w:t xml:space="preserve"> As</w:t>
      </w:r>
      <w:proofErr w:type="gramEnd"/>
      <w:r>
        <w:t xml:space="preserve"> the understanding of, and approaches to, climate-related issues improve, so too will the quality of climate-related financial reporting.</w:t>
      </w:r>
    </w:p>
    <w:p w14:paraId="12A54EEA" w14:textId="21F75EA9" w:rsidR="00FC543C" w:rsidRPr="00FC543C" w:rsidRDefault="00FC543C" w:rsidP="00FC543C">
      <w:pPr>
        <w:pStyle w:val="Box"/>
      </w:pPr>
      <w:proofErr w:type="gramStart"/>
      <w:r w:rsidRPr="00FC543C">
        <w:rPr>
          <w:b/>
        </w:rPr>
        <w:t>48.9</w:t>
      </w:r>
      <w:r w:rsidR="00573E83">
        <w:t xml:space="preserve"> </w:t>
      </w:r>
      <w:r>
        <w:t xml:space="preserve"> As</w:t>
      </w:r>
      <w:proofErr w:type="gramEnd"/>
      <w:r>
        <w:t xml:space="preserve"> the number of entities disclosing high quality, climate-related information increases, companies whose disclosures do not meet expectations will increasingly be subject to scrutiny from investors. Climate-related financial reporting will only be fully effective when the effects of climate change are routinely considered in business and investment decisions.</w:t>
      </w:r>
    </w:p>
    <w:p w14:paraId="69DCF623" w14:textId="77777777" w:rsidR="00BF450C" w:rsidRPr="00BF450C" w:rsidRDefault="00BF450C" w:rsidP="00FC543C">
      <w:pPr>
        <w:pStyle w:val="Box"/>
      </w:pPr>
    </w:p>
    <w:p w14:paraId="7AE03A34" w14:textId="53F1B069" w:rsidR="00AE5922" w:rsidRDefault="008677FB" w:rsidP="0058702C">
      <w:pPr>
        <w:pStyle w:val="BodyText"/>
      </w:pPr>
      <w:r>
        <w:t>We received 4</w:t>
      </w:r>
      <w:r w:rsidR="005F06AA">
        <w:t>6</w:t>
      </w:r>
      <w:r w:rsidR="0058702C">
        <w:t xml:space="preserve"> </w:t>
      </w:r>
      <w:r>
        <w:t xml:space="preserve">responses to this question, with </w:t>
      </w:r>
      <w:r w:rsidR="00575683">
        <w:t>6</w:t>
      </w:r>
      <w:r w:rsidR="005F06AA">
        <w:t>1</w:t>
      </w:r>
      <w:r w:rsidR="0081674D">
        <w:t xml:space="preserve"> </w:t>
      </w:r>
      <w:r w:rsidR="00FF51E4">
        <w:t>per cent</w:t>
      </w:r>
      <w:r w:rsidR="000354F5">
        <w:t xml:space="preserve"> of respondents</w:t>
      </w:r>
      <w:r w:rsidR="0058702C">
        <w:t xml:space="preserve"> </w:t>
      </w:r>
      <w:r w:rsidR="000354F5">
        <w:t>(</w:t>
      </w:r>
      <w:r w:rsidR="0058702C">
        <w:t>2</w:t>
      </w:r>
      <w:r w:rsidR="005F06AA">
        <w:t>7</w:t>
      </w:r>
      <w:r w:rsidR="000354F5">
        <w:t>)</w:t>
      </w:r>
      <w:r>
        <w:t xml:space="preserve"> agreeing</w:t>
      </w:r>
      <w:r w:rsidR="0058702C">
        <w:t xml:space="preserve"> with the conclusions d</w:t>
      </w:r>
      <w:r w:rsidR="009207EB">
        <w:t xml:space="preserve">rawn at the end of </w:t>
      </w:r>
      <w:r w:rsidR="00A2059E">
        <w:t>C</w:t>
      </w:r>
      <w:r w:rsidR="009207EB">
        <w:t xml:space="preserve">hapter 1. </w:t>
      </w:r>
      <w:r w:rsidR="0058702C">
        <w:t>Common r</w:t>
      </w:r>
      <w:r w:rsidR="00424A32">
        <w:t>easons given for supporting</w:t>
      </w:r>
      <w:r w:rsidR="0058702C">
        <w:t xml:space="preserve"> conclusions included: </w:t>
      </w:r>
    </w:p>
    <w:p w14:paraId="0725D3F5" w14:textId="77777777" w:rsidR="00AE5922" w:rsidRPr="00392048" w:rsidRDefault="0058702C" w:rsidP="00857B90">
      <w:pPr>
        <w:pStyle w:val="Bullet"/>
      </w:pPr>
      <w:r w:rsidRPr="00392048">
        <w:t>companies must respond to grow</w:t>
      </w:r>
      <w:r w:rsidR="00AE5922" w:rsidRPr="00392048">
        <w:t>ing public pressure to disclose</w:t>
      </w:r>
      <w:r w:rsidRPr="00392048">
        <w:t xml:space="preserve"> </w:t>
      </w:r>
    </w:p>
    <w:p w14:paraId="5141033E" w14:textId="77777777" w:rsidR="00AE5922" w:rsidRPr="00392048" w:rsidRDefault="00424A32" w:rsidP="00857B90">
      <w:pPr>
        <w:pStyle w:val="Bullet"/>
      </w:pPr>
      <w:r w:rsidRPr="00392048">
        <w:t>enabling the incorporation of</w:t>
      </w:r>
      <w:r w:rsidR="0058702C" w:rsidRPr="00392048">
        <w:t xml:space="preserve"> broader me</w:t>
      </w:r>
      <w:r w:rsidRPr="00392048">
        <w:t>trics in evaluating investments</w:t>
      </w:r>
      <w:r w:rsidR="0058702C" w:rsidRPr="00392048">
        <w:t xml:space="preserve"> </w:t>
      </w:r>
    </w:p>
    <w:p w14:paraId="462645ED" w14:textId="77777777" w:rsidR="00AE5922" w:rsidRPr="00392048" w:rsidRDefault="0058702C" w:rsidP="00857B90">
      <w:pPr>
        <w:pStyle w:val="Bullet"/>
      </w:pPr>
      <w:r w:rsidRPr="00392048">
        <w:t>N</w:t>
      </w:r>
      <w:r w:rsidR="006E1202" w:rsidRPr="00392048">
        <w:t xml:space="preserve">ew </w:t>
      </w:r>
      <w:r w:rsidRPr="00392048">
        <w:t>Z</w:t>
      </w:r>
      <w:r w:rsidR="006E1202" w:rsidRPr="00392048">
        <w:t>ealand</w:t>
      </w:r>
      <w:r w:rsidRPr="00392048">
        <w:t xml:space="preserve"> can benefit</w:t>
      </w:r>
      <w:r w:rsidR="00AE5922" w:rsidRPr="00392048">
        <w:t xml:space="preserve"> from being ahead of the pack</w:t>
      </w:r>
      <w:r w:rsidRPr="00392048">
        <w:t xml:space="preserve"> </w:t>
      </w:r>
    </w:p>
    <w:p w14:paraId="45557E39" w14:textId="77777777" w:rsidR="0058702C" w:rsidRPr="00392048" w:rsidRDefault="0058702C" w:rsidP="00857B90">
      <w:pPr>
        <w:pStyle w:val="Bullet"/>
      </w:pPr>
      <w:r w:rsidRPr="00392048">
        <w:t xml:space="preserve">climate-related financial reporting aids companies in managing internal climate </w:t>
      </w:r>
      <w:r w:rsidR="00424A32" w:rsidRPr="00392048">
        <w:t>related risks and opportunities</w:t>
      </w:r>
    </w:p>
    <w:p w14:paraId="7BD82479" w14:textId="63D3B2D7" w:rsidR="0058702C" w:rsidRDefault="008677FB" w:rsidP="009150FD">
      <w:pPr>
        <w:pStyle w:val="BodyText"/>
      </w:pPr>
      <w:r>
        <w:t>An additional 24</w:t>
      </w:r>
      <w:r w:rsidR="005473D6">
        <w:t xml:space="preserve"> per cent</w:t>
      </w:r>
      <w:r w:rsidR="009150FD">
        <w:t xml:space="preserve"> of respondents (11) agreed with every conclusion aside from paragraph 48.3: “</w:t>
      </w:r>
      <w:r w:rsidR="009150FD" w:rsidRPr="006E1202">
        <w:t>Climate change is not material to every company of scale. However, it is not possible to know that withou</w:t>
      </w:r>
      <w:r w:rsidR="009150FD">
        <w:t>t first testing the proposition”,</w:t>
      </w:r>
      <w:r w:rsidR="0058702C">
        <w:t xml:space="preserve"> </w:t>
      </w:r>
      <w:r w:rsidR="00591BF3">
        <w:t xml:space="preserve">noting </w:t>
      </w:r>
      <w:r w:rsidR="0058702C">
        <w:t>that in the long term, climate change is a material risk to every company regardless of size for the following reasons:</w:t>
      </w:r>
    </w:p>
    <w:p w14:paraId="2DFC3902" w14:textId="02F69DAD" w:rsidR="0058702C" w:rsidRDefault="00392048" w:rsidP="00857B90">
      <w:pPr>
        <w:pStyle w:val="Bullet"/>
      </w:pPr>
      <w:r>
        <w:t>T</w:t>
      </w:r>
      <w:r w:rsidR="0058702C">
        <w:t>he interconnectedness of companies through upstream and downstream activities</w:t>
      </w:r>
      <w:r w:rsidR="008677FB">
        <w:t>, such as suppliers,</w:t>
      </w:r>
      <w:r w:rsidR="0058702C">
        <w:t xml:space="preserve"> will </w:t>
      </w:r>
      <w:r w:rsidR="0058702C" w:rsidRPr="0058702C">
        <w:t>result</w:t>
      </w:r>
      <w:r w:rsidR="0058702C">
        <w:t xml:space="preserve"> in climate change being material to every company. </w:t>
      </w:r>
    </w:p>
    <w:p w14:paraId="4023CFBA" w14:textId="77777777" w:rsidR="008653CA" w:rsidRDefault="008653CA" w:rsidP="00857B90">
      <w:pPr>
        <w:pStyle w:val="Bullet"/>
      </w:pPr>
      <w:r>
        <w:t xml:space="preserve">The systemic risk of climate change has wide ranging implications which will affect all businesses. </w:t>
      </w:r>
    </w:p>
    <w:p w14:paraId="38E4EFC8" w14:textId="77777777" w:rsidR="0058702C" w:rsidRDefault="0058702C" w:rsidP="00857B90">
      <w:pPr>
        <w:pStyle w:val="Bullet"/>
      </w:pPr>
      <w:r>
        <w:t xml:space="preserve">While climate change impacts may not be material to every business in the near term, the future impacts cannot be known with certainty. </w:t>
      </w:r>
    </w:p>
    <w:p w14:paraId="41CFA3FF" w14:textId="46FED43A" w:rsidR="006E1202" w:rsidRPr="006E1202" w:rsidRDefault="00C40607" w:rsidP="00A91D68">
      <w:pPr>
        <w:pStyle w:val="BodyText"/>
        <w:rPr>
          <w:vanish/>
        </w:rPr>
      </w:pPr>
      <w:r>
        <w:lastRenderedPageBreak/>
        <w:t xml:space="preserve">A few submitters </w:t>
      </w:r>
      <w:r w:rsidR="00392048">
        <w:t>also opposed</w:t>
      </w:r>
      <w:r>
        <w:t xml:space="preserve"> p</w:t>
      </w:r>
      <w:r w:rsidR="006E1202">
        <w:t>aragraphs</w:t>
      </w:r>
      <w:r w:rsidR="006E1202" w:rsidRPr="00521237">
        <w:t xml:space="preserve"> </w:t>
      </w:r>
      <w:r w:rsidR="0058702C" w:rsidRPr="00521237">
        <w:t>48.8 and 48.</w:t>
      </w:r>
      <w:r w:rsidR="00161A5C">
        <w:t>9.</w:t>
      </w:r>
      <w:r w:rsidR="006E1202">
        <w:t xml:space="preserve"> </w:t>
      </w:r>
    </w:p>
    <w:p w14:paraId="55D34D65" w14:textId="77777777" w:rsidR="006E1202" w:rsidRPr="006E1202" w:rsidRDefault="006E1202" w:rsidP="00A91D68">
      <w:pPr>
        <w:pStyle w:val="BodyText"/>
        <w:rPr>
          <w:vanish/>
        </w:rPr>
      </w:pPr>
    </w:p>
    <w:p w14:paraId="264CFAC7" w14:textId="77777777" w:rsidR="006E1202" w:rsidRPr="006E1202" w:rsidRDefault="006E1202" w:rsidP="00A91D68">
      <w:pPr>
        <w:pStyle w:val="BodyText"/>
        <w:rPr>
          <w:vanish/>
        </w:rPr>
      </w:pPr>
    </w:p>
    <w:p w14:paraId="723D6B06" w14:textId="77777777" w:rsidR="006E1202" w:rsidRPr="006E1202" w:rsidRDefault="006E1202" w:rsidP="00A91D68">
      <w:pPr>
        <w:pStyle w:val="BodyText"/>
        <w:rPr>
          <w:vanish/>
        </w:rPr>
      </w:pPr>
    </w:p>
    <w:p w14:paraId="393FB101" w14:textId="77777777" w:rsidR="006E1202" w:rsidRPr="006E1202" w:rsidRDefault="006E1202" w:rsidP="00A91D68">
      <w:pPr>
        <w:pStyle w:val="BodyText"/>
        <w:rPr>
          <w:vanish/>
        </w:rPr>
      </w:pPr>
    </w:p>
    <w:p w14:paraId="5B763586" w14:textId="77777777" w:rsidR="006E1202" w:rsidRPr="006E1202" w:rsidRDefault="006E1202" w:rsidP="00A91D68">
      <w:pPr>
        <w:pStyle w:val="BodyText"/>
        <w:rPr>
          <w:vanish/>
        </w:rPr>
      </w:pPr>
    </w:p>
    <w:p w14:paraId="60F03E6E" w14:textId="77777777" w:rsidR="006E1202" w:rsidRPr="006E1202" w:rsidRDefault="006E1202" w:rsidP="00A91D68">
      <w:pPr>
        <w:pStyle w:val="BodyText"/>
        <w:rPr>
          <w:vanish/>
        </w:rPr>
      </w:pPr>
    </w:p>
    <w:p w14:paraId="7B97D940" w14:textId="77777777" w:rsidR="006E1202" w:rsidRPr="006E1202" w:rsidRDefault="006E1202" w:rsidP="00A91D68">
      <w:pPr>
        <w:pStyle w:val="BodyText"/>
        <w:rPr>
          <w:vanish/>
        </w:rPr>
      </w:pPr>
    </w:p>
    <w:p w14:paraId="0B765D8C" w14:textId="77777777" w:rsidR="006E1202" w:rsidRPr="006E1202" w:rsidRDefault="006E1202" w:rsidP="00A91D68">
      <w:pPr>
        <w:pStyle w:val="BodyText"/>
        <w:rPr>
          <w:vanish/>
        </w:rPr>
      </w:pPr>
    </w:p>
    <w:p w14:paraId="56EF698C" w14:textId="77777777" w:rsidR="006E1202" w:rsidRPr="006E1202" w:rsidRDefault="006E1202" w:rsidP="00A91D68">
      <w:pPr>
        <w:pStyle w:val="BodyText"/>
        <w:rPr>
          <w:vanish/>
        </w:rPr>
      </w:pPr>
    </w:p>
    <w:p w14:paraId="39B107B6" w14:textId="77777777" w:rsidR="006E1202" w:rsidRPr="006E1202" w:rsidRDefault="006E1202" w:rsidP="00A91D68">
      <w:pPr>
        <w:pStyle w:val="BodyText"/>
        <w:rPr>
          <w:vanish/>
        </w:rPr>
      </w:pPr>
    </w:p>
    <w:p w14:paraId="5781A184" w14:textId="77777777" w:rsidR="006E1202" w:rsidRPr="006E1202" w:rsidRDefault="006E1202" w:rsidP="00A91D68">
      <w:pPr>
        <w:pStyle w:val="BodyText"/>
        <w:rPr>
          <w:vanish/>
        </w:rPr>
      </w:pPr>
    </w:p>
    <w:p w14:paraId="231E1AF9" w14:textId="77777777" w:rsidR="006E1202" w:rsidRPr="006E1202" w:rsidRDefault="006E1202" w:rsidP="00A91D68">
      <w:pPr>
        <w:pStyle w:val="BodyText"/>
        <w:rPr>
          <w:vanish/>
        </w:rPr>
      </w:pPr>
    </w:p>
    <w:p w14:paraId="54FD8A03" w14:textId="77777777" w:rsidR="006E1202" w:rsidRPr="006E1202" w:rsidRDefault="006E1202" w:rsidP="00A91D68">
      <w:pPr>
        <w:pStyle w:val="BodyText"/>
        <w:rPr>
          <w:vanish/>
        </w:rPr>
      </w:pPr>
    </w:p>
    <w:p w14:paraId="1DA480D7" w14:textId="77777777" w:rsidR="006E1202" w:rsidRPr="006E1202" w:rsidRDefault="006E1202" w:rsidP="00A91D68">
      <w:pPr>
        <w:pStyle w:val="BodyText"/>
        <w:rPr>
          <w:vanish/>
        </w:rPr>
      </w:pPr>
    </w:p>
    <w:p w14:paraId="4AEF7339" w14:textId="77777777" w:rsidR="006E1202" w:rsidRPr="006E1202" w:rsidRDefault="006E1202" w:rsidP="00A91D68">
      <w:pPr>
        <w:pStyle w:val="BodyText"/>
        <w:rPr>
          <w:vanish/>
        </w:rPr>
      </w:pPr>
    </w:p>
    <w:p w14:paraId="5F24379C" w14:textId="77777777" w:rsidR="006E1202" w:rsidRPr="006E1202" w:rsidRDefault="006E1202" w:rsidP="00A91D68">
      <w:pPr>
        <w:pStyle w:val="BodyText"/>
        <w:rPr>
          <w:vanish/>
        </w:rPr>
      </w:pPr>
    </w:p>
    <w:p w14:paraId="0B7636B7" w14:textId="77777777" w:rsidR="006E1202" w:rsidRPr="006E1202" w:rsidRDefault="006E1202" w:rsidP="00A91D68">
      <w:pPr>
        <w:pStyle w:val="BodyText"/>
        <w:rPr>
          <w:vanish/>
        </w:rPr>
      </w:pPr>
    </w:p>
    <w:p w14:paraId="511DB231" w14:textId="77777777" w:rsidR="006E1202" w:rsidRPr="006E1202" w:rsidRDefault="006E1202" w:rsidP="00A91D68">
      <w:pPr>
        <w:pStyle w:val="BodyText"/>
        <w:rPr>
          <w:vanish/>
        </w:rPr>
      </w:pPr>
    </w:p>
    <w:p w14:paraId="7B49E5FA" w14:textId="77777777" w:rsidR="006E1202" w:rsidRPr="006E1202" w:rsidRDefault="006E1202" w:rsidP="00A91D68">
      <w:pPr>
        <w:pStyle w:val="BodyText"/>
        <w:rPr>
          <w:vanish/>
        </w:rPr>
      </w:pPr>
    </w:p>
    <w:p w14:paraId="5D08A267" w14:textId="77777777" w:rsidR="006E1202" w:rsidRPr="006E1202" w:rsidRDefault="006E1202" w:rsidP="00A91D68">
      <w:pPr>
        <w:pStyle w:val="BodyText"/>
        <w:rPr>
          <w:vanish/>
        </w:rPr>
      </w:pPr>
    </w:p>
    <w:p w14:paraId="2F4B298D" w14:textId="77777777" w:rsidR="006E1202" w:rsidRPr="006E1202" w:rsidRDefault="006E1202" w:rsidP="00A91D68">
      <w:pPr>
        <w:pStyle w:val="BodyText"/>
        <w:rPr>
          <w:vanish/>
        </w:rPr>
      </w:pPr>
    </w:p>
    <w:p w14:paraId="7185E1C8" w14:textId="77777777" w:rsidR="006E1202" w:rsidRPr="006E1202" w:rsidRDefault="006E1202" w:rsidP="00A91D68">
      <w:pPr>
        <w:pStyle w:val="BodyText"/>
        <w:rPr>
          <w:vanish/>
        </w:rPr>
      </w:pPr>
    </w:p>
    <w:p w14:paraId="3833B483" w14:textId="77777777" w:rsidR="006E1202" w:rsidRPr="006E1202" w:rsidRDefault="006E1202" w:rsidP="00A91D68">
      <w:pPr>
        <w:pStyle w:val="BodyText"/>
        <w:rPr>
          <w:vanish/>
        </w:rPr>
      </w:pPr>
    </w:p>
    <w:p w14:paraId="32A0CCFF" w14:textId="77777777" w:rsidR="006E1202" w:rsidRPr="006E1202" w:rsidRDefault="006E1202" w:rsidP="00A91D68">
      <w:pPr>
        <w:pStyle w:val="BodyText"/>
        <w:rPr>
          <w:vanish/>
        </w:rPr>
      </w:pPr>
    </w:p>
    <w:p w14:paraId="5DE53072" w14:textId="77777777" w:rsidR="006E1202" w:rsidRPr="006E1202" w:rsidRDefault="006E1202" w:rsidP="00A91D68">
      <w:pPr>
        <w:pStyle w:val="BodyText"/>
        <w:rPr>
          <w:vanish/>
        </w:rPr>
      </w:pPr>
    </w:p>
    <w:p w14:paraId="3C806F23" w14:textId="77777777" w:rsidR="006E1202" w:rsidRPr="006E1202" w:rsidRDefault="006E1202" w:rsidP="00A91D68">
      <w:pPr>
        <w:pStyle w:val="BodyText"/>
        <w:rPr>
          <w:vanish/>
        </w:rPr>
      </w:pPr>
    </w:p>
    <w:p w14:paraId="263476DF" w14:textId="77777777" w:rsidR="006E1202" w:rsidRPr="006E1202" w:rsidRDefault="006E1202" w:rsidP="00A91D68">
      <w:pPr>
        <w:pStyle w:val="BodyText"/>
        <w:rPr>
          <w:vanish/>
        </w:rPr>
      </w:pPr>
    </w:p>
    <w:p w14:paraId="45C104BB" w14:textId="77777777" w:rsidR="006E1202" w:rsidRPr="006E1202" w:rsidRDefault="006E1202" w:rsidP="00A91D68">
      <w:pPr>
        <w:pStyle w:val="BodyText"/>
        <w:rPr>
          <w:vanish/>
        </w:rPr>
      </w:pPr>
    </w:p>
    <w:p w14:paraId="18DF4ADC" w14:textId="77777777" w:rsidR="006E1202" w:rsidRPr="006E1202" w:rsidRDefault="006E1202" w:rsidP="00A91D68">
      <w:pPr>
        <w:pStyle w:val="BodyText"/>
        <w:rPr>
          <w:vanish/>
        </w:rPr>
      </w:pPr>
    </w:p>
    <w:p w14:paraId="494793FE" w14:textId="77777777" w:rsidR="006E1202" w:rsidRPr="006E1202" w:rsidRDefault="006E1202" w:rsidP="00A91D68">
      <w:pPr>
        <w:pStyle w:val="BodyText"/>
        <w:rPr>
          <w:vanish/>
        </w:rPr>
      </w:pPr>
    </w:p>
    <w:p w14:paraId="5A054858" w14:textId="77777777" w:rsidR="006E1202" w:rsidRPr="006E1202" w:rsidRDefault="006E1202" w:rsidP="00A91D68">
      <w:pPr>
        <w:pStyle w:val="BodyText"/>
        <w:rPr>
          <w:vanish/>
        </w:rPr>
      </w:pPr>
    </w:p>
    <w:p w14:paraId="17B54657" w14:textId="77777777" w:rsidR="006E1202" w:rsidRPr="006E1202" w:rsidRDefault="006E1202" w:rsidP="00A91D68">
      <w:pPr>
        <w:pStyle w:val="BodyText"/>
        <w:rPr>
          <w:vanish/>
        </w:rPr>
      </w:pPr>
    </w:p>
    <w:p w14:paraId="20584070" w14:textId="77777777" w:rsidR="006E1202" w:rsidRPr="006E1202" w:rsidRDefault="006E1202" w:rsidP="00A91D68">
      <w:pPr>
        <w:pStyle w:val="BodyText"/>
        <w:rPr>
          <w:vanish/>
        </w:rPr>
      </w:pPr>
    </w:p>
    <w:p w14:paraId="74ACD171" w14:textId="77777777" w:rsidR="006E1202" w:rsidRPr="006E1202" w:rsidRDefault="006E1202" w:rsidP="00A91D68">
      <w:pPr>
        <w:pStyle w:val="BodyText"/>
        <w:rPr>
          <w:vanish/>
        </w:rPr>
      </w:pPr>
    </w:p>
    <w:p w14:paraId="24EBC434" w14:textId="77777777" w:rsidR="006E1202" w:rsidRPr="006E1202" w:rsidRDefault="006E1202" w:rsidP="00A91D68">
      <w:pPr>
        <w:pStyle w:val="BodyText"/>
        <w:rPr>
          <w:vanish/>
        </w:rPr>
      </w:pPr>
    </w:p>
    <w:p w14:paraId="03D2C4F4" w14:textId="77777777" w:rsidR="006E1202" w:rsidRPr="006E1202" w:rsidRDefault="006E1202" w:rsidP="00A91D68">
      <w:pPr>
        <w:pStyle w:val="BodyText"/>
        <w:rPr>
          <w:vanish/>
        </w:rPr>
      </w:pPr>
    </w:p>
    <w:p w14:paraId="47DA71BF" w14:textId="77777777" w:rsidR="006E1202" w:rsidRPr="006E1202" w:rsidRDefault="006E1202" w:rsidP="00A91D68">
      <w:pPr>
        <w:pStyle w:val="BodyText"/>
        <w:rPr>
          <w:vanish/>
        </w:rPr>
      </w:pPr>
    </w:p>
    <w:p w14:paraId="224A9391" w14:textId="77777777" w:rsidR="006E1202" w:rsidRPr="006E1202" w:rsidRDefault="006E1202" w:rsidP="00A91D68">
      <w:pPr>
        <w:pStyle w:val="BodyText"/>
        <w:rPr>
          <w:vanish/>
        </w:rPr>
      </w:pPr>
    </w:p>
    <w:p w14:paraId="220BD9B9" w14:textId="77777777" w:rsidR="006E1202" w:rsidRPr="006E1202" w:rsidRDefault="006E1202" w:rsidP="00A91D68">
      <w:pPr>
        <w:pStyle w:val="BodyText"/>
        <w:rPr>
          <w:vanish/>
        </w:rPr>
      </w:pPr>
    </w:p>
    <w:p w14:paraId="3BAC62F4" w14:textId="77777777" w:rsidR="006E1202" w:rsidRPr="006E1202" w:rsidRDefault="006E1202" w:rsidP="00A91D68">
      <w:pPr>
        <w:pStyle w:val="BodyText"/>
        <w:rPr>
          <w:vanish/>
        </w:rPr>
      </w:pPr>
    </w:p>
    <w:p w14:paraId="5F5CEED3" w14:textId="77777777" w:rsidR="006E1202" w:rsidRPr="006E1202" w:rsidRDefault="006E1202" w:rsidP="00A91D68">
      <w:pPr>
        <w:pStyle w:val="BodyText"/>
        <w:rPr>
          <w:vanish/>
        </w:rPr>
      </w:pPr>
    </w:p>
    <w:p w14:paraId="0B42F9BC" w14:textId="77777777" w:rsidR="006E1202" w:rsidRPr="006E1202" w:rsidRDefault="006E1202" w:rsidP="00A91D68">
      <w:pPr>
        <w:pStyle w:val="BodyText"/>
        <w:rPr>
          <w:vanish/>
        </w:rPr>
      </w:pPr>
    </w:p>
    <w:p w14:paraId="2373560C" w14:textId="77777777" w:rsidR="006E1202" w:rsidRPr="006E1202" w:rsidRDefault="006E1202" w:rsidP="00A91D68">
      <w:pPr>
        <w:pStyle w:val="BodyText"/>
        <w:rPr>
          <w:vanish/>
        </w:rPr>
      </w:pPr>
    </w:p>
    <w:p w14:paraId="1AB8DF68" w14:textId="77777777" w:rsidR="006E1202" w:rsidRPr="006E1202" w:rsidRDefault="006E1202" w:rsidP="00A91D68">
      <w:pPr>
        <w:pStyle w:val="BodyText"/>
        <w:rPr>
          <w:vanish/>
        </w:rPr>
      </w:pPr>
    </w:p>
    <w:p w14:paraId="415F527A" w14:textId="77777777" w:rsidR="006E1202" w:rsidRPr="006E1202" w:rsidRDefault="006E1202" w:rsidP="00A91D68">
      <w:pPr>
        <w:pStyle w:val="BodyText"/>
        <w:rPr>
          <w:vanish/>
        </w:rPr>
      </w:pPr>
    </w:p>
    <w:p w14:paraId="00EBE6EB" w14:textId="77777777" w:rsidR="006E1202" w:rsidRPr="006E1202" w:rsidRDefault="006E1202" w:rsidP="00A91D68">
      <w:pPr>
        <w:pStyle w:val="BodyText"/>
        <w:rPr>
          <w:vanish/>
        </w:rPr>
      </w:pPr>
    </w:p>
    <w:p w14:paraId="75067B9E" w14:textId="77777777" w:rsidR="006E1202" w:rsidRPr="006E1202" w:rsidRDefault="006E1202" w:rsidP="00A91D68">
      <w:pPr>
        <w:pStyle w:val="BodyText"/>
        <w:rPr>
          <w:vanish/>
        </w:rPr>
      </w:pPr>
    </w:p>
    <w:p w14:paraId="14C149B9" w14:textId="77777777" w:rsidR="006E1202" w:rsidRPr="006E1202" w:rsidRDefault="006E1202" w:rsidP="00A91D68">
      <w:pPr>
        <w:pStyle w:val="BodyText"/>
        <w:rPr>
          <w:vanish/>
        </w:rPr>
      </w:pPr>
    </w:p>
    <w:p w14:paraId="5635FDD2" w14:textId="77777777" w:rsidR="006E1202" w:rsidRPr="006E1202" w:rsidRDefault="006E1202" w:rsidP="00A91D68">
      <w:pPr>
        <w:pStyle w:val="BodyText"/>
        <w:rPr>
          <w:vanish/>
        </w:rPr>
      </w:pPr>
    </w:p>
    <w:p w14:paraId="7057434B" w14:textId="77777777" w:rsidR="006E1202" w:rsidRPr="006E1202" w:rsidRDefault="006E1202" w:rsidP="00A91D68">
      <w:pPr>
        <w:pStyle w:val="BodyText"/>
        <w:rPr>
          <w:vanish/>
        </w:rPr>
      </w:pPr>
    </w:p>
    <w:p w14:paraId="5EBD8490" w14:textId="77777777" w:rsidR="006E1202" w:rsidRPr="006E1202" w:rsidRDefault="006E1202" w:rsidP="00A91D68">
      <w:pPr>
        <w:pStyle w:val="BodyText"/>
        <w:rPr>
          <w:vanish/>
        </w:rPr>
      </w:pPr>
    </w:p>
    <w:p w14:paraId="27936CF1" w14:textId="77777777" w:rsidR="006E1202" w:rsidRPr="006E1202" w:rsidRDefault="006E1202" w:rsidP="00A91D68">
      <w:pPr>
        <w:pStyle w:val="BodyText"/>
        <w:rPr>
          <w:vanish/>
        </w:rPr>
      </w:pPr>
    </w:p>
    <w:p w14:paraId="5DC73137" w14:textId="77777777" w:rsidR="006E1202" w:rsidRPr="006E1202" w:rsidRDefault="006E1202" w:rsidP="00A91D68">
      <w:pPr>
        <w:pStyle w:val="BodyText"/>
        <w:rPr>
          <w:vanish/>
        </w:rPr>
      </w:pPr>
    </w:p>
    <w:p w14:paraId="3DB7F8C0" w14:textId="77777777" w:rsidR="006E1202" w:rsidRPr="006E1202" w:rsidRDefault="006E1202" w:rsidP="00A91D68">
      <w:pPr>
        <w:pStyle w:val="BodyText"/>
        <w:rPr>
          <w:vanish/>
        </w:rPr>
      </w:pPr>
    </w:p>
    <w:p w14:paraId="55CEBB8F" w14:textId="1BC5A0AE" w:rsidR="00161A5C" w:rsidRDefault="0058702C" w:rsidP="00521237">
      <w:pPr>
        <w:pStyle w:val="BodyText"/>
      </w:pPr>
      <w:r w:rsidRPr="00521237">
        <w:t xml:space="preserve">These responses felt investor pressure </w:t>
      </w:r>
      <w:r w:rsidR="008653CA" w:rsidRPr="00521237">
        <w:t xml:space="preserve">alone </w:t>
      </w:r>
      <w:r w:rsidRPr="00521237">
        <w:t xml:space="preserve">was insufficient to improve the quality of climate-related financial reporting. </w:t>
      </w:r>
      <w:r w:rsidR="001A12E6" w:rsidRPr="00521237">
        <w:t xml:space="preserve">Several </w:t>
      </w:r>
      <w:r w:rsidR="00392048">
        <w:t>g</w:t>
      </w:r>
      <w:r w:rsidR="001A12E6" w:rsidRPr="00521237">
        <w:t>overnment</w:t>
      </w:r>
      <w:r w:rsidR="006E1202">
        <w:t>-</w:t>
      </w:r>
      <w:r w:rsidR="001A12E6" w:rsidRPr="00521237">
        <w:t>led actions were proposed to improve quality</w:t>
      </w:r>
      <w:r w:rsidR="006E1202">
        <w:t>,</w:t>
      </w:r>
      <w:r w:rsidR="001A12E6" w:rsidRPr="00521237">
        <w:t xml:space="preserve"> such as assurance mechanisms, enforcement and </w:t>
      </w:r>
      <w:r w:rsidR="008653CA" w:rsidRPr="00521237">
        <w:t>guidance on presentation.</w:t>
      </w:r>
      <w:r w:rsidR="00C40607">
        <w:t xml:space="preserve"> These issues are dealt with in greater detail in responses to questions 36</w:t>
      </w:r>
      <w:r w:rsidR="00392048">
        <w:t>–</w:t>
      </w:r>
      <w:r w:rsidR="00EA79C8">
        <w:t xml:space="preserve">38. </w:t>
      </w:r>
    </w:p>
    <w:p w14:paraId="76FE46AC" w14:textId="13D7D5A2" w:rsidR="0058702C" w:rsidRPr="00521237" w:rsidRDefault="000C47EF" w:rsidP="00521237">
      <w:pPr>
        <w:pStyle w:val="BodyText"/>
      </w:pPr>
      <w:r>
        <w:t>Two</w:t>
      </w:r>
      <w:r w:rsidR="002A7991" w:rsidRPr="00521237">
        <w:t xml:space="preserve"> respondents </w:t>
      </w:r>
      <w:r w:rsidR="00424A32">
        <w:t xml:space="preserve">from the mining and oil and gas industries </w:t>
      </w:r>
      <w:r w:rsidR="002A7991" w:rsidRPr="00521237">
        <w:t xml:space="preserve">were concerned </w:t>
      </w:r>
      <w:r w:rsidR="0072567A">
        <w:t>the conclusions would</w:t>
      </w:r>
      <w:r w:rsidR="002A7991" w:rsidRPr="00521237">
        <w:t xml:space="preserve"> clash with the </w:t>
      </w:r>
      <w:r w:rsidR="00392048">
        <w:t>g</w:t>
      </w:r>
      <w:r w:rsidR="002A7991" w:rsidRPr="00521237">
        <w:t>overnment objective to</w:t>
      </w:r>
      <w:r w:rsidR="0058702C" w:rsidRPr="00521237">
        <w:t xml:space="preserve"> maintain economic prosperity during the transition to a net</w:t>
      </w:r>
      <w:r w:rsidR="00392048">
        <w:t>-</w:t>
      </w:r>
      <w:r w:rsidR="0058702C" w:rsidRPr="00521237">
        <w:t xml:space="preserve">zero carbon economy. </w:t>
      </w:r>
    </w:p>
    <w:p w14:paraId="3E57963E" w14:textId="77777777" w:rsidR="002D241C" w:rsidRDefault="002D241C">
      <w:pPr>
        <w:spacing w:before="0" w:after="200" w:line="276" w:lineRule="auto"/>
        <w:jc w:val="left"/>
        <w:rPr>
          <w:rFonts w:eastAsiaTheme="majorEastAsia" w:cstheme="majorBidi"/>
          <w:b/>
          <w:bCs/>
          <w:color w:val="0F7B7D"/>
          <w:sz w:val="36"/>
          <w:szCs w:val="26"/>
        </w:rPr>
      </w:pPr>
      <w:bookmarkStart w:id="37" w:name="_Toc32847630"/>
      <w:r>
        <w:br w:type="page"/>
      </w:r>
    </w:p>
    <w:p w14:paraId="16E66473" w14:textId="3B657573" w:rsidR="00674FD6" w:rsidRDefault="00674FD6" w:rsidP="00674FD6">
      <w:pPr>
        <w:pStyle w:val="Heading2"/>
      </w:pPr>
      <w:bookmarkStart w:id="38" w:name="_Toc34216952"/>
      <w:r>
        <w:lastRenderedPageBreak/>
        <w:t>Chapter 2: Objective and problem definition</w:t>
      </w:r>
      <w:bookmarkEnd w:id="37"/>
      <w:bookmarkEnd w:id="38"/>
    </w:p>
    <w:p w14:paraId="78A55871" w14:textId="0F7B0D4F" w:rsidR="00BD7D87" w:rsidRDefault="00BD7D87" w:rsidP="00D27C65">
      <w:pPr>
        <w:pStyle w:val="Blueboxtext"/>
        <w:ind w:left="0"/>
      </w:pPr>
      <w:bookmarkStart w:id="39" w:name="_Toc32847631"/>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D27C65" w14:paraId="493AC231" w14:textId="77777777" w:rsidTr="00E97F0D">
        <w:tc>
          <w:tcPr>
            <w:tcW w:w="8618" w:type="dxa"/>
            <w:shd w:val="clear" w:color="auto" w:fill="D2DDE2"/>
          </w:tcPr>
          <w:p w14:paraId="465A0FC8" w14:textId="3BDA8A1F" w:rsidR="00D27C65" w:rsidRDefault="00D27C65" w:rsidP="00A83CCD">
            <w:pPr>
              <w:pStyle w:val="Blueboxheading"/>
            </w:pPr>
            <w:r w:rsidRPr="00A83CCD">
              <w:t>Objective</w:t>
            </w:r>
          </w:p>
          <w:p w14:paraId="49F1AA18" w14:textId="4643F590" w:rsidR="009F3D95" w:rsidRPr="009F3D95" w:rsidRDefault="009F3D95" w:rsidP="009F3D95">
            <w:pPr>
              <w:pStyle w:val="Blueboxtext"/>
            </w:pPr>
            <w:r>
              <w:t>The objective set out in the discussion document is as follows:</w:t>
            </w:r>
          </w:p>
          <w:p w14:paraId="1F097784" w14:textId="081C4B91" w:rsidR="00D27C65" w:rsidRPr="00345928" w:rsidRDefault="00D27C65" w:rsidP="00A83CCD">
            <w:pPr>
              <w:pStyle w:val="Blueboxtext"/>
            </w:pPr>
            <w:r>
              <w:t xml:space="preserve">49. </w:t>
            </w:r>
            <w:r>
              <w:tab/>
              <w:t>The Government’s objective is to move to a position where the effects of climate change become routinely considered in business and investment decisions in New Zealand. This can be achieved when businesses that participate in financial markets disclose clear, comparable, consistent, timely and understandable information about the risks and opportunities presented by climate change.</w:t>
            </w:r>
          </w:p>
        </w:tc>
      </w:tr>
      <w:tr w:rsidR="00D27C65" w14:paraId="10DDF014" w14:textId="77777777" w:rsidTr="00E97F0D">
        <w:tc>
          <w:tcPr>
            <w:tcW w:w="8618" w:type="dxa"/>
            <w:shd w:val="clear" w:color="auto" w:fill="D2DDE2"/>
          </w:tcPr>
          <w:p w14:paraId="6E38B753" w14:textId="77777777" w:rsidR="00D27C65" w:rsidRDefault="00D27C65" w:rsidP="00E97F0D">
            <w:pPr>
              <w:pStyle w:val="Blueboxheading"/>
              <w:ind w:left="0"/>
            </w:pPr>
          </w:p>
        </w:tc>
      </w:tr>
    </w:tbl>
    <w:p w14:paraId="1FA84847" w14:textId="6566A9FB" w:rsidR="00521237" w:rsidRDefault="00521237" w:rsidP="00521237">
      <w:pPr>
        <w:pStyle w:val="Heading3"/>
      </w:pPr>
      <w:r>
        <w:t>Q.3 Do you agree with the objective as set out above?</w:t>
      </w:r>
      <w:bookmarkEnd w:id="39"/>
    </w:p>
    <w:p w14:paraId="15E97DA0" w14:textId="7F5E4711" w:rsidR="009150FD" w:rsidRDefault="00521237" w:rsidP="007F082E">
      <w:pPr>
        <w:pStyle w:val="BodyText"/>
      </w:pPr>
      <w:r>
        <w:t xml:space="preserve">We received </w:t>
      </w:r>
      <w:r w:rsidR="005F06AA">
        <w:t>49</w:t>
      </w:r>
      <w:r w:rsidR="0081674D">
        <w:t xml:space="preserve"> </w:t>
      </w:r>
      <w:r>
        <w:t>responses to this question, with</w:t>
      </w:r>
      <w:r w:rsidR="00FF51E4">
        <w:t xml:space="preserve"> 73 per cent</w:t>
      </w:r>
      <w:r>
        <w:t xml:space="preserve"> </w:t>
      </w:r>
      <w:r w:rsidR="000354F5">
        <w:t>of respondents (</w:t>
      </w:r>
      <w:r>
        <w:t>3</w:t>
      </w:r>
      <w:r w:rsidR="005F06AA">
        <w:t>6</w:t>
      </w:r>
      <w:r w:rsidR="000354F5">
        <w:t>)</w:t>
      </w:r>
      <w:r>
        <w:t xml:space="preserve"> agreeing with the objective as set out in </w:t>
      </w:r>
      <w:r w:rsidR="00E404B7">
        <w:t>C</w:t>
      </w:r>
      <w:r w:rsidR="006867CE">
        <w:t>hapter 2</w:t>
      </w:r>
      <w:r w:rsidR="009150FD">
        <w:t xml:space="preserve"> (see </w:t>
      </w:r>
      <w:r w:rsidR="00BD7D87">
        <w:t>above</w:t>
      </w:r>
      <w:r w:rsidR="009150FD">
        <w:t>)</w:t>
      </w:r>
      <w:r w:rsidR="006867CE">
        <w:t xml:space="preserve">. </w:t>
      </w:r>
    </w:p>
    <w:p w14:paraId="087ABB7E" w14:textId="77777777" w:rsidR="00B94604" w:rsidRDefault="006867CE" w:rsidP="007F082E">
      <w:pPr>
        <w:pStyle w:val="BodyText"/>
      </w:pPr>
      <w:r>
        <w:t>Respondent</w:t>
      </w:r>
      <w:r w:rsidR="00B94604">
        <w:t>s supported the objec</w:t>
      </w:r>
      <w:r w:rsidR="00941405">
        <w:t>tives for the reasons below.</w:t>
      </w:r>
    </w:p>
    <w:p w14:paraId="677776E9" w14:textId="510EDEFA" w:rsidR="00B94604" w:rsidRDefault="00B94604" w:rsidP="00857B90">
      <w:pPr>
        <w:pStyle w:val="Bullet"/>
      </w:pPr>
      <w:r w:rsidRPr="00BD7D87">
        <w:t>Reporting in a ‘common language’ enables</w:t>
      </w:r>
      <w:r w:rsidR="007E6FC5" w:rsidRPr="00BD7D87">
        <w:t xml:space="preserve"> accurate</w:t>
      </w:r>
      <w:r w:rsidRPr="00BD7D87">
        <w:t xml:space="preserve"> comparison of information and</w:t>
      </w:r>
      <w:r>
        <w:t xml:space="preserve"> pric</w:t>
      </w:r>
      <w:r w:rsidR="009150FD">
        <w:t>ing of</w:t>
      </w:r>
      <w:r>
        <w:t xml:space="preserve"> risks. This process is needed for the capital markets </w:t>
      </w:r>
      <w:r w:rsidR="00B26E93">
        <w:t xml:space="preserve">to </w:t>
      </w:r>
      <w:r w:rsidR="009150FD">
        <w:t xml:space="preserve">allocate </w:t>
      </w:r>
      <w:r>
        <w:t>funds</w:t>
      </w:r>
      <w:r w:rsidR="00655960">
        <w:t xml:space="preserve"> more efficiently</w:t>
      </w:r>
      <w:r>
        <w:t xml:space="preserve">. </w:t>
      </w:r>
    </w:p>
    <w:p w14:paraId="6D19B3F0" w14:textId="5C539BE2" w:rsidR="00B94604" w:rsidRDefault="00B94604" w:rsidP="00857B90">
      <w:pPr>
        <w:pStyle w:val="Bullet"/>
      </w:pPr>
      <w:r>
        <w:t>There is currently not enough useful information in the publi</w:t>
      </w:r>
      <w:r w:rsidR="007F082E">
        <w:t xml:space="preserve">c domain </w:t>
      </w:r>
      <w:r w:rsidR="00655960">
        <w:t xml:space="preserve">to help </w:t>
      </w:r>
      <w:r w:rsidR="007F082E">
        <w:t>companies</w:t>
      </w:r>
      <w:r w:rsidR="00655960">
        <w:t xml:space="preserve"> consider and make decisions about c</w:t>
      </w:r>
      <w:r>
        <w:t xml:space="preserve">limate-related financial risks and opportunities. </w:t>
      </w:r>
    </w:p>
    <w:p w14:paraId="0E190297" w14:textId="1CF5D273" w:rsidR="00CD4064" w:rsidRDefault="00A5503D" w:rsidP="00857B90">
      <w:pPr>
        <w:pStyle w:val="Bullet"/>
      </w:pPr>
      <w:r>
        <w:t>The</w:t>
      </w:r>
      <w:r w:rsidR="00CD4064">
        <w:t xml:space="preserve"> obj</w:t>
      </w:r>
      <w:r w:rsidR="00B26E93">
        <w:t>ective is</w:t>
      </w:r>
      <w:r>
        <w:t xml:space="preserve"> </w:t>
      </w:r>
      <w:r w:rsidR="00CD4064">
        <w:t xml:space="preserve">an effective measure to reduce </w:t>
      </w:r>
      <w:r w:rsidR="00CC739A">
        <w:t xml:space="preserve">and mitigate </w:t>
      </w:r>
      <w:r w:rsidR="00CD4064">
        <w:t>the systemic risks</w:t>
      </w:r>
      <w:r w:rsidR="00366B99" w:rsidRPr="00366B99">
        <w:t xml:space="preserve"> </w:t>
      </w:r>
      <w:r w:rsidR="00366B99">
        <w:t>posed by climate change to the economy</w:t>
      </w:r>
      <w:r w:rsidR="00CD4064">
        <w:t>.</w:t>
      </w:r>
    </w:p>
    <w:p w14:paraId="70850CD4" w14:textId="77777777" w:rsidR="005A6E6C" w:rsidRDefault="005A6E6C" w:rsidP="005A6E6C">
      <w:pPr>
        <w:pStyle w:val="BodyText"/>
      </w:pPr>
      <w:r>
        <w:t>As the Reserve Bank of New Zealand</w:t>
      </w:r>
      <w:r w:rsidR="00B26E93">
        <w:t xml:space="preserve"> (RBNZ)</w:t>
      </w:r>
      <w:r>
        <w:t xml:space="preserve"> noted: “</w:t>
      </w:r>
      <w:r w:rsidRPr="002F7007">
        <w:t>Market discipline works best if it is supported by the disclosure of robust, reliable and comparable information, and if market participants have the expertise and the tools to make use of that information.</w:t>
      </w:r>
      <w:r>
        <w:t xml:space="preserve">” </w:t>
      </w:r>
    </w:p>
    <w:p w14:paraId="3B4A2723" w14:textId="3C8500A1" w:rsidR="007F082E" w:rsidRDefault="00B82BD3" w:rsidP="00A5503D">
      <w:pPr>
        <w:pStyle w:val="BodyText"/>
      </w:pPr>
      <w:r>
        <w:t>T</w:t>
      </w:r>
      <w:r w:rsidR="003E6D50">
        <w:t>hree respondents perceiv</w:t>
      </w:r>
      <w:r>
        <w:t>ed</w:t>
      </w:r>
      <w:r w:rsidR="003E6D50">
        <w:t xml:space="preserve"> the scope </w:t>
      </w:r>
      <w:r>
        <w:t xml:space="preserve">to be </w:t>
      </w:r>
      <w:r w:rsidR="003E6D50">
        <w:t>too broad, while</w:t>
      </w:r>
      <w:r w:rsidR="007F082E" w:rsidRPr="00A5503D">
        <w:t xml:space="preserve"> five saw the scope as too narrow. There </w:t>
      </w:r>
      <w:r w:rsidR="007F082E">
        <w:t xml:space="preserve">was no consensus between </w:t>
      </w:r>
      <w:r>
        <w:t xml:space="preserve">those submitters </w:t>
      </w:r>
      <w:r w:rsidR="007F082E">
        <w:t>on how exactly the scope should be changed.</w:t>
      </w:r>
      <w:r w:rsidR="00A2059E">
        <w:t xml:space="preserve"> </w:t>
      </w:r>
      <w:r w:rsidR="00424A32">
        <w:t xml:space="preserve">The </w:t>
      </w:r>
      <w:r w:rsidR="00A2059E">
        <w:t>Institute of Finance Professionals in New Zealand (INFINZ)</w:t>
      </w:r>
      <w:r w:rsidR="007F082E">
        <w:t xml:space="preserve"> suggested if the regime is expected to evolve over time, omitting the words “that participate in financial markets” would allow boundaries to expand as TCFD is rolled out</w:t>
      </w:r>
      <w:r w:rsidR="005A6E6C">
        <w:t xml:space="preserve"> to a wider group of entities</w:t>
      </w:r>
      <w:r w:rsidR="007F082E">
        <w:t xml:space="preserve">. Customers were </w:t>
      </w:r>
      <w:r w:rsidR="00A2059E">
        <w:t>seen</w:t>
      </w:r>
      <w:r w:rsidR="007F082E">
        <w:t xml:space="preserve"> as the </w:t>
      </w:r>
      <w:r w:rsidR="00A2059E">
        <w:t>primary beneficiary</w:t>
      </w:r>
      <w:r w:rsidR="007F082E">
        <w:t xml:space="preserve"> </w:t>
      </w:r>
      <w:r w:rsidR="00B26E93">
        <w:t xml:space="preserve">of </w:t>
      </w:r>
      <w:r w:rsidR="00A2059E">
        <w:t xml:space="preserve">climate-related </w:t>
      </w:r>
      <w:r w:rsidR="00B26E93">
        <w:t xml:space="preserve">information </w:t>
      </w:r>
      <w:r w:rsidR="007F082E">
        <w:t>from expanded stakeholders</w:t>
      </w:r>
      <w:r w:rsidR="00655960">
        <w:t xml:space="preserve">. Access to this information would improve their </w:t>
      </w:r>
      <w:r w:rsidR="007F082E">
        <w:t>choice</w:t>
      </w:r>
      <w:r w:rsidR="00655960">
        <w:t>s</w:t>
      </w:r>
      <w:r w:rsidR="007F082E">
        <w:t xml:space="preserve"> regarding who they do business with, and </w:t>
      </w:r>
      <w:r w:rsidR="00655960">
        <w:t xml:space="preserve">those organisations’ </w:t>
      </w:r>
      <w:r w:rsidR="007F082E">
        <w:t xml:space="preserve">impact on the environment. </w:t>
      </w:r>
    </w:p>
    <w:p w14:paraId="26CC48F3" w14:textId="1093C6C7" w:rsidR="007F082E" w:rsidRDefault="00DE0D16" w:rsidP="00A5503D">
      <w:pPr>
        <w:pStyle w:val="BodyText"/>
      </w:pPr>
      <w:r>
        <w:t xml:space="preserve">A small number of </w:t>
      </w:r>
      <w:r w:rsidR="007F082E">
        <w:t xml:space="preserve">respondents were concerned </w:t>
      </w:r>
      <w:r w:rsidR="00B82BD3">
        <w:t xml:space="preserve">about </w:t>
      </w:r>
      <w:r w:rsidR="007F082E">
        <w:t xml:space="preserve">whether financial disclosures alone would be sufficient to achieve the objective. </w:t>
      </w:r>
      <w:r w:rsidR="00CD4064">
        <w:t xml:space="preserve">Respondents felt </w:t>
      </w:r>
      <w:r w:rsidR="00C73EB9">
        <w:t xml:space="preserve">focusing solely on disclosures from financial markets would be insufficient to encourage </w:t>
      </w:r>
      <w:r w:rsidR="00655960">
        <w:t>businesses to direct funds</w:t>
      </w:r>
      <w:r w:rsidR="00C73EB9">
        <w:t xml:space="preserve"> towards</w:t>
      </w:r>
      <w:r w:rsidR="003751AB">
        <w:t xml:space="preserve"> </w:t>
      </w:r>
      <w:r w:rsidR="00655960">
        <w:t xml:space="preserve">innovations that reduce </w:t>
      </w:r>
      <w:r w:rsidR="003751AB">
        <w:t>greenhouse gas</w:t>
      </w:r>
      <w:r w:rsidR="00655960">
        <w:t>es</w:t>
      </w:r>
      <w:r w:rsidR="00C73EB9">
        <w:t xml:space="preserve">, such as carbon dioxide removal. </w:t>
      </w:r>
    </w:p>
    <w:p w14:paraId="061766F3" w14:textId="77777777" w:rsidR="00A5503D" w:rsidRDefault="00A5503D" w:rsidP="00A5503D">
      <w:pPr>
        <w:pStyle w:val="Heading3"/>
      </w:pPr>
      <w:bookmarkStart w:id="40" w:name="_Toc32847632"/>
      <w:r>
        <w:lastRenderedPageBreak/>
        <w:t xml:space="preserve">Q.4 </w:t>
      </w:r>
      <w:proofErr w:type="gramStart"/>
      <w:r>
        <w:t>Should</w:t>
      </w:r>
      <w:proofErr w:type="gramEnd"/>
      <w:r>
        <w:t xml:space="preserve"> other objectives also be considered?</w:t>
      </w:r>
      <w:bookmarkEnd w:id="40"/>
    </w:p>
    <w:p w14:paraId="4AD5357E" w14:textId="2C555737" w:rsidR="00A5503D" w:rsidRDefault="00A5503D" w:rsidP="00674FD6">
      <w:pPr>
        <w:pStyle w:val="BodyText"/>
      </w:pPr>
      <w:r>
        <w:t>We receive</w:t>
      </w:r>
      <w:r w:rsidR="00674FD6">
        <w:t>d 3</w:t>
      </w:r>
      <w:r w:rsidR="00575683">
        <w:t>7</w:t>
      </w:r>
      <w:r w:rsidR="00674FD6">
        <w:t xml:space="preserve"> responses to this question. </w:t>
      </w:r>
      <w:r w:rsidR="005A6E6C">
        <w:t>R</w:t>
      </w:r>
      <w:r w:rsidR="00674FD6">
        <w:t xml:space="preserve">aising </w:t>
      </w:r>
      <w:r w:rsidR="007A3D15">
        <w:t xml:space="preserve">awareness, providing guidance and </w:t>
      </w:r>
      <w:r w:rsidR="00424A32">
        <w:t>supplying financial education were</w:t>
      </w:r>
      <w:r w:rsidR="007A3D15">
        <w:t xml:space="preserve"> the </w:t>
      </w:r>
      <w:r w:rsidR="00B26E93">
        <w:t>additional objective</w:t>
      </w:r>
      <w:r w:rsidR="00424A32">
        <w:t>s most</w:t>
      </w:r>
      <w:r w:rsidR="00B26E93">
        <w:t xml:space="preserve"> </w:t>
      </w:r>
      <w:r w:rsidR="007A3D15">
        <w:t xml:space="preserve">suggested. </w:t>
      </w:r>
      <w:r w:rsidR="00674FD6">
        <w:t xml:space="preserve">Other </w:t>
      </w:r>
      <w:r w:rsidR="002F46BA">
        <w:t xml:space="preserve">suggested </w:t>
      </w:r>
      <w:r w:rsidR="00674FD6">
        <w:t>objectives</w:t>
      </w:r>
      <w:r w:rsidR="002F46BA">
        <w:t xml:space="preserve"> </w:t>
      </w:r>
      <w:r w:rsidR="00674FD6">
        <w:t>include:</w:t>
      </w:r>
    </w:p>
    <w:p w14:paraId="70720BF8" w14:textId="77777777" w:rsidR="00674FD6" w:rsidRDefault="002F46BA" w:rsidP="00857B90">
      <w:pPr>
        <w:pStyle w:val="Bullet"/>
      </w:pPr>
      <w:r>
        <w:t>i</w:t>
      </w:r>
      <w:r w:rsidR="00674FD6">
        <w:t>mproving the resilience of the New Zealand financial system and economy t</w:t>
      </w:r>
      <w:r>
        <w:t>o systemic climate change risk</w:t>
      </w:r>
    </w:p>
    <w:p w14:paraId="62422A32" w14:textId="77777777" w:rsidR="00674FD6" w:rsidRDefault="002F46BA" w:rsidP="00857B90">
      <w:pPr>
        <w:pStyle w:val="Bullet"/>
      </w:pPr>
      <w:r>
        <w:t>i</w:t>
      </w:r>
      <w:r w:rsidR="00674FD6">
        <w:t xml:space="preserve">ncreasing the scope </w:t>
      </w:r>
      <w:r w:rsidR="00424A32">
        <w:t xml:space="preserve">of the requirements </w:t>
      </w:r>
      <w:r w:rsidR="00674FD6">
        <w:t>to include public sector entities due to significant stranded asset an</w:t>
      </w:r>
      <w:r>
        <w:t>d infrastructure exposure risks</w:t>
      </w:r>
      <w:r w:rsidR="00674FD6">
        <w:t xml:space="preserve"> </w:t>
      </w:r>
    </w:p>
    <w:p w14:paraId="1F5998CE" w14:textId="77777777" w:rsidR="00674FD6" w:rsidRDefault="002F46BA" w:rsidP="00857B90">
      <w:pPr>
        <w:pStyle w:val="Bullet"/>
      </w:pPr>
      <w:proofErr w:type="gramStart"/>
      <w:r>
        <w:t>l</w:t>
      </w:r>
      <w:r w:rsidR="00674FD6">
        <w:t>inking</w:t>
      </w:r>
      <w:proofErr w:type="gramEnd"/>
      <w:r w:rsidR="00674FD6">
        <w:t xml:space="preserve"> the importance of climate-related financial disclosures to </w:t>
      </w:r>
      <w:r w:rsidR="005A6E6C">
        <w:t xml:space="preserve">national and international </w:t>
      </w:r>
      <w:r w:rsidR="00674FD6">
        <w:t xml:space="preserve">commitments, </w:t>
      </w:r>
      <w:r w:rsidR="005A6E6C">
        <w:t xml:space="preserve">such as </w:t>
      </w:r>
      <w:r w:rsidR="00424A32">
        <w:t>the Zero Carbon Act</w:t>
      </w:r>
      <w:r w:rsidR="00674FD6">
        <w:t xml:space="preserve"> </w:t>
      </w:r>
      <w:r w:rsidR="005A6E6C">
        <w:t xml:space="preserve">and the </w:t>
      </w:r>
      <w:r w:rsidR="00674FD6">
        <w:t xml:space="preserve">Paris Agreement. </w:t>
      </w:r>
    </w:p>
    <w:p w14:paraId="4B47EC1B" w14:textId="7EC15684" w:rsidR="00551BC4" w:rsidRDefault="00674FD6" w:rsidP="00551BC4">
      <w:pPr>
        <w:pStyle w:val="BodyText"/>
      </w:pPr>
      <w:r>
        <w:t>INFINZ suggested including the four ‘thematic areas’ covered by TCFD – governance, strategy, risk management and metrics/targets</w:t>
      </w:r>
      <w:r w:rsidR="00655960">
        <w:t xml:space="preserve"> –</w:t>
      </w:r>
      <w:r w:rsidR="00424A32">
        <w:t xml:space="preserve"> in the objectives</w:t>
      </w:r>
      <w:r>
        <w:t>.</w:t>
      </w:r>
      <w:r w:rsidR="005A6E6C">
        <w:t xml:space="preserve"> It suggested </w:t>
      </w:r>
      <w:r w:rsidR="00655960">
        <w:t xml:space="preserve">their inclusion might </w:t>
      </w:r>
      <w:r w:rsidR="003E6D50">
        <w:t xml:space="preserve">help users </w:t>
      </w:r>
      <w:r>
        <w:t>understand what is involved in TCFD</w:t>
      </w:r>
      <w:r w:rsidR="005A6E6C">
        <w:t>-</w:t>
      </w:r>
      <w:r w:rsidR="00CD35A3">
        <w:t xml:space="preserve">based reporting. </w:t>
      </w:r>
    </w:p>
    <w:tbl>
      <w:tblPr>
        <w:tblStyle w:val="TableGrid"/>
        <w:tblW w:w="8351" w:type="dxa"/>
        <w:tblInd w:w="-5" w:type="dxa"/>
        <w:tblLook w:val="04A0" w:firstRow="1" w:lastRow="0" w:firstColumn="1" w:lastColumn="0" w:noHBand="0" w:noVBand="1"/>
      </w:tblPr>
      <w:tblGrid>
        <w:gridCol w:w="8351"/>
      </w:tblGrid>
      <w:tr w:rsidR="00551BC4" w:rsidRPr="006B77BB" w14:paraId="3403FA9D" w14:textId="77777777" w:rsidTr="00A83CCD">
        <w:trPr>
          <w:trHeight w:val="2311"/>
        </w:trPr>
        <w:tc>
          <w:tcPr>
            <w:tcW w:w="8351" w:type="dxa"/>
            <w:shd w:val="clear" w:color="auto" w:fill="1C556C"/>
            <w:vAlign w:val="center"/>
          </w:tcPr>
          <w:p w14:paraId="21399669" w14:textId="77777777" w:rsidR="00551BC4" w:rsidRDefault="00551BC4" w:rsidP="00823B3E">
            <w:pPr>
              <w:pStyle w:val="BodyText"/>
              <w:ind w:left="284" w:right="284"/>
              <w:rPr>
                <w:color w:val="FFFFFF" w:themeColor="background1"/>
                <w:szCs w:val="24"/>
              </w:rPr>
            </w:pPr>
            <w:r w:rsidRPr="006B77BB">
              <w:rPr>
                <w:color w:val="FFFFFF" w:themeColor="background1"/>
                <w:szCs w:val="24"/>
              </w:rPr>
              <w:sym w:font="Webdings" w:char="F038"/>
            </w:r>
            <w:r>
              <w:t xml:space="preserve"> </w:t>
            </w:r>
            <w:r w:rsidRPr="00551BC4">
              <w:rPr>
                <w:color w:val="FFFFFF" w:themeColor="background1"/>
                <w:szCs w:val="24"/>
              </w:rPr>
              <w:t>Defining a core policy objective of climate-related disclosures as managing risks to the overall financial system risks underscores the importance of robust reporting frameworks across the economy and increases the scope and urgency of establishing a policy response to the systemic risks of climate change.</w:t>
            </w:r>
            <w:r w:rsidRPr="006B77BB">
              <w:rPr>
                <w:color w:val="FFFFFF" w:themeColor="background1"/>
                <w:szCs w:val="24"/>
              </w:rPr>
              <w:t xml:space="preserve"> </w:t>
            </w:r>
            <w:r w:rsidRPr="006B77BB">
              <w:rPr>
                <w:color w:val="FFFFFF" w:themeColor="background1"/>
                <w:szCs w:val="24"/>
              </w:rPr>
              <w:sym w:font="Webdings" w:char="F037"/>
            </w:r>
          </w:p>
          <w:p w14:paraId="394C0260" w14:textId="4F193D8B" w:rsidR="00551BC4" w:rsidRPr="00A83CCD" w:rsidRDefault="0024700E" w:rsidP="00823B3E">
            <w:pPr>
              <w:pStyle w:val="BodyText"/>
              <w:ind w:left="284" w:right="284"/>
              <w:rPr>
                <w:i/>
                <w:color w:val="FFFFFF" w:themeColor="background1"/>
              </w:rPr>
            </w:pPr>
            <w:r>
              <w:rPr>
                <w:i/>
                <w:color w:val="FFFFFF" w:themeColor="background1"/>
                <w:szCs w:val="24"/>
              </w:rPr>
              <w:t xml:space="preserve">– </w:t>
            </w:r>
            <w:r w:rsidR="00551BC4" w:rsidRPr="00A83CCD">
              <w:rPr>
                <w:i/>
                <w:color w:val="FFFFFF" w:themeColor="background1"/>
                <w:szCs w:val="24"/>
              </w:rPr>
              <w:t>Investor Group on Climate Change</w:t>
            </w:r>
          </w:p>
        </w:tc>
      </w:tr>
    </w:tbl>
    <w:p w14:paraId="17B2156E" w14:textId="77777777" w:rsidR="00674FD6" w:rsidRDefault="00674FD6" w:rsidP="00466405">
      <w:pPr>
        <w:pStyle w:val="Heading3"/>
      </w:pPr>
      <w:bookmarkStart w:id="41" w:name="_Toc32847633"/>
      <w:r>
        <w:t>Q.5 Do you agree with the problem definition? Are there other aspects we should consider?</w:t>
      </w:r>
      <w:bookmarkEnd w:id="41"/>
    </w:p>
    <w:tbl>
      <w:tblPr>
        <w:tblStyle w:val="TableGrid"/>
        <w:tblW w:w="8364"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364"/>
      </w:tblGrid>
      <w:tr w:rsidR="00551BC4" w14:paraId="5E310300" w14:textId="77777777" w:rsidTr="00573E83">
        <w:tc>
          <w:tcPr>
            <w:tcW w:w="8364" w:type="dxa"/>
            <w:shd w:val="clear" w:color="auto" w:fill="D2DDE2"/>
          </w:tcPr>
          <w:p w14:paraId="25ECDFE0" w14:textId="77777777" w:rsidR="00551BC4" w:rsidRPr="00345928" w:rsidRDefault="00551BC4" w:rsidP="00823B3E">
            <w:pPr>
              <w:pStyle w:val="Blueboxheading"/>
            </w:pPr>
            <w:r>
              <w:t>The problem definition</w:t>
            </w:r>
          </w:p>
          <w:p w14:paraId="0B554FB9" w14:textId="168D91BB" w:rsidR="00551BC4" w:rsidRDefault="00551BC4" w:rsidP="00551BC4">
            <w:pPr>
              <w:pStyle w:val="Blueboxtext"/>
            </w:pPr>
            <w:r>
              <w:t xml:space="preserve">The discussion document set out two </w:t>
            </w:r>
            <w:r w:rsidR="00655960">
              <w:t xml:space="preserve">main </w:t>
            </w:r>
            <w:r>
              <w:t>problems:</w:t>
            </w:r>
          </w:p>
          <w:p w14:paraId="62E01A49" w14:textId="61970299" w:rsidR="00551BC4" w:rsidRPr="00BF4CEF" w:rsidRDefault="00655960" w:rsidP="00A83CCD">
            <w:pPr>
              <w:pStyle w:val="Blue-boxsub-bullet"/>
            </w:pPr>
            <w:r w:rsidRPr="00BF4CEF">
              <w:t>t</w:t>
            </w:r>
            <w:r w:rsidR="00551BC4" w:rsidRPr="00BF4CEF">
              <w:t>he market does not currently have the information it needs</w:t>
            </w:r>
          </w:p>
          <w:p w14:paraId="4A5D578F" w14:textId="7AAFFBF1" w:rsidR="00551BC4" w:rsidRPr="00BF4CEF" w:rsidRDefault="00655960" w:rsidP="00A83CCD">
            <w:pPr>
              <w:pStyle w:val="Blue-boxsub-bullet"/>
            </w:pPr>
            <w:proofErr w:type="gramStart"/>
            <w:r w:rsidRPr="00BF4CEF">
              <w:t>t</w:t>
            </w:r>
            <w:r w:rsidR="00551BC4" w:rsidRPr="00BF4CEF">
              <w:t>he</w:t>
            </w:r>
            <w:proofErr w:type="gramEnd"/>
            <w:r w:rsidR="00551BC4" w:rsidRPr="00BF4CEF">
              <w:t xml:space="preserve"> status quo is not delivering information at the required pace</w:t>
            </w:r>
            <w:r w:rsidRPr="00BF4CEF">
              <w:t>.</w:t>
            </w:r>
          </w:p>
          <w:p w14:paraId="79F4D825" w14:textId="630731BF" w:rsidR="00551BC4" w:rsidRDefault="00551BC4">
            <w:pPr>
              <w:pStyle w:val="Blueboxtext"/>
            </w:pPr>
            <w:r>
              <w:t>We also explored the challenges of the status quo on disclosure, the benefits of adopting TCFD-aligned disclosures early</w:t>
            </w:r>
            <w:r w:rsidR="00655960">
              <w:t xml:space="preserve"> </w:t>
            </w:r>
            <w:r>
              <w:t>and concerns about introducing mandatory reporting.</w:t>
            </w:r>
            <w:r w:rsidR="00A83CCD">
              <w:t xml:space="preserve"> </w:t>
            </w:r>
          </w:p>
          <w:p w14:paraId="4115036B" w14:textId="77777777" w:rsidR="00551BC4" w:rsidRPr="00345928" w:rsidRDefault="00551BC4" w:rsidP="00CD35A3">
            <w:pPr>
              <w:pStyle w:val="TableBullet"/>
              <w:numPr>
                <w:ilvl w:val="0"/>
                <w:numId w:val="0"/>
              </w:numPr>
            </w:pPr>
          </w:p>
        </w:tc>
      </w:tr>
    </w:tbl>
    <w:p w14:paraId="194CFCC1" w14:textId="6C5322C3" w:rsidR="00247068" w:rsidRDefault="00674FD6" w:rsidP="00247068">
      <w:pPr>
        <w:pStyle w:val="BodyText"/>
      </w:pPr>
      <w:r>
        <w:t>We received 4</w:t>
      </w:r>
      <w:r w:rsidR="00575683">
        <w:t>7</w:t>
      </w:r>
      <w:r>
        <w:t xml:space="preserve"> responses to this question,</w:t>
      </w:r>
      <w:r w:rsidR="00CD35A3">
        <w:t xml:space="preserve"> with 6</w:t>
      </w:r>
      <w:r w:rsidR="00575683">
        <w:t>8</w:t>
      </w:r>
      <w:r w:rsidR="00CD35A3">
        <w:t xml:space="preserve"> per cent</w:t>
      </w:r>
      <w:r w:rsidR="000354F5">
        <w:t xml:space="preserve"> of respondents (</w:t>
      </w:r>
      <w:r>
        <w:t>3</w:t>
      </w:r>
      <w:r w:rsidR="00575683">
        <w:t>2</w:t>
      </w:r>
      <w:r w:rsidR="000354F5">
        <w:t xml:space="preserve">) agreeing </w:t>
      </w:r>
      <w:r>
        <w:t xml:space="preserve">with the problem definition. The responses were fragmented, with a few </w:t>
      </w:r>
      <w:r w:rsidR="00655960">
        <w:t xml:space="preserve">significant </w:t>
      </w:r>
      <w:r>
        <w:t>themes</w:t>
      </w:r>
      <w:r w:rsidR="00BE1CE0">
        <w:t>.</w:t>
      </w:r>
    </w:p>
    <w:p w14:paraId="39894537" w14:textId="6ECB1A57" w:rsidR="002211D8" w:rsidRDefault="00247068" w:rsidP="00247068">
      <w:pPr>
        <w:pStyle w:val="BodyText"/>
      </w:pPr>
      <w:r>
        <w:t>Respondents suggested refin</w:t>
      </w:r>
      <w:r w:rsidR="00551BC4">
        <w:t>ing</w:t>
      </w:r>
      <w:r>
        <w:t xml:space="preserve"> the problem definition to</w:t>
      </w:r>
      <w:r w:rsidR="00BE1CE0">
        <w:t xml:space="preserve"> state</w:t>
      </w:r>
      <w:r>
        <w:t xml:space="preserve"> the status quo is not delivering clear, comprehensible, comparable information at the required pace. Further, respondents felt ‘early movers’ were being unfairly disadvantaged in the current system. </w:t>
      </w:r>
      <w:r w:rsidR="00551BC4">
        <w:t xml:space="preserve">For example, Lawyers for Climate Action NZ </w:t>
      </w:r>
      <w:proofErr w:type="spellStart"/>
      <w:r w:rsidR="00551BC4">
        <w:t>Inc</w:t>
      </w:r>
      <w:proofErr w:type="spellEnd"/>
      <w:r w:rsidR="00551BC4">
        <w:t xml:space="preserve"> (LCANZI) suggested the status quo</w:t>
      </w:r>
      <w:r w:rsidR="00424A32">
        <w:t>:</w:t>
      </w:r>
      <w:r w:rsidR="00551BC4">
        <w:t xml:space="preserve"> </w:t>
      </w:r>
    </w:p>
    <w:p w14:paraId="6231254C" w14:textId="52E74CDF" w:rsidR="002211D8" w:rsidRDefault="002E12C3" w:rsidP="00CD35A3">
      <w:pPr>
        <w:pStyle w:val="Quote"/>
      </w:pPr>
      <w:r>
        <w:rPr>
          <w:rStyle w:val="QuoteChar"/>
        </w:rPr>
        <w:t>…</w:t>
      </w:r>
      <w:r w:rsidR="00551BC4" w:rsidRPr="00CD35A3">
        <w:rPr>
          <w:rStyle w:val="QuoteChar"/>
        </w:rPr>
        <w:t xml:space="preserve">may have an unintended consequence of giving an advantage to those entities who have the resources to voluntarily consider and release climate-related financial </w:t>
      </w:r>
      <w:r w:rsidR="00551BC4" w:rsidRPr="00CD35A3">
        <w:rPr>
          <w:rStyle w:val="QuoteChar"/>
        </w:rPr>
        <w:lastRenderedPageBreak/>
        <w:t>information or, conversely, it may give an advantage to the entities which are most exposed to climate-risk but which fail to give disclosure, with the result that the market is unable to accurately price that risk.</w:t>
      </w:r>
      <w:r w:rsidR="00551BC4">
        <w:t xml:space="preserve"> </w:t>
      </w:r>
    </w:p>
    <w:p w14:paraId="1270B80B" w14:textId="77777777" w:rsidR="00674FD6" w:rsidRDefault="00247068" w:rsidP="00247068">
      <w:pPr>
        <w:pStyle w:val="BodyText"/>
      </w:pPr>
      <w:r>
        <w:t>M</w:t>
      </w:r>
      <w:r w:rsidR="00424A32">
        <w:t>andatory climate-related financial reporting was seen as a means</w:t>
      </w:r>
      <w:r>
        <w:t xml:space="preserve"> to solve these issues. </w:t>
      </w:r>
    </w:p>
    <w:p w14:paraId="095132E6" w14:textId="7E05A32E" w:rsidR="00247068" w:rsidRDefault="00247068" w:rsidP="00247068">
      <w:pPr>
        <w:pStyle w:val="BodyText"/>
      </w:pPr>
      <w:r>
        <w:t>New Z</w:t>
      </w:r>
      <w:r w:rsidR="00CD35A3">
        <w:t xml:space="preserve">ealand was </w:t>
      </w:r>
      <w:r w:rsidR="00063156">
        <w:t xml:space="preserve">perceived to be </w:t>
      </w:r>
      <w:r>
        <w:t xml:space="preserve">falling behind international standards, with mandatory reporting </w:t>
      </w:r>
      <w:r w:rsidR="008376E7">
        <w:t>providing</w:t>
      </w:r>
      <w:r>
        <w:t xml:space="preserve"> an opportunity to take </w:t>
      </w:r>
      <w:r w:rsidR="00655960">
        <w:t xml:space="preserve">leadership in </w:t>
      </w:r>
      <w:r>
        <w:t xml:space="preserve">environmental stewardship. </w:t>
      </w:r>
      <w:r w:rsidR="00C72709">
        <w:t xml:space="preserve">Supporters of this approach </w:t>
      </w:r>
      <w:r w:rsidR="003E6D50">
        <w:t xml:space="preserve">noted </w:t>
      </w:r>
      <w:r w:rsidR="00C72709">
        <w:t xml:space="preserve">countries actively managing climate-related risks </w:t>
      </w:r>
      <w:r w:rsidR="003754C5">
        <w:t>are</w:t>
      </w:r>
      <w:r w:rsidR="00C72709">
        <w:t xml:space="preserve"> expected to be increasingly attractive to capital flows. </w:t>
      </w:r>
    </w:p>
    <w:p w14:paraId="0B1A5E2D" w14:textId="5D362DA6" w:rsidR="00C72709" w:rsidRDefault="00BE1CE0" w:rsidP="00247068">
      <w:pPr>
        <w:pStyle w:val="BodyText"/>
      </w:pPr>
      <w:r>
        <w:t>A few respondents</w:t>
      </w:r>
      <w:r w:rsidR="00C72709">
        <w:t xml:space="preserve"> </w:t>
      </w:r>
      <w:r>
        <w:t xml:space="preserve">commented many </w:t>
      </w:r>
      <w:r w:rsidR="00C72709">
        <w:t xml:space="preserve">companies have not even begun taking into account climate-related risks and will have to build their capability and access to reliable data before disclosing. This </w:t>
      </w:r>
      <w:r w:rsidR="002776DB">
        <w:t xml:space="preserve">current </w:t>
      </w:r>
      <w:r w:rsidR="006F52CE">
        <w:t>lack</w:t>
      </w:r>
      <w:r w:rsidR="00C72709">
        <w:t xml:space="preserve"> of</w:t>
      </w:r>
      <w:r w:rsidR="00215193">
        <w:t xml:space="preserve"> accounting for</w:t>
      </w:r>
      <w:r w:rsidR="00C72709">
        <w:t xml:space="preserve"> climate-related risks was seen as problematic for the timely provision of consistent, comparable reporting. </w:t>
      </w:r>
    </w:p>
    <w:p w14:paraId="0D9B95CE" w14:textId="0E806683" w:rsidR="00711AFC" w:rsidRDefault="009B43F1" w:rsidP="00CD35A3">
      <w:pPr>
        <w:pStyle w:val="BodyText"/>
      </w:pPr>
      <w:r>
        <w:t xml:space="preserve">RBNZ </w:t>
      </w:r>
      <w:r w:rsidR="00711AFC">
        <w:t>surveyed a sample of New Zealand insurers and banks in February 2019. The results highlighted that despite broad con</w:t>
      </w:r>
      <w:r w:rsidR="008C4681">
        <w:t>cern climate change exposes</w:t>
      </w:r>
      <w:r w:rsidR="00711AFC">
        <w:t xml:space="preserve"> the financial system to significant risk, there was little evidence this concern influences daily busine</w:t>
      </w:r>
      <w:r w:rsidR="005473D6">
        <w:t xml:space="preserve">ss decisions. Further, only 60 per cent </w:t>
      </w:r>
      <w:r w:rsidR="00711AFC">
        <w:t xml:space="preserve">of surveyed banks and around a third of surveyed insurers disclose </w:t>
      </w:r>
      <w:r w:rsidR="00215193">
        <w:t>any</w:t>
      </w:r>
      <w:r w:rsidR="00711AFC">
        <w:t xml:space="preserve"> climate-related information. RBNZ believes that, based on evidence from other jurisdictions, relying on market forces may not lead to a fast enough response and some form of public intervention may be beneficial. </w:t>
      </w:r>
    </w:p>
    <w:p w14:paraId="6477E210" w14:textId="77777777" w:rsidR="002D241C" w:rsidRDefault="002D241C">
      <w:pPr>
        <w:spacing w:before="0" w:after="200" w:line="276" w:lineRule="auto"/>
        <w:jc w:val="left"/>
        <w:rPr>
          <w:rFonts w:eastAsiaTheme="majorEastAsia" w:cstheme="majorBidi"/>
          <w:b/>
          <w:bCs/>
          <w:color w:val="0F7B7D"/>
          <w:sz w:val="36"/>
          <w:szCs w:val="26"/>
        </w:rPr>
      </w:pPr>
      <w:bookmarkStart w:id="42" w:name="_Toc32847634"/>
      <w:r>
        <w:br w:type="page"/>
      </w:r>
    </w:p>
    <w:p w14:paraId="4F5A6FFF" w14:textId="7CFF2D40" w:rsidR="00315F21" w:rsidRDefault="0041621B" w:rsidP="00EE266D">
      <w:pPr>
        <w:pStyle w:val="Heading2"/>
      </w:pPr>
      <w:bookmarkStart w:id="43" w:name="_Toc34216953"/>
      <w:r>
        <w:lastRenderedPageBreak/>
        <w:t>Chapter 3</w:t>
      </w:r>
      <w:r w:rsidR="00EE266D">
        <w:t xml:space="preserve">: </w:t>
      </w:r>
      <w:r>
        <w:t xml:space="preserve">Climate-related reporting obligations in </w:t>
      </w:r>
      <w:r w:rsidR="002D241C">
        <w:br/>
      </w:r>
      <w:r>
        <w:t>New Zealand</w:t>
      </w:r>
      <w:bookmarkEnd w:id="42"/>
      <w:bookmarkEnd w:id="43"/>
    </w:p>
    <w:p w14:paraId="5B8768DF" w14:textId="05EC2A2F" w:rsidR="0041621B" w:rsidRPr="0041621B" w:rsidRDefault="0041621B" w:rsidP="0041621B">
      <w:pPr>
        <w:pStyle w:val="Heading3"/>
      </w:pPr>
      <w:bookmarkStart w:id="44" w:name="_Toc32847635"/>
      <w:r>
        <w:t>Q</w:t>
      </w:r>
      <w:r w:rsidR="0040420A">
        <w:t>.6</w:t>
      </w:r>
      <w:r>
        <w:t xml:space="preserve"> </w:t>
      </w:r>
      <w:proofErr w:type="gramStart"/>
      <w:r>
        <w:t>What</w:t>
      </w:r>
      <w:proofErr w:type="gramEnd"/>
      <w:r>
        <w:t xml:space="preserve"> are the implications of section 211 of the Companies Act 1993 for the disclosure of material</w:t>
      </w:r>
      <w:r w:rsidR="002E12C3">
        <w:t>,</w:t>
      </w:r>
      <w:r>
        <w:t xml:space="preserve"> climate-related information in annual reports?</w:t>
      </w:r>
      <w:bookmarkEnd w:id="44"/>
    </w:p>
    <w:p w14:paraId="74CF07AE" w14:textId="260CFBBC" w:rsidR="00E718DF" w:rsidRDefault="0041621B" w:rsidP="00315F21">
      <w:pPr>
        <w:pStyle w:val="BodyText"/>
      </w:pPr>
      <w:r>
        <w:t xml:space="preserve">We received </w:t>
      </w:r>
      <w:r w:rsidR="00101878">
        <w:t>3</w:t>
      </w:r>
      <w:r w:rsidR="00575683">
        <w:t>7</w:t>
      </w:r>
      <w:r w:rsidRPr="0041621B">
        <w:t xml:space="preserve"> responses to this question, </w:t>
      </w:r>
      <w:r w:rsidR="00101878">
        <w:t>with 7</w:t>
      </w:r>
      <w:r w:rsidR="001F4EAE">
        <w:t>8</w:t>
      </w:r>
      <w:r w:rsidR="005473D6">
        <w:t xml:space="preserve"> per cent</w:t>
      </w:r>
      <w:r w:rsidR="00F73688">
        <w:t xml:space="preserve"> of respondents (2</w:t>
      </w:r>
      <w:r w:rsidR="00575683">
        <w:t>9</w:t>
      </w:r>
      <w:r w:rsidR="00101878">
        <w:t>) suggesting</w:t>
      </w:r>
      <w:r w:rsidRPr="0041621B">
        <w:t xml:space="preserve"> that section 211 of the Companies Act is not an appropriate mechanism for climate-related disclosures</w:t>
      </w:r>
      <w:r>
        <w:t>. The reasons given included:</w:t>
      </w:r>
    </w:p>
    <w:p w14:paraId="456681CA" w14:textId="122FA18C" w:rsidR="0041621B" w:rsidRPr="0041621B" w:rsidRDefault="006C1A89" w:rsidP="00857B90">
      <w:pPr>
        <w:pStyle w:val="Bullet"/>
      </w:pPr>
      <w:r>
        <w:t xml:space="preserve">section 211 </w:t>
      </w:r>
      <w:r w:rsidR="00101878">
        <w:t xml:space="preserve">is retrospective, while </w:t>
      </w:r>
      <w:r w:rsidR="0041621B" w:rsidRPr="0041621B">
        <w:t xml:space="preserve">climate-related </w:t>
      </w:r>
      <w:r w:rsidR="0041621B">
        <w:t xml:space="preserve">financial </w:t>
      </w:r>
      <w:r w:rsidR="0041621B" w:rsidRPr="0041621B">
        <w:t>disclo</w:t>
      </w:r>
      <w:r w:rsidR="00101878">
        <w:t>sures should be forward</w:t>
      </w:r>
      <w:r w:rsidR="002E12C3">
        <w:t>-</w:t>
      </w:r>
      <w:r w:rsidR="00101878">
        <w:t>looking</w:t>
      </w:r>
    </w:p>
    <w:p w14:paraId="088E0BA9" w14:textId="77777777" w:rsidR="0041621B" w:rsidRDefault="00101878" w:rsidP="00857B90">
      <w:pPr>
        <w:pStyle w:val="Bullet"/>
      </w:pPr>
      <w:proofErr w:type="gramStart"/>
      <w:r>
        <w:t>t</w:t>
      </w:r>
      <w:r w:rsidR="0041621B" w:rsidRPr="0041621B">
        <w:t>he</w:t>
      </w:r>
      <w:proofErr w:type="gramEnd"/>
      <w:r w:rsidR="0041621B" w:rsidRPr="0041621B">
        <w:t xml:space="preserve"> requirements are not principle-based</w:t>
      </w:r>
      <w:r w:rsidR="0041621B">
        <w:t xml:space="preserve"> and may therefore reduce</w:t>
      </w:r>
      <w:r w:rsidR="0041621B" w:rsidRPr="0041621B">
        <w:t xml:space="preserve"> the quality of climate</w:t>
      </w:r>
      <w:r w:rsidR="00B07BFE">
        <w:t>-</w:t>
      </w:r>
      <w:r w:rsidR="0041621B" w:rsidRPr="0041621B">
        <w:t>related financial reporting.</w:t>
      </w:r>
    </w:p>
    <w:p w14:paraId="4C620DBD" w14:textId="77777777" w:rsidR="002211D8" w:rsidRDefault="00F73688" w:rsidP="007C76D8">
      <w:pPr>
        <w:pStyle w:val="BodyText"/>
      </w:pPr>
      <w:proofErr w:type="spellStart"/>
      <w:r>
        <w:t>Transpower</w:t>
      </w:r>
      <w:proofErr w:type="spellEnd"/>
      <w:r w:rsidR="0041621B">
        <w:t xml:space="preserve"> </w:t>
      </w:r>
      <w:r>
        <w:t>noted</w:t>
      </w:r>
      <w:r w:rsidR="0041621B">
        <w:t xml:space="preserve"> that</w:t>
      </w:r>
      <w:r w:rsidR="002211D8">
        <w:t>:</w:t>
      </w:r>
      <w:r w:rsidR="0041621B">
        <w:t xml:space="preserve"> </w:t>
      </w:r>
    </w:p>
    <w:p w14:paraId="68B5E01A" w14:textId="7D73A439" w:rsidR="007C76D8" w:rsidRDefault="002E12C3" w:rsidP="00161A5C">
      <w:pPr>
        <w:pStyle w:val="Quote"/>
      </w:pPr>
      <w:r>
        <w:t>…</w:t>
      </w:r>
      <w:r w:rsidR="008C4681">
        <w:t>t</w:t>
      </w:r>
      <w:r w:rsidR="0041621B">
        <w:t>here is the potential for reporting on climate-related risks (or premature disclosure of opportunities) to be harmful to a business, and therefore currently able to be withheld under the Companies Act. Mandatory disclosure would likely remove the ability of a company to withhold harmful information.</w:t>
      </w:r>
      <w:r w:rsidR="007C76D8">
        <w:t xml:space="preserve"> </w:t>
      </w:r>
    </w:p>
    <w:p w14:paraId="24633A7C" w14:textId="4793858C" w:rsidR="003D28C0" w:rsidRDefault="009170E1" w:rsidP="007C76D8">
      <w:pPr>
        <w:pStyle w:val="BodyText"/>
      </w:pPr>
      <w:r>
        <w:t>Nevertheless,</w:t>
      </w:r>
      <w:r w:rsidR="004B6655">
        <w:t xml:space="preserve"> </w:t>
      </w:r>
      <w:r w:rsidR="002E12C3">
        <w:t xml:space="preserve">four </w:t>
      </w:r>
      <w:r w:rsidR="006867CE">
        <w:t>respondent</w:t>
      </w:r>
      <w:r w:rsidR="0041621B">
        <w:t>s argued section 211 of the Companies Act already includes climate change as a risk that needs to be man</w:t>
      </w:r>
      <w:r w:rsidR="004B6655">
        <w:t xml:space="preserve">aged and reported. </w:t>
      </w:r>
      <w:r w:rsidR="002E12C3">
        <w:t xml:space="preserve">Six </w:t>
      </w:r>
      <w:r w:rsidR="006867CE">
        <w:t>respondent</w:t>
      </w:r>
      <w:r w:rsidR="0041621B">
        <w:t xml:space="preserve">s suggested that section 211 could require </w:t>
      </w:r>
      <w:r w:rsidR="0041621B" w:rsidRPr="0041621B">
        <w:t>disclosure of material</w:t>
      </w:r>
      <w:r w:rsidR="002E12C3">
        <w:t xml:space="preserve">, </w:t>
      </w:r>
      <w:r w:rsidR="0041621B" w:rsidRPr="0041621B">
        <w:t xml:space="preserve">climate-related information if </w:t>
      </w:r>
      <w:r w:rsidR="002E12C3">
        <w:t>enough</w:t>
      </w:r>
      <w:r w:rsidR="002E12C3" w:rsidRPr="0041621B">
        <w:t xml:space="preserve"> </w:t>
      </w:r>
      <w:r w:rsidR="0041621B" w:rsidRPr="0041621B">
        <w:t>guidance was also provided</w:t>
      </w:r>
      <w:r w:rsidR="009F7702">
        <w:t>.</w:t>
      </w:r>
      <w:r w:rsidR="0041621B">
        <w:t xml:space="preserve"> </w:t>
      </w:r>
      <w:r w:rsidR="007C76D8">
        <w:t>A</w:t>
      </w:r>
      <w:r w:rsidR="009F7702">
        <w:t xml:space="preserve">MP Capital Investors argued </w:t>
      </w:r>
      <w:r w:rsidR="007C76D8">
        <w:t>making use of s</w:t>
      </w:r>
      <w:r w:rsidR="00FC22B8">
        <w:t xml:space="preserve">ection </w:t>
      </w:r>
      <w:r w:rsidR="009F7702">
        <w:t>211</w:t>
      </w:r>
      <w:r w:rsidR="0041621B">
        <w:t xml:space="preserve"> risk</w:t>
      </w:r>
      <w:r w:rsidR="009F7702">
        <w:t>s</w:t>
      </w:r>
      <w:r w:rsidR="0041621B">
        <w:t xml:space="preserve"> regulatory overlap</w:t>
      </w:r>
      <w:r w:rsidR="007C76D8">
        <w:t xml:space="preserve"> if new regulation is introduced,</w:t>
      </w:r>
      <w:r w:rsidR="0041621B">
        <w:t xml:space="preserve"> resulting in duplication of effort and disclosure. </w:t>
      </w:r>
    </w:p>
    <w:p w14:paraId="0DC77640" w14:textId="54A2C94F" w:rsidR="007C76D8" w:rsidRDefault="007C76D8" w:rsidP="007C76D8">
      <w:pPr>
        <w:pStyle w:val="Heading3"/>
      </w:pPr>
      <w:bookmarkStart w:id="45" w:name="_Toc32847636"/>
      <w:r>
        <w:t>Q</w:t>
      </w:r>
      <w:r w:rsidR="0040420A">
        <w:t>.</w:t>
      </w:r>
      <w:r w:rsidRPr="007C76D8">
        <w:t>7 What are the implications of the NZX Listing Rules for the disclosure of material</w:t>
      </w:r>
      <w:r w:rsidR="002E12C3">
        <w:t>,</w:t>
      </w:r>
      <w:r w:rsidRPr="007C76D8">
        <w:t xml:space="preserve"> climate-related information by (a) equity issuers and (b) debt issuers?</w:t>
      </w:r>
      <w:bookmarkEnd w:id="45"/>
    </w:p>
    <w:p w14:paraId="38102880" w14:textId="41896AA5" w:rsidR="007C76D8" w:rsidRDefault="007C76D8" w:rsidP="007C76D8">
      <w:pPr>
        <w:pStyle w:val="BodyText"/>
      </w:pPr>
      <w:r>
        <w:t>We received 3</w:t>
      </w:r>
      <w:r w:rsidR="00651537">
        <w:t>5</w:t>
      </w:r>
      <w:r>
        <w:t xml:space="preserve"> responses to this question. Respondents </w:t>
      </w:r>
      <w:r w:rsidR="00D1129C">
        <w:t xml:space="preserve">argued </w:t>
      </w:r>
      <w:r>
        <w:t>the NZX ESG Guidance Note already encourages issuers to disclose climate-related information in annual reports and specifically refers to the T</w:t>
      </w:r>
      <w:r w:rsidR="00D1129C">
        <w:t>C</w:t>
      </w:r>
      <w:r>
        <w:t>FD framework (and other reporting frameworks). Howeve</w:t>
      </w:r>
      <w:r w:rsidR="008C4681">
        <w:t xml:space="preserve">r, </w:t>
      </w:r>
      <w:r w:rsidR="002E12C3">
        <w:t xml:space="preserve">most </w:t>
      </w:r>
      <w:r w:rsidR="008C4681">
        <w:t xml:space="preserve">respondents </w:t>
      </w:r>
      <w:r>
        <w:t>did not feel the NZX Listing Rules met the policy objectives in the discussion doc</w:t>
      </w:r>
      <w:r w:rsidR="00FB06F2">
        <w:t>ument for the reasons below.</w:t>
      </w:r>
    </w:p>
    <w:p w14:paraId="5EEE99A1" w14:textId="01AD8838" w:rsidR="007C76D8" w:rsidRDefault="007C76D8" w:rsidP="00857B90">
      <w:pPr>
        <w:pStyle w:val="Bullet"/>
      </w:pPr>
      <w:r>
        <w:t xml:space="preserve">The guidance is ESG focused </w:t>
      </w:r>
      <w:r w:rsidR="002E12C3">
        <w:t>rather than focusing</w:t>
      </w:r>
      <w:r>
        <w:t xml:space="preserve"> on strategy</w:t>
      </w:r>
      <w:r w:rsidR="002E12C3">
        <w:t xml:space="preserve"> and/or </w:t>
      </w:r>
      <w:r>
        <w:t>risk management or longer</w:t>
      </w:r>
      <w:r w:rsidR="002E12C3">
        <w:t>-</w:t>
      </w:r>
      <w:r>
        <w:t>term impacts of climate change. Reporting on c</w:t>
      </w:r>
      <w:r w:rsidR="00D1129C">
        <w:t>limate change is not explicitly</w:t>
      </w:r>
      <w:r>
        <w:t xml:space="preserve"> required.</w:t>
      </w:r>
    </w:p>
    <w:p w14:paraId="02889B3F" w14:textId="0598B427" w:rsidR="007C76D8" w:rsidRDefault="007C76D8" w:rsidP="00857B90">
      <w:pPr>
        <w:pStyle w:val="Bullet"/>
      </w:pPr>
      <w:r>
        <w:t>The guidance is not specific enough to elicit consistent and comparable information</w:t>
      </w:r>
      <w:r w:rsidR="002E12C3">
        <w:t>. R</w:t>
      </w:r>
      <w:r>
        <w:t xml:space="preserve">espondents </w:t>
      </w:r>
      <w:r w:rsidR="004B6655">
        <w:t xml:space="preserve">argued </w:t>
      </w:r>
      <w:r>
        <w:t>it resulted in ad hoc and retrospective reporting.</w:t>
      </w:r>
    </w:p>
    <w:p w14:paraId="4DB866A0" w14:textId="20A26218" w:rsidR="007C76D8" w:rsidRDefault="007C76D8" w:rsidP="00857B90">
      <w:pPr>
        <w:pStyle w:val="Bullet"/>
      </w:pPr>
      <w:r>
        <w:t xml:space="preserve">The guidance note is voluntary and therefore lacks monitoring provisions or </w:t>
      </w:r>
      <w:r w:rsidR="00D1129C">
        <w:t>enforcement</w:t>
      </w:r>
      <w:r>
        <w:t xml:space="preserve"> of compliance.</w:t>
      </w:r>
    </w:p>
    <w:p w14:paraId="3645DE72" w14:textId="77777777" w:rsidR="007C76D8" w:rsidRDefault="007C76D8" w:rsidP="00857B90">
      <w:pPr>
        <w:pStyle w:val="Bullet"/>
      </w:pPr>
      <w:r>
        <w:lastRenderedPageBreak/>
        <w:t>U</w:t>
      </w:r>
      <w:r w:rsidRPr="007C76D8">
        <w:t>nder the listing rules</w:t>
      </w:r>
      <w:r w:rsidR="00157D6E">
        <w:t>, the threshold tests relevant to</w:t>
      </w:r>
      <w:r>
        <w:t xml:space="preserve"> c</w:t>
      </w:r>
      <w:r w:rsidRPr="007C76D8">
        <w:t>ontinuous disclosure cannot be met with</w:t>
      </w:r>
      <w:r>
        <w:t xml:space="preserve"> sufficient accuracy </w:t>
      </w:r>
      <w:r w:rsidR="00157D6E">
        <w:t>using</w:t>
      </w:r>
      <w:r>
        <w:t xml:space="preserve"> forward-looking information, so TCFD-aligned information under the NZX rules</w:t>
      </w:r>
      <w:r w:rsidR="00157D6E">
        <w:t xml:space="preserve"> may lead to breaching </w:t>
      </w:r>
      <w:r w:rsidRPr="007C76D8">
        <w:t>of FMCA Section 270, resulting in penalties</w:t>
      </w:r>
      <w:r>
        <w:t>.</w:t>
      </w:r>
    </w:p>
    <w:p w14:paraId="31738F7C" w14:textId="66EF7A04" w:rsidR="002211D8" w:rsidRDefault="00B07BFE" w:rsidP="007C76D8">
      <w:pPr>
        <w:pStyle w:val="BodyText"/>
      </w:pPr>
      <w:r w:rsidRPr="00B07BFE">
        <w:t xml:space="preserve">Lawyers for Climate Action New Zealand </w:t>
      </w:r>
      <w:proofErr w:type="spellStart"/>
      <w:r>
        <w:t>Inc</w:t>
      </w:r>
      <w:proofErr w:type="spellEnd"/>
      <w:r>
        <w:t xml:space="preserve"> pointed out that</w:t>
      </w:r>
      <w:r w:rsidR="002211D8">
        <w:t>:</w:t>
      </w:r>
      <w:r>
        <w:t xml:space="preserve"> </w:t>
      </w:r>
    </w:p>
    <w:p w14:paraId="39545A3E" w14:textId="1F6FB86A" w:rsidR="007C76D8" w:rsidRPr="00CD35A3" w:rsidRDefault="002E12C3" w:rsidP="00CD35A3">
      <w:pPr>
        <w:pStyle w:val="Quote"/>
      </w:pPr>
      <w:r>
        <w:rPr>
          <w:rStyle w:val="QuoteChar"/>
        </w:rPr>
        <w:t>…</w:t>
      </w:r>
      <w:r w:rsidR="007C76D8" w:rsidRPr="00CD35A3">
        <w:rPr>
          <w:rStyle w:val="QuoteChar"/>
        </w:rPr>
        <w:t>the guidance offered is very limited and is not specific to climate-related disclosure. The effect of this is that climate change is not explicitly required to be considered and is often not at the forefront of companies’ operations and risk-management and investment behaviour but is rather an afterthought</w:t>
      </w:r>
      <w:r>
        <w:rPr>
          <w:rStyle w:val="QuoteChar"/>
        </w:rPr>
        <w:t>…</w:t>
      </w:r>
      <w:r w:rsidR="00CD35A3" w:rsidRPr="00CD35A3">
        <w:rPr>
          <w:rStyle w:val="QuoteChar"/>
        </w:rPr>
        <w:t xml:space="preserve"> </w:t>
      </w:r>
    </w:p>
    <w:p w14:paraId="7416E053" w14:textId="5899B186" w:rsidR="007C76D8" w:rsidRDefault="00EC7E03" w:rsidP="007C76D8">
      <w:pPr>
        <w:pStyle w:val="BodyText"/>
      </w:pPr>
      <w:r>
        <w:t>R</w:t>
      </w:r>
      <w:r w:rsidR="007C76D8">
        <w:t xml:space="preserve">espondents </w:t>
      </w:r>
      <w:r w:rsidR="0033458B">
        <w:t xml:space="preserve">also </w:t>
      </w:r>
      <w:r w:rsidR="007C76D8">
        <w:t xml:space="preserve">noted any introduction of climate-related financial disclosures </w:t>
      </w:r>
      <w:r w:rsidR="00AF3CC2">
        <w:t>must</w:t>
      </w:r>
      <w:r w:rsidR="007C76D8">
        <w:t xml:space="preserve"> </w:t>
      </w:r>
      <w:r w:rsidR="008C4681">
        <w:t xml:space="preserve">subsequently </w:t>
      </w:r>
      <w:r w:rsidR="007C76D8">
        <w:t xml:space="preserve">be reflected in NZX code 4.3. </w:t>
      </w:r>
    </w:p>
    <w:p w14:paraId="2CA8CE42" w14:textId="47894D49" w:rsidR="00D541A4" w:rsidRDefault="007C76D8" w:rsidP="007C76D8">
      <w:pPr>
        <w:pStyle w:val="BodyText"/>
      </w:pPr>
      <w:r>
        <w:t>As with the p</w:t>
      </w:r>
      <w:r w:rsidR="006867CE">
        <w:t>revious question, some respondent</w:t>
      </w:r>
      <w:r>
        <w:t xml:space="preserve">s </w:t>
      </w:r>
      <w:r w:rsidR="00D1129C">
        <w:t>warned</w:t>
      </w:r>
      <w:r>
        <w:t xml:space="preserve"> reliance on the NZX Listing Rules</w:t>
      </w:r>
      <w:r w:rsidR="00EC7E03">
        <w:t xml:space="preserve"> restricted</w:t>
      </w:r>
      <w:r>
        <w:t xml:space="preserve"> the types of entities in scope of this reporting requirement.</w:t>
      </w:r>
    </w:p>
    <w:p w14:paraId="62FD886D" w14:textId="77777777" w:rsidR="007D00A2" w:rsidRDefault="007D00A2" w:rsidP="007D00A2">
      <w:pPr>
        <w:pStyle w:val="Heading3"/>
      </w:pPr>
      <w:bookmarkStart w:id="46" w:name="_Toc32847637"/>
      <w:r>
        <w:t>Q.</w:t>
      </w:r>
      <w:r w:rsidRPr="007C76D8">
        <w:t xml:space="preserve">8 </w:t>
      </w:r>
      <w:proofErr w:type="gramStart"/>
      <w:r w:rsidRPr="007C76D8">
        <w:t>How</w:t>
      </w:r>
      <w:proofErr w:type="gramEnd"/>
      <w:r w:rsidRPr="007C76D8">
        <w:t xml:space="preserve"> should proposed adaptation reporting under the Climate Change Response (Zero Carbon) Amendment Bill and the climate-related financial reporting disclosures proposed in this discussion document best work together?</w:t>
      </w:r>
      <w:bookmarkEnd w:id="46"/>
    </w:p>
    <w:p w14:paraId="33679E42" w14:textId="1F57B206" w:rsidR="007D00A2" w:rsidRDefault="00EC7E03" w:rsidP="007D00A2">
      <w:pPr>
        <w:pStyle w:val="BodyText"/>
      </w:pPr>
      <w:r>
        <w:t>We received 3</w:t>
      </w:r>
      <w:r w:rsidR="00651537">
        <w:t>6</w:t>
      </w:r>
      <w:r w:rsidR="007D00A2">
        <w:t xml:space="preserve"> responses to this question. Most respondents stressed the importance of avoiding regulatory overlap or conflict </w:t>
      </w:r>
      <w:r w:rsidR="00CF155F">
        <w:t xml:space="preserve">on the basis of </w:t>
      </w:r>
      <w:r w:rsidR="007D00A2">
        <w:t>limit</w:t>
      </w:r>
      <w:r w:rsidR="00CF155F">
        <w:t>ing</w:t>
      </w:r>
      <w:r w:rsidR="007D00A2">
        <w:t xml:space="preserve"> </w:t>
      </w:r>
      <w:r w:rsidR="00CF155F">
        <w:t xml:space="preserve">cost and administrative burden. To achieve this, </w:t>
      </w:r>
      <w:r w:rsidR="0033458B">
        <w:t xml:space="preserve">respondents supported </w:t>
      </w:r>
      <w:r w:rsidR="00CF155F">
        <w:t>the</w:t>
      </w:r>
      <w:r w:rsidR="007D00A2">
        <w:t xml:space="preserve"> proposal TCFD reports could be used to satisfy information requests under the Zero Carbon Act. A small number of respondents recommended all reporting organisations under the Zero Carbon Act should be required to use the TCFD framework to report. </w:t>
      </w:r>
    </w:p>
    <w:p w14:paraId="292F0998" w14:textId="43197614" w:rsidR="007D00A2" w:rsidRPr="002D241C" w:rsidRDefault="007D00A2" w:rsidP="007D00A2">
      <w:pPr>
        <w:pStyle w:val="BodyText"/>
        <w:rPr>
          <w:spacing w:val="-4"/>
        </w:rPr>
      </w:pPr>
      <w:r w:rsidRPr="002D241C">
        <w:rPr>
          <w:spacing w:val="-4"/>
        </w:rPr>
        <w:t xml:space="preserve">Submitters felt allowing TCFD reports to be used to comply with both requirements would help reduce </w:t>
      </w:r>
      <w:r w:rsidR="003D28C0" w:rsidRPr="002D241C">
        <w:rPr>
          <w:spacing w:val="-4"/>
        </w:rPr>
        <w:t xml:space="preserve">the </w:t>
      </w:r>
      <w:r w:rsidRPr="002D241C">
        <w:rPr>
          <w:spacing w:val="-4"/>
        </w:rPr>
        <w:t>compliance burden</w:t>
      </w:r>
      <w:r w:rsidR="0033458B" w:rsidRPr="002D241C">
        <w:rPr>
          <w:spacing w:val="-4"/>
        </w:rPr>
        <w:t xml:space="preserve">. They felt this would </w:t>
      </w:r>
      <w:r w:rsidRPr="002D241C">
        <w:rPr>
          <w:spacing w:val="-4"/>
        </w:rPr>
        <w:t xml:space="preserve">also ensure greater consistency of data outputs to be used by investors, the Government, the Climate Change </w:t>
      </w:r>
      <w:r w:rsidR="009B43F1" w:rsidRPr="002D241C">
        <w:rPr>
          <w:spacing w:val="-4"/>
        </w:rPr>
        <w:t>Commission</w:t>
      </w:r>
      <w:r w:rsidRPr="002D241C">
        <w:rPr>
          <w:spacing w:val="-4"/>
        </w:rPr>
        <w:t xml:space="preserve"> and the </w:t>
      </w:r>
      <w:r w:rsidR="009B43F1" w:rsidRPr="002D241C">
        <w:rPr>
          <w:spacing w:val="-4"/>
        </w:rPr>
        <w:t>RBNZ</w:t>
      </w:r>
      <w:r w:rsidRPr="002D241C">
        <w:rPr>
          <w:spacing w:val="-4"/>
        </w:rPr>
        <w:t>.</w:t>
      </w:r>
    </w:p>
    <w:p w14:paraId="0C8FC7DD" w14:textId="430734C7" w:rsidR="002211D8" w:rsidRDefault="007D00A2" w:rsidP="007D00A2">
      <w:pPr>
        <w:pStyle w:val="BodyText"/>
      </w:pPr>
      <w:r w:rsidRPr="00210781">
        <w:t>Several</w:t>
      </w:r>
      <w:r>
        <w:t xml:space="preserve"> other respondent</w:t>
      </w:r>
      <w:r w:rsidRPr="00210781">
        <w:t>s note</w:t>
      </w:r>
      <w:r>
        <w:t>d</w:t>
      </w:r>
      <w:r w:rsidR="0033458B">
        <w:t>,</w:t>
      </w:r>
      <w:r w:rsidRPr="00210781">
        <w:t xml:space="preserve"> however</w:t>
      </w:r>
      <w:r w:rsidR="0033458B">
        <w:t>,</w:t>
      </w:r>
      <w:r w:rsidRPr="00210781">
        <w:t xml:space="preserve"> that while there are interrelationships, the focus of the information sought under each </w:t>
      </w:r>
      <w:r w:rsidR="00CF155F">
        <w:t xml:space="preserve">regime </w:t>
      </w:r>
      <w:r w:rsidRPr="00210781">
        <w:t xml:space="preserve">is different, presenting </w:t>
      </w:r>
      <w:r w:rsidR="00CF155F">
        <w:t>issues</w:t>
      </w:r>
      <w:r w:rsidRPr="00210781">
        <w:t xml:space="preserve"> which have yet to be resolved</w:t>
      </w:r>
      <w:r>
        <w:t xml:space="preserve">. </w:t>
      </w:r>
      <w:r w:rsidRPr="001C7AE6">
        <w:t xml:space="preserve">Chartered Accountants Australia and New Zealand </w:t>
      </w:r>
      <w:r>
        <w:t xml:space="preserve">submitted: </w:t>
      </w:r>
    </w:p>
    <w:p w14:paraId="47018FB7" w14:textId="78B9C141" w:rsidR="00492C68" w:rsidRPr="00492C68" w:rsidRDefault="0033458B" w:rsidP="002D241C">
      <w:pPr>
        <w:pStyle w:val="Quote"/>
        <w:spacing w:after="120"/>
      </w:pPr>
      <w:r>
        <w:t>…</w:t>
      </w:r>
      <w:r w:rsidR="007D00A2" w:rsidRPr="001C7AE6">
        <w:t>TCFD recommendations are focused on the risks and opportunities of climate change on organisations. As such, these recommendations do not impose any requirement to include details of the action plans developed to address any matters arising f</w:t>
      </w:r>
      <w:r w:rsidR="00260566">
        <w:t>rom the disclosures themselves.</w:t>
      </w:r>
    </w:p>
    <w:tbl>
      <w:tblPr>
        <w:tblStyle w:val="TableGrid"/>
        <w:tblW w:w="8233" w:type="dxa"/>
        <w:tblInd w:w="113" w:type="dxa"/>
        <w:tblLook w:val="04A0" w:firstRow="1" w:lastRow="0" w:firstColumn="1" w:lastColumn="0" w:noHBand="0" w:noVBand="1"/>
      </w:tblPr>
      <w:tblGrid>
        <w:gridCol w:w="8233"/>
      </w:tblGrid>
      <w:tr w:rsidR="007D00A2" w:rsidRPr="006B77BB" w14:paraId="633019E4" w14:textId="77777777" w:rsidTr="00573E83">
        <w:trPr>
          <w:trHeight w:val="1975"/>
        </w:trPr>
        <w:tc>
          <w:tcPr>
            <w:tcW w:w="8233" w:type="dxa"/>
            <w:shd w:val="clear" w:color="auto" w:fill="1C556C"/>
            <w:vAlign w:val="center"/>
          </w:tcPr>
          <w:p w14:paraId="21F3302F" w14:textId="4DB1C5EB" w:rsidR="007D00A2" w:rsidRDefault="007D00A2" w:rsidP="00573E83">
            <w:pPr>
              <w:pStyle w:val="BodyText"/>
              <w:spacing w:before="60" w:after="60"/>
              <w:ind w:left="284" w:right="284"/>
              <w:rPr>
                <w:color w:val="FFFFFF" w:themeColor="background1"/>
                <w:szCs w:val="24"/>
              </w:rPr>
            </w:pPr>
            <w:r w:rsidRPr="006B77BB">
              <w:rPr>
                <w:color w:val="FFFFFF" w:themeColor="background1"/>
                <w:szCs w:val="24"/>
              </w:rPr>
              <w:sym w:font="Webdings" w:char="F038"/>
            </w:r>
            <w:r w:rsidR="0033458B">
              <w:rPr>
                <w:color w:val="FFFFFF" w:themeColor="background1"/>
                <w:szCs w:val="24"/>
              </w:rPr>
              <w:t xml:space="preserve"> </w:t>
            </w:r>
            <w:r w:rsidRPr="00EE15F2">
              <w:rPr>
                <w:color w:val="FFFFFF" w:themeColor="background1"/>
                <w:szCs w:val="24"/>
              </w:rPr>
              <w:t>We expect that to comply with new climate-related financial disclosures, the adaptation information requested under the Zero Carbon Act would be summarised as part of a TCFD disclosure with a specific focus on the financial implications. This would sit alongside transition risks to provide an interested party a complete picture of climate risk</w:t>
            </w:r>
            <w:r w:rsidRPr="006B77BB">
              <w:rPr>
                <w:color w:val="FFFFFF" w:themeColor="background1"/>
                <w:szCs w:val="24"/>
              </w:rPr>
              <w:t xml:space="preserve">. </w:t>
            </w:r>
            <w:r w:rsidRPr="006B77BB">
              <w:rPr>
                <w:color w:val="FFFFFF" w:themeColor="background1"/>
                <w:szCs w:val="24"/>
              </w:rPr>
              <w:sym w:font="Webdings" w:char="F037"/>
            </w:r>
          </w:p>
          <w:p w14:paraId="098C373F" w14:textId="065EC2CF" w:rsidR="007D00A2" w:rsidRPr="006B77BB" w:rsidRDefault="0024700E" w:rsidP="00573E83">
            <w:pPr>
              <w:pStyle w:val="BodyText"/>
              <w:spacing w:after="0"/>
              <w:ind w:left="284" w:right="284"/>
              <w:rPr>
                <w:color w:val="FFFFFF" w:themeColor="background1"/>
              </w:rPr>
            </w:pPr>
            <w:r>
              <w:rPr>
                <w:color w:val="FFFFFF" w:themeColor="background1"/>
                <w:szCs w:val="24"/>
              </w:rPr>
              <w:t xml:space="preserve">– </w:t>
            </w:r>
            <w:r w:rsidR="007D00A2" w:rsidRPr="00A83CCD">
              <w:rPr>
                <w:i/>
                <w:color w:val="FFFFFF" w:themeColor="background1"/>
                <w:szCs w:val="24"/>
              </w:rPr>
              <w:t>Vector</w:t>
            </w:r>
          </w:p>
        </w:tc>
      </w:tr>
    </w:tbl>
    <w:p w14:paraId="475E2DE6" w14:textId="6B6208AF" w:rsidR="007C76D8" w:rsidRDefault="00D541A4" w:rsidP="002D241C">
      <w:pPr>
        <w:pStyle w:val="Heading2"/>
      </w:pPr>
      <w:bookmarkStart w:id="47" w:name="_Toc32847638"/>
      <w:bookmarkStart w:id="48" w:name="_Toc34216954"/>
      <w:r>
        <w:lastRenderedPageBreak/>
        <w:t>Chapter 4: Directors’ legal obligations and climate change</w:t>
      </w:r>
      <w:bookmarkEnd w:id="47"/>
      <w:bookmarkEnd w:id="48"/>
      <w:r w:rsidR="007C76D8">
        <w:t xml:space="preserve"> </w:t>
      </w:r>
    </w:p>
    <w:p w14:paraId="0313A3E1" w14:textId="15577334" w:rsidR="00C14931" w:rsidRDefault="00C14931" w:rsidP="00C14931">
      <w:pPr>
        <w:pStyle w:val="Heading3"/>
      </w:pPr>
      <w:bookmarkStart w:id="49" w:name="_Toc32847639"/>
      <w:r w:rsidRPr="00C14931">
        <w:t xml:space="preserve">Q.9 Do directors' legal obligations in New Zealand result in consideration, identification, management and disclosure of </w:t>
      </w:r>
      <w:r w:rsidR="0033458B">
        <w:br/>
      </w:r>
      <w:r w:rsidRPr="00C14931">
        <w:t>climate-related risks?</w:t>
      </w:r>
      <w:bookmarkEnd w:id="49"/>
    </w:p>
    <w:p w14:paraId="2382A19E" w14:textId="79CDE5A1" w:rsidR="008C4681" w:rsidRDefault="00C14931" w:rsidP="001C7AE6">
      <w:pPr>
        <w:pStyle w:val="BodyText"/>
      </w:pPr>
      <w:r w:rsidRPr="001C7AE6">
        <w:t>We received</w:t>
      </w:r>
      <w:r w:rsidR="00291E6B">
        <w:t xml:space="preserve"> 3</w:t>
      </w:r>
      <w:r w:rsidR="005F06AA">
        <w:t>9</w:t>
      </w:r>
      <w:r w:rsidR="00700643" w:rsidRPr="001C7AE6">
        <w:t xml:space="preserve"> responses to this question. A</w:t>
      </w:r>
      <w:r w:rsidRPr="001C7AE6">
        <w:t>ll respondents noted directors’</w:t>
      </w:r>
      <w:r w:rsidR="00A253DD" w:rsidRPr="001C7AE6">
        <w:t xml:space="preserve"> legal</w:t>
      </w:r>
      <w:r w:rsidRPr="001C7AE6">
        <w:t xml:space="preserve"> obligations did require them to consider, identify and manage climate risks, to the extent they are material risks. </w:t>
      </w:r>
      <w:r w:rsidR="00700643" w:rsidRPr="001C7AE6">
        <w:t xml:space="preserve">However, the efficacy of these obligations is unclear. </w:t>
      </w:r>
    </w:p>
    <w:p w14:paraId="657EEAB0" w14:textId="7743A5E5" w:rsidR="00700643" w:rsidRPr="001C7AE6" w:rsidRDefault="00700643" w:rsidP="001C7AE6">
      <w:pPr>
        <w:pStyle w:val="BodyText"/>
      </w:pPr>
      <w:r w:rsidRPr="001C7AE6">
        <w:t xml:space="preserve">While </w:t>
      </w:r>
      <w:r w:rsidR="00C14931" w:rsidRPr="001C7AE6">
        <w:t>1</w:t>
      </w:r>
      <w:r w:rsidR="005F06AA">
        <w:t>4</w:t>
      </w:r>
      <w:r w:rsidR="00C14931" w:rsidRPr="001C7AE6">
        <w:t xml:space="preserve"> respondents felt current obligations are ad</w:t>
      </w:r>
      <w:r w:rsidRPr="001C7AE6">
        <w:t xml:space="preserve">equate to achieve that outcome, </w:t>
      </w:r>
      <w:r w:rsidR="00291E6B">
        <w:t>all remaining responses (2</w:t>
      </w:r>
      <w:r w:rsidR="00651537">
        <w:t>5</w:t>
      </w:r>
      <w:r w:rsidR="00C14931" w:rsidRPr="001C7AE6">
        <w:t>) indicated that</w:t>
      </w:r>
      <w:r w:rsidR="00BF4CEF">
        <w:t>,</w:t>
      </w:r>
      <w:r w:rsidR="00C14931" w:rsidRPr="001C7AE6">
        <w:t xml:space="preserve"> in practice, current obligations have not resulted in </w:t>
      </w:r>
      <w:r w:rsidR="00BF4CEF">
        <w:t xml:space="preserve">directors considering </w:t>
      </w:r>
      <w:r w:rsidR="00C14931" w:rsidRPr="001C7AE6">
        <w:t>climate change at an appropriate scale. Reasons given for this included</w:t>
      </w:r>
      <w:r w:rsidRPr="001C7AE6">
        <w:t>:</w:t>
      </w:r>
      <w:r w:rsidR="00C14931" w:rsidRPr="001C7AE6">
        <w:t xml:space="preserve"> </w:t>
      </w:r>
    </w:p>
    <w:p w14:paraId="50FE4CEF" w14:textId="77777777" w:rsidR="00700643" w:rsidRPr="001C7AE6" w:rsidRDefault="00192B7D" w:rsidP="00857B90">
      <w:pPr>
        <w:pStyle w:val="Bullet"/>
      </w:pPr>
      <w:r w:rsidRPr="001C7AE6">
        <w:t xml:space="preserve">lack of clarity (such as </w:t>
      </w:r>
      <w:r w:rsidR="00C14931" w:rsidRPr="001C7AE6">
        <w:t>no explicit requireme</w:t>
      </w:r>
      <w:r w:rsidR="00700643" w:rsidRPr="001C7AE6">
        <w:t>nt to consider climate change) in the obligations</w:t>
      </w:r>
    </w:p>
    <w:p w14:paraId="46DA5559" w14:textId="6611DD84" w:rsidR="00700643" w:rsidRPr="001C7AE6" w:rsidRDefault="00BF4CEF" w:rsidP="00857B90">
      <w:pPr>
        <w:pStyle w:val="Bullet"/>
      </w:pPr>
      <w:r>
        <w:t xml:space="preserve">directors’ </w:t>
      </w:r>
      <w:r w:rsidR="00C14931" w:rsidRPr="001C7AE6">
        <w:t>poor knowledge of how cl</w:t>
      </w:r>
      <w:r w:rsidR="00700643" w:rsidRPr="001C7AE6">
        <w:t>imate change may present risks</w:t>
      </w:r>
    </w:p>
    <w:p w14:paraId="41092015" w14:textId="77777777" w:rsidR="00700643" w:rsidRPr="001C7AE6" w:rsidRDefault="00C14931" w:rsidP="00857B90">
      <w:pPr>
        <w:pStyle w:val="Bullet"/>
      </w:pPr>
      <w:r w:rsidRPr="001C7AE6">
        <w:t xml:space="preserve">a </w:t>
      </w:r>
      <w:r w:rsidR="00700643" w:rsidRPr="001C7AE6">
        <w:t xml:space="preserve">tendency for directors to prioritise </w:t>
      </w:r>
      <w:r w:rsidRPr="001C7AE6">
        <w:t>short-term risks</w:t>
      </w:r>
    </w:p>
    <w:p w14:paraId="16209CEC" w14:textId="6FBBC972" w:rsidR="00C14931" w:rsidRPr="001C7AE6" w:rsidRDefault="00C14931" w:rsidP="00857B90">
      <w:pPr>
        <w:pStyle w:val="Bullet"/>
      </w:pPr>
      <w:proofErr w:type="gramStart"/>
      <w:r w:rsidRPr="001C7AE6">
        <w:t>the</w:t>
      </w:r>
      <w:proofErr w:type="gramEnd"/>
      <w:r w:rsidRPr="001C7AE6">
        <w:t xml:space="preserve"> challenge</w:t>
      </w:r>
      <w:r w:rsidR="00700643" w:rsidRPr="001C7AE6">
        <w:t xml:space="preserve"> directors face</w:t>
      </w:r>
      <w:r w:rsidRPr="001C7AE6">
        <w:t xml:space="preserve"> in assessing </w:t>
      </w:r>
      <w:r w:rsidR="00700643" w:rsidRPr="001C7AE6">
        <w:t xml:space="preserve">forward-looking </w:t>
      </w:r>
      <w:r w:rsidRPr="001C7AE6">
        <w:t>risks</w:t>
      </w:r>
      <w:r w:rsidR="00BF4CEF">
        <w:t xml:space="preserve"> accurately</w:t>
      </w:r>
      <w:r w:rsidRPr="001C7AE6">
        <w:t>.</w:t>
      </w:r>
    </w:p>
    <w:p w14:paraId="7C30D4A9" w14:textId="5E198045" w:rsidR="002211D8" w:rsidRDefault="00C14931" w:rsidP="001C7AE6">
      <w:pPr>
        <w:pStyle w:val="BodyText"/>
      </w:pPr>
      <w:r w:rsidRPr="001C7AE6">
        <w:t>Where climate change was considered,</w:t>
      </w:r>
      <w:r w:rsidR="006867CE" w:rsidRPr="001C7AE6">
        <w:t xml:space="preserve"> respondent</w:t>
      </w:r>
      <w:r w:rsidR="00700643" w:rsidRPr="001C7AE6">
        <w:t xml:space="preserve">s felt </w:t>
      </w:r>
      <w:r w:rsidRPr="001C7AE6">
        <w:t>the current state of obligations may not result</w:t>
      </w:r>
      <w:r w:rsidR="00700643" w:rsidRPr="001C7AE6">
        <w:t xml:space="preserve"> in disclosure or management</w:t>
      </w:r>
      <w:r w:rsidR="00BF4CEF">
        <w:t xml:space="preserve">. Instead, it </w:t>
      </w:r>
      <w:r w:rsidR="00700643" w:rsidRPr="001C7AE6">
        <w:t>may</w:t>
      </w:r>
      <w:r w:rsidRPr="001C7AE6">
        <w:t xml:space="preserve"> result in very different approach</w:t>
      </w:r>
      <w:r w:rsidR="008C4681">
        <w:t>es between directors</w:t>
      </w:r>
      <w:r w:rsidR="002211D8">
        <w:t>:</w:t>
      </w:r>
      <w:r w:rsidR="00700643" w:rsidRPr="001C7AE6">
        <w:t xml:space="preserve"> </w:t>
      </w:r>
    </w:p>
    <w:p w14:paraId="785B49CF" w14:textId="2F772893" w:rsidR="00700643" w:rsidRPr="00A83CCD" w:rsidRDefault="00700643" w:rsidP="006C246E">
      <w:pPr>
        <w:pStyle w:val="Quote"/>
        <w:rPr>
          <w:i/>
        </w:rPr>
      </w:pPr>
      <w:r w:rsidRPr="001C7AE6">
        <w:t xml:space="preserve">There is a large range of practice from proactive well-considered disclosure to none at all. There are boards with directors who are </w:t>
      </w:r>
      <w:r w:rsidR="0040420A" w:rsidRPr="001C7AE6">
        <w:t>sceptical</w:t>
      </w:r>
      <w:r w:rsidRPr="001C7AE6">
        <w:t xml:space="preserve"> about the need to address climate change risks and believe that this represents cost rather than risk and opportunity for the business. Regulation provides a level playing field and ensures that minimum disclosure is a business necessity and “license to operate” that directors must address.</w:t>
      </w:r>
      <w:r w:rsidR="008C4681">
        <w:t xml:space="preserve"> </w:t>
      </w:r>
      <w:r w:rsidR="00BF4CEF">
        <w:br/>
      </w:r>
      <w:r w:rsidR="008C4681" w:rsidRPr="00A83CCD">
        <w:rPr>
          <w:i/>
        </w:rPr>
        <w:t>(</w:t>
      </w:r>
      <w:proofErr w:type="spellStart"/>
      <w:r w:rsidR="008C4681" w:rsidRPr="00A83CCD">
        <w:rPr>
          <w:i/>
        </w:rPr>
        <w:t>Toitū</w:t>
      </w:r>
      <w:proofErr w:type="spellEnd"/>
      <w:r w:rsidR="008C4681" w:rsidRPr="00A83CCD">
        <w:rPr>
          <w:i/>
        </w:rPr>
        <w:t xml:space="preserve"> </w:t>
      </w:r>
      <w:proofErr w:type="spellStart"/>
      <w:r w:rsidR="008C4681" w:rsidRPr="00A83CCD">
        <w:rPr>
          <w:i/>
        </w:rPr>
        <w:t>Envirocare</w:t>
      </w:r>
      <w:proofErr w:type="spellEnd"/>
      <w:r w:rsidR="008C4681" w:rsidRPr="00A83CCD">
        <w:rPr>
          <w:i/>
        </w:rPr>
        <w:t>)</w:t>
      </w:r>
    </w:p>
    <w:p w14:paraId="612B7220" w14:textId="06B7E6A3" w:rsidR="00D541A4" w:rsidRPr="001C7AE6" w:rsidRDefault="00F158DB" w:rsidP="001C7AE6">
      <w:pPr>
        <w:pStyle w:val="BodyText"/>
      </w:pPr>
      <w:r w:rsidRPr="001C7AE6">
        <w:t>There was near consensus amongst respondents there should be greater guidance or an explicit requirement to consider and manage climate change risks.</w:t>
      </w:r>
    </w:p>
    <w:p w14:paraId="5AC60D11" w14:textId="77777777" w:rsidR="0041621B" w:rsidRDefault="00F158DB" w:rsidP="00A83CCD">
      <w:pPr>
        <w:pStyle w:val="Heading3"/>
        <w:spacing w:after="240"/>
      </w:pPr>
      <w:bookmarkStart w:id="50" w:name="_Toc32847640"/>
      <w:r w:rsidRPr="00F158DB">
        <w:t>Q.10 Do you agree with the legal opinion prepared for the Aotearoa Circle?</w:t>
      </w:r>
      <w:bookmarkEnd w:id="50"/>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161A5C" w14:paraId="6A87C3E9" w14:textId="77777777" w:rsidTr="00A83CCD">
        <w:tc>
          <w:tcPr>
            <w:tcW w:w="8618" w:type="dxa"/>
            <w:shd w:val="clear" w:color="auto" w:fill="D2DDE2"/>
          </w:tcPr>
          <w:p w14:paraId="5AB9E843" w14:textId="6072B28E" w:rsidR="009F3D95" w:rsidRPr="009F3D95" w:rsidRDefault="009F3D95" w:rsidP="009F3D95">
            <w:pPr>
              <w:pStyle w:val="Blueboxtext"/>
              <w:ind w:left="0"/>
              <w:rPr>
                <w:b/>
              </w:rPr>
            </w:pPr>
            <w:r w:rsidRPr="009F3D95">
              <w:rPr>
                <w:b/>
              </w:rPr>
              <w:t>The legal opinion</w:t>
            </w:r>
          </w:p>
          <w:p w14:paraId="2B38DF82" w14:textId="0DC91B4F" w:rsidR="009F3D95" w:rsidRDefault="009F3D95" w:rsidP="009F3D95">
            <w:pPr>
              <w:pStyle w:val="Blueboxtext"/>
              <w:ind w:left="0"/>
            </w:pPr>
            <w:r>
              <w:t>Chapman Tripp’s 2019 legal opinion stated:</w:t>
            </w:r>
          </w:p>
          <w:p w14:paraId="7AF01E0A" w14:textId="1378FC7E" w:rsidR="00161A5C" w:rsidRDefault="009F3D95" w:rsidP="00E73209">
            <w:pPr>
              <w:pStyle w:val="Blueboxtext"/>
              <w:ind w:left="604" w:right="227"/>
            </w:pPr>
            <w:r>
              <w:t xml:space="preserve">“169. </w:t>
            </w:r>
            <w:r w:rsidR="00161A5C">
              <w:t>We have sought to clarify current legal obligations on directors and scheme managers as to whether, and if so, how they must take climate change into account in their decision-making. In essence, our findings, which reflect commercial common sense, are that:</w:t>
            </w:r>
          </w:p>
          <w:p w14:paraId="477CEB0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007CCA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33CDC5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A8881C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3943EF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BA1DBF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AF1D0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B01191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5BF625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7B8E0C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E9C7EA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89E0DE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796D4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0BE82E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7C107E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D51E251"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44FAA3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CAD4A1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23C54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FAB2F8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C63932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2D661B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7DBF75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97145F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5844C4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7CC73B1"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B921E5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607E27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701DF0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7EA375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93E4C3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015544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85B6B0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EDC46A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737EE6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619C4D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EF28B4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7E3D87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987F1F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0FB7BF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C75137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EA2538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787F25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3811ED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E4CD2E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A670A8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8ABCEF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7549B8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1BBBD8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70A48D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D156AC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51932E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6A9797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212C1D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4B113D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0AC9E8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B21DC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B25E84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58EAA3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62A40C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3AC8AA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DB781C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74475E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4DECA2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536A8C1"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340D85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EFC510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5864DA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D1389B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BA84E4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193F75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A10A30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9379F2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8B3B0C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499B07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FF9A8E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398F61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075F19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F202A9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247445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1EF488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BF752D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16EE68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D0AB40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8D2114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39D554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A72312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0DB34D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1ED33D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0106F3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011872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615658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0B912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486BC2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887DF2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60E9B3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49083D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5741A3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B96FBF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168349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A908EC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766ED6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6D6C99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E143351"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56590A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383436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74AEB4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72386A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E04C60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76985B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6D00241"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7F864C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4DC6ED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1F6441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6523C3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1964D7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312231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805F79C"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15A7D8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0B96E7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DC0142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91A23A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106CC0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0F1786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06861D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91550E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34E88D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F81572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1E5354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06FD96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682721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136E4A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47479C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9403DB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A4E943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490497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69EE29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3F9113D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5093E0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7344A3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EE3953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55B211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22CC322"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B3090F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617DFCA"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805CA0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5508FA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359666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0456C9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C0493D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E1F61C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9FFBC23"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68BCA6F"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C2CF277"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F70B5B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7EBE6D"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735DF12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79686C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9A9332B"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120CCB9"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9E948D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2BE618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4084BC54"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2626B34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7769678"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6875785"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19B0B59E"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0C3206F6"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541DAC50" w14:textId="77777777" w:rsidR="009F3D95" w:rsidRPr="009F3D95" w:rsidRDefault="009F3D95" w:rsidP="00E73209">
            <w:pPr>
              <w:pStyle w:val="ListParagraph"/>
              <w:numPr>
                <w:ilvl w:val="0"/>
                <w:numId w:val="19"/>
              </w:numPr>
              <w:spacing w:after="120" w:line="260" w:lineRule="atLeast"/>
              <w:ind w:right="227"/>
              <w:contextualSpacing w:val="0"/>
              <w:jc w:val="left"/>
              <w:rPr>
                <w:rFonts w:ascii="Calibri" w:hAnsi="Calibri"/>
                <w:vanish/>
                <w:color w:val="1C556C"/>
                <w:lang w:eastAsia="en-NZ"/>
              </w:rPr>
            </w:pPr>
          </w:p>
          <w:p w14:paraId="68BD4FCE" w14:textId="08792AA7" w:rsidR="00161A5C" w:rsidRDefault="008C159A" w:rsidP="00E73209">
            <w:pPr>
              <w:pStyle w:val="Blue-boxsub-bullet"/>
              <w:numPr>
                <w:ilvl w:val="0"/>
                <w:numId w:val="0"/>
              </w:numPr>
              <w:ind w:left="888" w:right="227"/>
            </w:pPr>
            <w:r>
              <w:t>169.1</w:t>
            </w:r>
            <w:r w:rsidR="009F3D95">
              <w:t>.</w:t>
            </w:r>
            <w:r>
              <w:t xml:space="preserve"> </w:t>
            </w:r>
            <w:r w:rsidR="00E73209">
              <w:t>…</w:t>
            </w:r>
            <w:r>
              <w:t>directors must act reasonably to inform themselves about, consider and decide how to respond to climate change risk, as they would any other financial risk; and</w:t>
            </w:r>
          </w:p>
          <w:p w14:paraId="7526B5ED" w14:textId="77777777" w:rsidR="00161A5C" w:rsidRDefault="008C159A" w:rsidP="00E73209">
            <w:pPr>
              <w:pStyle w:val="Blue-boxsub-bullet"/>
              <w:numPr>
                <w:ilvl w:val="0"/>
                <w:numId w:val="0"/>
              </w:numPr>
              <w:ind w:left="888" w:right="227"/>
            </w:pPr>
            <w:r>
              <w:t>169.2</w:t>
            </w:r>
            <w:r w:rsidR="009F3D95">
              <w:t>.</w:t>
            </w:r>
            <w:r>
              <w:t xml:space="preserve"> </w:t>
            </w:r>
            <w:r w:rsidR="00E73209">
              <w:t>…</w:t>
            </w:r>
            <w:r>
              <w:t>scheme managers must take climate change into account when making investment decisions and/or designing investment policies, where to do otherwise could pose a material financial risk to the investment portfolio.</w:t>
            </w:r>
            <w:r w:rsidR="009F3D95">
              <w:t>”</w:t>
            </w:r>
          </w:p>
          <w:p w14:paraId="41AB7A83" w14:textId="5F70602E" w:rsidR="00E73209" w:rsidRPr="00345928" w:rsidRDefault="00E73209" w:rsidP="00E73209">
            <w:pPr>
              <w:pStyle w:val="Blue-boxsub-bullet"/>
              <w:numPr>
                <w:ilvl w:val="0"/>
                <w:numId w:val="0"/>
              </w:numPr>
              <w:ind w:left="888"/>
            </w:pPr>
          </w:p>
        </w:tc>
      </w:tr>
    </w:tbl>
    <w:p w14:paraId="7573B70E" w14:textId="12DEA0AE" w:rsidR="00F158DB" w:rsidRPr="001C7AE6" w:rsidRDefault="007125C0" w:rsidP="001C7AE6">
      <w:pPr>
        <w:pStyle w:val="BodyText"/>
      </w:pPr>
      <w:r>
        <w:lastRenderedPageBreak/>
        <w:t>We received 2</w:t>
      </w:r>
      <w:r w:rsidR="00651537">
        <w:t>6</w:t>
      </w:r>
      <w:r>
        <w:t xml:space="preserve"> responses to this question</w:t>
      </w:r>
      <w:r w:rsidR="00BB711A">
        <w:t>, including a response from Chapman Tripp</w:t>
      </w:r>
      <w:r>
        <w:t xml:space="preserve">. </w:t>
      </w:r>
      <w:r w:rsidR="00616CA5" w:rsidRPr="001C7AE6">
        <w:t xml:space="preserve">All but </w:t>
      </w:r>
      <w:r w:rsidR="00746D80">
        <w:t>one</w:t>
      </w:r>
      <w:r w:rsidR="00746D80" w:rsidRPr="001C7AE6">
        <w:t xml:space="preserve"> </w:t>
      </w:r>
      <w:r w:rsidR="00616CA5" w:rsidRPr="001C7AE6">
        <w:t xml:space="preserve">of the </w:t>
      </w:r>
      <w:r w:rsidR="00BB711A">
        <w:t>2</w:t>
      </w:r>
      <w:r w:rsidR="00651537">
        <w:t>5</w:t>
      </w:r>
      <w:r w:rsidR="00BB711A">
        <w:t xml:space="preserve"> other </w:t>
      </w:r>
      <w:r>
        <w:t>respondents</w:t>
      </w:r>
      <w:r w:rsidR="00F158DB" w:rsidRPr="001C7AE6">
        <w:t xml:space="preserve"> </w:t>
      </w:r>
      <w:r w:rsidR="00BB711A">
        <w:t xml:space="preserve">stated they </w:t>
      </w:r>
      <w:r w:rsidR="00F158DB" w:rsidRPr="001C7AE6">
        <w:t xml:space="preserve">agreed with the </w:t>
      </w:r>
      <w:r w:rsidR="00F040C5">
        <w:t xml:space="preserve">Chapman Tripp 2019 </w:t>
      </w:r>
      <w:hyperlink r:id="rId21" w:history="1">
        <w:r w:rsidR="00F158DB" w:rsidRPr="007125C0">
          <w:rPr>
            <w:rStyle w:val="Hyperlink"/>
          </w:rPr>
          <w:t>legal opinion</w:t>
        </w:r>
      </w:hyperlink>
      <w:r w:rsidR="00E404B7">
        <w:t>.</w:t>
      </w:r>
    </w:p>
    <w:p w14:paraId="5A206525" w14:textId="053A4528" w:rsidR="00F158DB" w:rsidRPr="001C7AE6" w:rsidRDefault="00616CA5" w:rsidP="001C7AE6">
      <w:pPr>
        <w:pStyle w:val="BodyText"/>
      </w:pPr>
      <w:r w:rsidRPr="001C7AE6">
        <w:t>Several respondents also noted that</w:t>
      </w:r>
      <w:r w:rsidR="00BF4CEF">
        <w:t>,</w:t>
      </w:r>
      <w:r w:rsidRPr="001C7AE6">
        <w:t xml:space="preserve"> as with Q</w:t>
      </w:r>
      <w:r w:rsidR="007E339E">
        <w:t>.</w:t>
      </w:r>
      <w:r w:rsidRPr="001C7AE6">
        <w:t xml:space="preserve">9, </w:t>
      </w:r>
      <w:r w:rsidR="00F158DB" w:rsidRPr="001C7AE6">
        <w:t xml:space="preserve">while the legal argument was clear, in practice this </w:t>
      </w:r>
      <w:r w:rsidR="00BF4CEF">
        <w:t>was</w:t>
      </w:r>
      <w:r w:rsidR="00BF4CEF" w:rsidRPr="001C7AE6">
        <w:t xml:space="preserve"> </w:t>
      </w:r>
      <w:r w:rsidR="00F158DB" w:rsidRPr="001C7AE6">
        <w:t xml:space="preserve">not </w:t>
      </w:r>
      <w:r w:rsidRPr="001C7AE6">
        <w:t xml:space="preserve">always </w:t>
      </w:r>
      <w:r w:rsidR="00F158DB" w:rsidRPr="001C7AE6">
        <w:t>the case. One respondent questioned why enfo</w:t>
      </w:r>
      <w:r w:rsidRPr="001C7AE6">
        <w:t>rcement has not been successful and s</w:t>
      </w:r>
      <w:r w:rsidR="00F158DB" w:rsidRPr="001C7AE6">
        <w:t xml:space="preserve">everal respondents reiterated the need for more explicit climate change disclosure requirements. </w:t>
      </w:r>
    </w:p>
    <w:p w14:paraId="27D52F75" w14:textId="778467EB" w:rsidR="00D541A4" w:rsidRPr="001C7AE6" w:rsidRDefault="00616CA5" w:rsidP="001C7AE6">
      <w:pPr>
        <w:pStyle w:val="BodyText"/>
      </w:pPr>
      <w:r w:rsidRPr="001C7AE6">
        <w:t>Chapman Tripp itself</w:t>
      </w:r>
      <w:r w:rsidR="00F158DB" w:rsidRPr="001C7AE6">
        <w:t xml:space="preserve"> noted the conclusion that directors and fund managers must assess and manage climate risk as they would any other financial risk</w:t>
      </w:r>
      <w:r w:rsidR="00BF4CEF">
        <w:t>. This</w:t>
      </w:r>
      <w:r w:rsidR="00F158DB" w:rsidRPr="001C7AE6">
        <w:t xml:space="preserve"> becomes more significant in a regulatory context where certain entities, including listed issuers and fund managers (asset managers), are required to publicly disclose certain aspects of their climate-related financial risk, as proposed</w:t>
      </w:r>
      <w:r w:rsidRPr="001C7AE6">
        <w:t xml:space="preserve"> in the discussion document</w:t>
      </w:r>
      <w:r w:rsidR="00F158DB" w:rsidRPr="001C7AE6">
        <w:t>.</w:t>
      </w:r>
    </w:p>
    <w:p w14:paraId="40D8EBBD" w14:textId="77777777" w:rsidR="002D241C" w:rsidRDefault="002D241C">
      <w:pPr>
        <w:spacing w:before="0" w:after="200" w:line="276" w:lineRule="auto"/>
        <w:jc w:val="left"/>
        <w:rPr>
          <w:rFonts w:eastAsiaTheme="majorEastAsia" w:cstheme="majorBidi"/>
          <w:b/>
          <w:bCs/>
          <w:color w:val="0F7B7D"/>
          <w:sz w:val="36"/>
          <w:szCs w:val="26"/>
        </w:rPr>
      </w:pPr>
      <w:bookmarkStart w:id="51" w:name="_Toc32847641"/>
      <w:r>
        <w:br w:type="page"/>
      </w:r>
    </w:p>
    <w:p w14:paraId="31B92EAB" w14:textId="2641AEBA" w:rsidR="00F158DB" w:rsidRDefault="00D541A4" w:rsidP="002D241C">
      <w:pPr>
        <w:pStyle w:val="Heading2"/>
      </w:pPr>
      <w:bookmarkStart w:id="52" w:name="_Toc34216955"/>
      <w:r>
        <w:lastRenderedPageBreak/>
        <w:t>Chapter 5: Designing a comply-or-explain disclosure system for New Zealand</w:t>
      </w:r>
      <w:bookmarkEnd w:id="51"/>
      <w:bookmarkEnd w:id="52"/>
    </w:p>
    <w:p w14:paraId="28402F23" w14:textId="77777777" w:rsidR="00616CA5" w:rsidRDefault="00616CA5" w:rsidP="0031630B">
      <w:pPr>
        <w:pStyle w:val="Heading3"/>
      </w:pPr>
      <w:bookmarkStart w:id="53" w:name="_Toc32847642"/>
      <w:r w:rsidRPr="00616CA5">
        <w:t>Q.11 Do you favour the status quo or new mandatory disclosures?</w:t>
      </w:r>
      <w:bookmarkEnd w:id="53"/>
    </w:p>
    <w:p w14:paraId="415D2376" w14:textId="2DC235D2" w:rsidR="00616CA5" w:rsidRPr="001C7AE6" w:rsidRDefault="00616CA5" w:rsidP="001C7AE6">
      <w:pPr>
        <w:pStyle w:val="BodyText"/>
      </w:pPr>
      <w:r w:rsidRPr="001C7AE6">
        <w:t xml:space="preserve">We received </w:t>
      </w:r>
      <w:r w:rsidR="007E339E">
        <w:t>5</w:t>
      </w:r>
      <w:r w:rsidR="00651537">
        <w:t>7</w:t>
      </w:r>
      <w:r w:rsidR="00EA73BC" w:rsidRPr="001C7AE6">
        <w:t xml:space="preserve"> responses to this question, with</w:t>
      </w:r>
      <w:r w:rsidRPr="001C7AE6">
        <w:t xml:space="preserve"> </w:t>
      </w:r>
      <w:r w:rsidR="00651537">
        <w:t>79</w:t>
      </w:r>
      <w:r w:rsidR="0081674D">
        <w:t xml:space="preserve"> </w:t>
      </w:r>
      <w:r w:rsidR="005473D6">
        <w:t>per cent</w:t>
      </w:r>
      <w:r w:rsidR="00EA73BC" w:rsidRPr="001C7AE6">
        <w:t xml:space="preserve"> of respondents (4</w:t>
      </w:r>
      <w:r w:rsidR="00651537">
        <w:t>5</w:t>
      </w:r>
      <w:r w:rsidR="00EA73BC" w:rsidRPr="001C7AE6">
        <w:t>) favouring</w:t>
      </w:r>
      <w:r w:rsidRPr="001C7AE6">
        <w:t xml:space="preserve"> new mandatory di</w:t>
      </w:r>
      <w:r w:rsidR="006867CE" w:rsidRPr="001C7AE6">
        <w:t>sclosure requirements. Respondent</w:t>
      </w:r>
      <w:r w:rsidRPr="001C7AE6">
        <w:t>s supported this for the following reasons:</w:t>
      </w:r>
    </w:p>
    <w:p w14:paraId="2D26463A" w14:textId="77777777" w:rsidR="00616CA5" w:rsidRDefault="004405B4" w:rsidP="00857B90">
      <w:pPr>
        <w:pStyle w:val="Bullet"/>
      </w:pPr>
      <w:r>
        <w:t>t</w:t>
      </w:r>
      <w:r w:rsidR="00616CA5">
        <w:t>he status quo will not achieve the policy objectives as set out in the discussion document</w:t>
      </w:r>
    </w:p>
    <w:p w14:paraId="3060E92D" w14:textId="19A996F0" w:rsidR="00616CA5" w:rsidRDefault="004405B4" w:rsidP="00857B90">
      <w:pPr>
        <w:pStyle w:val="Bullet"/>
      </w:pPr>
      <w:r>
        <w:t>t</w:t>
      </w:r>
      <w:r w:rsidR="00616CA5">
        <w:t>here is urgency in</w:t>
      </w:r>
      <w:r w:rsidR="009D4F64">
        <w:t xml:space="preserve"> improving</w:t>
      </w:r>
      <w:r w:rsidR="00616CA5">
        <w:t xml:space="preserve"> the understanding of climate risks to financial stability</w:t>
      </w:r>
    </w:p>
    <w:p w14:paraId="10DE2F7A" w14:textId="77777777" w:rsidR="00616CA5" w:rsidRDefault="004405B4" w:rsidP="00857B90">
      <w:pPr>
        <w:pStyle w:val="Bullet"/>
      </w:pPr>
      <w:r>
        <w:t>m</w:t>
      </w:r>
      <w:r w:rsidR="00616CA5">
        <w:t>andatory reporting would result in consistency of approach and increased capability</w:t>
      </w:r>
    </w:p>
    <w:p w14:paraId="36D023C7" w14:textId="77777777" w:rsidR="00616CA5" w:rsidRDefault="004405B4" w:rsidP="00857B90">
      <w:pPr>
        <w:pStyle w:val="Bullet"/>
      </w:pPr>
      <w:proofErr w:type="gramStart"/>
      <w:r>
        <w:t>m</w:t>
      </w:r>
      <w:r w:rsidR="00616CA5">
        <w:t>andatory</w:t>
      </w:r>
      <w:proofErr w:type="gramEnd"/>
      <w:r w:rsidR="00616CA5">
        <w:t xml:space="preserve"> reporting would provide legal clarity</w:t>
      </w:r>
      <w:r>
        <w:t>.</w:t>
      </w:r>
    </w:p>
    <w:p w14:paraId="69F95591" w14:textId="77163650" w:rsidR="00616CA5" w:rsidRPr="000C1835" w:rsidRDefault="006867CE" w:rsidP="001C7AE6">
      <w:pPr>
        <w:pStyle w:val="BodyText"/>
        <w:rPr>
          <w:spacing w:val="-2"/>
        </w:rPr>
      </w:pPr>
      <w:r w:rsidRPr="000C1835">
        <w:rPr>
          <w:spacing w:val="-2"/>
        </w:rPr>
        <w:t>However, respondent</w:t>
      </w:r>
      <w:r w:rsidR="00616CA5" w:rsidRPr="000C1835">
        <w:rPr>
          <w:spacing w:val="-2"/>
        </w:rPr>
        <w:t xml:space="preserve">s urged </w:t>
      </w:r>
      <w:r w:rsidR="00BF4CEF" w:rsidRPr="000C1835">
        <w:rPr>
          <w:spacing w:val="-2"/>
        </w:rPr>
        <w:t>us</w:t>
      </w:r>
      <w:r w:rsidR="00616CA5" w:rsidRPr="000C1835">
        <w:rPr>
          <w:spacing w:val="-2"/>
        </w:rPr>
        <w:t xml:space="preserve"> to consider the design of the </w:t>
      </w:r>
      <w:r w:rsidR="0040420A" w:rsidRPr="000C1835">
        <w:rPr>
          <w:spacing w:val="-2"/>
        </w:rPr>
        <w:t>system</w:t>
      </w:r>
      <w:r w:rsidR="00616CA5" w:rsidRPr="000C1835">
        <w:rPr>
          <w:spacing w:val="-2"/>
        </w:rPr>
        <w:t xml:space="preserve"> carefully to ensure this is embedded into </w:t>
      </w:r>
      <w:r w:rsidR="007E339E" w:rsidRPr="000C1835">
        <w:rPr>
          <w:spacing w:val="-2"/>
        </w:rPr>
        <w:t xml:space="preserve">the </w:t>
      </w:r>
      <w:r w:rsidR="00616CA5" w:rsidRPr="000C1835">
        <w:rPr>
          <w:spacing w:val="-2"/>
        </w:rPr>
        <w:t>mainstream financial system and</w:t>
      </w:r>
      <w:r w:rsidR="00BF4CEF" w:rsidRPr="000C1835">
        <w:rPr>
          <w:spacing w:val="-2"/>
        </w:rPr>
        <w:t xml:space="preserve"> not</w:t>
      </w:r>
      <w:r w:rsidR="00616CA5" w:rsidRPr="000C1835">
        <w:rPr>
          <w:spacing w:val="-2"/>
        </w:rPr>
        <w:t xml:space="preserve"> simply seen as</w:t>
      </w:r>
      <w:r w:rsidR="00E54DAC" w:rsidRPr="000C1835">
        <w:rPr>
          <w:spacing w:val="-2"/>
        </w:rPr>
        <w:t xml:space="preserve"> a compliance requirement.</w:t>
      </w:r>
    </w:p>
    <w:p w14:paraId="1D54986F" w14:textId="46E1F39A" w:rsidR="00E54DAC" w:rsidRDefault="006867CE" w:rsidP="001C7AE6">
      <w:pPr>
        <w:pStyle w:val="BodyText"/>
      </w:pPr>
      <w:r>
        <w:t>Of those respondent</w:t>
      </w:r>
      <w:r w:rsidR="00616CA5">
        <w:t xml:space="preserve">s who did not support new mandatory disclosures, several felt mandatory requirements </w:t>
      </w:r>
      <w:r w:rsidR="00BF4CEF">
        <w:t xml:space="preserve">might </w:t>
      </w:r>
      <w:r w:rsidR="00616CA5">
        <w:t xml:space="preserve">not have the intended effect, and </w:t>
      </w:r>
      <w:r w:rsidR="00BF4CEF">
        <w:t>asked that we</w:t>
      </w:r>
      <w:r w:rsidR="00616CA5">
        <w:t xml:space="preserve"> consider non-regulatory solutions and improving how the status quo works</w:t>
      </w:r>
      <w:r w:rsidR="00BF4CEF">
        <w:t>. They noted</w:t>
      </w:r>
      <w:r w:rsidR="00FC543C">
        <w:t>,</w:t>
      </w:r>
      <w:r w:rsidR="00BF4CEF">
        <w:t xml:space="preserve"> </w:t>
      </w:r>
      <w:r w:rsidR="00E54DAC">
        <w:t>in particular</w:t>
      </w:r>
      <w:r w:rsidR="00FC543C">
        <w:t>,</w:t>
      </w:r>
      <w:r w:rsidR="00E54DAC">
        <w:t xml:space="preserve"> the status quo </w:t>
      </w:r>
      <w:r w:rsidR="007E339E">
        <w:t xml:space="preserve">should not be thought of as </w:t>
      </w:r>
      <w:r w:rsidR="00E54DAC">
        <w:t>voluntary disclosure</w:t>
      </w:r>
      <w:r w:rsidR="007E339E">
        <w:t xml:space="preserve"> given existing duties.</w:t>
      </w:r>
      <w:r w:rsidR="006E1D0D" w:rsidRPr="006E1D0D">
        <w:t xml:space="preserve"> </w:t>
      </w:r>
      <w:r w:rsidR="006E1D0D">
        <w:t xml:space="preserve">Chartered Accountants Australia and New Zealand </w:t>
      </w:r>
      <w:r w:rsidR="00E404B7">
        <w:t xml:space="preserve">(CA ANZ) </w:t>
      </w:r>
      <w:r w:rsidR="006E1D0D">
        <w:t>raised</w:t>
      </w:r>
      <w:r w:rsidR="006E1D0D" w:rsidRPr="00FE6C1F">
        <w:t xml:space="preserve"> a wider question as to why the proposal</w:t>
      </w:r>
      <w:r w:rsidR="006E1D0D">
        <w:t xml:space="preserve">s </w:t>
      </w:r>
      <w:r w:rsidR="00BF4CEF">
        <w:t>did</w:t>
      </w:r>
      <w:r w:rsidR="00BF4CEF" w:rsidRPr="00FE6C1F">
        <w:t xml:space="preserve"> </w:t>
      </w:r>
      <w:r w:rsidR="006E1D0D" w:rsidRPr="00FE6C1F">
        <w:t>not seek to address the lack of application of the NZX Code</w:t>
      </w:r>
      <w:r w:rsidR="006E1D0D">
        <w:t xml:space="preserve"> and other duties,</w:t>
      </w:r>
      <w:r w:rsidR="006E1D0D" w:rsidRPr="00FE6C1F">
        <w:t xml:space="preserve"> but rat</w:t>
      </w:r>
      <w:r w:rsidR="006E1D0D">
        <w:t xml:space="preserve">her </w:t>
      </w:r>
      <w:r w:rsidR="00BF4CEF">
        <w:t xml:space="preserve">sought </w:t>
      </w:r>
      <w:r w:rsidR="006E1D0D">
        <w:t xml:space="preserve">to introduce another regime, noting </w:t>
      </w:r>
      <w:r w:rsidR="00E54DAC">
        <w:t>the TCFD was designed as a voluntary framework</w:t>
      </w:r>
      <w:r w:rsidR="00616CA5">
        <w:t>.</w:t>
      </w:r>
      <w:r w:rsidR="00E54DAC">
        <w:t xml:space="preserve"> </w:t>
      </w:r>
    </w:p>
    <w:p w14:paraId="51689E5C" w14:textId="48DD41ED" w:rsidR="00616CA5" w:rsidRDefault="00E54DAC" w:rsidP="001C7AE6">
      <w:pPr>
        <w:pStyle w:val="BodyText"/>
      </w:pPr>
      <w:r>
        <w:t>An alternative view was the market pressures which exist under the status quo (</w:t>
      </w:r>
      <w:proofErr w:type="spellStart"/>
      <w:r w:rsidR="000C1835">
        <w:t>eg</w:t>
      </w:r>
      <w:proofErr w:type="spellEnd"/>
      <w:r w:rsidR="000C1835">
        <w:t>,</w:t>
      </w:r>
      <w:r w:rsidR="00BF4CEF">
        <w:t xml:space="preserve"> </w:t>
      </w:r>
      <w:r>
        <w:t>stakeholder expectation, litigation threat) will equally help to ensure high</w:t>
      </w:r>
      <w:r w:rsidR="00BF4CEF">
        <w:t>-</w:t>
      </w:r>
      <w:r>
        <w:t xml:space="preserve">quality reporting under a mandatory regime. </w:t>
      </w:r>
    </w:p>
    <w:p w14:paraId="35900690" w14:textId="10FEF01C" w:rsidR="006E1D0D" w:rsidRPr="000C1835" w:rsidRDefault="00685B35" w:rsidP="001C7AE6">
      <w:pPr>
        <w:pStyle w:val="BodyText"/>
        <w:rPr>
          <w:spacing w:val="-2"/>
        </w:rPr>
      </w:pPr>
      <w:proofErr w:type="spellStart"/>
      <w:r w:rsidRPr="000C1835">
        <w:rPr>
          <w:spacing w:val="-2"/>
        </w:rPr>
        <w:t>BusinessNZ</w:t>
      </w:r>
      <w:proofErr w:type="spellEnd"/>
      <w:r w:rsidRPr="000C1835">
        <w:rPr>
          <w:spacing w:val="-2"/>
        </w:rPr>
        <w:t xml:space="preserve"> </w:t>
      </w:r>
      <w:r w:rsidR="004405B4" w:rsidRPr="000C1835">
        <w:rPr>
          <w:spacing w:val="-2"/>
        </w:rPr>
        <w:t xml:space="preserve">argued there should </w:t>
      </w:r>
      <w:r w:rsidR="008C6492" w:rsidRPr="000C1835">
        <w:rPr>
          <w:spacing w:val="-2"/>
        </w:rPr>
        <w:t>be more consideration of</w:t>
      </w:r>
      <w:r w:rsidR="004405B4" w:rsidRPr="000C1835">
        <w:rPr>
          <w:spacing w:val="-2"/>
        </w:rPr>
        <w:t xml:space="preserve"> other policy options before </w:t>
      </w:r>
      <w:r w:rsidR="008C6492" w:rsidRPr="000C1835">
        <w:rPr>
          <w:spacing w:val="-2"/>
        </w:rPr>
        <w:t xml:space="preserve">introducing </w:t>
      </w:r>
      <w:r w:rsidR="004405B4" w:rsidRPr="000C1835">
        <w:rPr>
          <w:spacing w:val="-2"/>
        </w:rPr>
        <w:t xml:space="preserve">mandatory disclosures. </w:t>
      </w:r>
      <w:r w:rsidR="00BF4CEF" w:rsidRPr="000C1835">
        <w:rPr>
          <w:spacing w:val="-2"/>
        </w:rPr>
        <w:t xml:space="preserve">It </w:t>
      </w:r>
      <w:r w:rsidR="004405B4" w:rsidRPr="000C1835">
        <w:rPr>
          <w:spacing w:val="-2"/>
        </w:rPr>
        <w:t>proposed the idea of traveling up the ‘regulatory pyramid’. This would include</w:t>
      </w:r>
      <w:r w:rsidR="008C4681" w:rsidRPr="000C1835">
        <w:rPr>
          <w:spacing w:val="-2"/>
        </w:rPr>
        <w:t xml:space="preserve"> considering non-regulatory options first, moving </w:t>
      </w:r>
      <w:r w:rsidR="0031630B" w:rsidRPr="000C1835">
        <w:rPr>
          <w:spacing w:val="-2"/>
        </w:rPr>
        <w:t>‘</w:t>
      </w:r>
      <w:r w:rsidR="008C4681" w:rsidRPr="000C1835">
        <w:rPr>
          <w:spacing w:val="-2"/>
        </w:rPr>
        <w:t>up the pyramid</w:t>
      </w:r>
      <w:r w:rsidR="0031630B" w:rsidRPr="000C1835">
        <w:rPr>
          <w:spacing w:val="-2"/>
        </w:rPr>
        <w:t>’</w:t>
      </w:r>
      <w:r w:rsidR="008C4681" w:rsidRPr="000C1835">
        <w:rPr>
          <w:spacing w:val="-2"/>
        </w:rPr>
        <w:t xml:space="preserve"> to generic light-handed options</w:t>
      </w:r>
      <w:r w:rsidR="0031630B" w:rsidRPr="000C1835">
        <w:rPr>
          <w:spacing w:val="-2"/>
        </w:rPr>
        <w:t>,</w:t>
      </w:r>
      <w:r w:rsidR="008C4681" w:rsidRPr="000C1835">
        <w:rPr>
          <w:spacing w:val="-2"/>
        </w:rPr>
        <w:t xml:space="preserve"> and introducing more stringent measures only if clearly warranted.</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18"/>
        <w:gridCol w:w="3969"/>
      </w:tblGrid>
      <w:tr w:rsidR="00E54DAC" w:rsidRPr="006B77BB" w14:paraId="09D5733F" w14:textId="77777777" w:rsidTr="000C1835">
        <w:trPr>
          <w:trHeight w:val="2710"/>
        </w:trPr>
        <w:tc>
          <w:tcPr>
            <w:tcW w:w="4077" w:type="dxa"/>
            <w:shd w:val="clear" w:color="auto" w:fill="1C556C"/>
            <w:vAlign w:val="center"/>
          </w:tcPr>
          <w:p w14:paraId="7158A5AA" w14:textId="77777777" w:rsidR="00E54DAC" w:rsidRPr="000C1835" w:rsidRDefault="00E54DAC" w:rsidP="00BE1CE0">
            <w:pPr>
              <w:pStyle w:val="BodyText"/>
              <w:ind w:left="284" w:right="284"/>
              <w:rPr>
                <w:color w:val="FFFFFF" w:themeColor="background1"/>
                <w:sz w:val="18"/>
                <w:szCs w:val="18"/>
              </w:rPr>
            </w:pPr>
            <w:r w:rsidRPr="000C1835">
              <w:rPr>
                <w:color w:val="FFFFFF" w:themeColor="background1"/>
                <w:sz w:val="18"/>
                <w:szCs w:val="18"/>
              </w:rPr>
              <w:sym w:font="Webdings" w:char="F038"/>
            </w:r>
            <w:r w:rsidRPr="000C1835">
              <w:rPr>
                <w:color w:val="FFFFFF" w:themeColor="background1"/>
                <w:sz w:val="18"/>
                <w:szCs w:val="18"/>
              </w:rPr>
              <w:t xml:space="preserve"> We believe that the TCFD recommendations are flexible enough that mandating their use will not add unnecessary additional burden to organisations that are increasingly disclosing this information under the status quo. Rather, they afford organisations flexibility to address the intersection of climate change and their business in a way that is best suited to their business while ensuring clear and consistent disclosures. </w:t>
            </w:r>
            <w:r w:rsidRPr="000C1835">
              <w:rPr>
                <w:color w:val="FFFFFF" w:themeColor="background1"/>
                <w:sz w:val="18"/>
                <w:szCs w:val="18"/>
              </w:rPr>
              <w:sym w:font="Webdings" w:char="F037"/>
            </w:r>
          </w:p>
          <w:p w14:paraId="70D8656A" w14:textId="70ECBB9D" w:rsidR="00E54DAC" w:rsidRPr="000C1835" w:rsidRDefault="0024700E" w:rsidP="00BE1CE0">
            <w:pPr>
              <w:pStyle w:val="BodyText"/>
              <w:ind w:left="284" w:right="284"/>
              <w:rPr>
                <w:i/>
                <w:color w:val="FFFFFF" w:themeColor="background1"/>
                <w:sz w:val="18"/>
                <w:szCs w:val="18"/>
              </w:rPr>
            </w:pPr>
            <w:r>
              <w:rPr>
                <w:i/>
                <w:color w:val="FFFFFF" w:themeColor="background1"/>
                <w:sz w:val="18"/>
                <w:szCs w:val="18"/>
              </w:rPr>
              <w:t xml:space="preserve">– </w:t>
            </w:r>
            <w:r w:rsidR="001C7AE6" w:rsidRPr="000C1835">
              <w:rPr>
                <w:i/>
                <w:color w:val="FFFFFF" w:themeColor="background1"/>
                <w:sz w:val="18"/>
                <w:szCs w:val="18"/>
              </w:rPr>
              <w:t>PwC</w:t>
            </w:r>
            <w:r w:rsidR="00E54DAC" w:rsidRPr="000C1835">
              <w:rPr>
                <w:i/>
                <w:color w:val="FFFFFF" w:themeColor="background1"/>
                <w:sz w:val="18"/>
                <w:szCs w:val="18"/>
              </w:rPr>
              <w:t xml:space="preserve"> </w:t>
            </w:r>
          </w:p>
        </w:tc>
        <w:tc>
          <w:tcPr>
            <w:tcW w:w="318" w:type="dxa"/>
          </w:tcPr>
          <w:p w14:paraId="38B77AAF" w14:textId="77777777" w:rsidR="00E54DAC" w:rsidRPr="006B77BB" w:rsidRDefault="00E54DAC" w:rsidP="00BE1CE0">
            <w:pPr>
              <w:pStyle w:val="BodyText"/>
            </w:pPr>
          </w:p>
        </w:tc>
        <w:tc>
          <w:tcPr>
            <w:tcW w:w="3969" w:type="dxa"/>
            <w:shd w:val="clear" w:color="auto" w:fill="0F7B7D" w:themeFill="accent2"/>
            <w:tcMar>
              <w:left w:w="0" w:type="dxa"/>
              <w:right w:w="0" w:type="dxa"/>
            </w:tcMar>
          </w:tcPr>
          <w:p w14:paraId="71EA6A0E" w14:textId="77777777" w:rsidR="00E54DAC" w:rsidRPr="000C1835" w:rsidRDefault="00E54DAC" w:rsidP="00E54DAC">
            <w:pPr>
              <w:pStyle w:val="BodyText"/>
              <w:ind w:left="284" w:right="284"/>
              <w:rPr>
                <w:color w:val="FFFFFF" w:themeColor="background1"/>
                <w:sz w:val="18"/>
                <w:szCs w:val="18"/>
              </w:rPr>
            </w:pPr>
            <w:r w:rsidRPr="000C1835">
              <w:rPr>
                <w:color w:val="FFFFFF" w:themeColor="background1"/>
                <w:sz w:val="18"/>
                <w:szCs w:val="18"/>
              </w:rPr>
              <w:sym w:font="Webdings" w:char="F038"/>
            </w:r>
            <w:r w:rsidRPr="000C1835">
              <w:rPr>
                <w:color w:val="FFFFFF" w:themeColor="background1"/>
                <w:sz w:val="18"/>
                <w:szCs w:val="18"/>
              </w:rPr>
              <w:t xml:space="preserve"> Incorporating the TCFD recommendations in existing disclosure requirements (as intended by the TCFD) and instead focusing effort and resource on awareness raising, education and enforcement could result in a better outcome. </w:t>
            </w:r>
            <w:r w:rsidRPr="000C1835">
              <w:rPr>
                <w:color w:val="FFFFFF" w:themeColor="background1"/>
                <w:sz w:val="18"/>
                <w:szCs w:val="18"/>
              </w:rPr>
              <w:sym w:font="Webdings" w:char="F037"/>
            </w:r>
          </w:p>
          <w:p w14:paraId="48F39D29" w14:textId="6A300F70" w:rsidR="00E54DAC" w:rsidRPr="000C1835" w:rsidRDefault="0024700E" w:rsidP="00E54DAC">
            <w:pPr>
              <w:pStyle w:val="BodyText"/>
              <w:ind w:left="284" w:right="284"/>
              <w:rPr>
                <w:i/>
                <w:color w:val="FFFFFF" w:themeColor="background1"/>
                <w:sz w:val="18"/>
                <w:szCs w:val="18"/>
              </w:rPr>
            </w:pPr>
            <w:r>
              <w:rPr>
                <w:i/>
                <w:color w:val="FFFFFF" w:themeColor="background1"/>
                <w:sz w:val="18"/>
                <w:szCs w:val="18"/>
              </w:rPr>
              <w:t xml:space="preserve">– </w:t>
            </w:r>
            <w:r w:rsidR="001C7AE6" w:rsidRPr="000C1835">
              <w:rPr>
                <w:i/>
                <w:color w:val="FFFFFF" w:themeColor="background1"/>
                <w:sz w:val="18"/>
                <w:szCs w:val="18"/>
              </w:rPr>
              <w:t>C</w:t>
            </w:r>
            <w:r w:rsidR="002211D8" w:rsidRPr="000C1835">
              <w:rPr>
                <w:i/>
                <w:color w:val="FFFFFF" w:themeColor="background1"/>
                <w:sz w:val="18"/>
                <w:szCs w:val="18"/>
              </w:rPr>
              <w:t xml:space="preserve">hartered </w:t>
            </w:r>
            <w:r w:rsidR="001C7AE6" w:rsidRPr="000C1835">
              <w:rPr>
                <w:i/>
                <w:color w:val="FFFFFF" w:themeColor="background1"/>
                <w:sz w:val="18"/>
                <w:szCs w:val="18"/>
              </w:rPr>
              <w:t>A</w:t>
            </w:r>
            <w:r w:rsidR="002211D8" w:rsidRPr="000C1835">
              <w:rPr>
                <w:i/>
                <w:color w:val="FFFFFF" w:themeColor="background1"/>
                <w:sz w:val="18"/>
                <w:szCs w:val="18"/>
              </w:rPr>
              <w:t>ccountants</w:t>
            </w:r>
            <w:r w:rsidR="001C7AE6" w:rsidRPr="000C1835">
              <w:rPr>
                <w:i/>
                <w:color w:val="FFFFFF" w:themeColor="background1"/>
                <w:sz w:val="18"/>
                <w:szCs w:val="18"/>
              </w:rPr>
              <w:t xml:space="preserve"> A</w:t>
            </w:r>
            <w:r w:rsidR="002211D8" w:rsidRPr="000C1835">
              <w:rPr>
                <w:i/>
                <w:color w:val="FFFFFF" w:themeColor="background1"/>
                <w:sz w:val="18"/>
                <w:szCs w:val="18"/>
              </w:rPr>
              <w:t xml:space="preserve">ustralia and </w:t>
            </w:r>
            <w:r w:rsidR="001C7AE6" w:rsidRPr="000C1835">
              <w:rPr>
                <w:i/>
                <w:color w:val="FFFFFF" w:themeColor="background1"/>
                <w:sz w:val="18"/>
                <w:szCs w:val="18"/>
              </w:rPr>
              <w:t>N</w:t>
            </w:r>
            <w:r w:rsidR="002211D8" w:rsidRPr="000C1835">
              <w:rPr>
                <w:i/>
                <w:color w:val="FFFFFF" w:themeColor="background1"/>
                <w:sz w:val="18"/>
                <w:szCs w:val="18"/>
              </w:rPr>
              <w:t xml:space="preserve">ew </w:t>
            </w:r>
            <w:r w:rsidR="001C7AE6" w:rsidRPr="000C1835">
              <w:rPr>
                <w:i/>
                <w:color w:val="FFFFFF" w:themeColor="background1"/>
                <w:sz w:val="18"/>
                <w:szCs w:val="18"/>
              </w:rPr>
              <w:t>Z</w:t>
            </w:r>
            <w:r w:rsidR="002211D8" w:rsidRPr="000C1835">
              <w:rPr>
                <w:i/>
                <w:color w:val="FFFFFF" w:themeColor="background1"/>
                <w:sz w:val="18"/>
                <w:szCs w:val="18"/>
              </w:rPr>
              <w:t>ealand</w:t>
            </w:r>
          </w:p>
          <w:p w14:paraId="44E11452" w14:textId="77777777" w:rsidR="00E54DAC" w:rsidRPr="006B77BB" w:rsidRDefault="00E54DAC" w:rsidP="00E54DAC">
            <w:pPr>
              <w:pStyle w:val="BodyText"/>
              <w:spacing w:before="0" w:after="0" w:line="240" w:lineRule="auto"/>
              <w:jc w:val="right"/>
            </w:pPr>
          </w:p>
        </w:tc>
      </w:tr>
    </w:tbl>
    <w:p w14:paraId="56A5E456" w14:textId="0E34226B" w:rsidR="00E54DAC" w:rsidRDefault="0040420A" w:rsidP="001B7CD2">
      <w:pPr>
        <w:pStyle w:val="Heading3"/>
      </w:pPr>
      <w:bookmarkStart w:id="54" w:name="_Toc32847643"/>
      <w:r w:rsidRPr="0040420A">
        <w:lastRenderedPageBreak/>
        <w:t xml:space="preserve">Q.12 </w:t>
      </w:r>
      <w:proofErr w:type="gramStart"/>
      <w:r w:rsidRPr="0040420A">
        <w:t>If</w:t>
      </w:r>
      <w:proofErr w:type="gramEnd"/>
      <w:r w:rsidRPr="0040420A">
        <w:t xml:space="preserve"> a mandatory approach is adopted, do you agree with the Productivity Commission that a mandatory (comply-or-explain) principles-based disclosure system should be adopted?</w:t>
      </w:r>
      <w:bookmarkEnd w:id="54"/>
    </w:p>
    <w:p w14:paraId="3535992D" w14:textId="4417E6D7" w:rsidR="00F158DB" w:rsidRPr="00431C4D" w:rsidRDefault="00826B8C" w:rsidP="00431C4D">
      <w:pPr>
        <w:pStyle w:val="BodyText"/>
      </w:pPr>
      <w:r w:rsidRPr="00431C4D">
        <w:t>We received 4</w:t>
      </w:r>
      <w:r w:rsidR="00651537">
        <w:t>8</w:t>
      </w:r>
      <w:r w:rsidRPr="00431C4D">
        <w:t xml:space="preserve"> responses to this question</w:t>
      </w:r>
      <w:r w:rsidR="00AC08C1">
        <w:t xml:space="preserve">, </w:t>
      </w:r>
      <w:r w:rsidR="005473D6">
        <w:t>with 83 per cent</w:t>
      </w:r>
      <w:r w:rsidR="0040420A" w:rsidRPr="00431C4D">
        <w:t xml:space="preserve"> of </w:t>
      </w:r>
      <w:r w:rsidRPr="00431C4D">
        <w:t>respondents (</w:t>
      </w:r>
      <w:r w:rsidR="00651537">
        <w:t>40</w:t>
      </w:r>
      <w:r w:rsidR="00131E86" w:rsidRPr="00431C4D">
        <w:t>) supporting a comply-or-explain</w:t>
      </w:r>
      <w:r w:rsidR="00473CF8">
        <w:t>,</w:t>
      </w:r>
      <w:r w:rsidR="00131E86" w:rsidRPr="00431C4D">
        <w:t xml:space="preserve"> principl</w:t>
      </w:r>
      <w:r w:rsidR="00C2657B" w:rsidRPr="00431C4D">
        <w:t>es-based disclosures sy</w:t>
      </w:r>
      <w:r w:rsidR="00C506ED">
        <w:t xml:space="preserve">stem, for the </w:t>
      </w:r>
      <w:r w:rsidR="008C4681">
        <w:t xml:space="preserve">following </w:t>
      </w:r>
      <w:r w:rsidR="00C506ED">
        <w:t>re</w:t>
      </w:r>
      <w:r w:rsidR="008C4681">
        <w:t>asons:</w:t>
      </w:r>
    </w:p>
    <w:p w14:paraId="64421655" w14:textId="77777777" w:rsidR="00C2657B" w:rsidRDefault="00C2657B" w:rsidP="00857B90">
      <w:pPr>
        <w:pStyle w:val="Bullet"/>
      </w:pPr>
      <w:r>
        <w:t>Comply-or-explain provides sufficient flexibility to account for differing circumstances of companies, and allows them to report in a relevant and appropriate manner</w:t>
      </w:r>
      <w:r w:rsidR="002211D8">
        <w:t>.</w:t>
      </w:r>
    </w:p>
    <w:p w14:paraId="565FA38D" w14:textId="015E2A88" w:rsidR="00C2657B" w:rsidRDefault="00C2657B" w:rsidP="00857B90">
      <w:pPr>
        <w:pStyle w:val="Bullet"/>
      </w:pPr>
      <w:r>
        <w:t>It is a well understood</w:t>
      </w:r>
      <w:r w:rsidR="00AF0E64">
        <w:t xml:space="preserve"> and </w:t>
      </w:r>
      <w:r w:rsidR="009C7F43">
        <w:t xml:space="preserve">practised </w:t>
      </w:r>
      <w:r>
        <w:t>concept in the reporting world</w:t>
      </w:r>
      <w:r w:rsidR="002211D8">
        <w:t>.</w:t>
      </w:r>
    </w:p>
    <w:p w14:paraId="2E124EE9" w14:textId="27B817CE" w:rsidR="00C2657B" w:rsidRDefault="00C2657B" w:rsidP="00857B90">
      <w:pPr>
        <w:pStyle w:val="Bullet"/>
      </w:pPr>
      <w:r>
        <w:t>Such a system provides transparency and accoun</w:t>
      </w:r>
      <w:r w:rsidR="00AF0E64">
        <w:t>tability, resulting in greater b</w:t>
      </w:r>
      <w:r>
        <w:t>oard oversight. Even if a company finds climate change is not material, it increases awareness of climate risks and opportunities</w:t>
      </w:r>
      <w:r w:rsidR="002211D8">
        <w:t>.</w:t>
      </w:r>
    </w:p>
    <w:p w14:paraId="0F6A0FB2" w14:textId="77777777" w:rsidR="00823B3E" w:rsidRDefault="00AC08C1" w:rsidP="00857B90">
      <w:pPr>
        <w:pStyle w:val="Bullet"/>
      </w:pPr>
      <w:r>
        <w:t>A comply-or-explain</w:t>
      </w:r>
      <w:r w:rsidR="00C2657B">
        <w:t xml:space="preserve"> system allows organisations to avoid unnecessary compliance cost if climate</w:t>
      </w:r>
      <w:r w:rsidR="00C506ED">
        <w:t xml:space="preserve"> change is not material to them.</w:t>
      </w:r>
    </w:p>
    <w:p w14:paraId="72E8EB57" w14:textId="38B8590A" w:rsidR="00C2657B" w:rsidRDefault="00823B3E" w:rsidP="00857B90">
      <w:pPr>
        <w:pStyle w:val="Bullet"/>
        <w:numPr>
          <w:ilvl w:val="0"/>
          <w:numId w:val="0"/>
        </w:numPr>
      </w:pPr>
      <w:r>
        <w:t>Several responders argued</w:t>
      </w:r>
      <w:r w:rsidR="00BF05E9">
        <w:t>,</w:t>
      </w:r>
      <w:r>
        <w:t xml:space="preserve"> </w:t>
      </w:r>
      <w:r w:rsidR="00C2657B">
        <w:t>however</w:t>
      </w:r>
      <w:r w:rsidR="00BF05E9">
        <w:t>,</w:t>
      </w:r>
      <w:r w:rsidR="00C2657B">
        <w:t xml:space="preserve"> that few</w:t>
      </w:r>
      <w:r>
        <w:t xml:space="preserve"> </w:t>
      </w:r>
      <w:r w:rsidR="00431C4D">
        <w:t>if any</w:t>
      </w:r>
      <w:r w:rsidR="00C2657B">
        <w:t xml:space="preserve"> companies will be </w:t>
      </w:r>
      <w:r w:rsidR="00BF05E9">
        <w:t>un</w:t>
      </w:r>
      <w:r w:rsidR="00C2657B">
        <w:t>affected by climate change, and therefore able to use ‘explain’</w:t>
      </w:r>
      <w:r w:rsidR="002211D8">
        <w:t>.</w:t>
      </w:r>
    </w:p>
    <w:p w14:paraId="6C9953FA" w14:textId="53AD4470" w:rsidR="00C83591" w:rsidRPr="00431C4D" w:rsidRDefault="00C2657B" w:rsidP="00431C4D">
      <w:pPr>
        <w:pStyle w:val="BodyText"/>
      </w:pPr>
      <w:r w:rsidRPr="00431C4D">
        <w:t xml:space="preserve">A recurring theme was the importance of enforcement and penalties for unsatisfactory reporting to ensure ‘explain’ is not seen as a way out of compliance. EY suggested control systems to manage non-compliance, such as a register for compliance, which would </w:t>
      </w:r>
      <w:r w:rsidR="00BF05E9">
        <w:t>let</w:t>
      </w:r>
      <w:r w:rsidR="00BF05E9" w:rsidRPr="00431C4D">
        <w:t xml:space="preserve"> </w:t>
      </w:r>
      <w:r w:rsidRPr="00431C4D">
        <w:t xml:space="preserve">investors search non-compliant entities. </w:t>
      </w:r>
    </w:p>
    <w:p w14:paraId="513782E6" w14:textId="324542D8" w:rsidR="002211D8" w:rsidRDefault="00C2657B" w:rsidP="00431C4D">
      <w:pPr>
        <w:pStyle w:val="BodyText"/>
      </w:pPr>
      <w:r w:rsidRPr="00431C4D">
        <w:t xml:space="preserve">Another suggestion was for organisations taking the ‘explain’ route to </w:t>
      </w:r>
      <w:r w:rsidR="00BF05E9">
        <w:t xml:space="preserve">have to </w:t>
      </w:r>
      <w:r w:rsidRPr="00431C4D">
        <w:t xml:space="preserve">provide robust reasons </w:t>
      </w:r>
      <w:r w:rsidR="00BF05E9">
        <w:t>that could</w:t>
      </w:r>
      <w:r w:rsidRPr="00431C4D">
        <w:t xml:space="preserve"> be reviewed.</w:t>
      </w:r>
      <w:r w:rsidR="004C2487" w:rsidRPr="00431C4D">
        <w:t xml:space="preserve"> As the Ins</w:t>
      </w:r>
      <w:r w:rsidR="00431C4D">
        <w:t>titute of Directors suggested</w:t>
      </w:r>
      <w:r w:rsidR="002211D8">
        <w:t>:</w:t>
      </w:r>
      <w:r w:rsidR="004C2487" w:rsidRPr="00431C4D">
        <w:t xml:space="preserve"> </w:t>
      </w:r>
    </w:p>
    <w:p w14:paraId="59A58CBE" w14:textId="79180C51" w:rsidR="004C2487" w:rsidRPr="00AC7F7F" w:rsidRDefault="00BF05E9" w:rsidP="00AC7F7F">
      <w:pPr>
        <w:pStyle w:val="Quote"/>
        <w:rPr>
          <w:rStyle w:val="QuoteChar"/>
        </w:rPr>
      </w:pPr>
      <w:r>
        <w:rPr>
          <w:rStyle w:val="QuoteChar"/>
        </w:rPr>
        <w:t>…</w:t>
      </w:r>
      <w:r w:rsidR="004C2487" w:rsidRPr="00AC7F7F">
        <w:rPr>
          <w:rStyle w:val="QuoteChar"/>
        </w:rPr>
        <w:t>for ‘comply or explain’ to work effectively there needs to be genuine commitment to good governance and meaningful, open explanations. A constructive culture needs to be fostered where explanations are assessed on their merit rather than assuming non-compliance is inherently negative. Explaining why the entity has not complied and providing sound reasons for why not is important for transparent corporate reporting.</w:t>
      </w:r>
    </w:p>
    <w:p w14:paraId="3F153109" w14:textId="1B1C1CB3" w:rsidR="002211D8" w:rsidRDefault="00477FB9" w:rsidP="00431C4D">
      <w:pPr>
        <w:pStyle w:val="BodyText"/>
      </w:pPr>
      <w:r>
        <w:t xml:space="preserve">On the other hand, </w:t>
      </w:r>
      <w:proofErr w:type="spellStart"/>
      <w:r>
        <w:t>BusinessNZ</w:t>
      </w:r>
      <w:proofErr w:type="spellEnd"/>
      <w:r w:rsidR="004C2487" w:rsidRPr="00431C4D">
        <w:t xml:space="preserve"> </w:t>
      </w:r>
      <w:r w:rsidR="00BF05E9">
        <w:t xml:space="preserve">considered </w:t>
      </w:r>
      <w:r w:rsidR="004C2487" w:rsidRPr="00431C4D">
        <w:t xml:space="preserve">the ‘comply-or-explain’ approach as defined in the discussion document would be too onerous: </w:t>
      </w:r>
    </w:p>
    <w:p w14:paraId="2B070235" w14:textId="77777777" w:rsidR="004C2487" w:rsidRPr="00AC7F7F" w:rsidRDefault="004C2487" w:rsidP="00AC7F7F">
      <w:pPr>
        <w:pStyle w:val="Quote"/>
        <w:rPr>
          <w:rStyle w:val="QuoteChar"/>
        </w:rPr>
      </w:pPr>
      <w:proofErr w:type="gramStart"/>
      <w:r w:rsidRPr="00AC7F7F">
        <w:rPr>
          <w:rStyle w:val="QuoteChar"/>
        </w:rPr>
        <w:t>The comply</w:t>
      </w:r>
      <w:proofErr w:type="gramEnd"/>
      <w:r w:rsidRPr="00AC7F7F">
        <w:rPr>
          <w:rStyle w:val="QuoteChar"/>
        </w:rPr>
        <w:t xml:space="preserve"> or explain catch-22 would force firms uncertain of their responsibilities to undertake extensive research as to their climate impact if they wish to seek an exemption from undertaking research as to their climate impact. This effectively eliminates any complete exemption [and] would force firms uncertain of their responsibilities to undertake extensive research as to their climate impact if they wish to seek an exemption from undertaking research as to their climate impact.</w:t>
      </w:r>
    </w:p>
    <w:p w14:paraId="46EC8039" w14:textId="0F2E6EB7" w:rsidR="004C2487" w:rsidRPr="00431C4D" w:rsidRDefault="004C2487" w:rsidP="00431C4D">
      <w:pPr>
        <w:pStyle w:val="BodyText"/>
      </w:pPr>
      <w:r w:rsidRPr="00431C4D">
        <w:t>Another theme was the need for reporting organisations to be supported by coherent and consistent guidance on disclosure. In particular, respondents point</w:t>
      </w:r>
      <w:r w:rsidR="00BF05E9">
        <w:t>ed</w:t>
      </w:r>
      <w:r w:rsidRPr="00431C4D">
        <w:t xml:space="preserve"> out a principles-based system may result in poor comparability of disclosures, </w:t>
      </w:r>
      <w:r w:rsidR="00BF05E9">
        <w:t xml:space="preserve">so that </w:t>
      </w:r>
      <w:r w:rsidRPr="00431C4D">
        <w:t xml:space="preserve">guidance on specific reporting metrics could be helpful. </w:t>
      </w:r>
    </w:p>
    <w:p w14:paraId="0D6302FF" w14:textId="77777777" w:rsidR="00EE178E" w:rsidRDefault="00BF05E9" w:rsidP="00431C4D">
      <w:pPr>
        <w:pStyle w:val="BodyText"/>
      </w:pPr>
      <w:r>
        <w:t>Respondents raised a</w:t>
      </w:r>
      <w:r w:rsidR="004C2487" w:rsidRPr="00431C4D">
        <w:t xml:space="preserve"> number of other interesting points </w:t>
      </w:r>
      <w:r>
        <w:t>on</w:t>
      </w:r>
      <w:r w:rsidR="004C2487" w:rsidRPr="00431C4D">
        <w:t xml:space="preserve"> this question. </w:t>
      </w:r>
    </w:p>
    <w:p w14:paraId="4035F5C3" w14:textId="77777777" w:rsidR="00EE178E" w:rsidRDefault="00EE178E" w:rsidP="00431C4D">
      <w:pPr>
        <w:pStyle w:val="BodyText"/>
      </w:pPr>
    </w:p>
    <w:p w14:paraId="79FFE3CB" w14:textId="6BC6AF0A" w:rsidR="002211D8" w:rsidRDefault="004C2487" w:rsidP="00431C4D">
      <w:pPr>
        <w:pStyle w:val="BodyText"/>
      </w:pPr>
      <w:r w:rsidRPr="00431C4D">
        <w:lastRenderedPageBreak/>
        <w:t>EY noted that</w:t>
      </w:r>
      <w:r w:rsidR="002211D8">
        <w:t>:</w:t>
      </w:r>
      <w:r w:rsidRPr="00431C4D">
        <w:t xml:space="preserve"> </w:t>
      </w:r>
    </w:p>
    <w:p w14:paraId="68D2E1D3" w14:textId="43819F20" w:rsidR="00315F21" w:rsidRPr="00431C4D" w:rsidRDefault="00BF05E9" w:rsidP="00AC7F7F">
      <w:pPr>
        <w:pStyle w:val="Quote"/>
      </w:pPr>
      <w:r>
        <w:rPr>
          <w:rStyle w:val="QuoteChar"/>
        </w:rPr>
        <w:t>…</w:t>
      </w:r>
      <w:r w:rsidR="004C2487" w:rsidRPr="00AC7F7F">
        <w:rPr>
          <w:rStyle w:val="QuoteChar"/>
        </w:rPr>
        <w:t>r</w:t>
      </w:r>
      <w:r w:rsidR="00C2657B" w:rsidRPr="00AC7F7F">
        <w:rPr>
          <w:rStyle w:val="QuoteChar"/>
        </w:rPr>
        <w:t>esearch from the UK and Germany shows the level of full compliance to the corporate governance codes varied between 40% and 51% despite company directors reported as feeling considerable pressure to conform. Non-compliance appeared as a second choice but was undertaken by directors if necessary. This research highlights how, despite there being a desire to comply, in reality a significant number chose to explain instead. With non-financial reporting still developing, we believe the level of initial effort companies will have to put into the TCFD Recommendations may lead to a large proportion opting to explain.</w:t>
      </w:r>
    </w:p>
    <w:p w14:paraId="7D2E37E3" w14:textId="22348A7D" w:rsidR="004C2487" w:rsidRPr="00431C4D" w:rsidRDefault="004C2487" w:rsidP="00431C4D">
      <w:pPr>
        <w:pStyle w:val="BodyText"/>
      </w:pPr>
      <w:r w:rsidRPr="00431C4D">
        <w:t xml:space="preserve">While </w:t>
      </w:r>
      <w:r w:rsidR="00BF05E9">
        <w:t>EY</w:t>
      </w:r>
      <w:r w:rsidR="00BF05E9" w:rsidRPr="00431C4D">
        <w:t xml:space="preserve"> </w:t>
      </w:r>
      <w:r w:rsidRPr="00431C4D">
        <w:t xml:space="preserve">agreed with the Productivity Commission, </w:t>
      </w:r>
      <w:r w:rsidR="008C4681">
        <w:t>CA ANZ</w:t>
      </w:r>
      <w:r w:rsidRPr="00431C4D">
        <w:t xml:space="preserve"> submitted if the </w:t>
      </w:r>
      <w:r w:rsidR="00BF05E9">
        <w:t>11</w:t>
      </w:r>
      <w:r w:rsidR="00BF05E9" w:rsidRPr="00431C4D">
        <w:t xml:space="preserve"> </w:t>
      </w:r>
      <w:r w:rsidRPr="00431C4D">
        <w:t>recommended categories of disclosures from the TCFD were made mandatory, that would constitute a fairly prescriptive, rather than principles-based</w:t>
      </w:r>
      <w:r w:rsidR="00BF05E9">
        <w:t>,</w:t>
      </w:r>
      <w:r w:rsidRPr="00431C4D">
        <w:t xml:space="preserve"> system. As such</w:t>
      </w:r>
      <w:r w:rsidR="00BF05E9">
        <w:t>,</w:t>
      </w:r>
      <w:r w:rsidRPr="00431C4D">
        <w:t xml:space="preserve"> the proposed system would not satisfy the recommendation of the Productivity Commission. </w:t>
      </w:r>
    </w:p>
    <w:p w14:paraId="7122F04E" w14:textId="77777777" w:rsidR="004C2487" w:rsidRDefault="00C83591" w:rsidP="00C83591">
      <w:pPr>
        <w:pStyle w:val="Heading3"/>
      </w:pPr>
      <w:bookmarkStart w:id="55" w:name="_Toc32847644"/>
      <w:r w:rsidRPr="00C83591">
        <w:t xml:space="preserve">Q.13 </w:t>
      </w:r>
      <w:proofErr w:type="gramStart"/>
      <w:r w:rsidRPr="00C83591">
        <w:t>If</w:t>
      </w:r>
      <w:proofErr w:type="gramEnd"/>
      <w:r w:rsidRPr="00C83591">
        <w:t xml:space="preserve"> the status quo is retained, how can government and investors be confident that risks would be routinely considered in business and investment decisions?</w:t>
      </w:r>
      <w:bookmarkEnd w:id="55"/>
    </w:p>
    <w:p w14:paraId="6469CF74" w14:textId="4CAFB3FF" w:rsidR="002211D8" w:rsidRDefault="00E50813" w:rsidP="00C83591">
      <w:pPr>
        <w:pStyle w:val="BodyText"/>
      </w:pPr>
      <w:r>
        <w:t>We received 3</w:t>
      </w:r>
      <w:r w:rsidR="00651537">
        <w:t>9</w:t>
      </w:r>
      <w:r>
        <w:t xml:space="preserve"> responses to this quest</w:t>
      </w:r>
      <w:r w:rsidR="006370C4">
        <w:t>ion,</w:t>
      </w:r>
      <w:r>
        <w:t xml:space="preserve"> </w:t>
      </w:r>
      <w:r w:rsidR="005C35D2">
        <w:t>with</w:t>
      </w:r>
      <w:r>
        <w:t xml:space="preserve"> </w:t>
      </w:r>
      <w:r w:rsidR="00D95A39">
        <w:t>66</w:t>
      </w:r>
      <w:r w:rsidR="00DC4B00">
        <w:t xml:space="preserve"> per cent</w:t>
      </w:r>
      <w:r w:rsidR="00D95A39">
        <w:t xml:space="preserve"> </w:t>
      </w:r>
      <w:r>
        <w:t>of respondents (2</w:t>
      </w:r>
      <w:r w:rsidR="00651537">
        <w:t>6</w:t>
      </w:r>
      <w:r>
        <w:t xml:space="preserve">) </w:t>
      </w:r>
      <w:r w:rsidR="005C35D2">
        <w:t>stating</w:t>
      </w:r>
      <w:r w:rsidR="00C83591">
        <w:t xml:space="preserve"> they did not feel that government and investors could be confident </w:t>
      </w:r>
      <w:r>
        <w:t>in</w:t>
      </w:r>
      <w:r w:rsidR="00C83591">
        <w:t xml:space="preserve"> </w:t>
      </w:r>
      <w:r w:rsidR="00755979">
        <w:t xml:space="preserve">the </w:t>
      </w:r>
      <w:r w:rsidR="00C83591">
        <w:t xml:space="preserve">desired outcomes </w:t>
      </w:r>
      <w:r>
        <w:t>being</w:t>
      </w:r>
      <w:r w:rsidR="00C83591">
        <w:t xml:space="preserve"> achieved by uphol</w:t>
      </w:r>
      <w:r w:rsidR="00CB2F39">
        <w:t xml:space="preserve">ding the status quo. </w:t>
      </w:r>
      <w:r w:rsidR="002211D8">
        <w:t>To illustrate</w:t>
      </w:r>
      <w:r w:rsidR="00CB2F39">
        <w:t xml:space="preserve">, Milford Asset Management </w:t>
      </w:r>
      <w:r w:rsidR="00C83591">
        <w:t>noted</w:t>
      </w:r>
      <w:r w:rsidR="002211D8">
        <w:t>:</w:t>
      </w:r>
      <w:r w:rsidR="00C83591">
        <w:t xml:space="preserve"> </w:t>
      </w:r>
    </w:p>
    <w:p w14:paraId="4A487D5E" w14:textId="6E749E69" w:rsidR="00C83591" w:rsidRDefault="00C83591" w:rsidP="006370C4">
      <w:pPr>
        <w:pStyle w:val="Quote"/>
      </w:pPr>
      <w:r w:rsidRPr="004547DC">
        <w:t xml:space="preserve">A recent Forsyth Barr report stated that only 46% of </w:t>
      </w:r>
      <w:r w:rsidR="00DC4B00">
        <w:t xml:space="preserve">NZX 50 </w:t>
      </w:r>
      <w:r w:rsidRPr="004547DC">
        <w:t>companies (excluding the Australian banks ANZ and Westpac) provide aggregated scope 1-3 emissions disclosures. This percentage rises to 56% of companies providing some emissions disclosure. Further, the format of disclosures is inconsistent and therefore onerous to analyse.</w:t>
      </w:r>
    </w:p>
    <w:p w14:paraId="5E7C9E24" w14:textId="55481EC2" w:rsidR="00BF05E9" w:rsidRDefault="00C83591" w:rsidP="00C83591">
      <w:pPr>
        <w:pStyle w:val="BodyText"/>
      </w:pPr>
      <w:r>
        <w:t>Of the remaining third, some felt the market benefits of dis</w:t>
      </w:r>
      <w:r w:rsidR="00CB2F39">
        <w:t>closure, in addition</w:t>
      </w:r>
      <w:r>
        <w:t xml:space="preserve"> to investor and shareholder pressure</w:t>
      </w:r>
      <w:r w:rsidR="00755979">
        <w:t>,</w:t>
      </w:r>
      <w:r>
        <w:t xml:space="preserve"> would drive risks to be routinely considered in decision-making</w:t>
      </w:r>
      <w:r w:rsidR="00BF05E9">
        <w:t>. O</w:t>
      </w:r>
      <w:r>
        <w:t>thers argued for strengthening the existing levers to drive that change.</w:t>
      </w:r>
      <w:r w:rsidR="001A4E64">
        <w:t xml:space="preserve"> </w:t>
      </w:r>
      <w:r>
        <w:t>For ex</w:t>
      </w:r>
      <w:r w:rsidR="001A4E64">
        <w:t>ample</w:t>
      </w:r>
      <w:r w:rsidR="00BF05E9">
        <w:t>:</w:t>
      </w:r>
    </w:p>
    <w:p w14:paraId="4B11BF84" w14:textId="2239F91B" w:rsidR="00BF05E9" w:rsidRDefault="001A4E64" w:rsidP="00857B90">
      <w:pPr>
        <w:pStyle w:val="Bullet"/>
      </w:pPr>
      <w:r>
        <w:t>guidance from government</w:t>
      </w:r>
    </w:p>
    <w:p w14:paraId="69313474" w14:textId="1A17D4C0" w:rsidR="00BF05E9" w:rsidRDefault="00BF05E9" w:rsidP="00857B90">
      <w:pPr>
        <w:pStyle w:val="Bullet"/>
      </w:pPr>
      <w:r>
        <w:t>raising a</w:t>
      </w:r>
      <w:r w:rsidR="001A4E64">
        <w:t>wareness</w:t>
      </w:r>
    </w:p>
    <w:p w14:paraId="7EF8C00F" w14:textId="01D9DF67" w:rsidR="00BF05E9" w:rsidRDefault="00BF05E9" w:rsidP="00857B90">
      <w:pPr>
        <w:pStyle w:val="Bullet"/>
      </w:pPr>
      <w:r>
        <w:t xml:space="preserve">regulators setting </w:t>
      </w:r>
      <w:r w:rsidR="00C83591">
        <w:t>clearer expectation</w:t>
      </w:r>
      <w:r>
        <w:t xml:space="preserve">s </w:t>
      </w:r>
    </w:p>
    <w:p w14:paraId="59FE4C06" w14:textId="36FF06CC" w:rsidR="001A4E64" w:rsidRDefault="002D241C" w:rsidP="00857B90">
      <w:pPr>
        <w:pStyle w:val="Bullet"/>
      </w:pPr>
      <w:r>
        <w:t>G</w:t>
      </w:r>
      <w:r w:rsidR="00BF05E9">
        <w:t xml:space="preserve">overnment having </w:t>
      </w:r>
      <w:r w:rsidR="00C83591">
        <w:t xml:space="preserve">investigatory powers to explore and assess whether the objective </w:t>
      </w:r>
      <w:r w:rsidR="00BF05E9">
        <w:t xml:space="preserve">was </w:t>
      </w:r>
      <w:r w:rsidR="00C83591">
        <w:t>being achieved</w:t>
      </w:r>
      <w:r w:rsidR="00755979">
        <w:t>,</w:t>
      </w:r>
      <w:r w:rsidR="00C83591">
        <w:t xml:space="preserve"> could strengthen the status quo. </w:t>
      </w:r>
    </w:p>
    <w:p w14:paraId="0BB769F5" w14:textId="4221CAD8" w:rsidR="00C83591" w:rsidRDefault="00C83591" w:rsidP="00C83591">
      <w:pPr>
        <w:pStyle w:val="BodyText"/>
      </w:pPr>
      <w:proofErr w:type="spellStart"/>
      <w:r>
        <w:t>Business</w:t>
      </w:r>
      <w:r w:rsidR="00DC4B00">
        <w:t>NZ</w:t>
      </w:r>
      <w:proofErr w:type="spellEnd"/>
      <w:r>
        <w:t xml:space="preserve"> pointed to the voluntary nature of the UN Principles for Responsible Investment</w:t>
      </w:r>
      <w:r w:rsidR="002211D8">
        <w:rPr>
          <w:rStyle w:val="FootnoteReference"/>
        </w:rPr>
        <w:footnoteReference w:id="2"/>
      </w:r>
      <w:r>
        <w:t xml:space="preserve"> as an example of how a voluntary</w:t>
      </w:r>
      <w:r w:rsidR="00BF05E9">
        <w:t>,</w:t>
      </w:r>
      <w:r>
        <w:t xml:space="preserve"> industry</w:t>
      </w:r>
      <w:r w:rsidR="00553A37">
        <w:t>-led approach can drive greater consideration of climate ri</w:t>
      </w:r>
      <w:r w:rsidR="005F19A8">
        <w:t>sks.</w:t>
      </w:r>
    </w:p>
    <w:p w14:paraId="1668A570" w14:textId="77777777" w:rsidR="005F19A8" w:rsidRDefault="005F19A8" w:rsidP="005F19A8">
      <w:pPr>
        <w:pStyle w:val="Heading3"/>
      </w:pPr>
      <w:bookmarkStart w:id="56" w:name="_Toc32847645"/>
      <w:r w:rsidRPr="005F19A8">
        <w:lastRenderedPageBreak/>
        <w:t>Q.14 Do you consider the TCFD framework to be best practice in relation to climate-related financial disclosures?</w:t>
      </w:r>
      <w:bookmarkEnd w:id="56"/>
    </w:p>
    <w:p w14:paraId="479F6D76" w14:textId="20B79FBF" w:rsidR="005F19A8" w:rsidRDefault="005F19A8" w:rsidP="005F19A8">
      <w:pPr>
        <w:pStyle w:val="BodyText"/>
      </w:pPr>
      <w:r>
        <w:t xml:space="preserve">We received </w:t>
      </w:r>
      <w:r w:rsidR="00651537">
        <w:t>4</w:t>
      </w:r>
      <w:r w:rsidR="005F06AA">
        <w:t>7</w:t>
      </w:r>
      <w:r w:rsidR="0081674D">
        <w:t xml:space="preserve"> </w:t>
      </w:r>
      <w:r>
        <w:t>respon</w:t>
      </w:r>
      <w:r w:rsidR="006370C4">
        <w:t xml:space="preserve">ses to this question, </w:t>
      </w:r>
      <w:r w:rsidR="005E0303">
        <w:t>with</w:t>
      </w:r>
      <w:r w:rsidR="005473D6">
        <w:t xml:space="preserve"> 70 per cent</w:t>
      </w:r>
      <w:r w:rsidR="002E63C9">
        <w:t xml:space="preserve"> </w:t>
      </w:r>
      <w:r w:rsidR="006370C4">
        <w:t>of respondents (3</w:t>
      </w:r>
      <w:r w:rsidR="005F06AA">
        <w:t>3</w:t>
      </w:r>
      <w:r w:rsidR="006370C4">
        <w:t>) agre</w:t>
      </w:r>
      <w:r w:rsidR="005E0303">
        <w:t>eing</w:t>
      </w:r>
      <w:r>
        <w:t xml:space="preserve"> that the TCFD is currently best practice in relation to climate-related financial disclosures, noting in particular the widespread international</w:t>
      </w:r>
      <w:r w:rsidRPr="005F19A8">
        <w:t xml:space="preserve"> support and uptake. One </w:t>
      </w:r>
      <w:r w:rsidR="00BF05E9">
        <w:t xml:space="preserve">submitter </w:t>
      </w:r>
      <w:r w:rsidRPr="005F19A8">
        <w:t xml:space="preserve">felt it was not best practice, </w:t>
      </w:r>
      <w:r w:rsidR="005E0303">
        <w:t xml:space="preserve">as </w:t>
      </w:r>
      <w:r w:rsidRPr="005F19A8">
        <w:t xml:space="preserve">it is not mandatory in any other jurisdiction. </w:t>
      </w:r>
      <w:r w:rsidR="009F17E7">
        <w:t>Nine</w:t>
      </w:r>
      <w:r w:rsidRPr="005F19A8">
        <w:t xml:space="preserve"> respondents were unclear, and four did not specify whether or not they agreed.</w:t>
      </w:r>
    </w:p>
    <w:p w14:paraId="4A373569" w14:textId="07A3102C" w:rsidR="005F19A8" w:rsidRPr="005F19A8" w:rsidRDefault="005F19A8" w:rsidP="005F19A8">
      <w:pPr>
        <w:pStyle w:val="BodyText"/>
      </w:pPr>
      <w:r w:rsidRPr="005F19A8">
        <w:t>As with Q</w:t>
      </w:r>
      <w:r w:rsidR="005473D6">
        <w:t>.</w:t>
      </w:r>
      <w:r w:rsidRPr="005F19A8">
        <w:t>1, many respondents pointed to the developing nature of the TCFD, noting best practice may evolve beyond the TCFD in the future. As such,</w:t>
      </w:r>
      <w:r>
        <w:t xml:space="preserve"> respondents suggested </w:t>
      </w:r>
      <w:r w:rsidRPr="005F19A8">
        <w:t>a regulatory reg</w:t>
      </w:r>
      <w:r>
        <w:t xml:space="preserve">ime must be flexible to incorporate </w:t>
      </w:r>
      <w:r w:rsidRPr="005F19A8">
        <w:t xml:space="preserve">improvements </w:t>
      </w:r>
      <w:r>
        <w:t xml:space="preserve">in best practice </w:t>
      </w:r>
      <w:r w:rsidRPr="005F19A8">
        <w:t>over time.</w:t>
      </w:r>
      <w:r>
        <w:t xml:space="preserve"> </w:t>
      </w:r>
    </w:p>
    <w:p w14:paraId="4308EC6A" w14:textId="61D57595" w:rsidR="005F19A8" w:rsidRDefault="005F19A8" w:rsidP="00855245">
      <w:pPr>
        <w:pStyle w:val="BodyText"/>
        <w:spacing w:after="240"/>
      </w:pPr>
      <w:r w:rsidRPr="0024700E">
        <w:t xml:space="preserve">Several respondents also pointed to the </w:t>
      </w:r>
      <w:r w:rsidR="0024700E">
        <w:t xml:space="preserve">current </w:t>
      </w:r>
      <w:r w:rsidRPr="0024700E">
        <w:t>challenges and limitations of TCFD reporting. For example, Fonterra, Mercury and the Investor Group on Climate Change noted that</w:t>
      </w:r>
      <w:r w:rsidR="0024700E">
        <w:t>,</w:t>
      </w:r>
      <w:r w:rsidRPr="0024700E">
        <w:t xml:space="preserve"> at this stage, the disclosed information using the TCFD is not consistent and comparable. </w:t>
      </w:r>
      <w:r w:rsidR="0024700E">
        <w:t xml:space="preserve">Government </w:t>
      </w:r>
      <w:r w:rsidRPr="0024700E">
        <w:t xml:space="preserve">will therefore need to </w:t>
      </w:r>
      <w:r w:rsidR="0024700E">
        <w:t>provide more</w:t>
      </w:r>
      <w:r w:rsidRPr="0024700E">
        <w:t xml:space="preserve"> guidance to achieve comparability – including which TCFD-aligned frameworks would be </w:t>
      </w:r>
      <w:r w:rsidR="0024700E">
        <w:t>permitted</w:t>
      </w:r>
      <w:r w:rsidR="0024700E" w:rsidRPr="0024700E">
        <w:t xml:space="preserve"> </w:t>
      </w:r>
      <w:r w:rsidR="009F17E7" w:rsidRPr="0024700E">
        <w:t>in a New Zealand disclosure</w:t>
      </w:r>
      <w:r w:rsidRPr="0024700E">
        <w:t xml:space="preserve"> system</w:t>
      </w:r>
      <w:r w:rsidR="001B7CD2" w:rsidRPr="0024700E">
        <w:t xml:space="preserve">, and which assumptions </w:t>
      </w:r>
      <w:r w:rsidR="0024700E">
        <w:t>would be</w:t>
      </w:r>
      <w:r w:rsidR="0024700E" w:rsidRPr="0024700E">
        <w:t xml:space="preserve"> </w:t>
      </w:r>
      <w:r w:rsidR="001B7CD2" w:rsidRPr="0024700E">
        <w:t>appropriate for scenario analysis</w:t>
      </w:r>
      <w:r w:rsidRPr="0024700E">
        <w:t>.</w:t>
      </w:r>
    </w:p>
    <w:tbl>
      <w:tblPr>
        <w:tblStyle w:val="TableGrid"/>
        <w:tblW w:w="8351" w:type="dxa"/>
        <w:tblInd w:w="-5" w:type="dxa"/>
        <w:tblLook w:val="04A0" w:firstRow="1" w:lastRow="0" w:firstColumn="1" w:lastColumn="0" w:noHBand="0" w:noVBand="1"/>
      </w:tblPr>
      <w:tblGrid>
        <w:gridCol w:w="8351"/>
      </w:tblGrid>
      <w:tr w:rsidR="005F19A8" w:rsidRPr="006B77BB" w14:paraId="3E43E883" w14:textId="77777777" w:rsidTr="00855245">
        <w:trPr>
          <w:trHeight w:val="2311"/>
        </w:trPr>
        <w:tc>
          <w:tcPr>
            <w:tcW w:w="8351" w:type="dxa"/>
            <w:shd w:val="clear" w:color="auto" w:fill="1C556C"/>
            <w:vAlign w:val="center"/>
          </w:tcPr>
          <w:p w14:paraId="48626E3B" w14:textId="77777777" w:rsidR="005F19A8" w:rsidRDefault="005F19A8" w:rsidP="00BE1CE0">
            <w:pPr>
              <w:pStyle w:val="BodyText"/>
              <w:ind w:left="284" w:right="284"/>
              <w:rPr>
                <w:color w:val="FFFFFF" w:themeColor="background1"/>
                <w:szCs w:val="24"/>
              </w:rPr>
            </w:pPr>
            <w:r w:rsidRPr="006B77BB">
              <w:rPr>
                <w:color w:val="FFFFFF" w:themeColor="background1"/>
                <w:szCs w:val="24"/>
              </w:rPr>
              <w:sym w:font="Webdings" w:char="F038"/>
            </w:r>
            <w:r>
              <w:t xml:space="preserve"> </w:t>
            </w:r>
            <w:r w:rsidRPr="005F19A8">
              <w:rPr>
                <w:color w:val="FFFFFF" w:themeColor="background1"/>
                <w:szCs w:val="24"/>
              </w:rPr>
              <w:t>We note that the TCFD Framework is in its infancy. We expect that it will take a few years of trial and error before disclosures against the Framework are fulsome enough to meet desired objectives. However, transitioning to the TCFD should not be a reason to delay reporting on emissions as this is a relatively well developed aspect of climate-related reporting.</w:t>
            </w:r>
            <w:r w:rsidRPr="006B77BB">
              <w:rPr>
                <w:color w:val="FFFFFF" w:themeColor="background1"/>
                <w:szCs w:val="24"/>
              </w:rPr>
              <w:t xml:space="preserve"> </w:t>
            </w:r>
            <w:r w:rsidRPr="006B77BB">
              <w:rPr>
                <w:color w:val="FFFFFF" w:themeColor="background1"/>
                <w:szCs w:val="24"/>
              </w:rPr>
              <w:sym w:font="Webdings" w:char="F037"/>
            </w:r>
          </w:p>
          <w:p w14:paraId="032BB178" w14:textId="3CDF0E20" w:rsidR="005F19A8" w:rsidRPr="006B77BB" w:rsidRDefault="0024700E" w:rsidP="00BE1CE0">
            <w:pPr>
              <w:pStyle w:val="BodyText"/>
              <w:ind w:left="284" w:right="284"/>
              <w:rPr>
                <w:color w:val="FFFFFF" w:themeColor="background1"/>
              </w:rPr>
            </w:pPr>
            <w:r>
              <w:rPr>
                <w:color w:val="FFFFFF" w:themeColor="background1"/>
                <w:szCs w:val="24"/>
              </w:rPr>
              <w:t xml:space="preserve">– </w:t>
            </w:r>
            <w:r w:rsidR="005F19A8" w:rsidRPr="00855245">
              <w:rPr>
                <w:i/>
                <w:color w:val="FFFFFF" w:themeColor="background1"/>
                <w:szCs w:val="24"/>
              </w:rPr>
              <w:t>Guardians of New Zealand Superannuation</w:t>
            </w:r>
          </w:p>
        </w:tc>
      </w:tr>
    </w:tbl>
    <w:p w14:paraId="4E3BD1F7" w14:textId="5482E856" w:rsidR="002918E6" w:rsidRDefault="002918E6" w:rsidP="000D5FB1">
      <w:pPr>
        <w:pStyle w:val="Heading3"/>
      </w:pPr>
      <w:bookmarkStart w:id="57" w:name="_Toc32847646"/>
      <w:r>
        <w:t xml:space="preserve">Q.15 </w:t>
      </w:r>
      <w:proofErr w:type="gramStart"/>
      <w:r>
        <w:t>What</w:t>
      </w:r>
      <w:proofErr w:type="gramEnd"/>
      <w:r>
        <w:t xml:space="preserve"> are your views about whether the TCFD’s recommended disclosures will provide useful information to institutional investors and other users?</w:t>
      </w:r>
      <w:bookmarkEnd w:id="57"/>
    </w:p>
    <w:p w14:paraId="67F2E28B" w14:textId="248336F0" w:rsidR="00702FAB" w:rsidRDefault="005E0303" w:rsidP="003F1B0F">
      <w:pPr>
        <w:pStyle w:val="BodyText"/>
      </w:pPr>
      <w:r>
        <w:t>We received 4</w:t>
      </w:r>
      <w:r w:rsidR="005F06AA">
        <w:t>5</w:t>
      </w:r>
      <w:r w:rsidR="003944DB">
        <w:t xml:space="preserve"> responses to this question.</w:t>
      </w:r>
      <w:r w:rsidR="003F1B0F">
        <w:t xml:space="preserve"> </w:t>
      </w:r>
      <w:r w:rsidR="009F17E7">
        <w:t xml:space="preserve">A </w:t>
      </w:r>
      <w:r w:rsidR="00A52A2C">
        <w:t xml:space="preserve">major </w:t>
      </w:r>
      <w:r w:rsidR="009F17E7">
        <w:t xml:space="preserve">theme was </w:t>
      </w:r>
      <w:r w:rsidR="003F1B0F">
        <w:t xml:space="preserve">the TCFD disclosures would provide useful information to investors and other users. However, to be useful </w:t>
      </w:r>
      <w:r w:rsidR="00A52A2C">
        <w:t>they would</w:t>
      </w:r>
      <w:r w:rsidR="003F1B0F">
        <w:t xml:space="preserve"> need to be comparable and consistent, and the quality of information matters</w:t>
      </w:r>
      <w:r w:rsidR="006867CE">
        <w:t>. To this end, several respondent</w:t>
      </w:r>
      <w:r w:rsidR="003F1B0F">
        <w:t>s noted the role of the Government in providing</w:t>
      </w:r>
      <w:r w:rsidR="00882C49">
        <w:t xml:space="preserve"> consistent</w:t>
      </w:r>
      <w:r w:rsidR="003F1B0F">
        <w:t xml:space="preserve"> metrics and guidance</w:t>
      </w:r>
      <w:r w:rsidR="009F17E7">
        <w:t xml:space="preserve"> (discussed further</w:t>
      </w:r>
      <w:r w:rsidR="006370C4">
        <w:t xml:space="preserve"> in Q</w:t>
      </w:r>
      <w:r w:rsidR="005473D6">
        <w:t>.</w:t>
      </w:r>
      <w:r w:rsidR="009F17E7">
        <w:t>36)</w:t>
      </w:r>
      <w:r w:rsidR="003F1B0F">
        <w:t>.</w:t>
      </w:r>
    </w:p>
    <w:p w14:paraId="6BE9EB53" w14:textId="26D182F5" w:rsidR="00706222" w:rsidRDefault="005E0303" w:rsidP="003F1B0F">
      <w:pPr>
        <w:pStyle w:val="BodyText"/>
      </w:pPr>
      <w:r>
        <w:t>Air New Zealand</w:t>
      </w:r>
      <w:r w:rsidR="005E0E62">
        <w:t xml:space="preserve"> noted there should be an explicit link between reporting and resulting risk management</w:t>
      </w:r>
      <w:r w:rsidR="009F17E7">
        <w:t xml:space="preserve"> and </w:t>
      </w:r>
      <w:r w:rsidR="005E0E62">
        <w:t>action</w:t>
      </w:r>
      <w:r w:rsidR="00A52A2C">
        <w:t>,</w:t>
      </w:r>
      <w:r w:rsidR="005E0E62">
        <w:t xml:space="preserve"> to be truly useful. </w:t>
      </w:r>
      <w:r>
        <w:t>Regardless</w:t>
      </w:r>
      <w:r w:rsidR="00F15AA1">
        <w:t>:</w:t>
      </w:r>
      <w:r w:rsidR="005E0E62">
        <w:t xml:space="preserve"> </w:t>
      </w:r>
    </w:p>
    <w:p w14:paraId="07F5C086" w14:textId="77777777" w:rsidR="00706222" w:rsidRDefault="00706222" w:rsidP="006370C4">
      <w:pPr>
        <w:pStyle w:val="Quote"/>
      </w:pPr>
      <w:r w:rsidRPr="00DC3F41">
        <w:t>Even where the financial disclosures are of low quality, institutional investors and other users may find value in the disclosures as a qualitative signal of the extent to which companies (and their directors) are identifying particular risks and addressing them.</w:t>
      </w:r>
      <w:r>
        <w:t xml:space="preserve"> </w:t>
      </w:r>
    </w:p>
    <w:p w14:paraId="79E78169" w14:textId="26FAD6F1" w:rsidR="005E0E62" w:rsidRDefault="005E0E62" w:rsidP="003F1B0F">
      <w:pPr>
        <w:pStyle w:val="BodyText"/>
      </w:pPr>
      <w:r>
        <w:t xml:space="preserve">Reporting will provide a </w:t>
      </w:r>
      <w:r w:rsidR="003800E3">
        <w:t>de facto</w:t>
      </w:r>
      <w:r>
        <w:t xml:space="preserve"> indicator of strength of governance and management capability</w:t>
      </w:r>
      <w:r w:rsidR="005E0303" w:rsidRPr="005E0303">
        <w:t xml:space="preserve"> </w:t>
      </w:r>
      <w:r w:rsidR="005E0303">
        <w:t>based on quality</w:t>
      </w:r>
      <w:r>
        <w:t xml:space="preserve"> for institutional investors and other users, such as lenders. </w:t>
      </w:r>
    </w:p>
    <w:p w14:paraId="415C83D8" w14:textId="3828F672" w:rsidR="005E0E62" w:rsidRDefault="005E0303" w:rsidP="005E0E62">
      <w:pPr>
        <w:pStyle w:val="BodyText"/>
      </w:pPr>
      <w:r>
        <w:lastRenderedPageBreak/>
        <w:t xml:space="preserve">The Investor Group on Climate Change (IGCC) and New Zealand Bankers’ Association (NZBA) </w:t>
      </w:r>
      <w:r w:rsidR="005E0E62">
        <w:t xml:space="preserve">noted </w:t>
      </w:r>
      <w:r w:rsidR="00A52A2C">
        <w:t>for information</w:t>
      </w:r>
      <w:r w:rsidR="005E0E62">
        <w:t xml:space="preserve"> to be helpful in the New Zealand context, </w:t>
      </w:r>
      <w:r w:rsidR="00A52A2C">
        <w:t xml:space="preserve">it </w:t>
      </w:r>
      <w:r w:rsidR="005E0E62">
        <w:t>should be reported at the country level</w:t>
      </w:r>
      <w:r w:rsidR="00A52A2C">
        <w:t xml:space="preserve"> </w:t>
      </w:r>
      <w:r w:rsidR="005E0E62">
        <w:t xml:space="preserve">rather than the </w:t>
      </w:r>
      <w:r w:rsidR="003800E3">
        <w:t xml:space="preserve">group </w:t>
      </w:r>
      <w:r w:rsidR="005E0E62">
        <w:t>level (for multinationals headquartered outside of N</w:t>
      </w:r>
      <w:r w:rsidR="00EA79C8">
        <w:t xml:space="preserve">ew </w:t>
      </w:r>
      <w:r w:rsidR="005E0E62">
        <w:t>Z</w:t>
      </w:r>
      <w:r w:rsidR="00EA79C8">
        <w:t>ealand</w:t>
      </w:r>
      <w:r w:rsidR="005E0E62">
        <w:t xml:space="preserve">). </w:t>
      </w:r>
      <w:r w:rsidR="005E0E62" w:rsidRPr="00A11163">
        <w:t xml:space="preserve">Reporting at the group level </w:t>
      </w:r>
      <w:r w:rsidR="00A11163" w:rsidRPr="00A11163">
        <w:t>may omit</w:t>
      </w:r>
      <w:r w:rsidR="005E0E62" w:rsidRPr="00A11163">
        <w:t xml:space="preserve"> </w:t>
      </w:r>
      <w:r w:rsidR="00A52A2C">
        <w:t xml:space="preserve">a </w:t>
      </w:r>
      <w:r w:rsidR="00A11163" w:rsidRPr="00A11163">
        <w:t>New Zealand</w:t>
      </w:r>
      <w:r w:rsidR="00706222">
        <w:t>-</w:t>
      </w:r>
      <w:r w:rsidR="00A11163" w:rsidRPr="00A11163">
        <w:t>specific context</w:t>
      </w:r>
      <w:r w:rsidR="005E0E62" w:rsidRPr="00A11163">
        <w:t xml:space="preserve"> for </w:t>
      </w:r>
      <w:r w:rsidR="00A11163" w:rsidRPr="00A11163">
        <w:t>investors.</w:t>
      </w:r>
    </w:p>
    <w:p w14:paraId="153AC220" w14:textId="77777777" w:rsidR="005F19A8" w:rsidRPr="005F19A8" w:rsidRDefault="000D5FB1" w:rsidP="000D5FB1">
      <w:pPr>
        <w:pStyle w:val="Heading3"/>
      </w:pPr>
      <w:bookmarkStart w:id="58" w:name="_Toc32847647"/>
      <w:r w:rsidRPr="00962B9B">
        <w:t>Q.16 Do you think the proposed disclosure system will encourage disclosing entities to make better business decisions?</w:t>
      </w:r>
      <w:bookmarkEnd w:id="58"/>
    </w:p>
    <w:p w14:paraId="0A35F223" w14:textId="19C098E6" w:rsidR="00910EDA" w:rsidRDefault="00C745FE" w:rsidP="00910EDA">
      <w:pPr>
        <w:pStyle w:val="BodyText"/>
      </w:pPr>
      <w:r>
        <w:t>We received 3</w:t>
      </w:r>
      <w:r w:rsidR="00651537">
        <w:t>7</w:t>
      </w:r>
      <w:r w:rsidR="000D5FB1">
        <w:t xml:space="preserve"> responses to this </w:t>
      </w:r>
      <w:r w:rsidR="005E0303">
        <w:t>question, with</w:t>
      </w:r>
      <w:r w:rsidR="00910EDA">
        <w:t xml:space="preserve"> 8</w:t>
      </w:r>
      <w:r w:rsidR="00651537">
        <w:t>4</w:t>
      </w:r>
      <w:r w:rsidR="005473D6">
        <w:t xml:space="preserve"> per cent</w:t>
      </w:r>
      <w:r w:rsidR="00641639">
        <w:t xml:space="preserve"> of respondents</w:t>
      </w:r>
      <w:r w:rsidR="00910EDA">
        <w:t xml:space="preserve"> (</w:t>
      </w:r>
      <w:r w:rsidR="007D294B">
        <w:t>3</w:t>
      </w:r>
      <w:r w:rsidR="00651537">
        <w:t>1</w:t>
      </w:r>
      <w:r w:rsidR="00641639">
        <w:t>)</w:t>
      </w:r>
      <w:r w:rsidR="005E0303">
        <w:t xml:space="preserve"> agreeing</w:t>
      </w:r>
      <w:r w:rsidR="000D5FB1">
        <w:t xml:space="preserve"> the proposed disclosures system would encourage better decision</w:t>
      </w:r>
      <w:r w:rsidR="00A52A2C">
        <w:t>-</w:t>
      </w:r>
      <w:r w:rsidR="00984395">
        <w:t>making.</w:t>
      </w:r>
    </w:p>
    <w:p w14:paraId="5296D825" w14:textId="77777777" w:rsidR="00706222" w:rsidRDefault="006867CE" w:rsidP="00910EDA">
      <w:pPr>
        <w:pStyle w:val="BodyText"/>
      </w:pPr>
      <w:r>
        <w:t>Many of these respondent</w:t>
      </w:r>
      <w:r w:rsidR="000D5FB1">
        <w:t xml:space="preserve">s </w:t>
      </w:r>
      <w:r w:rsidR="00910EDA">
        <w:t>noted the value of the TCFD framework as a</w:t>
      </w:r>
      <w:r w:rsidR="00706222">
        <w:t>n</w:t>
      </w:r>
      <w:r w:rsidR="00910EDA">
        <w:t xml:space="preserve"> exercise</w:t>
      </w:r>
      <w:r w:rsidR="00F15AA1">
        <w:t>:</w:t>
      </w:r>
    </w:p>
    <w:p w14:paraId="7FEEDC74" w14:textId="63B4E81A" w:rsidR="00706222" w:rsidRDefault="00910EDA" w:rsidP="00641639">
      <w:pPr>
        <w:pStyle w:val="Quote"/>
      </w:pPr>
      <w:r w:rsidRPr="00641639">
        <w:rPr>
          <w:rStyle w:val="QuoteChar"/>
        </w:rPr>
        <w:t>TCFD is less about final data and more about due diligence of readying a company for future shocks and strains of climate change impacts.</w:t>
      </w:r>
      <w:r w:rsidR="00F15AA1">
        <w:rPr>
          <w:rStyle w:val="QuoteChar"/>
        </w:rPr>
        <w:t xml:space="preserve"> </w:t>
      </w:r>
      <w:r w:rsidR="00A52A2C">
        <w:rPr>
          <w:rStyle w:val="QuoteChar"/>
        </w:rPr>
        <w:br/>
      </w:r>
      <w:r w:rsidR="00F15AA1">
        <w:rPr>
          <w:rStyle w:val="QuoteChar"/>
        </w:rPr>
        <w:t>(</w:t>
      </w:r>
      <w:r w:rsidR="00F15AA1">
        <w:t>Responsible Investment Association Australasia)</w:t>
      </w:r>
      <w:r>
        <w:t xml:space="preserve"> </w:t>
      </w:r>
    </w:p>
    <w:p w14:paraId="098C4641" w14:textId="77777777" w:rsidR="00706222" w:rsidRDefault="00910EDA" w:rsidP="00910EDA">
      <w:pPr>
        <w:pStyle w:val="BodyText"/>
      </w:pPr>
      <w:r>
        <w:t xml:space="preserve">Linked to this, the New Zealand Bankers’ Association noted: </w:t>
      </w:r>
    </w:p>
    <w:p w14:paraId="656FE5AE" w14:textId="77777777" w:rsidR="00910EDA" w:rsidRPr="005F19A8" w:rsidRDefault="00910EDA" w:rsidP="00641639">
      <w:pPr>
        <w:pStyle w:val="Quote"/>
      </w:pPr>
      <w:r>
        <w:t>We would expect that the benefits to the organisation will be proportionate to the degree of focus applied (</w:t>
      </w:r>
      <w:proofErr w:type="spellStart"/>
      <w:r>
        <w:t>ie</w:t>
      </w:r>
      <w:proofErr w:type="spellEnd"/>
      <w:r>
        <w:t xml:space="preserve"> the more a company puts into TCFD, the more it gets out of it).</w:t>
      </w:r>
    </w:p>
    <w:p w14:paraId="10CB3BA6" w14:textId="09B44276" w:rsidR="000D5FB1" w:rsidRDefault="00910EDA" w:rsidP="000D5FB1">
      <w:pPr>
        <w:pStyle w:val="BodyText"/>
      </w:pPr>
      <w:r>
        <w:t>Three</w:t>
      </w:r>
      <w:r w:rsidR="000D5FB1">
        <w:t xml:space="preserve"> </w:t>
      </w:r>
      <w:r w:rsidR="006867CE">
        <w:t>respondent</w:t>
      </w:r>
      <w:r w:rsidR="000D5FB1">
        <w:t>s felt disclosure would have</w:t>
      </w:r>
      <w:r w:rsidR="00D91252">
        <w:t xml:space="preserve"> a</w:t>
      </w:r>
      <w:r w:rsidR="000D5FB1">
        <w:t xml:space="preserve"> limited effect </w:t>
      </w:r>
      <w:r w:rsidR="00A52A2C">
        <w:t>o</w:t>
      </w:r>
      <w:r w:rsidR="000D5FB1">
        <w:t>n improvi</w:t>
      </w:r>
      <w:r>
        <w:t xml:space="preserve">ng </w:t>
      </w:r>
      <w:r w:rsidR="00A52A2C">
        <w:t>decision-making</w:t>
      </w:r>
      <w:r>
        <w:t xml:space="preserve"> and that </w:t>
      </w:r>
      <w:r w:rsidR="00A52A2C">
        <w:t>this</w:t>
      </w:r>
      <w:r>
        <w:t xml:space="preserve"> would </w:t>
      </w:r>
      <w:r w:rsidR="00A52A2C">
        <w:t>rely</w:t>
      </w:r>
      <w:r w:rsidR="000D5FB1">
        <w:t xml:space="preserve"> on wider factors, such as appropriate education and enforcement, and other trends relating to awareness of climate risks. </w:t>
      </w:r>
      <w:r w:rsidR="00706222">
        <w:t xml:space="preserve">The UK-based Local Authority Pension Fund Forum advised </w:t>
      </w:r>
      <w:r w:rsidR="00A52A2C">
        <w:t xml:space="preserve">there needs to be clear and comprehensive </w:t>
      </w:r>
      <w:r w:rsidR="00706222">
        <w:t>r</w:t>
      </w:r>
      <w:r w:rsidR="00706222" w:rsidRPr="000E3FEE">
        <w:t>eporting o</w:t>
      </w:r>
      <w:r w:rsidR="001B7CD2">
        <w:t>n</w:t>
      </w:r>
      <w:r w:rsidR="00706222" w:rsidRPr="000E3FEE">
        <w:t xml:space="preserve"> the link between the provision of information </w:t>
      </w:r>
      <w:r w:rsidR="00706222">
        <w:t xml:space="preserve">and </w:t>
      </w:r>
      <w:r w:rsidR="00A52A2C">
        <w:t>decision-making</w:t>
      </w:r>
      <w:r w:rsidR="00706222" w:rsidRPr="000E3FEE">
        <w:t>.</w:t>
      </w:r>
    </w:p>
    <w:p w14:paraId="5FBC174F" w14:textId="1D397929" w:rsidR="000D5FB1" w:rsidRPr="00DF121F" w:rsidRDefault="00910EDA" w:rsidP="000D5FB1">
      <w:pPr>
        <w:pStyle w:val="BodyText"/>
      </w:pPr>
      <w:r>
        <w:t>Only one</w:t>
      </w:r>
      <w:r w:rsidR="006867CE">
        <w:t xml:space="preserve"> respondent</w:t>
      </w:r>
      <w:r w:rsidR="000D5FB1">
        <w:t xml:space="preserve"> felt </w:t>
      </w:r>
      <w:r w:rsidR="00A52A2C">
        <w:t>disclosure</w:t>
      </w:r>
      <w:r w:rsidR="000D5FB1">
        <w:t xml:space="preserve"> would not lead to better d</w:t>
      </w:r>
      <w:r>
        <w:t xml:space="preserve">ecisions, but </w:t>
      </w:r>
      <w:r w:rsidR="00A52A2C">
        <w:t xml:space="preserve">they </w:t>
      </w:r>
      <w:r>
        <w:t>provided no reasons</w:t>
      </w:r>
      <w:r w:rsidR="00A52A2C">
        <w:t>. O</w:t>
      </w:r>
      <w:r w:rsidR="000D5FB1">
        <w:t xml:space="preserve">ne </w:t>
      </w:r>
      <w:r w:rsidR="00A52A2C">
        <w:t xml:space="preserve">respondent </w:t>
      </w:r>
      <w:r w:rsidR="000D5FB1">
        <w:t xml:space="preserve">was unsure, noting scenario analysis rather than disclosure would result in </w:t>
      </w:r>
      <w:r w:rsidR="000D5FB1" w:rsidRPr="00DF121F">
        <w:t>behaviour change.</w:t>
      </w:r>
    </w:p>
    <w:p w14:paraId="4DD720E4" w14:textId="77777777" w:rsidR="00A11163" w:rsidRDefault="00A11163" w:rsidP="00A11163">
      <w:pPr>
        <w:pStyle w:val="Heading3"/>
      </w:pPr>
      <w:bookmarkStart w:id="59" w:name="_Toc32847648"/>
      <w:r>
        <w:t xml:space="preserve">Q.17 </w:t>
      </w:r>
      <w:proofErr w:type="gramStart"/>
      <w:r>
        <w:t>Is</w:t>
      </w:r>
      <w:proofErr w:type="gramEnd"/>
      <w:r>
        <w:t xml:space="preserve"> the definition </w:t>
      </w:r>
      <w:r w:rsidR="00732C24">
        <w:t>of materiality in the IASB Conceptual Framework for Financial R</w:t>
      </w:r>
      <w:r>
        <w:t>eporting appropriate for this purpose?</w:t>
      </w:r>
      <w:bookmarkEnd w:id="59"/>
    </w:p>
    <w:p w14:paraId="5115B9F2" w14:textId="107D4D8F" w:rsidR="00870EF6" w:rsidRDefault="001F00B5" w:rsidP="003B4527">
      <w:pPr>
        <w:pStyle w:val="BodyText"/>
      </w:pPr>
      <w:r>
        <w:t>We received 3</w:t>
      </w:r>
      <w:r w:rsidR="00651537">
        <w:t>3</w:t>
      </w:r>
      <w:r w:rsidR="00A11163">
        <w:t xml:space="preserve"> responses to this question, with</w:t>
      </w:r>
      <w:r>
        <w:t xml:space="preserve"> 8</w:t>
      </w:r>
      <w:r w:rsidR="007D294B">
        <w:t>8</w:t>
      </w:r>
      <w:r w:rsidR="005473D6">
        <w:t xml:space="preserve"> per cent</w:t>
      </w:r>
      <w:r w:rsidR="00EC0572">
        <w:t xml:space="preserve"> of respondents</w:t>
      </w:r>
      <w:r w:rsidR="00A11163">
        <w:t xml:space="preserve"> </w:t>
      </w:r>
      <w:r w:rsidR="00EC0572">
        <w:t>(</w:t>
      </w:r>
      <w:r w:rsidR="00A11163">
        <w:t>2</w:t>
      </w:r>
      <w:r w:rsidR="00651537">
        <w:t>9</w:t>
      </w:r>
      <w:r w:rsidR="00EC0572">
        <w:t>)</w:t>
      </w:r>
      <w:r w:rsidR="00A11163">
        <w:t xml:space="preserve"> agreeing the definit</w:t>
      </w:r>
      <w:r w:rsidR="00732C24">
        <w:t>ion of materiality in the IASB Conceptual F</w:t>
      </w:r>
      <w:r w:rsidR="00A11163">
        <w:t>rame</w:t>
      </w:r>
      <w:r w:rsidR="00732C24">
        <w:t>work for Financial R</w:t>
      </w:r>
      <w:r w:rsidR="00A11163">
        <w:t>eporting</w:t>
      </w:r>
      <w:r w:rsidR="001C5C44">
        <w:t xml:space="preserve"> is</w:t>
      </w:r>
      <w:r w:rsidR="00A11163">
        <w:t xml:space="preserve"> appropriate. </w:t>
      </w:r>
      <w:r w:rsidR="00EC49C9">
        <w:t xml:space="preserve">Supporters agreed there is plenty of </w:t>
      </w:r>
      <w:r w:rsidR="00A52A2C">
        <w:t xml:space="preserve">robust </w:t>
      </w:r>
      <w:r w:rsidR="00EC49C9">
        <w:t xml:space="preserve">guidance available to interpret materiality. </w:t>
      </w:r>
      <w:r w:rsidR="00870EF6">
        <w:t>Two respondents</w:t>
      </w:r>
      <w:r w:rsidR="00A11163">
        <w:t xml:space="preserve"> thought the definition could potentially be used and one submitter disagreed</w:t>
      </w:r>
      <w:r w:rsidR="00870EF6">
        <w:t xml:space="preserve"> on the basis that </w:t>
      </w:r>
      <w:r w:rsidR="00A52A2C">
        <w:t>the definition does not</w:t>
      </w:r>
      <w:r w:rsidR="00870EF6">
        <w:t xml:space="preserve"> adequately take </w:t>
      </w:r>
      <w:r w:rsidR="00A52A2C">
        <w:t xml:space="preserve">into account </w:t>
      </w:r>
      <w:r w:rsidR="00870EF6">
        <w:t>long</w:t>
      </w:r>
      <w:r w:rsidR="001C5C44">
        <w:t>-</w:t>
      </w:r>
      <w:r w:rsidR="00870EF6">
        <w:t xml:space="preserve">term risks. </w:t>
      </w:r>
    </w:p>
    <w:p w14:paraId="498B6110" w14:textId="60294D1A" w:rsidR="00EB0B58" w:rsidRDefault="001C5C44" w:rsidP="003B4527">
      <w:pPr>
        <w:pStyle w:val="BodyText"/>
      </w:pPr>
      <w:r>
        <w:t xml:space="preserve">A recurring theme was </w:t>
      </w:r>
      <w:r w:rsidR="003F693F">
        <w:t xml:space="preserve">the </w:t>
      </w:r>
      <w:r w:rsidR="00EB0B58">
        <w:t xml:space="preserve">difference between assessing materiality for business strategy and for financial reporting. </w:t>
      </w:r>
      <w:r w:rsidR="001A4E64">
        <w:t>There is a need for more guidance on making</w:t>
      </w:r>
      <w:r w:rsidR="0034639B">
        <w:t xml:space="preserve"> </w:t>
      </w:r>
      <w:r w:rsidR="00EB0B58">
        <w:t>materiality judgement</w:t>
      </w:r>
      <w:r w:rsidR="0034639B">
        <w:t>s</w:t>
      </w:r>
      <w:r w:rsidR="00EB0B58">
        <w:t xml:space="preserve"> </w:t>
      </w:r>
      <w:r w:rsidR="001A4E64">
        <w:t xml:space="preserve">on both business strategy and </w:t>
      </w:r>
      <w:r w:rsidR="00EB0B58">
        <w:t xml:space="preserve">non-financial information. </w:t>
      </w:r>
      <w:r w:rsidR="003F693F">
        <w:t>Additionally, the IASB definition is retrospective, whereas climate change</w:t>
      </w:r>
      <w:r w:rsidR="001661DB">
        <w:t xml:space="preserve"> risk</w:t>
      </w:r>
      <w:r w:rsidR="003F693F">
        <w:t xml:space="preserve"> information is forward</w:t>
      </w:r>
      <w:r w:rsidR="00A52A2C">
        <w:t>-</w:t>
      </w:r>
      <w:r w:rsidR="003F693F">
        <w:t>looking.</w:t>
      </w:r>
    </w:p>
    <w:p w14:paraId="03178F17" w14:textId="65F31836" w:rsidR="00052AE7" w:rsidRDefault="003F693F" w:rsidP="003B4527">
      <w:pPr>
        <w:pStyle w:val="BodyText"/>
      </w:pPr>
      <w:r>
        <w:lastRenderedPageBreak/>
        <w:t>The need to better define the primary users</w:t>
      </w:r>
      <w:r w:rsidR="00984395">
        <w:t xml:space="preserve"> of </w:t>
      </w:r>
      <w:r w:rsidR="00366B99">
        <w:t xml:space="preserve">climate-related financial information </w:t>
      </w:r>
      <w:r>
        <w:t>through legislation was a</w:t>
      </w:r>
      <w:r w:rsidR="001661DB">
        <w:t>nother</w:t>
      </w:r>
      <w:r>
        <w:t xml:space="preserve"> </w:t>
      </w:r>
      <w:r w:rsidR="00025BA1">
        <w:t>key theme.</w:t>
      </w:r>
      <w:r>
        <w:t xml:space="preserve"> </w:t>
      </w:r>
      <w:r w:rsidR="00366B99">
        <w:t>For example, would the users be limited to the users of general purpose financial reports?</w:t>
      </w:r>
    </w:p>
    <w:p w14:paraId="39D90487" w14:textId="77777777" w:rsidR="001661DB" w:rsidRDefault="001A4E64" w:rsidP="003B4527">
      <w:pPr>
        <w:pStyle w:val="BodyText"/>
      </w:pPr>
      <w:r>
        <w:t>Finally, a</w:t>
      </w:r>
      <w:r w:rsidR="003F693F">
        <w:t xml:space="preserve"> few respondents hoped to shift the perspective from a shareholder to a broader stakeholder perspective.</w:t>
      </w:r>
      <w:r w:rsidR="00052AE7">
        <w:t xml:space="preserve"> EY noted</w:t>
      </w:r>
      <w:r w:rsidR="001661DB">
        <w:t>:</w:t>
      </w:r>
    </w:p>
    <w:p w14:paraId="558F7819" w14:textId="3620E5A8" w:rsidR="00A11163" w:rsidRDefault="00B76591" w:rsidP="00641639">
      <w:pPr>
        <w:pStyle w:val="Quote"/>
      </w:pPr>
      <w:r>
        <w:t>…</w:t>
      </w:r>
      <w:r w:rsidR="00052AE7">
        <w:t>in the context of climate change risks, shifting from a shareholder perspective to stakeholder perspective is important given that the TCFD recommended disclosures are designed to be used by companies in providing information not only to investors but to other stakeholders.</w:t>
      </w:r>
    </w:p>
    <w:p w14:paraId="7BFF4BBE" w14:textId="77777777" w:rsidR="00A11163" w:rsidRDefault="00052AE7" w:rsidP="00052AE7">
      <w:pPr>
        <w:pStyle w:val="Heading3"/>
      </w:pPr>
      <w:bookmarkStart w:id="60" w:name="_Toc32847649"/>
      <w:r>
        <w:t>Q.18 What comments do you have on our proposal that non-disclosure would only be allowable on the basis of the entity’s analysed and reported conclusion that they see themselves as not being materially affected by climate change, with an explanation as to why?</w:t>
      </w:r>
      <w:bookmarkEnd w:id="60"/>
    </w:p>
    <w:p w14:paraId="0C09B11C" w14:textId="27172B82" w:rsidR="001A4E64" w:rsidRDefault="00052AE7" w:rsidP="001668DA">
      <w:pPr>
        <w:pStyle w:val="BodyText"/>
      </w:pPr>
      <w:r>
        <w:t>We received 4</w:t>
      </w:r>
      <w:r w:rsidR="00651537">
        <w:t>4</w:t>
      </w:r>
      <w:r>
        <w:t xml:space="preserve"> responses to this question. There was significan</w:t>
      </w:r>
      <w:r w:rsidR="00684C4B">
        <w:t>t disagreement between respondents</w:t>
      </w:r>
      <w:r>
        <w:t xml:space="preserve"> as to the ‘comply or explain’ element of the proposals. A</w:t>
      </w:r>
      <w:r w:rsidR="003F22A9">
        <w:t xml:space="preserve"> large number of responses</w:t>
      </w:r>
      <w:r>
        <w:t xml:space="preserve"> noted there are few or no situations where an entity would not be materially affected by climate change due to the systemic nature of the risk</w:t>
      </w:r>
      <w:r w:rsidR="00823B3E">
        <w:t>, echoi</w:t>
      </w:r>
      <w:r w:rsidR="00641639">
        <w:t>ng points made in response to Q</w:t>
      </w:r>
      <w:r w:rsidR="005473D6">
        <w:t>.</w:t>
      </w:r>
      <w:r w:rsidR="00823B3E">
        <w:t>12</w:t>
      </w:r>
      <w:r>
        <w:t>. Therefore</w:t>
      </w:r>
      <w:r w:rsidR="00B76591">
        <w:t>,</w:t>
      </w:r>
      <w:r>
        <w:t xml:space="preserve"> any non-disclosures are likely to be short</w:t>
      </w:r>
      <w:r w:rsidR="00B76591">
        <w:t xml:space="preserve"> </w:t>
      </w:r>
      <w:r>
        <w:t xml:space="preserve">term in their analysis, undermining the objective. </w:t>
      </w:r>
    </w:p>
    <w:p w14:paraId="6ADC4707" w14:textId="105BD4C3" w:rsidR="00052AE7" w:rsidRDefault="006E3D26" w:rsidP="001668DA">
      <w:pPr>
        <w:pStyle w:val="BodyText"/>
      </w:pPr>
      <w:r>
        <w:t xml:space="preserve">The New Zealand </w:t>
      </w:r>
      <w:r w:rsidR="004256BA">
        <w:t xml:space="preserve">Bankers’ </w:t>
      </w:r>
      <w:r>
        <w:t>Association said:</w:t>
      </w:r>
    </w:p>
    <w:p w14:paraId="1F9DB8CD" w14:textId="77777777" w:rsidR="006E3D26" w:rsidRDefault="006E3D26" w:rsidP="00641639">
      <w:pPr>
        <w:pStyle w:val="Quote"/>
      </w:pPr>
      <w:r w:rsidRPr="00145BCD">
        <w:t>It has the effect of requiring each organisation to consider the implications of climate change on its business and the disclosure of any rationale for non-disclosure ensures that the decision is subject to public scrutiny. It also enables companies that demonstrably are not exposed to avoid compliance cost. However, we note that it is likely to be rare that an entity of scale is not exposed to some degree of climate-related risk, even if limited to potential business continuity impact through supply chain or physical risk to assets. We would suggest that the basis for non-disclosure should be revisited and reaffirmed at regular intervals.</w:t>
      </w:r>
      <w:r>
        <w:t xml:space="preserve"> </w:t>
      </w:r>
    </w:p>
    <w:p w14:paraId="00C761A0" w14:textId="7557F0C6" w:rsidR="00823B3E" w:rsidRDefault="000F435F" w:rsidP="001668DA">
      <w:pPr>
        <w:pStyle w:val="BodyText"/>
      </w:pPr>
      <w:r>
        <w:t xml:space="preserve">Respondents offered solutions to </w:t>
      </w:r>
      <w:r w:rsidR="003F22A9">
        <w:t>refine</w:t>
      </w:r>
      <w:r>
        <w:t xml:space="preserve"> the proposal</w:t>
      </w:r>
      <w:r w:rsidR="00823B3E">
        <w:t>. For exampl</w:t>
      </w:r>
      <w:r w:rsidR="00641639">
        <w:t>e, as part of their explanation</w:t>
      </w:r>
      <w:r w:rsidR="00823B3E">
        <w:t xml:space="preserve">, </w:t>
      </w:r>
      <w:r w:rsidR="00B76591">
        <w:t xml:space="preserve">a </w:t>
      </w:r>
      <w:r w:rsidR="00823B3E">
        <w:t>non-disclosing entit</w:t>
      </w:r>
      <w:r w:rsidR="00B76591">
        <w:t>y</w:t>
      </w:r>
      <w:r w:rsidR="00823B3E">
        <w:t xml:space="preserve"> should include</w:t>
      </w:r>
      <w:r>
        <w:t xml:space="preserve">: </w:t>
      </w:r>
    </w:p>
    <w:p w14:paraId="7BF8DFBC" w14:textId="488018F2" w:rsidR="00823B3E" w:rsidRDefault="000F435F" w:rsidP="00857B90">
      <w:pPr>
        <w:pStyle w:val="Bullet"/>
      </w:pPr>
      <w:r>
        <w:t xml:space="preserve">the basis on which </w:t>
      </w:r>
      <w:r w:rsidR="00823B3E">
        <w:t>it</w:t>
      </w:r>
      <w:r>
        <w:t xml:space="preserve"> has reached </w:t>
      </w:r>
      <w:r w:rsidR="00823B3E">
        <w:t xml:space="preserve">its </w:t>
      </w:r>
      <w:r>
        <w:t>conclusion (</w:t>
      </w:r>
      <w:proofErr w:type="spellStart"/>
      <w:r>
        <w:t>eg</w:t>
      </w:r>
      <w:proofErr w:type="spellEnd"/>
      <w:r w:rsidR="00B76591">
        <w:t>,</w:t>
      </w:r>
      <w:r>
        <w:t xml:space="preserve"> timeframe for the assessment and the rationale for </w:t>
      </w:r>
      <w:r w:rsidR="00823B3E">
        <w:t xml:space="preserve">selecting that </w:t>
      </w:r>
      <w:r>
        <w:t xml:space="preserve">timeframe) </w:t>
      </w:r>
    </w:p>
    <w:p w14:paraId="15AC1A60" w14:textId="426C07F5" w:rsidR="00823B3E" w:rsidRDefault="000F435F" w:rsidP="00857B90">
      <w:pPr>
        <w:pStyle w:val="Bullet"/>
      </w:pPr>
      <w:proofErr w:type="gramStart"/>
      <w:r>
        <w:t>a</w:t>
      </w:r>
      <w:proofErr w:type="gramEnd"/>
      <w:r>
        <w:t xml:space="preserve"> description of </w:t>
      </w:r>
      <w:r w:rsidR="00B76591">
        <w:t xml:space="preserve">its </w:t>
      </w:r>
      <w:r>
        <w:t xml:space="preserve">governance and approach to risk management. </w:t>
      </w:r>
    </w:p>
    <w:p w14:paraId="067C8342" w14:textId="3C2304F6" w:rsidR="00052AE7" w:rsidRDefault="000F435F" w:rsidP="00641639">
      <w:pPr>
        <w:pStyle w:val="BodyText"/>
      </w:pPr>
      <w:r>
        <w:t>This could be supplemented by guidance from Government or regulators on selecting appropriate parameters and identifying material</w:t>
      </w:r>
      <w:r w:rsidR="00B76591">
        <w:t>,</w:t>
      </w:r>
      <w:r>
        <w:t xml:space="preserve"> climate-related risks</w:t>
      </w:r>
      <w:r w:rsidR="00823B3E">
        <w:t xml:space="preserve">, </w:t>
      </w:r>
      <w:r>
        <w:t xml:space="preserve">including through supply chains and in relation to investor expectations. </w:t>
      </w:r>
      <w:r w:rsidR="00823B3E">
        <w:t xml:space="preserve">A number of other respondents recommended greater scrutiny of non-disclosure by a government agency. </w:t>
      </w:r>
    </w:p>
    <w:p w14:paraId="71C43F29" w14:textId="0D4A189D" w:rsidR="006E3D26" w:rsidRDefault="000F435F" w:rsidP="001668DA">
      <w:pPr>
        <w:pStyle w:val="BodyText"/>
      </w:pPr>
      <w:r>
        <w:t>Several respondents argued the proposals are</w:t>
      </w:r>
      <w:r w:rsidR="00823B3E">
        <w:t xml:space="preserve"> not truly</w:t>
      </w:r>
      <w:r>
        <w:t xml:space="preserve"> principles-based and flexible</w:t>
      </w:r>
      <w:r w:rsidR="00B76591">
        <w:t>.</w:t>
      </w:r>
      <w:r w:rsidR="00573E83">
        <w:t xml:space="preserve"> </w:t>
      </w:r>
      <w:r w:rsidR="00B76591">
        <w:t>I</w:t>
      </w:r>
      <w:r>
        <w:t>nstead</w:t>
      </w:r>
      <w:r w:rsidR="00B76591">
        <w:t>, they</w:t>
      </w:r>
      <w:r>
        <w:t xml:space="preserve"> recommend</w:t>
      </w:r>
      <w:r w:rsidR="00C0138C">
        <w:t>ed</w:t>
      </w:r>
      <w:r>
        <w:t xml:space="preserve"> using a similar approach to the NZX Code which allows for greater flexibility, particularly </w:t>
      </w:r>
      <w:r w:rsidR="00B76591">
        <w:t>for</w:t>
      </w:r>
      <w:r>
        <w:t xml:space="preserve"> forward-looking information. </w:t>
      </w:r>
    </w:p>
    <w:p w14:paraId="7DB4EB41" w14:textId="4E0E70FD" w:rsidR="009F3D95" w:rsidRDefault="000F435F" w:rsidP="00F1721F">
      <w:pPr>
        <w:pStyle w:val="BodyText"/>
        <w:spacing w:after="240"/>
      </w:pPr>
      <w:r>
        <w:lastRenderedPageBreak/>
        <w:t xml:space="preserve">Another suggestion was </w:t>
      </w:r>
      <w:r w:rsidR="003F22A9">
        <w:t xml:space="preserve">to </w:t>
      </w:r>
      <w:r w:rsidR="006E3D26">
        <w:t>broaden what is permissible under ‘explain’,</w:t>
      </w:r>
      <w:r>
        <w:t xml:space="preserve"> allow</w:t>
      </w:r>
      <w:r w:rsidR="003F22A9">
        <w:t>ing</w:t>
      </w:r>
      <w:r>
        <w:t xml:space="preserve"> companies to explain why they can’t fulfil the full reporting requirement, and </w:t>
      </w:r>
      <w:r w:rsidR="006E3D26">
        <w:t xml:space="preserve">to set out </w:t>
      </w:r>
      <w:r>
        <w:t xml:space="preserve">their pathway to full reporting </w:t>
      </w:r>
      <w:r w:rsidR="003F22A9">
        <w:t>in the future</w:t>
      </w:r>
      <w:r w:rsidR="006E3D26">
        <w:t>,</w:t>
      </w:r>
      <w:r w:rsidR="003F22A9">
        <w:t xml:space="preserve"> </w:t>
      </w:r>
      <w:r>
        <w:t xml:space="preserve">including targets </w:t>
      </w:r>
      <w:r w:rsidR="006E3D26">
        <w:t>which can be</w:t>
      </w:r>
      <w:r>
        <w:t xml:space="preserve"> reviewed. </w:t>
      </w:r>
    </w:p>
    <w:tbl>
      <w:tblPr>
        <w:tblStyle w:val="TableGrid"/>
        <w:tblW w:w="8351" w:type="dxa"/>
        <w:tblInd w:w="-5" w:type="dxa"/>
        <w:tblLook w:val="04A0" w:firstRow="1" w:lastRow="0" w:firstColumn="1" w:lastColumn="0" w:noHBand="0" w:noVBand="1"/>
      </w:tblPr>
      <w:tblGrid>
        <w:gridCol w:w="8351"/>
      </w:tblGrid>
      <w:tr w:rsidR="006E3D26" w:rsidRPr="006B77BB" w14:paraId="6EA4657E" w14:textId="77777777" w:rsidTr="00573E83">
        <w:trPr>
          <w:trHeight w:val="557"/>
        </w:trPr>
        <w:tc>
          <w:tcPr>
            <w:tcW w:w="8351" w:type="dxa"/>
            <w:shd w:val="clear" w:color="auto" w:fill="1C556C"/>
            <w:vAlign w:val="center"/>
          </w:tcPr>
          <w:p w14:paraId="20B21793" w14:textId="77777777" w:rsidR="006E3D26" w:rsidRDefault="006E3D26" w:rsidP="009D7D42">
            <w:pPr>
              <w:pStyle w:val="BodyText"/>
              <w:ind w:left="284" w:right="284"/>
              <w:rPr>
                <w:color w:val="FFFFFF" w:themeColor="background1"/>
                <w:szCs w:val="24"/>
              </w:rPr>
            </w:pPr>
            <w:r w:rsidRPr="006B77BB">
              <w:rPr>
                <w:color w:val="FFFFFF" w:themeColor="background1"/>
                <w:szCs w:val="24"/>
              </w:rPr>
              <w:sym w:font="Webdings" w:char="F038"/>
            </w:r>
            <w:r>
              <w:t xml:space="preserve"> </w:t>
            </w:r>
            <w:r w:rsidRPr="006E3D26">
              <w:rPr>
                <w:color w:val="FFFFFF" w:themeColor="background1"/>
                <w:szCs w:val="24"/>
              </w:rPr>
              <w:t>It would represent a much higher standard than comply-or-explain. It establishes clear liability that eliminates the possibility of superficial or perfunctory justifications for non-disclosure. We view this as positive insofar as it raises the bar for businesses impacted by climate change. Despite recognised challenges around disclosure, compulsory analysis ensures appropriate resources are allocated to progress the objectives of the TCFD. However, this mandated allocation of resources is onerous for businesses genuinely unaffected by climate change given the expenditure and time required to conduct adequate analysis to justify this conclusion</w:t>
            </w:r>
            <w:r w:rsidRPr="005F19A8">
              <w:rPr>
                <w:color w:val="FFFFFF" w:themeColor="background1"/>
                <w:szCs w:val="24"/>
              </w:rPr>
              <w:t>.</w:t>
            </w:r>
            <w:r w:rsidRPr="006B77BB">
              <w:rPr>
                <w:color w:val="FFFFFF" w:themeColor="background1"/>
                <w:szCs w:val="24"/>
              </w:rPr>
              <w:t xml:space="preserve"> </w:t>
            </w:r>
            <w:r w:rsidRPr="006B77BB">
              <w:rPr>
                <w:color w:val="FFFFFF" w:themeColor="background1"/>
                <w:szCs w:val="24"/>
              </w:rPr>
              <w:sym w:font="Webdings" w:char="F037"/>
            </w:r>
          </w:p>
          <w:p w14:paraId="6B3F18B9" w14:textId="200AF061" w:rsidR="006E3D26" w:rsidRPr="00F1721F" w:rsidRDefault="00B76591" w:rsidP="009D7D42">
            <w:pPr>
              <w:pStyle w:val="BodyText"/>
              <w:ind w:left="284" w:right="284"/>
              <w:rPr>
                <w:i/>
                <w:color w:val="FFFFFF" w:themeColor="background1"/>
              </w:rPr>
            </w:pPr>
            <w:r>
              <w:rPr>
                <w:i/>
                <w:color w:val="FFFFFF" w:themeColor="background1"/>
                <w:szCs w:val="24"/>
              </w:rPr>
              <w:t xml:space="preserve">– </w:t>
            </w:r>
            <w:r w:rsidR="006E3D26" w:rsidRPr="00F1721F">
              <w:rPr>
                <w:i/>
                <w:color w:val="FFFFFF" w:themeColor="background1"/>
                <w:szCs w:val="24"/>
              </w:rPr>
              <w:t>Milford Asset Management Limited</w:t>
            </w:r>
          </w:p>
        </w:tc>
      </w:tr>
    </w:tbl>
    <w:p w14:paraId="33D68F61" w14:textId="77777777" w:rsidR="001668DA" w:rsidRDefault="001668DA" w:rsidP="001668DA">
      <w:pPr>
        <w:pStyle w:val="Heading3"/>
      </w:pPr>
      <w:bookmarkStart w:id="61" w:name="_Toc32847650"/>
      <w:r>
        <w:t xml:space="preserve">Q.19 </w:t>
      </w:r>
      <w:proofErr w:type="gramStart"/>
      <w:r>
        <w:t>What</w:t>
      </w:r>
      <w:proofErr w:type="gramEnd"/>
      <w:r>
        <w:t xml:space="preserve"> are your views about providing a transition period where incomplete disclosures would be permissible?</w:t>
      </w:r>
      <w:bookmarkEnd w:id="61"/>
    </w:p>
    <w:p w14:paraId="494758C6" w14:textId="10EFACE9" w:rsidR="00F50E78" w:rsidRDefault="001668DA" w:rsidP="00F50E78">
      <w:pPr>
        <w:pStyle w:val="BodyText"/>
      </w:pPr>
      <w:r>
        <w:t xml:space="preserve">We received </w:t>
      </w:r>
      <w:r w:rsidR="00B56C78">
        <w:t>51</w:t>
      </w:r>
      <w:r>
        <w:t xml:space="preserve"> resp</w:t>
      </w:r>
      <w:r w:rsidR="005473D6">
        <w:t>onses to this question, with 86 per cent</w:t>
      </w:r>
      <w:r w:rsidR="0007060B">
        <w:t xml:space="preserve"> of respondents</w:t>
      </w:r>
      <w:r w:rsidR="00104BE5">
        <w:t xml:space="preserve"> (4</w:t>
      </w:r>
      <w:r w:rsidR="00AC42B6">
        <w:t>4</w:t>
      </w:r>
      <w:r w:rsidR="00104BE5">
        <w:t>) supporting</w:t>
      </w:r>
      <w:r>
        <w:t xml:space="preserve"> a transition period. </w:t>
      </w:r>
      <w:r w:rsidR="004559CE">
        <w:t xml:space="preserve">Four </w:t>
      </w:r>
      <w:r w:rsidR="00B76591">
        <w:t xml:space="preserve">more </w:t>
      </w:r>
      <w:r w:rsidR="004559CE">
        <w:t>respondents did not specify whether or not they supported a transition period, but raised further matters for us to consider.</w:t>
      </w:r>
      <w:r w:rsidR="00F50E78">
        <w:t xml:space="preserve"> To support the transition period, two submissions suggested the </w:t>
      </w:r>
      <w:r w:rsidR="001B7CD2">
        <w:t>G</w:t>
      </w:r>
      <w:r w:rsidR="00F50E78">
        <w:t>overnment’s understanding of ‘incomplete disclosures’ should be clearly defined.</w:t>
      </w:r>
    </w:p>
    <w:p w14:paraId="51258A48" w14:textId="136123BC" w:rsidR="00F50E78" w:rsidRDefault="00B76591" w:rsidP="00F50E78">
      <w:pPr>
        <w:pStyle w:val="BodyText"/>
      </w:pPr>
      <w:r>
        <w:t xml:space="preserve">Most </w:t>
      </w:r>
      <w:r w:rsidR="001668DA">
        <w:t xml:space="preserve">supporting responses </w:t>
      </w:r>
      <w:r w:rsidR="0007060B">
        <w:t>noted</w:t>
      </w:r>
      <w:r w:rsidR="001668DA">
        <w:t xml:space="preserve"> the relative immaturity of practical implementations of the TCFD</w:t>
      </w:r>
      <w:r>
        <w:t>,</w:t>
      </w:r>
      <w:r w:rsidR="001668DA">
        <w:t xml:space="preserve"> and climate reporting generally</w:t>
      </w:r>
      <w:r>
        <w:t>,</w:t>
      </w:r>
      <w:r w:rsidR="001668DA">
        <w:t xml:space="preserve"> in New Zealand. Time is required </w:t>
      </w:r>
      <w:r w:rsidR="00104BE5">
        <w:t>to build capacity</w:t>
      </w:r>
      <w:r w:rsidR="001668DA">
        <w:t xml:space="preserve">, </w:t>
      </w:r>
      <w:r w:rsidR="00104BE5">
        <w:t>reduce cost</w:t>
      </w:r>
      <w:r w:rsidR="001668DA">
        <w:t xml:space="preserve"> and ensure disclosures are high quality and robust. </w:t>
      </w:r>
      <w:r w:rsidR="00F50E78">
        <w:t>The New Zealand Law Society articulated the staged transition process reporting entities will undertake:</w:t>
      </w:r>
    </w:p>
    <w:p w14:paraId="2836CAA5" w14:textId="77777777" w:rsidR="00F50E78" w:rsidRDefault="00F50E78" w:rsidP="00F50E78">
      <w:pPr>
        <w:pStyle w:val="Quote"/>
      </w:pPr>
      <w:r w:rsidRPr="008C0D7B">
        <w:rPr>
          <w:rStyle w:val="QuoteChar"/>
        </w:rPr>
        <w:t>There appear to be two stages to a company’s ability to meet the reporting requirements set out in the TCFD framework, and the regime will need to allow both stages to occur before requiring full compliance. The first is to create and embed the framework, involving (for a large organisation) creating a new board governance and risk management process, conducting enterprise risk assessment reviews and scenario analysis, devising internal policy documents, compliance plans, operational risk-testing processes and reporting models. The second stage is to understand the nature and extent of the impacts of the risks as assessed, allow the new processes time to run and the information to flow, and from there frame the related disclosures.</w:t>
      </w:r>
    </w:p>
    <w:p w14:paraId="5908D14A" w14:textId="1437714E" w:rsidR="001668DA" w:rsidRPr="009603C7" w:rsidRDefault="001668DA" w:rsidP="001668DA">
      <w:pPr>
        <w:pStyle w:val="BodyText"/>
      </w:pPr>
      <w:r>
        <w:t>A numbe</w:t>
      </w:r>
      <w:r w:rsidR="001A4E64">
        <w:t>r of respondents noted the requirements</w:t>
      </w:r>
      <w:r>
        <w:t xml:space="preserve"> could be rolled out in a phased approach: for example, different categories of disclosure could be phased (although there was disagreement on which categor</w:t>
      </w:r>
      <w:r w:rsidR="00F50E78">
        <w:t>ies should be introduced first</w:t>
      </w:r>
      <w:r w:rsidR="00B76591">
        <w:t xml:space="preserve">, </w:t>
      </w:r>
      <w:r w:rsidR="00F50E78">
        <w:t>or</w:t>
      </w:r>
      <w:r>
        <w:t xml:space="preserve"> the type of reporting entity could be phased, </w:t>
      </w:r>
      <w:r w:rsidR="006E3D26">
        <w:t xml:space="preserve">with a </w:t>
      </w:r>
      <w:r>
        <w:t>roadmap</w:t>
      </w:r>
      <w:r w:rsidR="008C65F3">
        <w:t xml:space="preserve"> towards full reporting</w:t>
      </w:r>
      <w:r>
        <w:t xml:space="preserve">. </w:t>
      </w:r>
    </w:p>
    <w:p w14:paraId="4251EA4F" w14:textId="77777777" w:rsidR="004D4CB7" w:rsidRDefault="001668DA" w:rsidP="001668DA">
      <w:pPr>
        <w:pStyle w:val="BodyText"/>
      </w:pPr>
      <w:r>
        <w:t>Three</w:t>
      </w:r>
      <w:r w:rsidR="004D4CB7">
        <w:t xml:space="preserve"> responses</w:t>
      </w:r>
      <w:r>
        <w:t xml:space="preserve"> opposed </w:t>
      </w:r>
      <w:r w:rsidR="007A3FDB">
        <w:t>the idea of a transition period for the following reasons</w:t>
      </w:r>
      <w:r w:rsidR="004D4CB7">
        <w:t xml:space="preserve">: </w:t>
      </w:r>
    </w:p>
    <w:p w14:paraId="5B96BE27" w14:textId="77777777" w:rsidR="004D4CB7" w:rsidRDefault="00673E94" w:rsidP="00857B90">
      <w:pPr>
        <w:pStyle w:val="Bullet"/>
      </w:pPr>
      <w:r>
        <w:t xml:space="preserve">a </w:t>
      </w:r>
      <w:r w:rsidR="001668DA">
        <w:t xml:space="preserve">transition period would </w:t>
      </w:r>
      <w:r w:rsidR="004D4CB7">
        <w:t>result in unnecessary delay</w:t>
      </w:r>
    </w:p>
    <w:p w14:paraId="4109B5C2" w14:textId="77777777" w:rsidR="004D4CB7" w:rsidRDefault="00673E94" w:rsidP="00857B90">
      <w:pPr>
        <w:pStyle w:val="Bullet"/>
      </w:pPr>
      <w:r>
        <w:t>i</w:t>
      </w:r>
      <w:r w:rsidR="001668DA">
        <w:t>ncomplete disclosure should not be penalised for the first few years, in which case there should be no nee</w:t>
      </w:r>
      <w:r w:rsidR="004D4CB7">
        <w:t>d for a transition period</w:t>
      </w:r>
    </w:p>
    <w:p w14:paraId="2C8EBA48" w14:textId="77777777" w:rsidR="006E3D26" w:rsidRDefault="00673E94" w:rsidP="00857B90">
      <w:pPr>
        <w:pStyle w:val="Bullet"/>
      </w:pPr>
      <w:proofErr w:type="gramStart"/>
      <w:r>
        <w:lastRenderedPageBreak/>
        <w:t>t</w:t>
      </w:r>
      <w:r w:rsidR="004D4CB7">
        <w:t>he</w:t>
      </w:r>
      <w:proofErr w:type="gramEnd"/>
      <w:r w:rsidR="001668DA">
        <w:t xml:space="preserve"> iterative approach taken in the discussion document means a transition period is unnecessary. </w:t>
      </w:r>
    </w:p>
    <w:p w14:paraId="7A8D17B9" w14:textId="77777777" w:rsidR="001668DA" w:rsidRDefault="0097738A" w:rsidP="004559CE">
      <w:pPr>
        <w:pStyle w:val="Heading3"/>
      </w:pPr>
      <w:bookmarkStart w:id="62" w:name="_Toc32847651"/>
      <w:r>
        <w:t xml:space="preserve">Q.20 </w:t>
      </w:r>
      <w:proofErr w:type="gramStart"/>
      <w:r>
        <w:t>If</w:t>
      </w:r>
      <w:proofErr w:type="gramEnd"/>
      <w:r>
        <w:t xml:space="preserve"> there is to be a transition period, what are your views on it being for one financial year?</w:t>
      </w:r>
      <w:bookmarkEnd w:id="62"/>
    </w:p>
    <w:p w14:paraId="11D3FD8F" w14:textId="4A45682D" w:rsidR="00207431" w:rsidRDefault="00207431" w:rsidP="00207431">
      <w:pPr>
        <w:pStyle w:val="BodyText"/>
      </w:pPr>
      <w:r>
        <w:t>We received 4</w:t>
      </w:r>
      <w:r w:rsidR="0072500A">
        <w:t>2</w:t>
      </w:r>
      <w:r>
        <w:t xml:space="preserve"> responses to this question. </w:t>
      </w:r>
      <w:r w:rsidR="008C4DDB">
        <w:t>Out of the responses</w:t>
      </w:r>
      <w:r>
        <w:t>:</w:t>
      </w:r>
    </w:p>
    <w:p w14:paraId="0CB3196A" w14:textId="571D9F21" w:rsidR="00207431" w:rsidRDefault="00207431" w:rsidP="00857B90">
      <w:pPr>
        <w:pStyle w:val="Bullet"/>
      </w:pPr>
      <w:r>
        <w:t>1</w:t>
      </w:r>
      <w:r w:rsidR="00B56C78">
        <w:t>4</w:t>
      </w:r>
      <w:r>
        <w:t xml:space="preserve"> respondents supported the transition period being one financial year (or less)</w:t>
      </w:r>
    </w:p>
    <w:p w14:paraId="4DE2AF67" w14:textId="2E07B386" w:rsidR="004559CE" w:rsidRDefault="00B90000" w:rsidP="00857B90">
      <w:pPr>
        <w:pStyle w:val="Bullet"/>
      </w:pPr>
      <w:r>
        <w:t xml:space="preserve">21 </w:t>
      </w:r>
      <w:r w:rsidR="00207431">
        <w:t>respondents called for a longer transition period. Of these</w:t>
      </w:r>
      <w:r w:rsidR="00632D8F">
        <w:t>:</w:t>
      </w:r>
    </w:p>
    <w:p w14:paraId="0C6FEF98" w14:textId="6F20BF46" w:rsidR="004559CE" w:rsidRDefault="00632D8F" w:rsidP="00183BF6">
      <w:pPr>
        <w:pStyle w:val="Bullet"/>
        <w:numPr>
          <w:ilvl w:val="1"/>
          <w:numId w:val="13"/>
        </w:numPr>
      </w:pPr>
      <w:r>
        <w:t xml:space="preserve">5 </w:t>
      </w:r>
      <w:r w:rsidR="00207431">
        <w:t>did not specify a time</w:t>
      </w:r>
      <w:r w:rsidR="00F1721F">
        <w:t>frame</w:t>
      </w:r>
    </w:p>
    <w:p w14:paraId="3D474048" w14:textId="1B57C705" w:rsidR="004559CE" w:rsidRDefault="00632D8F" w:rsidP="00183BF6">
      <w:pPr>
        <w:pStyle w:val="Bullet"/>
        <w:numPr>
          <w:ilvl w:val="1"/>
          <w:numId w:val="13"/>
        </w:numPr>
      </w:pPr>
      <w:r>
        <w:t xml:space="preserve">4 </w:t>
      </w:r>
      <w:r w:rsidR="00207431">
        <w:t xml:space="preserve">called for a </w:t>
      </w:r>
      <w:r>
        <w:t>2-</w:t>
      </w:r>
      <w:r w:rsidR="00F1721F">
        <w:t>year period</w:t>
      </w:r>
    </w:p>
    <w:p w14:paraId="7179EE7C" w14:textId="52E0B75B" w:rsidR="004559CE" w:rsidRDefault="00632D8F" w:rsidP="00183BF6">
      <w:pPr>
        <w:pStyle w:val="Bullet"/>
        <w:numPr>
          <w:ilvl w:val="1"/>
          <w:numId w:val="13"/>
        </w:numPr>
      </w:pPr>
      <w:r>
        <w:t xml:space="preserve">3 </w:t>
      </w:r>
      <w:r w:rsidR="00F50E78">
        <w:t xml:space="preserve">called </w:t>
      </w:r>
      <w:r w:rsidR="00207431">
        <w:t xml:space="preserve">for a </w:t>
      </w:r>
      <w:r>
        <w:t>3-</w:t>
      </w:r>
      <w:r w:rsidR="00207431">
        <w:t>year period</w:t>
      </w:r>
    </w:p>
    <w:p w14:paraId="6DBEED33" w14:textId="7A08A852" w:rsidR="004559CE" w:rsidRDefault="00632D8F" w:rsidP="00183BF6">
      <w:pPr>
        <w:pStyle w:val="Bullet"/>
        <w:numPr>
          <w:ilvl w:val="1"/>
          <w:numId w:val="13"/>
        </w:numPr>
      </w:pPr>
      <w:r>
        <w:t xml:space="preserve">4 </w:t>
      </w:r>
      <w:r w:rsidR="00F50E78">
        <w:t>supported</w:t>
      </w:r>
      <w:r w:rsidR="00207431">
        <w:t xml:space="preserve"> a phased approach (</w:t>
      </w:r>
      <w:r>
        <w:t xml:space="preserve">2 </w:t>
      </w:r>
      <w:r w:rsidR="00207431">
        <w:t xml:space="preserve">within a </w:t>
      </w:r>
      <w:r>
        <w:t>3-</w:t>
      </w:r>
      <w:r w:rsidR="00207431">
        <w:t>year timeframe)</w:t>
      </w:r>
    </w:p>
    <w:p w14:paraId="509EBBEE" w14:textId="225D2AF6" w:rsidR="00207431" w:rsidRDefault="00632D8F" w:rsidP="00183BF6">
      <w:pPr>
        <w:pStyle w:val="Bullet"/>
        <w:numPr>
          <w:ilvl w:val="1"/>
          <w:numId w:val="13"/>
        </w:numPr>
      </w:pPr>
      <w:r>
        <w:t xml:space="preserve">2 </w:t>
      </w:r>
      <w:r w:rsidR="00F50E78">
        <w:t xml:space="preserve">called for a </w:t>
      </w:r>
      <w:r>
        <w:t xml:space="preserve">2 </w:t>
      </w:r>
      <w:r w:rsidR="00F50E78">
        <w:t xml:space="preserve">or </w:t>
      </w:r>
      <w:r>
        <w:t xml:space="preserve">3- </w:t>
      </w:r>
      <w:r w:rsidR="00F50E78">
        <w:t xml:space="preserve">to </w:t>
      </w:r>
      <w:r>
        <w:t>5-</w:t>
      </w:r>
      <w:r w:rsidR="008C65F3">
        <w:t>year timeframe</w:t>
      </w:r>
    </w:p>
    <w:p w14:paraId="718D8B69" w14:textId="6BB82BFF" w:rsidR="008C65F3" w:rsidRDefault="00632D8F" w:rsidP="00183BF6">
      <w:pPr>
        <w:pStyle w:val="Bullet"/>
        <w:numPr>
          <w:ilvl w:val="1"/>
          <w:numId w:val="13"/>
        </w:numPr>
      </w:pPr>
      <w:r>
        <w:t xml:space="preserve">3 </w:t>
      </w:r>
      <w:r w:rsidR="008C65F3">
        <w:t xml:space="preserve">called for a </w:t>
      </w:r>
      <w:r>
        <w:t>5-</w:t>
      </w:r>
      <w:r w:rsidR="008C65F3">
        <w:t>year timeframe.</w:t>
      </w:r>
    </w:p>
    <w:p w14:paraId="749C83C8" w14:textId="56726364" w:rsidR="008C4DDB" w:rsidRDefault="00632D8F" w:rsidP="00857B90">
      <w:pPr>
        <w:pStyle w:val="Bullet"/>
      </w:pPr>
      <w:r>
        <w:t xml:space="preserve">3 </w:t>
      </w:r>
      <w:r w:rsidR="00207431">
        <w:t xml:space="preserve">did not support a transition period, but rather suggested a grace period, and </w:t>
      </w:r>
      <w:r>
        <w:t xml:space="preserve">4 </w:t>
      </w:r>
      <w:r w:rsidR="00207431">
        <w:t>did not specify a timeframe</w:t>
      </w:r>
      <w:r w:rsidR="00104BE5">
        <w:t>.</w:t>
      </w:r>
    </w:p>
    <w:p w14:paraId="33788632" w14:textId="6F409F37" w:rsidR="008C4DDB" w:rsidRDefault="008C4DDB" w:rsidP="008C4DDB">
      <w:pPr>
        <w:pStyle w:val="BodyText"/>
      </w:pPr>
      <w:r>
        <w:t>R</w:t>
      </w:r>
      <w:r w:rsidR="005F4DC7">
        <w:t>espondents supporting</w:t>
      </w:r>
      <w:r w:rsidRPr="008C4DDB">
        <w:t xml:space="preserve"> a longer transition period </w:t>
      </w:r>
      <w:r w:rsidR="005F4DC7">
        <w:t xml:space="preserve">believed it would enable entities </w:t>
      </w:r>
      <w:r w:rsidRPr="008C4DDB">
        <w:t>to achieve</w:t>
      </w:r>
      <w:r>
        <w:t xml:space="preserve"> higher</w:t>
      </w:r>
      <w:r w:rsidR="00632D8F">
        <w:t>-</w:t>
      </w:r>
      <w:r w:rsidR="00421290">
        <w:t>quality disclosure.</w:t>
      </w:r>
      <w:r>
        <w:t xml:space="preserve"> </w:t>
      </w:r>
      <w:r w:rsidR="005F4DC7">
        <w:t xml:space="preserve">The longer companies have to prepare, the more time entities have for </w:t>
      </w:r>
      <w:r w:rsidR="0046090E">
        <w:t>build</w:t>
      </w:r>
      <w:r w:rsidR="005F4DC7">
        <w:t>ing</w:t>
      </w:r>
      <w:r w:rsidR="0046090E">
        <w:t xml:space="preserve"> </w:t>
      </w:r>
      <w:r>
        <w:t xml:space="preserve">capability, </w:t>
      </w:r>
      <w:r w:rsidR="0046090E">
        <w:t>collect</w:t>
      </w:r>
      <w:r w:rsidR="005F4DC7">
        <w:t>ing</w:t>
      </w:r>
      <w:r w:rsidR="0046090E">
        <w:t xml:space="preserve"> data and set</w:t>
      </w:r>
      <w:r w:rsidR="005F4DC7">
        <w:t>ting</w:t>
      </w:r>
      <w:r>
        <w:t xml:space="preserve"> up appropriate</w:t>
      </w:r>
      <w:r w:rsidR="00DF64D4">
        <w:t xml:space="preserve"> internal</w:t>
      </w:r>
      <w:r>
        <w:t xml:space="preserve"> systems. </w:t>
      </w:r>
    </w:p>
    <w:p w14:paraId="31C0ED6E" w14:textId="5938C71E" w:rsidR="00104BE5" w:rsidRDefault="008C4DDB" w:rsidP="008C4DDB">
      <w:pPr>
        <w:pStyle w:val="BodyText"/>
      </w:pPr>
      <w:r>
        <w:t>In line with Q</w:t>
      </w:r>
      <w:r w:rsidR="005473D6">
        <w:t>.</w:t>
      </w:r>
      <w:r>
        <w:t>19, several respondents advocated for a phased approach to co</w:t>
      </w:r>
      <w:r w:rsidR="00BA49B2">
        <w:t>mmencement, and several others supported</w:t>
      </w:r>
      <w:r>
        <w:t xml:space="preserve"> a grace period in which penalties would not be enforced in lieu of a transition period. </w:t>
      </w:r>
      <w:r w:rsidR="00BA49B2">
        <w:t xml:space="preserve">A grace period </w:t>
      </w:r>
      <w:r>
        <w:t>would allow entities to test their analysis and reporting methodology befor</w:t>
      </w:r>
      <w:r w:rsidR="008C0D7B">
        <w:t xml:space="preserve">e full disclosure </w:t>
      </w:r>
      <w:r w:rsidR="00632D8F">
        <w:t xml:space="preserve">was </w:t>
      </w:r>
      <w:r w:rsidR="008C0D7B">
        <w:t>mandated.</w:t>
      </w:r>
    </w:p>
    <w:p w14:paraId="51615074" w14:textId="77777777" w:rsidR="00DF64D4" w:rsidRDefault="00DF64D4" w:rsidP="008C4DDB">
      <w:pPr>
        <w:pStyle w:val="BodyText"/>
      </w:pPr>
      <w:r>
        <w:t xml:space="preserve">PwC framed it as </w:t>
      </w:r>
      <w:r w:rsidR="008C0D7B">
        <w:t>an</w:t>
      </w:r>
      <w:r>
        <w:t xml:space="preserve"> iterative exercise:</w:t>
      </w:r>
    </w:p>
    <w:p w14:paraId="1D585486" w14:textId="28B6ACF8" w:rsidR="00DF64D4" w:rsidRDefault="00632D8F" w:rsidP="008C0D7B">
      <w:pPr>
        <w:pStyle w:val="Quote"/>
        <w:rPr>
          <w:rStyle w:val="QuoteChar"/>
        </w:rPr>
      </w:pPr>
      <w:r>
        <w:rPr>
          <w:rStyle w:val="QuoteChar"/>
        </w:rPr>
        <w:t>…</w:t>
      </w:r>
      <w:r w:rsidR="009274FE" w:rsidRPr="008C0D7B">
        <w:rPr>
          <w:rStyle w:val="QuoteChar"/>
        </w:rPr>
        <w:t>we believe that one financial year is likely appropriate for organisations to ensure basic compliance. However, we note that the</w:t>
      </w:r>
      <w:proofErr w:type="gramStart"/>
      <w:r w:rsidR="008C4DDB" w:rsidRPr="008C0D7B">
        <w:rPr>
          <w:rStyle w:val="QuoteChar"/>
        </w:rPr>
        <w:t>​ quality</w:t>
      </w:r>
      <w:proofErr w:type="gramEnd"/>
      <w:r w:rsidR="009274FE" w:rsidRPr="008C0D7B">
        <w:rPr>
          <w:rStyle w:val="QuoteChar"/>
        </w:rPr>
        <w:t xml:space="preserve"> ​of the first year of disclosures is likely to be mixed. Therefore, while it may only take a year for an organisation to be compliant, it is likely to take at least two further years for the disclosures to achieve a level of quality necessary to deliver the full potential of the TCFD recommendations…</w:t>
      </w:r>
      <w:r w:rsidR="00C0138C">
        <w:rPr>
          <w:rStyle w:val="QuoteChar"/>
        </w:rPr>
        <w:t xml:space="preserve"> </w:t>
      </w:r>
      <w:r w:rsidR="009274FE" w:rsidRPr="008C0D7B">
        <w:rPr>
          <w:rStyle w:val="QuoteChar"/>
        </w:rPr>
        <w:t>The benchmark for the first reporting year should be compliance, with an understanding that quality takes more time to achieve.</w:t>
      </w:r>
    </w:p>
    <w:p w14:paraId="60AF5F1C" w14:textId="75D6B08D" w:rsidR="006F700D" w:rsidRPr="008C4DDB" w:rsidRDefault="006F700D" w:rsidP="006F700D">
      <w:pPr>
        <w:pStyle w:val="Heading3"/>
      </w:pPr>
      <w:bookmarkStart w:id="63" w:name="_Toc32847652"/>
      <w:r>
        <w:t xml:space="preserve">Q.21 </w:t>
      </w:r>
      <w:proofErr w:type="gramStart"/>
      <w:r>
        <w:t>Should</w:t>
      </w:r>
      <w:proofErr w:type="gramEnd"/>
      <w:r>
        <w:t xml:space="preserve"> all of the following classes of entity be subject to mandatory (comply-or-explain)</w:t>
      </w:r>
      <w:r w:rsidR="00632D8F">
        <w:t>,</w:t>
      </w:r>
      <w:r>
        <w:t xml:space="preserve"> climate-related financial disclosures: listed issuers, registered banks, licensed issuers, asset owners and asset managers?</w:t>
      </w:r>
      <w:bookmarkEnd w:id="63"/>
      <w:r>
        <w:t xml:space="preserve"> </w:t>
      </w:r>
    </w:p>
    <w:p w14:paraId="42E0AB7C" w14:textId="53C4C397" w:rsidR="00B70365" w:rsidRDefault="00B70365" w:rsidP="00B70365">
      <w:pPr>
        <w:pStyle w:val="BodyText"/>
      </w:pPr>
      <w:r>
        <w:t>We received 5</w:t>
      </w:r>
      <w:r w:rsidR="00B56C78">
        <w:t>1</w:t>
      </w:r>
      <w:r>
        <w:t xml:space="preserve"> resp</w:t>
      </w:r>
      <w:r w:rsidR="000A1A03">
        <w:t>onses to this question, with 6</w:t>
      </w:r>
      <w:r w:rsidR="00B56C78">
        <w:t>1</w:t>
      </w:r>
      <w:r w:rsidR="000A1A03">
        <w:t xml:space="preserve"> per cent</w:t>
      </w:r>
      <w:r>
        <w:t xml:space="preserve"> of respondents (3</w:t>
      </w:r>
      <w:r w:rsidR="00B56C78">
        <w:t>1</w:t>
      </w:r>
      <w:r>
        <w:t xml:space="preserve">) agreeing only the specified entities should be subject to mandatory disclosures. </w:t>
      </w:r>
      <w:r w:rsidR="00DF64D4">
        <w:t>Eight</w:t>
      </w:r>
      <w:r>
        <w:t xml:space="preserve"> respondents </w:t>
      </w:r>
      <w:r w:rsidR="005F4DC7">
        <w:t>argued</w:t>
      </w:r>
      <w:r>
        <w:t xml:space="preserve"> </w:t>
      </w:r>
      <w:r>
        <w:lastRenderedPageBreak/>
        <w:t>the scope of reporting organisations should be expanded (see Q</w:t>
      </w:r>
      <w:r w:rsidR="005473D6">
        <w:t>.</w:t>
      </w:r>
      <w:r>
        <w:t xml:space="preserve">22, below). Three respondents </w:t>
      </w:r>
      <w:r w:rsidR="003B4527">
        <w:t xml:space="preserve">suggested </w:t>
      </w:r>
      <w:r>
        <w:t xml:space="preserve">asset managers should </w:t>
      </w:r>
      <w:r w:rsidR="00DD6E82">
        <w:t xml:space="preserve">not </w:t>
      </w:r>
      <w:r>
        <w:t>fall within scope.</w:t>
      </w:r>
    </w:p>
    <w:p w14:paraId="401F869E" w14:textId="10B96EB0" w:rsidR="00B70365" w:rsidRDefault="005F4DC7" w:rsidP="00971DE2">
      <w:pPr>
        <w:pStyle w:val="BodyText"/>
      </w:pPr>
      <w:r>
        <w:t>Several</w:t>
      </w:r>
      <w:r w:rsidR="00B70365">
        <w:t xml:space="preserve"> respondents </w:t>
      </w:r>
      <w:r w:rsidR="00971DE2">
        <w:t>requested</w:t>
      </w:r>
      <w:r w:rsidR="00B70365">
        <w:t xml:space="preserve"> clearer definitions of the five proposed entity groups as </w:t>
      </w:r>
      <w:r w:rsidR="00971DE2">
        <w:t>they</w:t>
      </w:r>
      <w:r w:rsidR="00B70365">
        <w:t xml:space="preserve"> felt there </w:t>
      </w:r>
      <w:r w:rsidR="00BA49B2">
        <w:t>were grey areas</w:t>
      </w:r>
      <w:r w:rsidR="00FC543C">
        <w:t xml:space="preserve"> – s</w:t>
      </w:r>
      <w:r w:rsidR="00BA49B2">
        <w:t>pecifically, non-bank deposit takers and non-deposit-taking lending i</w:t>
      </w:r>
      <w:r w:rsidR="00B70365">
        <w:t>nstitutions, as w</w:t>
      </w:r>
      <w:r w:rsidR="00F50E78">
        <w:t xml:space="preserve">ell as private savings schemes, </w:t>
      </w:r>
      <w:r w:rsidR="00B70365">
        <w:t>family trusts</w:t>
      </w:r>
      <w:r w:rsidR="00F50E78">
        <w:t xml:space="preserve"> and Māori b</w:t>
      </w:r>
      <w:r w:rsidR="00F50E78" w:rsidRPr="00F50E78">
        <w:t>usiness</w:t>
      </w:r>
      <w:r w:rsidR="00F50E78">
        <w:t xml:space="preserve"> groups</w:t>
      </w:r>
      <w:r w:rsidR="00366B99">
        <w:t>. Whether or not these groups are included in the current</w:t>
      </w:r>
      <w:r w:rsidR="00B70365">
        <w:t xml:space="preserve"> definitions </w:t>
      </w:r>
      <w:r w:rsidR="00C0138C">
        <w:t xml:space="preserve">in </w:t>
      </w:r>
      <w:r w:rsidR="00B70365">
        <w:t>the discussion document</w:t>
      </w:r>
      <w:r w:rsidR="00366B99">
        <w:t xml:space="preserve"> is ambiguous</w:t>
      </w:r>
      <w:r w:rsidR="00B70365">
        <w:t>.</w:t>
      </w:r>
    </w:p>
    <w:p w14:paraId="147C3BAF" w14:textId="5B791EF7" w:rsidR="00B70365" w:rsidRDefault="00BA49B2" w:rsidP="00BA35DF">
      <w:pPr>
        <w:pStyle w:val="BodyText"/>
      </w:pPr>
      <w:r>
        <w:t>A recurring theme was the</w:t>
      </w:r>
      <w:r w:rsidR="00BA35DF">
        <w:t xml:space="preserve"> </w:t>
      </w:r>
      <w:r w:rsidR="00B70365">
        <w:t xml:space="preserve">cascade of data </w:t>
      </w:r>
      <w:r>
        <w:t>required by some entitie</w:t>
      </w:r>
      <w:r w:rsidR="008C0D7B">
        <w:t>s who</w:t>
      </w:r>
      <w:r w:rsidR="00B70365">
        <w:t xml:space="preserve"> </w:t>
      </w:r>
      <w:r w:rsidR="00632D8F">
        <w:t>rely</w:t>
      </w:r>
      <w:r w:rsidR="00B70365">
        <w:t xml:space="preserve"> on data </w:t>
      </w:r>
      <w:r w:rsidR="00632D8F">
        <w:t>from</w:t>
      </w:r>
      <w:r w:rsidR="00B70365">
        <w:t xml:space="preserve"> their investee companies to as</w:t>
      </w:r>
      <w:r w:rsidR="008C0D7B">
        <w:t xml:space="preserve">sess their own risk accurately </w:t>
      </w:r>
      <w:r w:rsidR="00DF64D4">
        <w:t>(see box 1 below)</w:t>
      </w:r>
      <w:r w:rsidR="00B70365">
        <w:t>.</w:t>
      </w:r>
      <w:r w:rsidR="00D33E2A">
        <w:t xml:space="preserve"> Chapman Tripp</w:t>
      </w:r>
      <w:r w:rsidR="00D33E2A" w:rsidRPr="00D33E2A">
        <w:t xml:space="preserve"> </w:t>
      </w:r>
      <w:r w:rsidR="00D33E2A">
        <w:t>noted</w:t>
      </w:r>
      <w:r w:rsidR="00632D8F">
        <w:t>,</w:t>
      </w:r>
      <w:r w:rsidR="00D33E2A">
        <w:t xml:space="preserve"> “</w:t>
      </w:r>
      <w:r w:rsidR="00D33E2A" w:rsidRPr="003F3ED8">
        <w:t>It might therefore be appropriate to delay the implementation of all types of mandatory disclosures for asset managers by an appropriate period. The same difficulties may also arise for banks and insurers</w:t>
      </w:r>
      <w:r w:rsidR="00632D8F">
        <w:t>”</w:t>
      </w:r>
      <w:r w:rsidR="00D33E2A" w:rsidRPr="003F3ED8">
        <w:t>.</w:t>
      </w:r>
      <w:r w:rsidR="00D33E2A">
        <w:t xml:space="preserve"> </w:t>
      </w:r>
    </w:p>
    <w:p w14:paraId="7D0A6BB5" w14:textId="4E7EBE3F" w:rsidR="00593661" w:rsidRDefault="00DD44C9" w:rsidP="00A6395F">
      <w:pPr>
        <w:pStyle w:val="BodyText"/>
      </w:pPr>
      <w:r>
        <w:t>Responses</w:t>
      </w:r>
      <w:r w:rsidR="00B70365">
        <w:t xml:space="preserve"> echoed concerns we heard during the roadshow about </w:t>
      </w:r>
      <w:r w:rsidR="00DF64D4">
        <w:t xml:space="preserve">the obligations on </w:t>
      </w:r>
      <w:r w:rsidR="00B70365">
        <w:t xml:space="preserve">multinational organisations. Some respondents recommended data </w:t>
      </w:r>
      <w:r w:rsidR="00632D8F">
        <w:t xml:space="preserve">is consolidated </w:t>
      </w:r>
      <w:r w:rsidR="00B70365">
        <w:t xml:space="preserve">in a single report to </w:t>
      </w:r>
      <w:r w:rsidR="00807D8F">
        <w:t xml:space="preserve">provide </w:t>
      </w:r>
      <w:r w:rsidR="00F50676">
        <w:t xml:space="preserve">clearer communication with investors, </w:t>
      </w:r>
      <w:r w:rsidR="00807D8F">
        <w:t>while reducing</w:t>
      </w:r>
      <w:r w:rsidR="00B70365">
        <w:t xml:space="preserve"> duplication of effort and </w:t>
      </w:r>
      <w:r w:rsidR="00807D8F">
        <w:t xml:space="preserve">the </w:t>
      </w:r>
      <w:r w:rsidR="00B70365">
        <w:t>risk of conflict across different jurisdictions</w:t>
      </w:r>
      <w:r w:rsidR="00F50676">
        <w:t>.</w:t>
      </w:r>
      <w:r w:rsidR="00B70365">
        <w:t xml:space="preserve"> </w:t>
      </w:r>
      <w:r w:rsidR="00F50676">
        <w:t>A</w:t>
      </w:r>
      <w:r w:rsidR="00B70365">
        <w:t xml:space="preserve">nother </w:t>
      </w:r>
      <w:r w:rsidR="00807D8F">
        <w:t xml:space="preserve">respondent </w:t>
      </w:r>
      <w:r w:rsidR="00B70365">
        <w:t>recommended N</w:t>
      </w:r>
      <w:r w:rsidR="00EA79C8">
        <w:t xml:space="preserve">ew </w:t>
      </w:r>
      <w:r w:rsidR="00B70365">
        <w:t>Z</w:t>
      </w:r>
      <w:r w:rsidR="00EA79C8">
        <w:t>ealand</w:t>
      </w:r>
      <w:r w:rsidR="00B70365">
        <w:t xml:space="preserve"> operations should be required to make N</w:t>
      </w:r>
      <w:r w:rsidR="00EA79C8">
        <w:t xml:space="preserve">ew </w:t>
      </w:r>
      <w:r w:rsidR="00B70365">
        <w:t>Z</w:t>
      </w:r>
      <w:r w:rsidR="00EA79C8">
        <w:t>ealand</w:t>
      </w:r>
      <w:r w:rsidR="00B70365">
        <w:t>-specific disclosures</w:t>
      </w:r>
      <w:r w:rsidR="008C0D7B">
        <w:t xml:space="preserve"> (also see Q</w:t>
      </w:r>
      <w:r w:rsidR="005473D6">
        <w:t>.</w:t>
      </w:r>
      <w:r w:rsidR="00F50676">
        <w:t>15)</w:t>
      </w:r>
      <w:r w:rsidR="00B70365">
        <w:t>.</w:t>
      </w:r>
    </w:p>
    <w:tbl>
      <w:tblPr>
        <w:tblpPr w:leftFromText="180" w:rightFromText="180" w:vertAnchor="text" w:horzAnchor="margin" w:tblpXSpec="center" w:tblpY="26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886DFC" w:rsidRPr="006B77BB" w14:paraId="151FF959" w14:textId="77777777" w:rsidTr="00886DFC">
        <w:tc>
          <w:tcPr>
            <w:tcW w:w="8505" w:type="dxa"/>
            <w:tcBorders>
              <w:top w:val="single" w:sz="4" w:space="0" w:color="0F7B7D"/>
              <w:left w:val="single" w:sz="4" w:space="0" w:color="0F7B7D"/>
              <w:bottom w:val="nil"/>
              <w:right w:val="single" w:sz="4" w:space="0" w:color="0F7B7D"/>
            </w:tcBorders>
            <w:shd w:val="clear" w:color="auto" w:fill="0F7B7D"/>
            <w:vAlign w:val="center"/>
          </w:tcPr>
          <w:p w14:paraId="2E3728AB" w14:textId="77777777" w:rsidR="00886DFC" w:rsidRPr="006B77BB" w:rsidDel="00D5390D" w:rsidRDefault="00886DFC" w:rsidP="00886DFC">
            <w:pPr>
              <w:pStyle w:val="Casestudyheading"/>
            </w:pPr>
            <w:r>
              <w:t>Box 1: THE CIRCUMSTANCES OF ASSET MANAGERS</w:t>
            </w:r>
          </w:p>
        </w:tc>
      </w:tr>
      <w:tr w:rsidR="00886DFC" w:rsidRPr="006B77BB" w14:paraId="32B25F82" w14:textId="77777777" w:rsidTr="00886DFC">
        <w:tc>
          <w:tcPr>
            <w:tcW w:w="8505" w:type="dxa"/>
            <w:tcBorders>
              <w:top w:val="nil"/>
              <w:left w:val="single" w:sz="4" w:space="0" w:color="CFE5E5"/>
              <w:bottom w:val="single" w:sz="4" w:space="0" w:color="CFE5E5"/>
              <w:right w:val="single" w:sz="4" w:space="0" w:color="CFE5E5"/>
            </w:tcBorders>
            <w:shd w:val="clear" w:color="auto" w:fill="CFE5E5"/>
          </w:tcPr>
          <w:p w14:paraId="06AD7AEA" w14:textId="77777777" w:rsidR="00886DFC" w:rsidRDefault="00886DFC" w:rsidP="00886DFC">
            <w:pPr>
              <w:pStyle w:val="Greentext-casestudytables"/>
            </w:pPr>
            <w:r>
              <w:t>A number of respondents argued asset managers were in a unique position as they are only able to assess their own risk exposure once there is high-quality data from their investee companies. Further, internationally based investees’ greenhouse gas data may be unobtainable, leaving asset managers with an incomplete dataset. Kiwi Wealth argued that:</w:t>
            </w:r>
          </w:p>
          <w:p w14:paraId="48512399" w14:textId="77777777" w:rsidR="00886DFC" w:rsidRPr="00477FB9" w:rsidRDefault="00886DFC" w:rsidP="00886DFC">
            <w:pPr>
              <w:pStyle w:val="Quote"/>
              <w:rPr>
                <w:color w:val="0F7B7D"/>
              </w:rPr>
            </w:pPr>
            <w:r>
              <w:rPr>
                <w:color w:val="0F7B7D"/>
              </w:rPr>
              <w:t>…</w:t>
            </w:r>
            <w:r w:rsidRPr="00477FB9">
              <w:rPr>
                <w:color w:val="0F7B7D"/>
              </w:rPr>
              <w:t>funds managed by asset managers should be included in a second phase of the regime, once the companies that those funds invest in are themselves providing good reporting information</w:t>
            </w:r>
            <w:r>
              <w:rPr>
                <w:color w:val="0F7B7D"/>
              </w:rPr>
              <w:t xml:space="preserve"> for the asset managers to use.</w:t>
            </w:r>
            <w:r w:rsidRPr="00477FB9">
              <w:rPr>
                <w:color w:val="0F7B7D"/>
              </w:rPr>
              <w:t xml:space="preserve"> </w:t>
            </w:r>
          </w:p>
          <w:p w14:paraId="6BCF6E16" w14:textId="77777777" w:rsidR="00886DFC" w:rsidRDefault="00886DFC" w:rsidP="00886DFC">
            <w:pPr>
              <w:pStyle w:val="Greentext-casestudytables"/>
            </w:pPr>
            <w:r>
              <w:t xml:space="preserve">It was suggested asset managers could be required to disclose on governance and risk management, then wait until a sufficiently robust volume of data was available from investee companies to do scenario analysis and report on their metrics and targets. </w:t>
            </w:r>
          </w:p>
          <w:p w14:paraId="0FBF231A" w14:textId="77777777" w:rsidR="00886DFC" w:rsidRPr="00C15722" w:rsidRDefault="00886DFC" w:rsidP="00886DFC">
            <w:pPr>
              <w:pStyle w:val="Greentext-casestudytables"/>
            </w:pPr>
            <w:r>
              <w:t>A further challenge for asset managers is where to report this information. Asset managers’ annual reports are not suitable, as investors are interested in performance on a fund-by-fund basis, rather than at the aggregate fund manager level. However, the main disclosure fund managers use to communicate with investors is the Product Disclosure Statement (PDS), which is highly prescribed. The more suitable place to include climate-related information may be in the Statement of Investment Policy and Objectives (SIPO), but the readership of this is generally low.</w:t>
            </w:r>
          </w:p>
        </w:tc>
      </w:tr>
    </w:tbl>
    <w:p w14:paraId="41AAFCA7" w14:textId="7764AAB6" w:rsidR="008107B7" w:rsidRDefault="008107B7" w:rsidP="002D241C">
      <w:pPr>
        <w:pStyle w:val="Heading3"/>
      </w:pPr>
      <w:bookmarkStart w:id="64" w:name="_Toc32847653"/>
      <w:r>
        <w:t xml:space="preserve">Q.22 </w:t>
      </w:r>
      <w:proofErr w:type="gramStart"/>
      <w:r>
        <w:t>Should</w:t>
      </w:r>
      <w:proofErr w:type="gramEnd"/>
      <w:r>
        <w:t xml:space="preserve"> any other classes of entity be required to disclose?</w:t>
      </w:r>
      <w:bookmarkEnd w:id="64"/>
    </w:p>
    <w:p w14:paraId="57AB5B1F" w14:textId="5376E60C" w:rsidR="00FC51C0" w:rsidRDefault="008107B7" w:rsidP="00FC51C0">
      <w:pPr>
        <w:pStyle w:val="BodyText"/>
      </w:pPr>
      <w:r>
        <w:t>We received 5</w:t>
      </w:r>
      <w:r w:rsidR="00B56C78">
        <w:t>2</w:t>
      </w:r>
      <w:r>
        <w:t xml:space="preserve"> responses to this question.</w:t>
      </w:r>
      <w:r w:rsidR="00B60BA5">
        <w:t xml:space="preserve"> </w:t>
      </w:r>
      <w:r w:rsidR="00FC51C0">
        <w:t xml:space="preserve">The other classes of entities respondents felt should </w:t>
      </w:r>
      <w:r w:rsidR="00807D8F">
        <w:t xml:space="preserve">also </w:t>
      </w:r>
      <w:r w:rsidR="00FC51C0">
        <w:t xml:space="preserve">be required to disclose are </w:t>
      </w:r>
      <w:r w:rsidR="00807D8F">
        <w:t xml:space="preserve">set out </w:t>
      </w:r>
      <w:r w:rsidR="00FC51C0">
        <w:t>below (</w:t>
      </w:r>
      <w:r w:rsidR="00807D8F">
        <w:t xml:space="preserve">The </w:t>
      </w:r>
      <w:r w:rsidR="00FC51C0">
        <w:t xml:space="preserve">number of times </w:t>
      </w:r>
      <w:r w:rsidR="00807D8F">
        <w:t xml:space="preserve">each class was raised </w:t>
      </w:r>
      <w:r w:rsidR="00FC51C0">
        <w:t xml:space="preserve">by respondents </w:t>
      </w:r>
      <w:r w:rsidR="00807D8F">
        <w:t xml:space="preserve">is included in </w:t>
      </w:r>
      <w:r w:rsidR="00FC51C0">
        <w:t>brackets. Some responses named more than one entity</w:t>
      </w:r>
      <w:r w:rsidR="00807D8F">
        <w:t>.</w:t>
      </w:r>
      <w:r w:rsidR="00FC51C0">
        <w:t xml:space="preserve">) </w:t>
      </w:r>
    </w:p>
    <w:p w14:paraId="63D3A6E6" w14:textId="6334ECB6" w:rsidR="00B60BA5" w:rsidRDefault="008107B7" w:rsidP="00857B90">
      <w:pPr>
        <w:pStyle w:val="Bullet"/>
      </w:pPr>
      <w:r>
        <w:lastRenderedPageBreak/>
        <w:t xml:space="preserve">private companies </w:t>
      </w:r>
      <w:r w:rsidR="00807D8F">
        <w:t>(23)</w:t>
      </w:r>
    </w:p>
    <w:p w14:paraId="49B6C24F" w14:textId="27AE73BC" w:rsidR="00B60BA5" w:rsidRDefault="00B60BA5" w:rsidP="00857B90">
      <w:pPr>
        <w:pStyle w:val="Bullet"/>
      </w:pPr>
      <w:r>
        <w:t>local government and other public sector entities</w:t>
      </w:r>
      <w:r w:rsidR="00807D8F">
        <w:t xml:space="preserve"> (17)</w:t>
      </w:r>
    </w:p>
    <w:p w14:paraId="03493B1A" w14:textId="6BFD16D0" w:rsidR="00B60BA5" w:rsidRDefault="008107B7" w:rsidP="00857B90">
      <w:pPr>
        <w:pStyle w:val="Bullet"/>
      </w:pPr>
      <w:r>
        <w:t xml:space="preserve">central </w:t>
      </w:r>
      <w:r w:rsidR="00B60BA5">
        <w:t xml:space="preserve">government </w:t>
      </w:r>
      <w:r w:rsidR="00807D8F">
        <w:t>(1</w:t>
      </w:r>
      <w:r w:rsidR="00B56C78">
        <w:t>5</w:t>
      </w:r>
      <w:r w:rsidR="00807D8F">
        <w:t>)</w:t>
      </w:r>
    </w:p>
    <w:p w14:paraId="2B6D053A" w14:textId="6C0297B8" w:rsidR="00B60BA5" w:rsidRDefault="00B60BA5" w:rsidP="00857B90">
      <w:pPr>
        <w:pStyle w:val="Bullet"/>
      </w:pPr>
      <w:proofErr w:type="gramStart"/>
      <w:r>
        <w:t>high-emitting</w:t>
      </w:r>
      <w:proofErr w:type="gramEnd"/>
      <w:r>
        <w:t xml:space="preserve"> organ</w:t>
      </w:r>
      <w:r w:rsidR="00F340C1">
        <w:t xml:space="preserve">isations </w:t>
      </w:r>
      <w:r>
        <w:t xml:space="preserve">regardless of whether they </w:t>
      </w:r>
      <w:r w:rsidR="00FC51C0">
        <w:t>are</w:t>
      </w:r>
      <w:r>
        <w:t xml:space="preserve"> private or public</w:t>
      </w:r>
      <w:r w:rsidR="00807D8F">
        <w:t xml:space="preserve"> (10)</w:t>
      </w:r>
      <w:r w:rsidR="003751AB">
        <w:t>.</w:t>
      </w:r>
    </w:p>
    <w:p w14:paraId="106E3F11" w14:textId="1BDE5531" w:rsidR="008107B7" w:rsidRDefault="008107B7" w:rsidP="00B60BA5">
      <w:pPr>
        <w:pStyle w:val="BodyText"/>
      </w:pPr>
      <w:r>
        <w:t>Other suggested entities included water services, utilities, trusts, extractive industries, property</w:t>
      </w:r>
      <w:r w:rsidR="00CB24FE">
        <w:t>, agriculture, transport,</w:t>
      </w:r>
      <w:r>
        <w:t xml:space="preserve"> infrastructure companies, and not-for-profits</w:t>
      </w:r>
      <w:r w:rsidR="00807D8F">
        <w:t xml:space="preserve"> and/or </w:t>
      </w:r>
      <w:r>
        <w:t>charities. Three respondent</w:t>
      </w:r>
      <w:r w:rsidR="00477FB9">
        <w:t xml:space="preserve">s did not feel there should </w:t>
      </w:r>
      <w:r>
        <w:t>be other classes of entities required to respond.</w:t>
      </w:r>
    </w:p>
    <w:p w14:paraId="7076341B" w14:textId="13A67416" w:rsidR="00472243" w:rsidRDefault="003751AB" w:rsidP="00472243">
      <w:pPr>
        <w:pStyle w:val="BodyText"/>
      </w:pPr>
      <w:r>
        <w:t>NZX argued</w:t>
      </w:r>
      <w:r w:rsidR="00472243">
        <w:t xml:space="preserve"> if private companies were not included, an arbitrary barrier would be created</w:t>
      </w:r>
      <w:r>
        <w:t xml:space="preserve"> which </w:t>
      </w:r>
      <w:r w:rsidR="006426CC" w:rsidRPr="006426CC">
        <w:t>d</w:t>
      </w:r>
      <w:r w:rsidR="00366B99">
        <w:t>iscourages</w:t>
      </w:r>
      <w:r w:rsidR="006426CC">
        <w:t xml:space="preserve"> listing </w:t>
      </w:r>
      <w:r w:rsidR="00472243">
        <w:t xml:space="preserve">and weakens New Zealand’s capital markets. </w:t>
      </w:r>
      <w:r w:rsidR="00FE1313">
        <w:t>NZX noted t</w:t>
      </w:r>
      <w:r w:rsidR="00472243">
        <w:t>here are approx</w:t>
      </w:r>
      <w:r w:rsidR="00D33E2A">
        <w:t>imately</w:t>
      </w:r>
      <w:r w:rsidR="00472243">
        <w:t xml:space="preserve"> 1200 larger private companies with revenues exceeding $30 million (compared to 70 listed issuers of the same size). </w:t>
      </w:r>
      <w:r w:rsidR="00CB4439">
        <w:t xml:space="preserve">Further, </w:t>
      </w:r>
      <w:r w:rsidR="00D33E2A">
        <w:t>five</w:t>
      </w:r>
      <w:r w:rsidR="00CB4439">
        <w:t xml:space="preserve"> of the top </w:t>
      </w:r>
      <w:r w:rsidR="00D33E2A">
        <w:t>eight</w:t>
      </w:r>
      <w:r w:rsidR="00CB4439">
        <w:t xml:space="preserve"> greenhouse gas</w:t>
      </w:r>
      <w:r w:rsidR="00CC377C">
        <w:t>-</w:t>
      </w:r>
      <w:r w:rsidR="00CB4439">
        <w:t>emitting companies in N</w:t>
      </w:r>
      <w:r w:rsidR="00EA79C8">
        <w:t xml:space="preserve">ew </w:t>
      </w:r>
      <w:r w:rsidR="00CB4439">
        <w:t>Z</w:t>
      </w:r>
      <w:r w:rsidR="00EA79C8">
        <w:t>ealand</w:t>
      </w:r>
      <w:r w:rsidR="00CB4439">
        <w:t xml:space="preserve"> are not listed. </w:t>
      </w:r>
    </w:p>
    <w:p w14:paraId="01B9F436" w14:textId="2F3484F6" w:rsidR="00A824CD" w:rsidRDefault="00A824CD" w:rsidP="00A824CD">
      <w:pPr>
        <w:jc w:val="left"/>
      </w:pPr>
      <w:r>
        <w:t xml:space="preserve">A few </w:t>
      </w:r>
      <w:r w:rsidRPr="003B4527">
        <w:t>respondents argued a trickle-down effect from lenders</w:t>
      </w:r>
      <w:r>
        <w:t xml:space="preserve"> would not play enough of a role to drive non-listed entities to report climate risk. Non-mandated scrutiny by banks and other sources of capital was predicted to be inconsistent, if it happens at all. EY submitted:</w:t>
      </w:r>
    </w:p>
    <w:p w14:paraId="55DA6D98" w14:textId="275A057A" w:rsidR="00FE1313" w:rsidRDefault="00A824CD" w:rsidP="00FE1313">
      <w:pPr>
        <w:pStyle w:val="Quote"/>
      </w:pPr>
      <w:r w:rsidRPr="005D36DE">
        <w:t xml:space="preserve">We are not of the view that the financial sector entities will put enough pressure on non-listed entities, as these entities are less likely to tap public capital markets (e.g. privately held companies and cooperatives). If entities are not </w:t>
      </w:r>
      <w:r w:rsidR="00CC377C">
        <w:t xml:space="preserve">voluntarily </w:t>
      </w:r>
      <w:r w:rsidRPr="005D36DE">
        <w:t>disclosing their climate related financial disclosures currently, we believe that this may be unlikely to change if the regulation does not include these unlisted entities.</w:t>
      </w:r>
    </w:p>
    <w:p w14:paraId="37AB3FFB" w14:textId="24C8337A" w:rsidR="00472243" w:rsidRDefault="00472243" w:rsidP="00FE1313">
      <w:pPr>
        <w:pStyle w:val="BodyText"/>
      </w:pPr>
      <w:r>
        <w:t xml:space="preserve">Some respondents felt </w:t>
      </w:r>
      <w:r w:rsidR="00FE1313">
        <w:t>the criteria should be based o</w:t>
      </w:r>
      <w:r>
        <w:t xml:space="preserve">n exposure to risk, to improve resilience and financial stability. Therefore, private businesses above a certain threshold </w:t>
      </w:r>
      <w:r w:rsidR="00807D8F">
        <w:t xml:space="preserve">should also be captured by the requirements </w:t>
      </w:r>
      <w:r>
        <w:t xml:space="preserve">(particularly those </w:t>
      </w:r>
      <w:r w:rsidR="00D33E2A">
        <w:t xml:space="preserve">non-financial groups </w:t>
      </w:r>
      <w:r>
        <w:t>highlighted by the TCFD as highly impacted sectors</w:t>
      </w:r>
      <w:r w:rsidR="00D33E2A">
        <w:t xml:space="preserve"> –</w:t>
      </w:r>
      <w:r w:rsidR="00A824CD">
        <w:t xml:space="preserve"> energy</w:t>
      </w:r>
      <w:r w:rsidR="00807D8F">
        <w:t>,</w:t>
      </w:r>
      <w:r w:rsidR="00A824CD">
        <w:t xml:space="preserve"> materials and</w:t>
      </w:r>
      <w:r w:rsidR="00D33E2A">
        <w:t xml:space="preserve"> building</w:t>
      </w:r>
      <w:r w:rsidR="00A824CD">
        <w:t>s</w:t>
      </w:r>
      <w:r w:rsidR="00807D8F">
        <w:t>,</w:t>
      </w:r>
      <w:r w:rsidR="00D33E2A">
        <w:t xml:space="preserve"> transport</w:t>
      </w:r>
      <w:r w:rsidR="00A824CD">
        <w:t>ation</w:t>
      </w:r>
      <w:r w:rsidR="00807D8F">
        <w:t xml:space="preserve">, </w:t>
      </w:r>
      <w:r w:rsidR="00A824CD">
        <w:t>and agriculture, food and forest products</w:t>
      </w:r>
      <w:r>
        <w:t>)</w:t>
      </w:r>
      <w:r w:rsidR="00807D8F">
        <w:t>.</w:t>
      </w:r>
      <w:r w:rsidR="00D33E2A">
        <w:rPr>
          <w:rStyle w:val="FootnoteReference"/>
        </w:rPr>
        <w:footnoteReference w:id="3"/>
      </w:r>
      <w:r>
        <w:t xml:space="preserve"> </w:t>
      </w:r>
    </w:p>
    <w:p w14:paraId="3FC24FE8" w14:textId="6EBE95EB" w:rsidR="00472243" w:rsidRDefault="00807D8F" w:rsidP="00472243">
      <w:pPr>
        <w:pStyle w:val="BodyText"/>
      </w:pPr>
      <w:r>
        <w:t>A few respondents mentioned t</w:t>
      </w:r>
      <w:r w:rsidR="00472243">
        <w:t xml:space="preserve">he </w:t>
      </w:r>
      <w:r>
        <w:t xml:space="preserve">public sector’s </w:t>
      </w:r>
      <w:r w:rsidR="00472243">
        <w:t>significant clima</w:t>
      </w:r>
      <w:r w:rsidR="00CB4439">
        <w:t>te risks</w:t>
      </w:r>
      <w:r>
        <w:t xml:space="preserve">. They </w:t>
      </w:r>
      <w:r w:rsidR="00A824CD">
        <w:t>felt the public sector has</w:t>
      </w:r>
      <w:r w:rsidR="00472243">
        <w:t xml:space="preserve"> an opportunity to lead by example</w:t>
      </w:r>
      <w:r w:rsidR="00CB4439">
        <w:t xml:space="preserve">. </w:t>
      </w:r>
      <w:r w:rsidR="00FE1313">
        <w:t xml:space="preserve">In New Zealand, the public sector is a notably large part of the economy, with </w:t>
      </w:r>
      <w:r w:rsidR="00CC377C">
        <w:t xml:space="preserve">ratepayers </w:t>
      </w:r>
      <w:r w:rsidR="00FE1313">
        <w:t xml:space="preserve">represented as investors. </w:t>
      </w:r>
      <w:r w:rsidR="00F50E78">
        <w:t xml:space="preserve">The Mana Whenua </w:t>
      </w:r>
      <w:proofErr w:type="spellStart"/>
      <w:r w:rsidR="00F50E78">
        <w:t>Kaitiaki</w:t>
      </w:r>
      <w:proofErr w:type="spellEnd"/>
      <w:r w:rsidR="00F50E78">
        <w:t xml:space="preserve"> Forum pointed out</w:t>
      </w:r>
      <w:r w:rsidR="00B27DC5">
        <w:t xml:space="preserve"> that</w:t>
      </w:r>
      <w:r>
        <w:t>,</w:t>
      </w:r>
      <w:r w:rsidR="00F50E78">
        <w:t xml:space="preserve"> </w:t>
      </w:r>
      <w:r w:rsidR="00542D4D">
        <w:t>i</w:t>
      </w:r>
      <w:r w:rsidR="00472243">
        <w:t>n J</w:t>
      </w:r>
      <w:r w:rsidR="00542D4D">
        <w:t xml:space="preserve">une 2017, local government owned </w:t>
      </w:r>
      <w:r w:rsidR="00472243">
        <w:t>$11</w:t>
      </w:r>
      <w:r w:rsidR="00542D4D">
        <w:t>9 billion of fixed assets and had</w:t>
      </w:r>
      <w:r w:rsidR="00472243">
        <w:t xml:space="preserve"> </w:t>
      </w:r>
      <w:r w:rsidR="00542D4D">
        <w:t xml:space="preserve">an </w:t>
      </w:r>
      <w:r w:rsidR="00472243">
        <w:t>annual operating expenditure of $9.9 billion and operating income of $9.4 billion.</w:t>
      </w:r>
      <w:r w:rsidR="007D294B">
        <w:rPr>
          <w:rStyle w:val="FootnoteReference"/>
        </w:rPr>
        <w:footnoteReference w:id="4"/>
      </w:r>
    </w:p>
    <w:p w14:paraId="1C805B50" w14:textId="77777777" w:rsidR="00CB4439" w:rsidRDefault="00CB4439" w:rsidP="00CB4439">
      <w:pPr>
        <w:pStyle w:val="Heading3"/>
      </w:pPr>
      <w:bookmarkStart w:id="65" w:name="_Toc32847654"/>
      <w:r>
        <w:t xml:space="preserve">Q.23 </w:t>
      </w:r>
      <w:proofErr w:type="gramStart"/>
      <w:r>
        <w:t>Should</w:t>
      </w:r>
      <w:proofErr w:type="gramEnd"/>
      <w:r>
        <w:t xml:space="preserve"> there be an exemption for smaller entities?</w:t>
      </w:r>
      <w:bookmarkEnd w:id="65"/>
    </w:p>
    <w:p w14:paraId="033BD259" w14:textId="58643AC1" w:rsidR="00CB4439" w:rsidRDefault="00CB4439" w:rsidP="00D95DAD">
      <w:pPr>
        <w:pStyle w:val="BodyText"/>
      </w:pPr>
      <w:r>
        <w:t>We received</w:t>
      </w:r>
      <w:r w:rsidR="00DF121F">
        <w:t xml:space="preserve"> 4</w:t>
      </w:r>
      <w:r w:rsidR="00B56C78">
        <w:t>4</w:t>
      </w:r>
      <w:r w:rsidR="00DF121F">
        <w:t xml:space="preserve"> resp</w:t>
      </w:r>
      <w:r w:rsidR="00FE1313">
        <w:t>onses to this question, with 5</w:t>
      </w:r>
      <w:r w:rsidR="00B56C78">
        <w:t>2</w:t>
      </w:r>
      <w:r w:rsidR="008020A9">
        <w:t xml:space="preserve"> per cent</w:t>
      </w:r>
      <w:r w:rsidR="00DF121F">
        <w:t xml:space="preserve"> of respondents (</w:t>
      </w:r>
      <w:r w:rsidR="00FE1313">
        <w:t>2</w:t>
      </w:r>
      <w:r w:rsidR="00B56C78">
        <w:t>3</w:t>
      </w:r>
      <w:r w:rsidR="00DF121F">
        <w:t>)</w:t>
      </w:r>
      <w:r>
        <w:t xml:space="preserve"> </w:t>
      </w:r>
      <w:r w:rsidR="00DF121F">
        <w:t>supporting</w:t>
      </w:r>
      <w:r>
        <w:t xml:space="preserve"> an exempt</w:t>
      </w:r>
      <w:r w:rsidR="00FA7D6A">
        <w:t>ion for smaller entities</w:t>
      </w:r>
      <w:r w:rsidR="00B27DC5">
        <w:t>. Eleven</w:t>
      </w:r>
      <w:r w:rsidR="00FA7D6A">
        <w:t xml:space="preserve"> respondents were unsupportive,</w:t>
      </w:r>
      <w:r>
        <w:t xml:space="preserve"> </w:t>
      </w:r>
      <w:r w:rsidR="00A824CD">
        <w:t xml:space="preserve">while </w:t>
      </w:r>
      <w:r w:rsidR="00FA7D6A">
        <w:t>the remaining</w:t>
      </w:r>
      <w:r>
        <w:t xml:space="preserve"> </w:t>
      </w:r>
      <w:r w:rsidR="00B27DC5">
        <w:t xml:space="preserve">nine </w:t>
      </w:r>
      <w:r>
        <w:t>did not give a yes or no response</w:t>
      </w:r>
      <w:r w:rsidR="00D95DAD">
        <w:t>, but raised other questions.</w:t>
      </w:r>
      <w:r w:rsidR="00CD08D9">
        <w:t xml:space="preserve"> </w:t>
      </w:r>
    </w:p>
    <w:p w14:paraId="29016258" w14:textId="0564AD8E" w:rsidR="00CB4439" w:rsidRDefault="00220A08" w:rsidP="00D95DAD">
      <w:pPr>
        <w:pStyle w:val="BodyText"/>
      </w:pPr>
      <w:r>
        <w:lastRenderedPageBreak/>
        <w:t xml:space="preserve">Respondents supporting </w:t>
      </w:r>
      <w:r w:rsidR="00D95DAD">
        <w:t>an exemption for smaller entities did so on the basis</w:t>
      </w:r>
      <w:r w:rsidR="00CB4439">
        <w:t xml:space="preserve"> </w:t>
      </w:r>
      <w:r w:rsidR="00D95DAD">
        <w:t xml:space="preserve">of </w:t>
      </w:r>
      <w:r w:rsidR="00CB4439">
        <w:t>capacity and burden for smaller organisations (noting that smaller entities should be enabled to report voluntarily)</w:t>
      </w:r>
      <w:r w:rsidR="00D95DAD">
        <w:t>.</w:t>
      </w:r>
      <w:r w:rsidR="00D02536">
        <w:t xml:space="preserve"> </w:t>
      </w:r>
      <w:r w:rsidR="008020A9">
        <w:t xml:space="preserve">Lawyers for Climate Action New Zealand </w:t>
      </w:r>
      <w:proofErr w:type="spellStart"/>
      <w:r w:rsidR="008020A9">
        <w:t>Inc</w:t>
      </w:r>
      <w:proofErr w:type="spellEnd"/>
      <w:r w:rsidR="008020A9">
        <w:t xml:space="preserve"> (LCANZI) </w:t>
      </w:r>
      <w:r w:rsidR="00241A6E">
        <w:t>cautioned against starting with</w:t>
      </w:r>
      <w:r w:rsidR="008020A9">
        <w:t xml:space="preserve"> too broad</w:t>
      </w:r>
      <w:r w:rsidR="00D02536">
        <w:t xml:space="preserve"> a regime</w:t>
      </w:r>
      <w:r w:rsidR="00241A6E">
        <w:t>, as this</w:t>
      </w:r>
      <w:r w:rsidR="00D02536">
        <w:t xml:space="preserve"> </w:t>
      </w:r>
      <w:r w:rsidR="00B27DC5">
        <w:t xml:space="preserve">might </w:t>
      </w:r>
      <w:r w:rsidR="00D02536">
        <w:t>result</w:t>
      </w:r>
      <w:r w:rsidR="00241A6E">
        <w:t xml:space="preserve"> in large</w:t>
      </w:r>
      <w:r w:rsidR="00B27DC5">
        <w:t>-</w:t>
      </w:r>
      <w:r w:rsidR="00241A6E">
        <w:t>scale non-compliance</w:t>
      </w:r>
      <w:r w:rsidR="00B27DC5">
        <w:t xml:space="preserve"> which would damage</w:t>
      </w:r>
      <w:r w:rsidR="00D02536">
        <w:t xml:space="preserve"> confidence</w:t>
      </w:r>
      <w:r w:rsidR="00A824CD">
        <w:t xml:space="preserve"> in the system</w:t>
      </w:r>
      <w:r w:rsidR="00D02536">
        <w:t>.</w:t>
      </w:r>
      <w:r w:rsidR="00CD08D9">
        <w:t xml:space="preserve"> </w:t>
      </w:r>
    </w:p>
    <w:p w14:paraId="3526A4C9" w14:textId="40E2BB45" w:rsidR="00CB4439" w:rsidRDefault="00CB4439" w:rsidP="00241A6E">
      <w:pPr>
        <w:pStyle w:val="BodyText"/>
      </w:pPr>
      <w:r>
        <w:t xml:space="preserve">However, many respondents (both those who supported and objected to an exemption) </w:t>
      </w:r>
      <w:r w:rsidR="00477A71">
        <w:t xml:space="preserve">suggested </w:t>
      </w:r>
      <w:r>
        <w:t xml:space="preserve">it </w:t>
      </w:r>
      <w:r w:rsidR="00B27DC5">
        <w:t xml:space="preserve">might </w:t>
      </w:r>
      <w:r>
        <w:t xml:space="preserve">not be appropriate </w:t>
      </w:r>
      <w:r w:rsidR="00B27DC5">
        <w:t xml:space="preserve">to exempt </w:t>
      </w:r>
      <w:r>
        <w:t xml:space="preserve">small entities with material exposure to climate risk, as that </w:t>
      </w:r>
      <w:r w:rsidR="00B27DC5">
        <w:t xml:space="preserve">might </w:t>
      </w:r>
      <w:r>
        <w:t xml:space="preserve">hide material climate risk within the economy. Moreover, there </w:t>
      </w:r>
      <w:r w:rsidR="00B27DC5">
        <w:t xml:space="preserve">was </w:t>
      </w:r>
      <w:r>
        <w:t xml:space="preserve">a good case for all businesses to understand their climate-related risks and opportunities, regardless of size. </w:t>
      </w:r>
      <w:r w:rsidR="00A824CD">
        <w:t>CDP and the Climate Disclosures Standards Board (CDSB) s</w:t>
      </w:r>
      <w:r w:rsidR="00DD5FE8">
        <w:t>tated</w:t>
      </w:r>
      <w:r w:rsidR="00A824CD">
        <w:t xml:space="preserve"> in their joint submission:</w:t>
      </w:r>
    </w:p>
    <w:p w14:paraId="268C8332" w14:textId="77777777" w:rsidR="00A824CD" w:rsidRDefault="00A824CD" w:rsidP="008020A9">
      <w:pPr>
        <w:pStyle w:val="Quote"/>
      </w:pPr>
      <w:r w:rsidRPr="00D50EA2">
        <w:t>It is important to note that materiality of climate risk is not related to the size of entity and in some cases, smaller entities may have more material climate risks than larger ones. However, smaller entities often have less capacity to prepare detailed reports. As such, some form of proportionality should be considered for smaller entities</w:t>
      </w:r>
      <w:r w:rsidR="00F50E78">
        <w:t>.</w:t>
      </w:r>
    </w:p>
    <w:p w14:paraId="7791D646" w14:textId="7DBE7C06" w:rsidR="00CB4439" w:rsidRDefault="00477A71" w:rsidP="008233D9">
      <w:pPr>
        <w:pStyle w:val="BodyText"/>
      </w:pPr>
      <w:r>
        <w:t xml:space="preserve">Some responses </w:t>
      </w:r>
      <w:r w:rsidR="00B27DC5">
        <w:t xml:space="preserve">that </w:t>
      </w:r>
      <w:r w:rsidR="00CB4439">
        <w:t xml:space="preserve">did not support an exemption </w:t>
      </w:r>
      <w:r w:rsidR="00B27DC5">
        <w:t xml:space="preserve">instead </w:t>
      </w:r>
      <w:r>
        <w:t>proposed</w:t>
      </w:r>
      <w:r w:rsidR="00CB4439">
        <w:t xml:space="preserve"> smaller entities could be subject to a less detailed disclosure requirement. Others felt </w:t>
      </w:r>
      <w:r w:rsidR="00B27DC5">
        <w:t xml:space="preserve">acknowledging </w:t>
      </w:r>
      <w:r w:rsidR="00CB4439">
        <w:t xml:space="preserve">the </w:t>
      </w:r>
      <w:r w:rsidR="00241A6E">
        <w:t>qualitative</w:t>
      </w:r>
      <w:r w:rsidR="00CB4439">
        <w:t xml:space="preserve"> nature of the system, or the ‘explain’ </w:t>
      </w:r>
      <w:r w:rsidR="00DD5FE8">
        <w:t>option</w:t>
      </w:r>
      <w:r w:rsidR="00CB4439">
        <w:t xml:space="preserve"> of the proposals</w:t>
      </w:r>
      <w:r w:rsidR="00F50E78">
        <w:t>,</w:t>
      </w:r>
      <w:r w:rsidR="00CB4439">
        <w:t xml:space="preserve"> enable</w:t>
      </w:r>
      <w:r w:rsidR="00B27DC5">
        <w:t>d</w:t>
      </w:r>
      <w:r w:rsidR="00CB4439">
        <w:t xml:space="preserve"> sufficient leeway for smaller organisations. Another suggestion was to extend the transition period for smaller entities (see </w:t>
      </w:r>
      <w:r w:rsidR="008020A9">
        <w:t>Q</w:t>
      </w:r>
      <w:r w:rsidR="005473D6">
        <w:t>.</w:t>
      </w:r>
      <w:r w:rsidR="00CB4439">
        <w:t>34)</w:t>
      </w:r>
      <w:r w:rsidR="00241A6E">
        <w:t>.</w:t>
      </w:r>
    </w:p>
    <w:p w14:paraId="30D635B7" w14:textId="199C924A" w:rsidR="00F50E78" w:rsidRDefault="00CB4439" w:rsidP="008233D9">
      <w:pPr>
        <w:pStyle w:val="BodyText"/>
      </w:pPr>
      <w:r>
        <w:t xml:space="preserve">Several respondents </w:t>
      </w:r>
      <w:r w:rsidR="00F50E78">
        <w:t>recommended</w:t>
      </w:r>
      <w:r>
        <w:t xml:space="preserve"> further investigation to </w:t>
      </w:r>
      <w:r w:rsidR="00FB5162">
        <w:t>determine the appropriate size threshold for a small entity exemption</w:t>
      </w:r>
      <w:r w:rsidR="00A824CD">
        <w:t>. For example,</w:t>
      </w:r>
      <w:r>
        <w:t xml:space="preserve"> regulators should asses</w:t>
      </w:r>
      <w:r w:rsidR="00B27DC5">
        <w:t>s</w:t>
      </w:r>
      <w:r>
        <w:t xml:space="preserve"> the implications of financial stability and make recommendations, or </w:t>
      </w:r>
      <w:r w:rsidR="00B27DC5">
        <w:t xml:space="preserve">the </w:t>
      </w:r>
      <w:r w:rsidR="003B40D6">
        <w:t>G</w:t>
      </w:r>
      <w:r w:rsidR="00A824CD">
        <w:t xml:space="preserve">overnment could </w:t>
      </w:r>
      <w:r>
        <w:t>consider net costs for</w:t>
      </w:r>
      <w:r w:rsidR="008020A9">
        <w:t xml:space="preserve"> different types of organisation</w:t>
      </w:r>
      <w:r w:rsidR="00B27DC5">
        <w:t>s</w:t>
      </w:r>
      <w:r w:rsidR="00241A6E">
        <w:t>.</w:t>
      </w:r>
      <w:r w:rsidR="00F50E78">
        <w:t xml:space="preserve"> </w:t>
      </w:r>
    </w:p>
    <w:p w14:paraId="24D771BE" w14:textId="2C07D3BB" w:rsidR="00CB4439" w:rsidRDefault="002E1CD5" w:rsidP="008233D9">
      <w:pPr>
        <w:pStyle w:val="BodyText"/>
      </w:pPr>
      <w:r>
        <w:t>Some r</w:t>
      </w:r>
      <w:r w:rsidR="00F50E78">
        <w:t>espondents felt a</w:t>
      </w:r>
      <w:r w:rsidR="00CB4439">
        <w:t>ny exemptions could be reviewed in the future, once</w:t>
      </w:r>
      <w:r w:rsidR="00241A6E">
        <w:t xml:space="preserve"> the TCFD</w:t>
      </w:r>
      <w:r w:rsidR="00CB4439">
        <w:t xml:space="preserve"> reporting practice is more mature</w:t>
      </w:r>
      <w:r w:rsidR="008233D9">
        <w:t>.</w:t>
      </w:r>
    </w:p>
    <w:p w14:paraId="78334BB4" w14:textId="4314A45A" w:rsidR="008233D9" w:rsidRDefault="008233D9" w:rsidP="008233D9">
      <w:pPr>
        <w:pStyle w:val="Heading3"/>
      </w:pPr>
      <w:bookmarkStart w:id="66" w:name="_Toc32847655"/>
      <w:r>
        <w:t xml:space="preserve">Q.24 </w:t>
      </w:r>
      <w:proofErr w:type="gramStart"/>
      <w:r>
        <w:t>If</w:t>
      </w:r>
      <w:proofErr w:type="gramEnd"/>
      <w:r>
        <w:t xml:space="preserve"> there </w:t>
      </w:r>
      <w:r w:rsidR="00354A6B">
        <w:t>were</w:t>
      </w:r>
      <w:r w:rsidR="001A27CD">
        <w:t xml:space="preserve"> </w:t>
      </w:r>
      <w:r>
        <w:t>to be an exemption: (a) What criterion or criteria should be used: annual revenue, total assets, a combination of the two, or some other measure or measures? (b) Which dollar amount or amounts would be appropriate? (c) Should there be a requirement to adjust for inflation from time</w:t>
      </w:r>
      <w:r w:rsidR="001A27CD">
        <w:t xml:space="preserve"> </w:t>
      </w:r>
      <w:r>
        <w:t>to</w:t>
      </w:r>
      <w:r w:rsidR="001A27CD">
        <w:t xml:space="preserve"> time</w:t>
      </w:r>
      <w:r>
        <w:t>?</w:t>
      </w:r>
      <w:bookmarkEnd w:id="66"/>
    </w:p>
    <w:p w14:paraId="62EC35BE" w14:textId="1006896D" w:rsidR="008233D9" w:rsidRPr="009B31B7" w:rsidRDefault="008233D9" w:rsidP="006426CC">
      <w:pPr>
        <w:pStyle w:val="BodyText"/>
        <w:spacing w:before="240"/>
      </w:pPr>
      <w:r w:rsidRPr="009B31B7">
        <w:t xml:space="preserve">We received </w:t>
      </w:r>
      <w:r w:rsidR="007D294B">
        <w:t>2</w:t>
      </w:r>
      <w:r w:rsidR="00B56C78">
        <w:t>9</w:t>
      </w:r>
      <w:r w:rsidRPr="009B31B7">
        <w:t xml:space="preserve"> responses to this question. In response to part (a) there were </w:t>
      </w:r>
      <w:r w:rsidR="00B56C78">
        <w:t>20</w:t>
      </w:r>
      <w:r w:rsidRPr="009B31B7">
        <w:t xml:space="preserve"> responses, (b) 7 responses </w:t>
      </w:r>
      <w:r w:rsidR="001A27CD">
        <w:t xml:space="preserve">and </w:t>
      </w:r>
      <w:r w:rsidRPr="009B31B7">
        <w:t xml:space="preserve">(c) 8 responses. </w:t>
      </w:r>
    </w:p>
    <w:p w14:paraId="1AD6B5E2" w14:textId="3221542D" w:rsidR="008233D9" w:rsidRPr="009B31B7" w:rsidRDefault="008233D9" w:rsidP="008233D9">
      <w:pPr>
        <w:pStyle w:val="BodyText"/>
      </w:pPr>
      <w:r w:rsidRPr="009B31B7">
        <w:t>In response to (a)</w:t>
      </w:r>
      <w:r w:rsidR="00052122">
        <w:t>,</w:t>
      </w:r>
      <w:r w:rsidRPr="009B31B7">
        <w:t xml:space="preserve"> </w:t>
      </w:r>
      <w:r w:rsidR="00052122">
        <w:t>s</w:t>
      </w:r>
      <w:r w:rsidR="00D87BB3">
        <w:t>uggestions for</w:t>
      </w:r>
      <w:r>
        <w:t xml:space="preserve"> measures</w:t>
      </w:r>
      <w:r w:rsidR="00D87BB3">
        <w:t xml:space="preserve"> of size incl</w:t>
      </w:r>
      <w:r>
        <w:t>uded:</w:t>
      </w:r>
    </w:p>
    <w:p w14:paraId="3A0C5C3E" w14:textId="77777777" w:rsidR="008233D9" w:rsidRPr="009B31B7" w:rsidRDefault="00221052" w:rsidP="00857B90">
      <w:pPr>
        <w:pStyle w:val="Bullet"/>
      </w:pPr>
      <w:r>
        <w:t xml:space="preserve">a </w:t>
      </w:r>
      <w:r w:rsidR="008233D9" w:rsidRPr="009B31B7">
        <w:t xml:space="preserve">combination of total assets and annual </w:t>
      </w:r>
      <w:r w:rsidR="008233D9">
        <w:t>revenue</w:t>
      </w:r>
    </w:p>
    <w:p w14:paraId="073B98C2" w14:textId="77777777" w:rsidR="008233D9" w:rsidRPr="009B31B7" w:rsidRDefault="00221052" w:rsidP="00857B90">
      <w:pPr>
        <w:pStyle w:val="Bullet"/>
      </w:pPr>
      <w:r>
        <w:t>s</w:t>
      </w:r>
      <w:r w:rsidR="00663DD2">
        <w:t>ector and size of the company</w:t>
      </w:r>
    </w:p>
    <w:p w14:paraId="146002FA" w14:textId="4406A68A" w:rsidR="008233D9" w:rsidRPr="009B31B7" w:rsidRDefault="00221052" w:rsidP="00857B90">
      <w:pPr>
        <w:pStyle w:val="Bullet"/>
      </w:pPr>
      <w:r>
        <w:t>t</w:t>
      </w:r>
      <w:r w:rsidR="008233D9" w:rsidRPr="009B31B7">
        <w:t xml:space="preserve">he materiality of </w:t>
      </w:r>
      <w:r w:rsidR="008233D9">
        <w:t>climate</w:t>
      </w:r>
      <w:r w:rsidR="00FB5162">
        <w:t xml:space="preserve"> </w:t>
      </w:r>
      <w:r w:rsidR="008233D9">
        <w:t>change</w:t>
      </w:r>
      <w:r w:rsidR="00663DD2">
        <w:t xml:space="preserve"> risk</w:t>
      </w:r>
    </w:p>
    <w:p w14:paraId="425EE2A6" w14:textId="77777777" w:rsidR="008233D9" w:rsidRPr="009B31B7" w:rsidRDefault="00221052" w:rsidP="00857B90">
      <w:pPr>
        <w:pStyle w:val="Bullet"/>
      </w:pPr>
      <w:r>
        <w:t>c</w:t>
      </w:r>
      <w:r w:rsidR="00663DD2">
        <w:t>arbon footprint</w:t>
      </w:r>
    </w:p>
    <w:p w14:paraId="38922D49" w14:textId="30AEC21B" w:rsidR="00FB06F2" w:rsidRDefault="008233D9" w:rsidP="00857B90">
      <w:pPr>
        <w:pStyle w:val="Bullet"/>
      </w:pPr>
      <w:r w:rsidRPr="009B31B7">
        <w:lastRenderedPageBreak/>
        <w:t>model</w:t>
      </w:r>
      <w:r w:rsidR="00407E58">
        <w:t>s</w:t>
      </w:r>
      <w:r w:rsidRPr="009B31B7">
        <w:t xml:space="preserve"> based on</w:t>
      </w:r>
      <w:r w:rsidR="0076681D">
        <w:t xml:space="preserve"> </w:t>
      </w:r>
      <w:hyperlink r:id="rId22" w:history="1">
        <w:r w:rsidR="0076681D" w:rsidRPr="00407E58">
          <w:rPr>
            <w:rStyle w:val="Hyperlink"/>
          </w:rPr>
          <w:t>section 204</w:t>
        </w:r>
      </w:hyperlink>
      <w:r w:rsidR="00407E58">
        <w:t xml:space="preserve"> or</w:t>
      </w:r>
      <w:r w:rsidRPr="009B31B7">
        <w:t xml:space="preserve"> </w:t>
      </w:r>
      <w:hyperlink r:id="rId23" w:history="1">
        <w:r w:rsidRPr="00407E58">
          <w:rPr>
            <w:rStyle w:val="Hyperlink"/>
          </w:rPr>
          <w:t>section 208(1)</w:t>
        </w:r>
      </w:hyperlink>
      <w:r w:rsidRPr="009B31B7">
        <w:t xml:space="preserve"> of the Companies Act</w:t>
      </w:r>
      <w:r w:rsidR="00052122">
        <w:t xml:space="preserve"> 1993</w:t>
      </w:r>
    </w:p>
    <w:p w14:paraId="76A30F55" w14:textId="6AD9135A" w:rsidR="00FB06F2" w:rsidRDefault="00221052" w:rsidP="00857B90">
      <w:pPr>
        <w:pStyle w:val="Bullet"/>
      </w:pPr>
      <w:proofErr w:type="gramStart"/>
      <w:r>
        <w:t>a</w:t>
      </w:r>
      <w:proofErr w:type="gramEnd"/>
      <w:r w:rsidR="007D294B">
        <w:t xml:space="preserve"> model based on the </w:t>
      </w:r>
      <w:r w:rsidR="00407E58">
        <w:t>External Reporting Board’s (</w:t>
      </w:r>
      <w:r w:rsidR="007D294B">
        <w:t>XRB</w:t>
      </w:r>
      <w:r w:rsidR="00407E58">
        <w:t>)</w:t>
      </w:r>
      <w:r w:rsidR="007D294B">
        <w:t xml:space="preserve"> Accounting Standards Tiers</w:t>
      </w:r>
      <w:r w:rsidR="00FB5162">
        <w:t>.</w:t>
      </w:r>
      <w:r w:rsidR="007D294B">
        <w:t xml:space="preserve"> </w:t>
      </w:r>
    </w:p>
    <w:p w14:paraId="3B54C2A1" w14:textId="3E3AF3AD" w:rsidR="008233D9" w:rsidRPr="00B96693" w:rsidRDefault="008233D9" w:rsidP="00FB06F2">
      <w:pPr>
        <w:pStyle w:val="BodyText"/>
      </w:pPr>
      <w:r w:rsidRPr="00B96693">
        <w:t>Suggestions for which</w:t>
      </w:r>
      <w:r w:rsidR="00C93FA3" w:rsidRPr="00B96693">
        <w:t xml:space="preserve"> dollar amount</w:t>
      </w:r>
      <w:r w:rsidRPr="00B96693">
        <w:t xml:space="preserve"> </w:t>
      </w:r>
      <w:r w:rsidR="00C93FA3" w:rsidRPr="00B96693">
        <w:t>would be appropriate</w:t>
      </w:r>
      <w:r w:rsidR="00052122" w:rsidRPr="00B96693">
        <w:t xml:space="preserve"> (b) </w:t>
      </w:r>
      <w:r w:rsidR="0076489A">
        <w:t>included:</w:t>
      </w:r>
    </w:p>
    <w:p w14:paraId="3DBB5F6C" w14:textId="77777777" w:rsidR="008233D9" w:rsidRDefault="000A33E9" w:rsidP="00857B90">
      <w:pPr>
        <w:pStyle w:val="Bullet"/>
      </w:pPr>
      <w:r>
        <w:t>a</w:t>
      </w:r>
      <w:r w:rsidR="008233D9">
        <w:t xml:space="preserve">ssets above </w:t>
      </w:r>
      <w:r w:rsidR="00C25BE2">
        <w:t>$</w:t>
      </w:r>
      <w:r w:rsidR="008233D9">
        <w:t xml:space="preserve">60 million and/or revenues above </w:t>
      </w:r>
      <w:r w:rsidR="00C25BE2">
        <w:t>$</w:t>
      </w:r>
      <w:r w:rsidR="00663DD2">
        <w:t>30 million (s</w:t>
      </w:r>
      <w:r w:rsidR="008233D9">
        <w:t xml:space="preserve">ame criteria as section 45 of the </w:t>
      </w:r>
      <w:r w:rsidR="00052122">
        <w:t>Financial R</w:t>
      </w:r>
      <w:r w:rsidR="008233D9">
        <w:t xml:space="preserve">eporting </w:t>
      </w:r>
      <w:r w:rsidR="00052122">
        <w:t>A</w:t>
      </w:r>
      <w:r w:rsidR="008233D9">
        <w:t>ct</w:t>
      </w:r>
      <w:r w:rsidR="00052122">
        <w:t xml:space="preserve"> 2013</w:t>
      </w:r>
      <w:r w:rsidR="00663DD2">
        <w:t>)</w:t>
      </w:r>
    </w:p>
    <w:p w14:paraId="58489045" w14:textId="77777777" w:rsidR="008233D9" w:rsidRDefault="000A33E9" w:rsidP="00857B90">
      <w:pPr>
        <w:pStyle w:val="Bullet"/>
      </w:pPr>
      <w:r>
        <w:t>i</w:t>
      </w:r>
      <w:r w:rsidR="00C25BE2">
        <w:t>nsurers with a Gross Written Premium of below $100 million should be exe</w:t>
      </w:r>
      <w:r w:rsidR="00663DD2">
        <w:t>mpt</w:t>
      </w:r>
    </w:p>
    <w:p w14:paraId="72D37F54" w14:textId="77777777" w:rsidR="00455672" w:rsidRPr="009B31B7" w:rsidRDefault="00455672" w:rsidP="00857B90">
      <w:pPr>
        <w:pStyle w:val="Bullet"/>
      </w:pPr>
      <w:proofErr w:type="gramStart"/>
      <w:r>
        <w:t>not</w:t>
      </w:r>
      <w:proofErr w:type="gramEnd"/>
      <w:r>
        <w:t xml:space="preserve"> only a dollar threshold. The activities of the business should also be factored.</w:t>
      </w:r>
    </w:p>
    <w:p w14:paraId="36C8B8AB" w14:textId="5F88C6BF" w:rsidR="008233D9" w:rsidRDefault="008233D9" w:rsidP="00B96693">
      <w:pPr>
        <w:pStyle w:val="BodyText"/>
      </w:pPr>
      <w:r>
        <w:t>In response to (c) all those who submitted agreed any dollar amount</w:t>
      </w:r>
      <w:r w:rsidR="0076681D">
        <w:t>s</w:t>
      </w:r>
      <w:r>
        <w:t xml:space="preserve"> should be adjusted for inflation</w:t>
      </w:r>
      <w:r w:rsidR="002E2433">
        <w:t xml:space="preserve"> from time</w:t>
      </w:r>
      <w:r w:rsidR="001A27CD">
        <w:t xml:space="preserve"> </w:t>
      </w:r>
      <w:r w:rsidR="002E2433">
        <w:t>to</w:t>
      </w:r>
      <w:r w:rsidR="001A27CD">
        <w:t xml:space="preserve"> </w:t>
      </w:r>
      <w:r w:rsidR="002E2433">
        <w:t>time</w:t>
      </w:r>
      <w:r>
        <w:t xml:space="preserve">. </w:t>
      </w:r>
    </w:p>
    <w:p w14:paraId="4D615B67" w14:textId="437478FC" w:rsidR="00B96693" w:rsidRPr="009B31B7" w:rsidRDefault="00B96693" w:rsidP="00B96693">
      <w:pPr>
        <w:pStyle w:val="Heading3"/>
      </w:pPr>
      <w:bookmarkStart w:id="67" w:name="_Toc32847656"/>
      <w:r>
        <w:t xml:space="preserve">Q.25 </w:t>
      </w:r>
      <w:proofErr w:type="gramStart"/>
      <w:r>
        <w:t>What</w:t>
      </w:r>
      <w:proofErr w:type="gramEnd"/>
      <w:r>
        <w:t xml:space="preserve"> are your views about our proposal to have a stand-alone</w:t>
      </w:r>
      <w:r w:rsidR="00212E5A">
        <w:t>,</w:t>
      </w:r>
      <w:r>
        <w:t xml:space="preserve"> climate-related financial disclosure report within the entity’s annual report?</w:t>
      </w:r>
      <w:bookmarkEnd w:id="67"/>
    </w:p>
    <w:p w14:paraId="2AFC4BBF" w14:textId="139003E1" w:rsidR="00E31821" w:rsidRDefault="00B96693" w:rsidP="002056FF">
      <w:pPr>
        <w:pStyle w:val="BodyText"/>
      </w:pPr>
      <w:r w:rsidRPr="002056FF">
        <w:t>We received 4</w:t>
      </w:r>
      <w:r w:rsidR="00B56C78">
        <w:t>9</w:t>
      </w:r>
      <w:r w:rsidRPr="002056FF">
        <w:t xml:space="preserve"> response</w:t>
      </w:r>
      <w:r w:rsidR="00F50E78">
        <w:t xml:space="preserve">s to this question: </w:t>
      </w:r>
      <w:r w:rsidR="008020A9">
        <w:t>5</w:t>
      </w:r>
      <w:r w:rsidR="00B56C78">
        <w:t>5</w:t>
      </w:r>
      <w:r w:rsidR="008020A9">
        <w:t xml:space="preserve"> per cent</w:t>
      </w:r>
      <w:r w:rsidR="00F50E78">
        <w:t xml:space="preserve"> of respondents (2</w:t>
      </w:r>
      <w:r w:rsidR="00B56C78">
        <w:t>7</w:t>
      </w:r>
      <w:r w:rsidR="00F50E78">
        <w:t>) agreed</w:t>
      </w:r>
      <w:r w:rsidR="00455672">
        <w:t xml:space="preserve"> with </w:t>
      </w:r>
      <w:r w:rsidR="00DA63C9">
        <w:t xml:space="preserve">the proposal, 18 </w:t>
      </w:r>
      <w:r w:rsidR="00F50E78">
        <w:t>disagreed</w:t>
      </w:r>
      <w:r w:rsidR="00DA63C9">
        <w:t>, 3</w:t>
      </w:r>
      <w:r w:rsidRPr="002056FF">
        <w:t xml:space="preserve"> did</w:t>
      </w:r>
      <w:r w:rsidR="00455672">
        <w:t xml:space="preserve"> not give a clear answer and 1 agreed for</w:t>
      </w:r>
      <w:r w:rsidRPr="002056FF">
        <w:t xml:space="preserve"> some entities, but not others.</w:t>
      </w:r>
      <w:r w:rsidR="002056FF" w:rsidRPr="002056FF">
        <w:t xml:space="preserve"> </w:t>
      </w:r>
    </w:p>
    <w:p w14:paraId="2BF2A33F" w14:textId="77777777" w:rsidR="00B96693" w:rsidRPr="002056FF" w:rsidRDefault="00051C3C" w:rsidP="002056FF">
      <w:pPr>
        <w:pStyle w:val="BodyText"/>
      </w:pPr>
      <w:r>
        <w:t xml:space="preserve">Responses revealed a tension </w:t>
      </w:r>
      <w:r w:rsidR="00B96693" w:rsidRPr="002056FF">
        <w:t>between accessibility of climate information and flexibi</w:t>
      </w:r>
      <w:r w:rsidR="002056FF">
        <w:t xml:space="preserve">lity </w:t>
      </w:r>
      <w:r w:rsidR="00DA63C9">
        <w:t>f</w:t>
      </w:r>
      <w:r>
        <w:t>or</w:t>
      </w:r>
      <w:r w:rsidR="00DA63C9">
        <w:t xml:space="preserve"> </w:t>
      </w:r>
      <w:r w:rsidR="000E6791">
        <w:t xml:space="preserve">reporting entities. </w:t>
      </w:r>
    </w:p>
    <w:p w14:paraId="166D7EF5" w14:textId="425CD429" w:rsidR="00B96693" w:rsidRDefault="00051C3C" w:rsidP="00A53E00">
      <w:pPr>
        <w:pStyle w:val="BodyText"/>
      </w:pPr>
      <w:r>
        <w:t>The 2</w:t>
      </w:r>
      <w:r w:rsidR="00AC42B6">
        <w:t>7</w:t>
      </w:r>
      <w:r>
        <w:t xml:space="preserve"> responders </w:t>
      </w:r>
      <w:r w:rsidR="00455672">
        <w:t xml:space="preserve">supporting </w:t>
      </w:r>
      <w:r w:rsidR="00B96693">
        <w:t xml:space="preserve">a stand-alone report within the annual report </w:t>
      </w:r>
      <w:r w:rsidR="003D499C">
        <w:t>said</w:t>
      </w:r>
      <w:r w:rsidR="00455672">
        <w:t xml:space="preserve"> it </w:t>
      </w:r>
      <w:r w:rsidR="003D499C">
        <w:t xml:space="preserve">would enable </w:t>
      </w:r>
      <w:r w:rsidR="00B96693">
        <w:t>climate information</w:t>
      </w:r>
      <w:r w:rsidR="00212E5A">
        <w:t xml:space="preserve"> to be quickly identif</w:t>
      </w:r>
      <w:r w:rsidR="003D499C">
        <w:t>i</w:t>
      </w:r>
      <w:r w:rsidR="00212E5A">
        <w:t>ed</w:t>
      </w:r>
      <w:r w:rsidR="00B96693">
        <w:t>, making it</w:t>
      </w:r>
      <w:r w:rsidR="00E31821">
        <w:t xml:space="preserve"> transparent and easy to access</w:t>
      </w:r>
      <w:r w:rsidR="00B96693">
        <w:t xml:space="preserve"> while ensuring greater accountability. </w:t>
      </w:r>
      <w:r w:rsidR="003D499C">
        <w:t>Otherwise</w:t>
      </w:r>
      <w:r w:rsidR="00B96693">
        <w:t xml:space="preserve">, it </w:t>
      </w:r>
      <w:r w:rsidR="003D499C">
        <w:t xml:space="preserve">might </w:t>
      </w:r>
      <w:r w:rsidR="00B96693">
        <w:t xml:space="preserve">get lost </w:t>
      </w:r>
      <w:r w:rsidR="00455672">
        <w:t xml:space="preserve">among </w:t>
      </w:r>
      <w:r w:rsidR="00B96693">
        <w:t>the</w:t>
      </w:r>
      <w:r w:rsidR="00455672">
        <w:t xml:space="preserve"> large amount of</w:t>
      </w:r>
      <w:r w:rsidR="00B96693">
        <w:t xml:space="preserve"> information </w:t>
      </w:r>
      <w:r w:rsidR="00455672">
        <w:t xml:space="preserve">within </w:t>
      </w:r>
      <w:r w:rsidR="00B96693">
        <w:t xml:space="preserve">the annual report. </w:t>
      </w:r>
    </w:p>
    <w:p w14:paraId="01AC3308" w14:textId="496AB285" w:rsidR="00B96693" w:rsidRDefault="00B96693" w:rsidP="00A53E00">
      <w:pPr>
        <w:pStyle w:val="BodyText"/>
      </w:pPr>
      <w:r>
        <w:t>M</w:t>
      </w:r>
      <w:r w:rsidR="00F50E78">
        <w:t>any</w:t>
      </w:r>
      <w:r w:rsidR="00A53E00">
        <w:t xml:space="preserve"> of the respondents</w:t>
      </w:r>
      <w:r>
        <w:t xml:space="preserve"> who did not support the proposal </w:t>
      </w:r>
      <w:r w:rsidR="00F50E78">
        <w:t xml:space="preserve">(12 of the 18) </w:t>
      </w:r>
      <w:r>
        <w:t xml:space="preserve">supported including climate information in the annual report to foster engagement with shareholders and investors, but not as a standalone report. The main </w:t>
      </w:r>
      <w:r w:rsidR="0076681D">
        <w:t xml:space="preserve">reason </w:t>
      </w:r>
      <w:r w:rsidR="00677D22">
        <w:t>given</w:t>
      </w:r>
      <w:r>
        <w:t xml:space="preserve"> was</w:t>
      </w:r>
      <w:r w:rsidR="00677D22">
        <w:t xml:space="preserve"> to</w:t>
      </w:r>
      <w:r>
        <w:t xml:space="preserve"> ensure climate risk </w:t>
      </w:r>
      <w:r w:rsidR="003D499C">
        <w:t xml:space="preserve">was </w:t>
      </w:r>
      <w:r>
        <w:t>thought of alongside other business risks, not as a separ</w:t>
      </w:r>
      <w:r w:rsidR="00A53E00">
        <w:t>ate issue. A number of respondent</w:t>
      </w:r>
      <w:r>
        <w:t xml:space="preserve">s also </w:t>
      </w:r>
      <w:r w:rsidR="00051C3C">
        <w:t>argued climate disclosures should</w:t>
      </w:r>
      <w:r>
        <w:t xml:space="preserve"> align with integrated reporting</w:t>
      </w:r>
      <w:r w:rsidR="000054C9">
        <w:t>,</w:t>
      </w:r>
      <w:r>
        <w:t xml:space="preserve"> as a more holistic means </w:t>
      </w:r>
      <w:r w:rsidR="00A53E00">
        <w:t xml:space="preserve">of </w:t>
      </w:r>
      <w:r>
        <w:t xml:space="preserve">understanding the wider social and environmental context of decisions. </w:t>
      </w:r>
    </w:p>
    <w:p w14:paraId="462E6BF5" w14:textId="6CF16565" w:rsidR="00B96693" w:rsidRDefault="00B96693" w:rsidP="00A53E00">
      <w:pPr>
        <w:pStyle w:val="BodyText"/>
      </w:pPr>
      <w:r>
        <w:t xml:space="preserve">Both Vector and Guardians of New Zealand Superannuation noted climate disclosure is unlikely to change significantly year to year. Vector suggested only material changes each year should be included in annual reports to reduce repetition. </w:t>
      </w:r>
    </w:p>
    <w:p w14:paraId="7DF07CBB" w14:textId="1F9F1A28" w:rsidR="00B96693" w:rsidRDefault="00B96693" w:rsidP="00A53E00">
      <w:pPr>
        <w:pStyle w:val="BodyText"/>
      </w:pPr>
      <w:r>
        <w:t xml:space="preserve">One respondent supported disclosure in a stand-alone report, but not in the annual report, as they felt a wider scope of organisations should be included in the proposals, many of whom do not have annual reports. </w:t>
      </w:r>
    </w:p>
    <w:p w14:paraId="0DEE03E7" w14:textId="497F265D" w:rsidR="00CB4439" w:rsidRDefault="00A53E00" w:rsidP="00A53E00">
      <w:pPr>
        <w:pStyle w:val="BodyText"/>
      </w:pPr>
      <w:r>
        <w:t>Several respondent</w:t>
      </w:r>
      <w:r w:rsidR="00B96693">
        <w:t>s pointed out that asset managers and asset owners do not communicate with their stakeholders through annual reports or mainstream financial filings</w:t>
      </w:r>
      <w:r w:rsidR="00051C3C">
        <w:t xml:space="preserve"> (see Box 1)</w:t>
      </w:r>
      <w:r w:rsidR="00B96693">
        <w:t xml:space="preserve">. Three of these (Fund Managers Forum, Chapman Tripp </w:t>
      </w:r>
      <w:r w:rsidR="003D499C">
        <w:t xml:space="preserve">and the </w:t>
      </w:r>
      <w:r w:rsidR="00B96693">
        <w:t xml:space="preserve">McGuinness Institute) supported </w:t>
      </w:r>
      <w:r w:rsidR="00677D22">
        <w:t>appropriate</w:t>
      </w:r>
      <w:r w:rsidR="00B96693">
        <w:t xml:space="preserve"> entities including climate-related information in </w:t>
      </w:r>
      <w:r w:rsidR="00132097">
        <w:t xml:space="preserve">Statements of </w:t>
      </w:r>
      <w:r w:rsidR="00132097">
        <w:lastRenderedPageBreak/>
        <w:t>Investment Policy and O</w:t>
      </w:r>
      <w:r w:rsidR="00B96693" w:rsidRPr="00620097">
        <w:t>bjectives (SIPO</w:t>
      </w:r>
      <w:r w:rsidR="00B96693">
        <w:t>s</w:t>
      </w:r>
      <w:r w:rsidR="00B96693" w:rsidRPr="00620097">
        <w:t>)</w:t>
      </w:r>
      <w:r w:rsidR="005844BD">
        <w:t>.</w:t>
      </w:r>
      <w:r w:rsidR="00B96693">
        <w:t xml:space="preserve"> Milford Asset Management did not support this</w:t>
      </w:r>
      <w:r w:rsidR="00F10528">
        <w:t xml:space="preserve"> proposal</w:t>
      </w:r>
      <w:r w:rsidR="00B96693">
        <w:t xml:space="preserve"> </w:t>
      </w:r>
      <w:r w:rsidR="00B96693" w:rsidRPr="00620097">
        <w:t>unless the owner/manager ha</w:t>
      </w:r>
      <w:r w:rsidR="003D499C">
        <w:t>d</w:t>
      </w:r>
      <w:r w:rsidR="00B96693" w:rsidRPr="00620097">
        <w:t xml:space="preserve"> a specific ‘green’ fund with an</w:t>
      </w:r>
      <w:r w:rsidR="00B96693">
        <w:t xml:space="preserve"> ESG </w:t>
      </w:r>
      <w:r w:rsidR="00B96693" w:rsidRPr="00620097">
        <w:t>or impact focus.</w:t>
      </w:r>
    </w:p>
    <w:p w14:paraId="7F187308" w14:textId="77777777" w:rsidR="005844BD" w:rsidRDefault="005844BD" w:rsidP="005844BD">
      <w:pPr>
        <w:pStyle w:val="Heading3"/>
      </w:pPr>
      <w:bookmarkStart w:id="68" w:name="_Toc32847657"/>
      <w:r>
        <w:t xml:space="preserve">Q.26 </w:t>
      </w:r>
      <w:proofErr w:type="gramStart"/>
      <w:r>
        <w:t>What</w:t>
      </w:r>
      <w:proofErr w:type="gramEnd"/>
      <w:r>
        <w:t xml:space="preserve"> are your views about providing for disclosing entities to include cross-references or mappings within that report to assist users to find relevant information?</w:t>
      </w:r>
      <w:bookmarkEnd w:id="68"/>
    </w:p>
    <w:p w14:paraId="6801E9FF" w14:textId="7A99EB40" w:rsidR="00DE1AF2" w:rsidRDefault="00DE1AF2" w:rsidP="00DE1AF2">
      <w:pPr>
        <w:pStyle w:val="BodyText"/>
      </w:pPr>
      <w:r w:rsidRPr="00DE1AF2">
        <w:t>We receive</w:t>
      </w:r>
      <w:r>
        <w:t>d 3</w:t>
      </w:r>
      <w:r w:rsidR="00B56C78">
        <w:t>9</w:t>
      </w:r>
      <w:r>
        <w:t xml:space="preserve"> response</w:t>
      </w:r>
      <w:r w:rsidR="000054C9">
        <w:t xml:space="preserve">s to this question, </w:t>
      </w:r>
      <w:r w:rsidR="00677D22">
        <w:t>with</w:t>
      </w:r>
      <w:r w:rsidR="000054C9">
        <w:t xml:space="preserve"> </w:t>
      </w:r>
      <w:r w:rsidR="00B56C78">
        <w:t>82</w:t>
      </w:r>
      <w:r w:rsidR="000054C9">
        <w:t xml:space="preserve"> per cent</w:t>
      </w:r>
      <w:r>
        <w:t xml:space="preserve"> of respondents (</w:t>
      </w:r>
      <w:r w:rsidRPr="00DE1AF2">
        <w:t>3</w:t>
      </w:r>
      <w:r w:rsidR="00B56C78">
        <w:t>1</w:t>
      </w:r>
      <w:r>
        <w:t>)</w:t>
      </w:r>
      <w:r w:rsidRPr="00DE1AF2">
        <w:t xml:space="preserve"> favour</w:t>
      </w:r>
      <w:r w:rsidR="00677D22">
        <w:t>ing</w:t>
      </w:r>
      <w:r w:rsidRPr="00DE1AF2">
        <w:t xml:space="preserve"> cross-references or</w:t>
      </w:r>
      <w:r>
        <w:t xml:space="preserve"> mapping, while </w:t>
      </w:r>
      <w:r w:rsidR="00677D22">
        <w:t xml:space="preserve">3 </w:t>
      </w:r>
      <w:r>
        <w:t>respondents were against it. Two respondent</w:t>
      </w:r>
      <w:r w:rsidRPr="00DE1AF2">
        <w:t xml:space="preserve">s favoured </w:t>
      </w:r>
      <w:r w:rsidR="00B31ABE">
        <w:t>a more flexible</w:t>
      </w:r>
      <w:r w:rsidRPr="00DE1AF2">
        <w:t xml:space="preserve"> approach for reporting entities and three did not express a clear position. </w:t>
      </w:r>
    </w:p>
    <w:p w14:paraId="2C7AD1A6" w14:textId="32AE83CA" w:rsidR="00DE1AF2" w:rsidRDefault="00DE1AF2" w:rsidP="00DE1AF2">
      <w:pPr>
        <w:pStyle w:val="BodyText"/>
      </w:pPr>
      <w:r>
        <w:t xml:space="preserve">Those in favour of cross-referencing </w:t>
      </w:r>
      <w:r w:rsidR="00677D22">
        <w:t xml:space="preserve">argued </w:t>
      </w:r>
      <w:r>
        <w:t>it would e</w:t>
      </w:r>
      <w:r w:rsidR="000054C9">
        <w:t>nable deeper understanding (for example,</w:t>
      </w:r>
      <w:r>
        <w:t xml:space="preserve"> about </w:t>
      </w:r>
      <w:r w:rsidR="006E1D0D">
        <w:t xml:space="preserve">underlying </w:t>
      </w:r>
      <w:r>
        <w:t>assumptions</w:t>
      </w:r>
      <w:r w:rsidR="000054C9">
        <w:t xml:space="preserve"> of</w:t>
      </w:r>
      <w:r w:rsidR="006E1D0D">
        <w:t xml:space="preserve"> analysis</w:t>
      </w:r>
      <w:r>
        <w:t>) without increasing the volume of information in annual reports</w:t>
      </w:r>
      <w:r w:rsidR="003D499C">
        <w:t>. This would reduce</w:t>
      </w:r>
      <w:r>
        <w:t xml:space="preserve"> unnecessary duplication of information and enabl</w:t>
      </w:r>
      <w:r w:rsidR="003D499C">
        <w:t>e</w:t>
      </w:r>
      <w:r>
        <w:t xml:space="preserve"> better communication with </w:t>
      </w:r>
      <w:r w:rsidR="003D499C">
        <w:t xml:space="preserve">more </w:t>
      </w:r>
      <w:r>
        <w:t>stakeholders. Opinions differed</w:t>
      </w:r>
      <w:r w:rsidR="006867CE">
        <w:t xml:space="preserve"> on requirements</w:t>
      </w:r>
      <w:r w:rsidR="000054C9">
        <w:t>:</w:t>
      </w:r>
      <w:r w:rsidR="006867CE">
        <w:t xml:space="preserve"> some respondent</w:t>
      </w:r>
      <w:r>
        <w:t>s felt cross-referencing should be mandatory, whereas others felt it should be allowed. Most did not state a preference either way.</w:t>
      </w:r>
    </w:p>
    <w:p w14:paraId="7EC9AA5D" w14:textId="7CC49354" w:rsidR="00DE1AF2" w:rsidRDefault="00DE1AF2" w:rsidP="00CB3B82">
      <w:pPr>
        <w:pStyle w:val="BodyText"/>
      </w:pPr>
      <w:r>
        <w:t xml:space="preserve">CDP </w:t>
      </w:r>
      <w:r w:rsidR="003D499C">
        <w:t xml:space="preserve">and </w:t>
      </w:r>
      <w:r>
        <w:t>CDSB were against cross-referencing</w:t>
      </w:r>
      <w:r w:rsidR="003D499C">
        <w:t>,</w:t>
      </w:r>
      <w:r>
        <w:t xml:space="preserve"> however, </w:t>
      </w:r>
      <w:r w:rsidR="006E1D0D">
        <w:t>arguing</w:t>
      </w:r>
      <w:r>
        <w:t xml:space="preserve"> </w:t>
      </w:r>
      <w:r w:rsidR="00542D4D">
        <w:t>any additional content, such as a mapping table, would add length to already long reports.</w:t>
      </w:r>
      <w:r w:rsidR="000054C9">
        <w:t xml:space="preserve"> Therefore,</w:t>
      </w:r>
      <w:r>
        <w:t xml:space="preserve"> </w:t>
      </w:r>
      <w:r w:rsidR="000054C9">
        <w:t xml:space="preserve">cross-referencing </w:t>
      </w:r>
      <w:r>
        <w:t xml:space="preserve">would not improve </w:t>
      </w:r>
      <w:r w:rsidR="003D499C">
        <w:t xml:space="preserve">the reports usefulness for decision-making. </w:t>
      </w:r>
      <w:r w:rsidR="00DB4F0B">
        <w:t xml:space="preserve">CPA </w:t>
      </w:r>
      <w:r>
        <w:t>Australia and IAG, while in favour of the approach, noted cross</w:t>
      </w:r>
      <w:r w:rsidR="009F153B">
        <w:t>-</w:t>
      </w:r>
      <w:r>
        <w:t xml:space="preserve">referencing should not undermine the coherence of the information disclosed in mainstream filings. </w:t>
      </w:r>
    </w:p>
    <w:p w14:paraId="1999A28E" w14:textId="54A8361D" w:rsidR="00DE1AF2" w:rsidRDefault="00DE1AF2" w:rsidP="00CB3B82">
      <w:pPr>
        <w:pStyle w:val="BodyText"/>
      </w:pPr>
      <w:r>
        <w:t>Other reasons for not</w:t>
      </w:r>
      <w:r w:rsidR="00CB3B82">
        <w:t xml:space="preserve"> including cross-referencing </w:t>
      </w:r>
      <w:r w:rsidR="00466405">
        <w:t xml:space="preserve">were that </w:t>
      </w:r>
      <w:r w:rsidR="00CB3B82">
        <w:t xml:space="preserve">it is </w:t>
      </w:r>
      <w:r w:rsidR="006E1D0D">
        <w:t xml:space="preserve">not common practice </w:t>
      </w:r>
      <w:r w:rsidR="00CB3B82">
        <w:t xml:space="preserve">within </w:t>
      </w:r>
      <w:r>
        <w:t xml:space="preserve">financial statements and may cause greater confusion for users of annual reports. </w:t>
      </w:r>
    </w:p>
    <w:p w14:paraId="35FDE34D" w14:textId="77777777" w:rsidR="00CB3B82" w:rsidRDefault="00CB3B82" w:rsidP="00CB3B82">
      <w:pPr>
        <w:pStyle w:val="Heading3"/>
      </w:pPr>
      <w:bookmarkStart w:id="69" w:name="_Toc32847658"/>
      <w:r w:rsidRPr="009E6FDD">
        <w:t xml:space="preserve">Q.27 </w:t>
      </w:r>
      <w:proofErr w:type="gramStart"/>
      <w:r w:rsidRPr="009E6FDD">
        <w:t>What</w:t>
      </w:r>
      <w:proofErr w:type="gramEnd"/>
      <w:r w:rsidRPr="009E6FDD">
        <w:t xml:space="preserve"> are your views about requiring explanations for non-compliance to be included in the annual report?</w:t>
      </w:r>
      <w:bookmarkEnd w:id="69"/>
    </w:p>
    <w:p w14:paraId="6805BFE9" w14:textId="7CE2A80B" w:rsidR="00CB3B82" w:rsidRDefault="00CB3B82" w:rsidP="00D77003">
      <w:pPr>
        <w:pStyle w:val="BodyText"/>
      </w:pPr>
      <w:r>
        <w:t>We received 3</w:t>
      </w:r>
      <w:r w:rsidR="00B56C78">
        <w:t>8</w:t>
      </w:r>
      <w:r>
        <w:t xml:space="preserve"> response</w:t>
      </w:r>
      <w:r w:rsidR="000054C9">
        <w:t xml:space="preserve">s to this question, </w:t>
      </w:r>
      <w:r w:rsidR="004B0B11">
        <w:t>with</w:t>
      </w:r>
      <w:r w:rsidR="000054C9">
        <w:t xml:space="preserve"> 92 per cent</w:t>
      </w:r>
      <w:r w:rsidR="004B0B11">
        <w:t xml:space="preserve"> of respondents (3</w:t>
      </w:r>
      <w:r w:rsidR="00F47F3A">
        <w:t>5</w:t>
      </w:r>
      <w:r w:rsidR="004B0B11">
        <w:t>) agreeing</w:t>
      </w:r>
      <w:r>
        <w:t xml:space="preserve"> reasons for not disclosing should be explained</w:t>
      </w:r>
      <w:r w:rsidR="006E1D0D">
        <w:t xml:space="preserve"> (also see Q</w:t>
      </w:r>
      <w:r w:rsidR="005473D6">
        <w:t>.</w:t>
      </w:r>
      <w:r w:rsidR="006E1D0D">
        <w:t>18)</w:t>
      </w:r>
      <w:r>
        <w:t xml:space="preserve">. </w:t>
      </w:r>
      <w:r w:rsidR="004B0B11">
        <w:t xml:space="preserve">Three </w:t>
      </w:r>
      <w:r>
        <w:t xml:space="preserve">respondents noted explanations should be included in the same place as disclosure (which may be financial reports). </w:t>
      </w:r>
    </w:p>
    <w:p w14:paraId="3FA03DAA" w14:textId="2CB980E8" w:rsidR="00CB3B82" w:rsidRDefault="00D77003" w:rsidP="00D77003">
      <w:pPr>
        <w:pStyle w:val="BodyText"/>
      </w:pPr>
      <w:r>
        <w:t xml:space="preserve">A few responses </w:t>
      </w:r>
      <w:r w:rsidR="004B0B11">
        <w:t xml:space="preserve">argued </w:t>
      </w:r>
      <w:r>
        <w:t xml:space="preserve">not disclosing is </w:t>
      </w:r>
      <w:r w:rsidRPr="000054C9">
        <w:rPr>
          <w:rStyle w:val="Emphasis"/>
        </w:rPr>
        <w:t>not</w:t>
      </w:r>
      <w:r>
        <w:t xml:space="preserve"> the same as non-compliance under a comply-or-explain system. Explanations could include information on why climate-related risks are not material, timeframes over which the assessment was made, and the process for identifying risks. However, there should be a way of flagging when those explanations are </w:t>
      </w:r>
      <w:r w:rsidR="00380711">
        <w:t>unsatisfactory</w:t>
      </w:r>
      <w:r>
        <w:t>.</w:t>
      </w:r>
      <w:r w:rsidR="004B0B11">
        <w:t xml:space="preserve"> </w:t>
      </w:r>
      <w:r>
        <w:t>Some respondents suggested o</w:t>
      </w:r>
      <w:r w:rsidR="00CB3B82">
        <w:t>rganisations unable to report should be required to identify a timetable for compliance</w:t>
      </w:r>
      <w:r>
        <w:t>.</w:t>
      </w:r>
    </w:p>
    <w:p w14:paraId="016A6B71" w14:textId="77777777" w:rsidR="00D77003" w:rsidRPr="00D77003" w:rsidRDefault="00D77003" w:rsidP="00D77003">
      <w:pPr>
        <w:pStyle w:val="BodyText"/>
        <w:rPr>
          <w:rStyle w:val="Heading3Char"/>
        </w:rPr>
      </w:pPr>
      <w:bookmarkStart w:id="70" w:name="_Toc32847659"/>
      <w:r w:rsidRPr="00D77003">
        <w:rPr>
          <w:rStyle w:val="Heading3Char"/>
        </w:rPr>
        <w:t xml:space="preserve">Q.28 </w:t>
      </w:r>
      <w:proofErr w:type="gramStart"/>
      <w:r w:rsidRPr="00D77003">
        <w:rPr>
          <w:rStyle w:val="Heading3Char"/>
        </w:rPr>
        <w:t>Should</w:t>
      </w:r>
      <w:proofErr w:type="gramEnd"/>
      <w:r w:rsidRPr="00D77003">
        <w:rPr>
          <w:rStyle w:val="Heading3Char"/>
        </w:rPr>
        <w:t xml:space="preserve"> there be mandatory assurance in relation to climate-related financial disclosures?</w:t>
      </w:r>
      <w:bookmarkEnd w:id="70"/>
    </w:p>
    <w:p w14:paraId="6AA888DE" w14:textId="37C373CB" w:rsidR="00D77003" w:rsidRPr="00963026" w:rsidRDefault="00D77003" w:rsidP="00963026">
      <w:pPr>
        <w:pStyle w:val="BodyText"/>
      </w:pPr>
      <w:r w:rsidRPr="00963026">
        <w:t>We received 5</w:t>
      </w:r>
      <w:r w:rsidR="00F47F3A">
        <w:t>3</w:t>
      </w:r>
      <w:r w:rsidRPr="00963026">
        <w:t xml:space="preserve"> responses to this question. </w:t>
      </w:r>
      <w:r w:rsidR="00466405">
        <w:t xml:space="preserve">Most </w:t>
      </w:r>
      <w:r w:rsidR="00963026" w:rsidRPr="00963026">
        <w:t xml:space="preserve">respondents acknowledged limitations in the </w:t>
      </w:r>
      <w:r w:rsidR="00B856AF">
        <w:t xml:space="preserve">assurance </w:t>
      </w:r>
      <w:r w:rsidR="00963026" w:rsidRPr="00963026">
        <w:t xml:space="preserve">sector, including lack of capability and expertise, and the fact qualitative and forward-looking disclosures are challenging to assure. </w:t>
      </w:r>
      <w:r w:rsidR="00B856AF">
        <w:t>For</w:t>
      </w:r>
      <w:r w:rsidR="00B856AF" w:rsidRPr="00963026">
        <w:t xml:space="preserve"> </w:t>
      </w:r>
      <w:r w:rsidR="00963026" w:rsidRPr="00963026">
        <w:t xml:space="preserve">these reasons, 20 respondents felt </w:t>
      </w:r>
      <w:r w:rsidR="00963026" w:rsidRPr="00963026">
        <w:lastRenderedPageBreak/>
        <w:t xml:space="preserve">mandatory assurance should be introduced (or revisited) in the future (see </w:t>
      </w:r>
      <w:r w:rsidR="005271CB">
        <w:t>Q</w:t>
      </w:r>
      <w:r w:rsidR="005473D6">
        <w:t>.</w:t>
      </w:r>
      <w:r w:rsidR="00963026" w:rsidRPr="00963026">
        <w:t>32). These</w:t>
      </w:r>
      <w:r w:rsidR="00B856AF">
        <w:t xml:space="preserve"> were the same</w:t>
      </w:r>
      <w:r w:rsidR="00963026" w:rsidRPr="00963026">
        <w:t xml:space="preserve"> reasons given by </w:t>
      </w:r>
      <w:r w:rsidR="00B856AF">
        <w:t>the seven</w:t>
      </w:r>
      <w:r w:rsidR="00963026" w:rsidRPr="00963026">
        <w:t xml:space="preserve"> respondents who felt there should be no mandatory assurance.</w:t>
      </w:r>
    </w:p>
    <w:p w14:paraId="5E979D0A" w14:textId="28AF4F0C" w:rsidR="00D77003" w:rsidRPr="00963026" w:rsidRDefault="00466405" w:rsidP="00963026">
      <w:pPr>
        <w:pStyle w:val="BodyText"/>
      </w:pPr>
      <w:r>
        <w:t>Twenty-one</w:t>
      </w:r>
      <w:r w:rsidRPr="00963026">
        <w:t xml:space="preserve"> </w:t>
      </w:r>
      <w:r w:rsidR="00CC4604" w:rsidRPr="00963026">
        <w:t>r</w:t>
      </w:r>
      <w:r w:rsidR="00D77003" w:rsidRPr="00963026">
        <w:t>espondent</w:t>
      </w:r>
      <w:r w:rsidR="00E02635" w:rsidRPr="00963026">
        <w:t>s supported mandatory assu</w:t>
      </w:r>
      <w:r w:rsidR="00FB06F2">
        <w:t>rance for the reasons below.</w:t>
      </w:r>
    </w:p>
    <w:p w14:paraId="79707F9E" w14:textId="77777777" w:rsidR="00E02635" w:rsidRDefault="00E02635" w:rsidP="00857B90">
      <w:pPr>
        <w:pStyle w:val="Bullet"/>
      </w:pPr>
      <w:r>
        <w:t>Any information contained within financial reporting should be subject to an audit and assurance process, otherwise market confidence in the credibility of disclosed information</w:t>
      </w:r>
      <w:r w:rsidR="00F50340">
        <w:t xml:space="preserve"> would be damaged</w:t>
      </w:r>
      <w:r>
        <w:t xml:space="preserve">. </w:t>
      </w:r>
    </w:p>
    <w:p w14:paraId="6BDCBB52" w14:textId="77777777" w:rsidR="00E02635" w:rsidRDefault="00E02635" w:rsidP="00857B90">
      <w:pPr>
        <w:pStyle w:val="Bullet"/>
      </w:pPr>
      <w:r>
        <w:t xml:space="preserve">Not requiring assurance could imply </w:t>
      </w:r>
      <w:r w:rsidR="000054C9">
        <w:t>that</w:t>
      </w:r>
      <w:r>
        <w:t xml:space="preserve"> climate-related information</w:t>
      </w:r>
      <w:r w:rsidR="00B856AF">
        <w:t xml:space="preserve"> is of secondary importance</w:t>
      </w:r>
      <w:r>
        <w:t>.</w:t>
      </w:r>
    </w:p>
    <w:p w14:paraId="0E0B1A6D" w14:textId="46F50A00" w:rsidR="004B0B11" w:rsidRDefault="00E02635" w:rsidP="00857B90">
      <w:pPr>
        <w:pStyle w:val="Bullet"/>
      </w:pPr>
      <w:r>
        <w:t xml:space="preserve">Three respondents (OAG, CA ANZ &amp; McGuinness Institute) noted climate-related financial information </w:t>
      </w:r>
      <w:r w:rsidR="00466405">
        <w:t xml:space="preserve">could, </w:t>
      </w:r>
      <w:r>
        <w:t>arguably</w:t>
      </w:r>
      <w:r w:rsidR="00466405">
        <w:t>,</w:t>
      </w:r>
      <w:r>
        <w:t xml:space="preserve"> already be assured under current assurance s</w:t>
      </w:r>
      <w:r w:rsidR="004B0B11">
        <w:t>tandards.</w:t>
      </w:r>
    </w:p>
    <w:p w14:paraId="5B016EC9" w14:textId="39145B97" w:rsidR="00963026" w:rsidRDefault="00963026" w:rsidP="004B0B11">
      <w:pPr>
        <w:pStyle w:val="BodyText"/>
      </w:pPr>
      <w:r>
        <w:t xml:space="preserve">The remaining </w:t>
      </w:r>
      <w:r w:rsidR="00B856AF">
        <w:t>five</w:t>
      </w:r>
      <w:r w:rsidR="00D77003">
        <w:t xml:space="preserve"> respondents did not specify a clear ‘yes’ or ‘no’ answer.</w:t>
      </w:r>
      <w:r w:rsidR="004B0B11">
        <w:t xml:space="preserve"> </w:t>
      </w:r>
      <w:r>
        <w:t>Three respondents</w:t>
      </w:r>
      <w:r w:rsidR="00B13063">
        <w:t xml:space="preserve"> recommended the </w:t>
      </w:r>
      <w:r w:rsidR="00466405">
        <w:t>G</w:t>
      </w:r>
      <w:r w:rsidR="00B13063">
        <w:t>overnment s</w:t>
      </w:r>
      <w:r>
        <w:t>upport voluntary assurance,</w:t>
      </w:r>
      <w:r w:rsidR="00B13063">
        <w:t xml:space="preserve"> while signalling</w:t>
      </w:r>
      <w:r>
        <w:t xml:space="preserve"> that mandatory assurance will be introduced in the future to incentivise the market</w:t>
      </w:r>
      <w:r w:rsidR="00383964">
        <w:t>’</w:t>
      </w:r>
      <w:r w:rsidR="00B13063">
        <w:t xml:space="preserve">s </w:t>
      </w:r>
      <w:r>
        <w:t>develop</w:t>
      </w:r>
      <w:r w:rsidR="00B13063">
        <w:t>ment of</w:t>
      </w:r>
      <w:r>
        <w:t xml:space="preserve"> assurance products (IGCC, PwC, N</w:t>
      </w:r>
      <w:r w:rsidR="00B856AF">
        <w:t xml:space="preserve">ew </w:t>
      </w:r>
      <w:r>
        <w:t>Z</w:t>
      </w:r>
      <w:r w:rsidR="00B856AF">
        <w:t xml:space="preserve">ealand </w:t>
      </w:r>
      <w:r>
        <w:t>B</w:t>
      </w:r>
      <w:r w:rsidR="00B856AF">
        <w:t xml:space="preserve">ankers’ </w:t>
      </w:r>
      <w:r>
        <w:t>A</w:t>
      </w:r>
      <w:r w:rsidR="00B856AF">
        <w:t>ssociation</w:t>
      </w:r>
      <w:r>
        <w:t>).</w:t>
      </w:r>
      <w:r w:rsidR="00CD08D9">
        <w:t xml:space="preserve"> </w:t>
      </w:r>
    </w:p>
    <w:p w14:paraId="6103EEC8" w14:textId="2AA56409" w:rsidR="00D77003" w:rsidRDefault="00D77003" w:rsidP="00B13063">
      <w:pPr>
        <w:pStyle w:val="BodyText"/>
      </w:pPr>
      <w:r>
        <w:t xml:space="preserve">A number of respondents also </w:t>
      </w:r>
      <w:r w:rsidR="00A92D0D">
        <w:t xml:space="preserve">stated </w:t>
      </w:r>
      <w:r>
        <w:t>m</w:t>
      </w:r>
      <w:r w:rsidR="00B13063">
        <w:t xml:space="preserve">any of the </w:t>
      </w:r>
      <w:r>
        <w:t>entities in</w:t>
      </w:r>
      <w:r w:rsidR="00B13063">
        <w:t xml:space="preserve"> the proposed</w:t>
      </w:r>
      <w:r>
        <w:t xml:space="preserve"> scope </w:t>
      </w:r>
      <w:r w:rsidR="00466405">
        <w:t xml:space="preserve">were </w:t>
      </w:r>
      <w:r w:rsidR="00B13063">
        <w:t>not</w:t>
      </w:r>
      <w:r>
        <w:t xml:space="preserve"> currently </w:t>
      </w:r>
      <w:r w:rsidR="00B13063">
        <w:t xml:space="preserve">required </w:t>
      </w:r>
      <w:r>
        <w:t>to produce audited</w:t>
      </w:r>
      <w:r w:rsidR="00466405">
        <w:t>,</w:t>
      </w:r>
      <w:r>
        <w:t xml:space="preserve"> financial statements</w:t>
      </w:r>
      <w:r w:rsidR="00B13063">
        <w:t>. As a result, two respondents</w:t>
      </w:r>
      <w:r>
        <w:t xml:space="preserve"> suggested only those reports currently subject to mandatory assurance should be </w:t>
      </w:r>
      <w:r w:rsidR="00383964">
        <w:t xml:space="preserve">captured </w:t>
      </w:r>
      <w:r>
        <w:t xml:space="preserve">under this proposal. </w:t>
      </w:r>
    </w:p>
    <w:p w14:paraId="6EEC5FB8" w14:textId="37BEB652" w:rsidR="00D77003" w:rsidRDefault="00B31ABE" w:rsidP="00492C68">
      <w:pPr>
        <w:pStyle w:val="BodyText"/>
      </w:pPr>
      <w:r>
        <w:t xml:space="preserve">A </w:t>
      </w:r>
      <w:r w:rsidR="00466405">
        <w:t xml:space="preserve">significant </w:t>
      </w:r>
      <w:r>
        <w:t xml:space="preserve">point raised here was that </w:t>
      </w:r>
      <w:r w:rsidR="00466405">
        <w:t xml:space="preserve">the </w:t>
      </w:r>
      <w:r>
        <w:t xml:space="preserve">Government must consider </w:t>
      </w:r>
      <w:r w:rsidR="00466405">
        <w:t>attributing</w:t>
      </w:r>
      <w:r w:rsidR="00D77003" w:rsidRPr="004B0B11">
        <w:t xml:space="preserve"> reasonable share of liabil</w:t>
      </w:r>
      <w:r>
        <w:t xml:space="preserve">ity for material </w:t>
      </w:r>
      <w:proofErr w:type="spellStart"/>
      <w:r>
        <w:t>mis</w:t>
      </w:r>
      <w:proofErr w:type="spellEnd"/>
      <w:r w:rsidR="00E97F0D">
        <w:t>-</w:t>
      </w:r>
      <w:r>
        <w:t>statements, noting that reporting on forward-looking scenarios should not be seen as a projection and therefore should not result in liability.</w:t>
      </w:r>
    </w:p>
    <w:p w14:paraId="7D2119B7" w14:textId="77777777" w:rsidR="00D77003" w:rsidRDefault="00725DE9" w:rsidP="00725DE9">
      <w:pPr>
        <w:pStyle w:val="Heading3"/>
      </w:pPr>
      <w:bookmarkStart w:id="71" w:name="_Toc32847660"/>
      <w:r>
        <w:t xml:space="preserve">Q.29 </w:t>
      </w:r>
      <w:proofErr w:type="gramStart"/>
      <w:r>
        <w:t>What</w:t>
      </w:r>
      <w:proofErr w:type="gramEnd"/>
      <w:r>
        <w:t xml:space="preserve"> classes of information should be subject to assurance if it were to be mandatory?</w:t>
      </w:r>
      <w:bookmarkEnd w:id="71"/>
    </w:p>
    <w:p w14:paraId="79E475B1" w14:textId="72C63FC9" w:rsidR="005271CB" w:rsidRDefault="00725DE9" w:rsidP="003B12BA">
      <w:pPr>
        <w:pStyle w:val="BodyText"/>
      </w:pPr>
      <w:r>
        <w:t>We received 2</w:t>
      </w:r>
      <w:r w:rsidR="00F47F3A">
        <w:t>8</w:t>
      </w:r>
      <w:r>
        <w:t xml:space="preserve"> responses to this question. </w:t>
      </w:r>
      <w:r w:rsidR="005271CB">
        <w:t>A majority of respondents (15) felt the ‘metrics and targets’ element of TCFD reporting could be assured as the only quantitative measure</w:t>
      </w:r>
      <w:r w:rsidR="00466405">
        <w:t>. B</w:t>
      </w:r>
      <w:r w:rsidR="005271CB">
        <w:t xml:space="preserve">y </w:t>
      </w:r>
      <w:r w:rsidR="00791F0A">
        <w:t>and</w:t>
      </w:r>
      <w:r w:rsidR="005271CB">
        <w:t xml:space="preserve"> large, these responses specifically </w:t>
      </w:r>
      <w:r w:rsidR="00791F0A">
        <w:t xml:space="preserve">referred </w:t>
      </w:r>
      <w:r w:rsidR="005271CB">
        <w:t xml:space="preserve">to </w:t>
      </w:r>
      <w:r w:rsidR="00466405">
        <w:t xml:space="preserve">greenhouse gas </w:t>
      </w:r>
      <w:r w:rsidR="005271CB">
        <w:t>emissions (see Q</w:t>
      </w:r>
      <w:r w:rsidR="005473D6">
        <w:t>.</w:t>
      </w:r>
      <w:r w:rsidR="005271CB">
        <w:t xml:space="preserve">30). Three respondents felt all classes of information in the TCFD should be subject to mandatory assurance. </w:t>
      </w:r>
    </w:p>
    <w:p w14:paraId="4C83FD03" w14:textId="77777777" w:rsidR="005271CB" w:rsidRDefault="005271CB" w:rsidP="003B12BA">
      <w:pPr>
        <w:pStyle w:val="BodyText"/>
      </w:pPr>
      <w:r>
        <w:t xml:space="preserve">The remaining responses were </w:t>
      </w:r>
      <w:r w:rsidR="001F161A">
        <w:t>more fragmented</w:t>
      </w:r>
      <w:r>
        <w:t xml:space="preserve">. </w:t>
      </w:r>
      <w:r w:rsidR="0076054E">
        <w:t>Other</w:t>
      </w:r>
      <w:r w:rsidR="003B12BA">
        <w:t xml:space="preserve"> </w:t>
      </w:r>
      <w:r w:rsidR="009D7D42">
        <w:t xml:space="preserve">suggested </w:t>
      </w:r>
      <w:r w:rsidR="003B12BA">
        <w:t xml:space="preserve">areas for assurance included: </w:t>
      </w:r>
    </w:p>
    <w:p w14:paraId="7E8E43B6" w14:textId="77777777" w:rsidR="003B12BA" w:rsidRDefault="0076054E" w:rsidP="00857B90">
      <w:pPr>
        <w:pStyle w:val="Bullet"/>
      </w:pPr>
      <w:r>
        <w:t>i</w:t>
      </w:r>
      <w:r w:rsidR="003B12BA">
        <w:t>nputs and assumptions around scenario analysis</w:t>
      </w:r>
    </w:p>
    <w:p w14:paraId="32C8A557" w14:textId="77777777" w:rsidR="003B12BA" w:rsidRDefault="0076054E" w:rsidP="00857B90">
      <w:pPr>
        <w:pStyle w:val="Bullet"/>
      </w:pPr>
      <w:r>
        <w:t>p</w:t>
      </w:r>
      <w:r w:rsidR="003B12BA">
        <w:t>otential liabilities arising from physical or insurable risks</w:t>
      </w:r>
    </w:p>
    <w:p w14:paraId="567BB6C6" w14:textId="77777777" w:rsidR="003B12BA" w:rsidRDefault="0076054E" w:rsidP="00857B90">
      <w:pPr>
        <w:pStyle w:val="Bullet"/>
      </w:pPr>
      <w:r>
        <w:t>c</w:t>
      </w:r>
      <w:r w:rsidR="003B12BA">
        <w:t>omparison of identified risks against comparable entities</w:t>
      </w:r>
    </w:p>
    <w:p w14:paraId="631F9E4C" w14:textId="77777777" w:rsidR="003B12BA" w:rsidRDefault="0076054E" w:rsidP="00857B90">
      <w:pPr>
        <w:pStyle w:val="Bullet"/>
      </w:pPr>
      <w:r>
        <w:t>d</w:t>
      </w:r>
      <w:r w:rsidR="003B12BA">
        <w:t>ata sources, processes and methodologies</w:t>
      </w:r>
    </w:p>
    <w:p w14:paraId="4F08B7AE" w14:textId="77777777" w:rsidR="003B12BA" w:rsidRDefault="0076054E" w:rsidP="00857B90">
      <w:pPr>
        <w:pStyle w:val="Bullet"/>
      </w:pPr>
      <w:r>
        <w:t>e</w:t>
      </w:r>
      <w:r w:rsidR="003B12BA">
        <w:t>ffectiveness of governance arrangements</w:t>
      </w:r>
    </w:p>
    <w:p w14:paraId="1C7B6189" w14:textId="35395AB3" w:rsidR="003B12BA" w:rsidRDefault="0076054E" w:rsidP="00857B90">
      <w:pPr>
        <w:pStyle w:val="Bullet"/>
      </w:pPr>
      <w:r>
        <w:t>p</w:t>
      </w:r>
      <w:r w:rsidR="003B12BA">
        <w:t xml:space="preserve">rogress against meeting </w:t>
      </w:r>
      <w:r w:rsidR="00466405">
        <w:t xml:space="preserve">greenhouse gas </w:t>
      </w:r>
      <w:r w:rsidR="003B12BA">
        <w:t>emission</w:t>
      </w:r>
      <w:r w:rsidR="00466405">
        <w:t>s</w:t>
      </w:r>
      <w:r w:rsidR="003B12BA">
        <w:t xml:space="preserve"> reduction targets</w:t>
      </w:r>
    </w:p>
    <w:p w14:paraId="445977A5" w14:textId="77777777" w:rsidR="00725DE9" w:rsidRDefault="0076054E" w:rsidP="00857B90">
      <w:pPr>
        <w:pStyle w:val="Bullet"/>
      </w:pPr>
      <w:proofErr w:type="gramStart"/>
      <w:r>
        <w:t>a</w:t>
      </w:r>
      <w:r w:rsidR="003B12BA">
        <w:t>ny</w:t>
      </w:r>
      <w:proofErr w:type="gramEnd"/>
      <w:r w:rsidR="003B12BA">
        <w:t xml:space="preserve"> information that is financially material</w:t>
      </w:r>
      <w:r>
        <w:t>.</w:t>
      </w:r>
    </w:p>
    <w:p w14:paraId="374FDB98" w14:textId="7FF1BC5A" w:rsidR="00260566" w:rsidRDefault="00725DE9" w:rsidP="00E97F0D">
      <w:pPr>
        <w:pStyle w:val="BodyText"/>
        <w:spacing w:after="240"/>
      </w:pPr>
      <w:r>
        <w:lastRenderedPageBreak/>
        <w:t>O</w:t>
      </w:r>
      <w:r w:rsidR="003B12BA">
        <w:t>ne respondent noted</w:t>
      </w:r>
      <w:r>
        <w:t xml:space="preserve"> assurance of qualitative data could only be useful if the Government provided guidance on minimum expectations for each TCFD recommendation. </w:t>
      </w:r>
    </w:p>
    <w:tbl>
      <w:tblPr>
        <w:tblStyle w:val="TableGrid"/>
        <w:tblW w:w="8351" w:type="dxa"/>
        <w:tblInd w:w="-5" w:type="dxa"/>
        <w:tblLook w:val="04A0" w:firstRow="1" w:lastRow="0" w:firstColumn="1" w:lastColumn="0" w:noHBand="0" w:noVBand="1"/>
      </w:tblPr>
      <w:tblGrid>
        <w:gridCol w:w="8351"/>
      </w:tblGrid>
      <w:tr w:rsidR="00260566" w:rsidRPr="006B77BB" w14:paraId="471A182E" w14:textId="77777777" w:rsidTr="00E97F0D">
        <w:trPr>
          <w:trHeight w:val="2311"/>
        </w:trPr>
        <w:tc>
          <w:tcPr>
            <w:tcW w:w="8351" w:type="dxa"/>
            <w:shd w:val="clear" w:color="auto" w:fill="1C556C"/>
            <w:vAlign w:val="center"/>
          </w:tcPr>
          <w:p w14:paraId="0DA82A37" w14:textId="77777777" w:rsidR="00260566" w:rsidRDefault="00260566" w:rsidP="00C852CD">
            <w:pPr>
              <w:pStyle w:val="BodyText"/>
              <w:ind w:left="284" w:right="284"/>
              <w:rPr>
                <w:color w:val="FFFFFF" w:themeColor="background1"/>
                <w:szCs w:val="24"/>
              </w:rPr>
            </w:pPr>
            <w:r w:rsidRPr="007D294B">
              <w:rPr>
                <w:color w:val="FFFFFF" w:themeColor="background1"/>
                <w:szCs w:val="24"/>
              </w:rPr>
              <w:sym w:font="Webdings" w:char="F038"/>
            </w:r>
            <w:r w:rsidRPr="0076054E">
              <w:rPr>
                <w:color w:val="FFFFFF" w:themeColor="background1"/>
              </w:rPr>
              <w:t xml:space="preserve"> The TCFD Recommendations are very flexible, so the value of this type of additional assurance would be questionable. For example, if it was disclosed that boards are informed on climate risks every three years, this would be adequate to meet the TCFD Recommendations and would therefore not be a finding in an assurance engagement, but this frequency would not be sufficient to meet the expectations of stakeholders. Therefore, this assurance is not useful. Assurance over other elements in TCFD disclosures would be useful if the Government (or other interest group) provided guidance on the minimum expectations for each TCFD Recommendation. Assurance could then be provided against this guidance.</w:t>
            </w:r>
            <w:r w:rsidRPr="007D294B">
              <w:rPr>
                <w:color w:val="FFFFFF" w:themeColor="background1"/>
                <w:szCs w:val="24"/>
              </w:rPr>
              <w:t xml:space="preserve"> </w:t>
            </w:r>
            <w:r w:rsidRPr="006B77BB">
              <w:rPr>
                <w:color w:val="FFFFFF" w:themeColor="background1"/>
                <w:szCs w:val="24"/>
              </w:rPr>
              <w:sym w:font="Webdings" w:char="F037"/>
            </w:r>
          </w:p>
          <w:p w14:paraId="07684B36" w14:textId="7B7BF0AE" w:rsidR="00260566" w:rsidRPr="00E97F0D" w:rsidRDefault="00260566" w:rsidP="00183BF6">
            <w:pPr>
              <w:pStyle w:val="BodyText"/>
              <w:numPr>
                <w:ilvl w:val="0"/>
                <w:numId w:val="18"/>
              </w:numPr>
              <w:ind w:left="604" w:right="284" w:hanging="244"/>
              <w:rPr>
                <w:i/>
                <w:color w:val="FFFFFF" w:themeColor="background1"/>
              </w:rPr>
            </w:pPr>
            <w:r w:rsidRPr="00E97F0D">
              <w:rPr>
                <w:i/>
                <w:color w:val="FFFFFF" w:themeColor="background1"/>
                <w:szCs w:val="24"/>
              </w:rPr>
              <w:t>EY</w:t>
            </w:r>
          </w:p>
        </w:tc>
      </w:tr>
    </w:tbl>
    <w:p w14:paraId="4F1E7414" w14:textId="77777777" w:rsidR="003B12BA" w:rsidRDefault="003B12BA" w:rsidP="003B12BA">
      <w:pPr>
        <w:pStyle w:val="Heading3"/>
      </w:pPr>
      <w:bookmarkStart w:id="72" w:name="_Toc32847661"/>
      <w:r w:rsidRPr="003D548F">
        <w:t>Q.30 Do you consider that assurance should be required in relation to GHG emissions disclosures?</w:t>
      </w:r>
      <w:bookmarkEnd w:id="72"/>
    </w:p>
    <w:p w14:paraId="5E57F529" w14:textId="66C93A2C" w:rsidR="003B12BA" w:rsidRPr="002769FD" w:rsidRDefault="003B12BA" w:rsidP="002769FD">
      <w:pPr>
        <w:pStyle w:val="BodyText"/>
      </w:pPr>
      <w:r w:rsidRPr="002769FD">
        <w:t>We received 2</w:t>
      </w:r>
      <w:r w:rsidR="00F47F3A">
        <w:t>9</w:t>
      </w:r>
      <w:r w:rsidRPr="002769FD">
        <w:t xml:space="preserve"> response</w:t>
      </w:r>
      <w:r w:rsidR="000054C9">
        <w:t xml:space="preserve">s to this question, </w:t>
      </w:r>
      <w:r w:rsidR="00482676">
        <w:t>with</w:t>
      </w:r>
      <w:r w:rsidR="000054C9">
        <w:t xml:space="preserve"> 8</w:t>
      </w:r>
      <w:r w:rsidR="00F47F3A">
        <w:t>3</w:t>
      </w:r>
      <w:r w:rsidR="000054C9">
        <w:t xml:space="preserve"> per cent</w:t>
      </w:r>
      <w:r w:rsidR="00482676">
        <w:t xml:space="preserve"> of respondents (2</w:t>
      </w:r>
      <w:r w:rsidR="00F47F3A">
        <w:t>4</w:t>
      </w:r>
      <w:r w:rsidR="00482676">
        <w:t xml:space="preserve">) supporting </w:t>
      </w:r>
      <w:r w:rsidRPr="002769FD">
        <w:t xml:space="preserve">assurance </w:t>
      </w:r>
      <w:r w:rsidR="00466405">
        <w:t>for greenhouse gas</w:t>
      </w:r>
      <w:r w:rsidRPr="002769FD">
        <w:t xml:space="preserve"> GHG emi</w:t>
      </w:r>
      <w:r w:rsidR="00930284">
        <w:t>ssions disclosures. One did not</w:t>
      </w:r>
      <w:r w:rsidR="00482676">
        <w:t xml:space="preserve"> support assuring </w:t>
      </w:r>
      <w:r w:rsidR="00466405">
        <w:t xml:space="preserve">greenhouse gas </w:t>
      </w:r>
      <w:r w:rsidR="00482676">
        <w:t>emission</w:t>
      </w:r>
      <w:r w:rsidR="00466405">
        <w:t>s</w:t>
      </w:r>
      <w:r w:rsidR="00482676">
        <w:t xml:space="preserve"> disclosures</w:t>
      </w:r>
      <w:r w:rsidR="00930284">
        <w:t>. T</w:t>
      </w:r>
      <w:r w:rsidRPr="002769FD">
        <w:t xml:space="preserve">wo </w:t>
      </w:r>
      <w:r w:rsidR="00482676">
        <w:t xml:space="preserve">argued </w:t>
      </w:r>
      <w:r w:rsidRPr="002769FD">
        <w:t>it should be introduced in the future</w:t>
      </w:r>
      <w:r w:rsidR="00482676">
        <w:t>,</w:t>
      </w:r>
      <w:r w:rsidRPr="002769FD">
        <w:t xml:space="preserve"> and the remaining two did not give a clear answer. </w:t>
      </w:r>
    </w:p>
    <w:p w14:paraId="6F651430" w14:textId="36887241" w:rsidR="003B12BA" w:rsidRPr="00C168E1" w:rsidRDefault="006867CE" w:rsidP="00C168E1">
      <w:pPr>
        <w:pStyle w:val="BodyText"/>
      </w:pPr>
      <w:r>
        <w:t>Most respondent</w:t>
      </w:r>
      <w:r w:rsidR="003B12BA" w:rsidRPr="00C168E1">
        <w:t xml:space="preserve">s argued assurance of </w:t>
      </w:r>
      <w:r w:rsidR="00466405">
        <w:t>greenhouse gas</w:t>
      </w:r>
      <w:r w:rsidR="00466405" w:rsidRPr="00C168E1">
        <w:t xml:space="preserve"> </w:t>
      </w:r>
      <w:r w:rsidR="003B12BA" w:rsidRPr="00C168E1">
        <w:t xml:space="preserve">emissions </w:t>
      </w:r>
      <w:r w:rsidR="00466405">
        <w:t>was</w:t>
      </w:r>
      <w:r w:rsidR="00466405" w:rsidRPr="00C168E1">
        <w:t xml:space="preserve"> </w:t>
      </w:r>
      <w:r w:rsidR="003B12BA" w:rsidRPr="00C168E1">
        <w:t xml:space="preserve">sufficiently mature as to justify mandatory assurance. Emissions are measurable and verifiable, </w:t>
      </w:r>
      <w:r w:rsidR="00C168E1" w:rsidRPr="00C168E1">
        <w:t>supported by</w:t>
      </w:r>
      <w:r w:rsidR="003B12BA" w:rsidRPr="00C168E1">
        <w:t xml:space="preserve"> existing international standards</w:t>
      </w:r>
      <w:r w:rsidR="00C168E1" w:rsidRPr="00C168E1">
        <w:t xml:space="preserve"> (ISO14064-3 or ISAE (NZ) 2310). Two respondent</w:t>
      </w:r>
      <w:r w:rsidR="003B12BA" w:rsidRPr="00C168E1">
        <w:t xml:space="preserve">s specified </w:t>
      </w:r>
      <w:r w:rsidR="00466405">
        <w:t>greenhouse gas</w:t>
      </w:r>
      <w:r w:rsidR="00C168E1" w:rsidRPr="00C168E1">
        <w:t xml:space="preserve"> </w:t>
      </w:r>
      <w:r w:rsidR="003B12BA" w:rsidRPr="00C168E1">
        <w:t xml:space="preserve">assurance should only </w:t>
      </w:r>
      <w:r w:rsidR="00C168E1" w:rsidRPr="00C168E1">
        <w:t>include</w:t>
      </w:r>
      <w:r w:rsidR="003B12BA" w:rsidRPr="00C168E1">
        <w:t xml:space="preserve"> scope 1 </w:t>
      </w:r>
      <w:r w:rsidR="00466405">
        <w:t>and</w:t>
      </w:r>
      <w:r w:rsidR="00466405" w:rsidRPr="00C168E1">
        <w:t xml:space="preserve"> </w:t>
      </w:r>
      <w:r w:rsidR="003B12BA" w:rsidRPr="00C168E1">
        <w:t>2 emissions</w:t>
      </w:r>
      <w:r w:rsidR="00C168E1" w:rsidRPr="00C168E1">
        <w:t>.</w:t>
      </w:r>
      <w:r w:rsidR="003B12BA" w:rsidRPr="00C168E1">
        <w:t xml:space="preserve"> Meridian Energy</w:t>
      </w:r>
      <w:r w:rsidR="00466405">
        <w:t>,</w:t>
      </w:r>
      <w:r w:rsidR="003B12BA" w:rsidRPr="00C168E1">
        <w:t xml:space="preserve"> </w:t>
      </w:r>
      <w:r w:rsidR="00C168E1" w:rsidRPr="00C168E1">
        <w:t xml:space="preserve">however, </w:t>
      </w:r>
      <w:r w:rsidR="003B12BA" w:rsidRPr="00C168E1">
        <w:t>recommended mandatory compliance with the GHG Protocol’s Corporate Value Chain Standard to improve Scope 3 reporting quality.</w:t>
      </w:r>
    </w:p>
    <w:p w14:paraId="13C45DAA" w14:textId="1A64E36F" w:rsidR="003B12BA" w:rsidRDefault="002769FD" w:rsidP="00C168E1">
      <w:pPr>
        <w:pStyle w:val="BodyText"/>
      </w:pPr>
      <w:r>
        <w:t>Several respondents</w:t>
      </w:r>
      <w:r w:rsidR="003B12BA">
        <w:t xml:space="preserve"> noted mandatory </w:t>
      </w:r>
      <w:r w:rsidR="00466405">
        <w:t xml:space="preserve">greenhouse gas </w:t>
      </w:r>
      <w:r w:rsidR="003B12BA">
        <w:t>emission</w:t>
      </w:r>
      <w:r w:rsidR="00466405">
        <w:t>s</w:t>
      </w:r>
      <w:r w:rsidR="003B12BA">
        <w:t xml:space="preserve"> assurance is not part of the </w:t>
      </w:r>
      <w:r w:rsidR="00383964">
        <w:t xml:space="preserve">New Zealand </w:t>
      </w:r>
      <w:r w:rsidR="003B12BA">
        <w:t xml:space="preserve">Emissions Trading Scheme </w:t>
      </w:r>
      <w:r w:rsidR="00383964">
        <w:t xml:space="preserve">(NZ ETS) </w:t>
      </w:r>
      <w:r w:rsidR="003B12BA">
        <w:t xml:space="preserve">and introducing </w:t>
      </w:r>
      <w:r w:rsidR="00466405">
        <w:t>it</w:t>
      </w:r>
      <w:r w:rsidR="003B12BA">
        <w:t xml:space="preserve"> could help ensure </w:t>
      </w:r>
      <w:r w:rsidR="00466405">
        <w:t xml:space="preserve">the </w:t>
      </w:r>
      <w:r w:rsidR="003B12BA">
        <w:t>robustne</w:t>
      </w:r>
      <w:r>
        <w:t xml:space="preserve">ss of the </w:t>
      </w:r>
      <w:r w:rsidR="00383964">
        <w:t xml:space="preserve">NZ </w:t>
      </w:r>
      <w:r>
        <w:t xml:space="preserve">ETS. </w:t>
      </w:r>
      <w:r w:rsidR="00260566">
        <w:t>Conversely,</w:t>
      </w:r>
      <w:r w:rsidR="00C168E1">
        <w:t xml:space="preserve"> Refining NZ</w:t>
      </w:r>
      <w:r w:rsidR="003B12BA">
        <w:t xml:space="preserve"> felt </w:t>
      </w:r>
      <w:r w:rsidR="00383964">
        <w:t xml:space="preserve">the </w:t>
      </w:r>
      <w:r w:rsidR="00CD08D9">
        <w:t xml:space="preserve">New Zealand Emissions Trading Scheme </w:t>
      </w:r>
      <w:r w:rsidR="003B12BA">
        <w:t>Reform Bill proposals would m</w:t>
      </w:r>
      <w:r w:rsidR="00C168E1">
        <w:t>eet any assurance requirements.</w:t>
      </w:r>
      <w:r w:rsidR="003B12BA">
        <w:t xml:space="preserve"> </w:t>
      </w:r>
    </w:p>
    <w:p w14:paraId="6F4A0FB5" w14:textId="13912089" w:rsidR="00260566" w:rsidRDefault="00260566" w:rsidP="00260566">
      <w:pPr>
        <w:pStyle w:val="BodyText"/>
      </w:pPr>
      <w:r>
        <w:t xml:space="preserve">Vector </w:t>
      </w:r>
      <w:r w:rsidR="003B12BA">
        <w:t>suggested a</w:t>
      </w:r>
      <w:r w:rsidR="00D87BB3">
        <w:t>n emissions</w:t>
      </w:r>
      <w:r w:rsidR="00CD08D9">
        <w:t>-</w:t>
      </w:r>
      <w:r w:rsidR="00D87BB3">
        <w:t>level</w:t>
      </w:r>
      <w:r w:rsidR="003B12BA">
        <w:t xml:space="preserve"> threshold for entities requiring mandatory assurance </w:t>
      </w:r>
      <w:r w:rsidR="00C168E1">
        <w:t xml:space="preserve">on the basis of </w:t>
      </w:r>
      <w:r w:rsidR="00CD08D9">
        <w:t xml:space="preserve">a </w:t>
      </w:r>
      <w:r w:rsidR="00C168E1">
        <w:t>relative</w:t>
      </w:r>
      <w:r w:rsidR="003B12BA">
        <w:t xml:space="preserve"> cost for low-emitting organisations</w:t>
      </w:r>
      <w:r>
        <w:t>:</w:t>
      </w:r>
    </w:p>
    <w:p w14:paraId="07498180" w14:textId="77777777" w:rsidR="003B12BA" w:rsidRDefault="00260566" w:rsidP="000054C9">
      <w:pPr>
        <w:pStyle w:val="Quote"/>
      </w:pPr>
      <w:r w:rsidRPr="004A7195">
        <w:t>For other emitters this may be a costly exercise with little value for users of the information. This money might be better spent by an organisation on scenario development for example which will better inform their strategies and in turn improve overall climate-related disclosures.</w:t>
      </w:r>
    </w:p>
    <w:p w14:paraId="29F9D0F6" w14:textId="77777777" w:rsidR="00C017F7" w:rsidRDefault="00C017F7" w:rsidP="00C017F7">
      <w:pPr>
        <w:pStyle w:val="Heading3"/>
      </w:pPr>
      <w:bookmarkStart w:id="73" w:name="_Toc32847662"/>
      <w:r>
        <w:lastRenderedPageBreak/>
        <w:t xml:space="preserve">Q.31 </w:t>
      </w:r>
      <w:proofErr w:type="gramStart"/>
      <w:r>
        <w:t>Is</w:t>
      </w:r>
      <w:proofErr w:type="gramEnd"/>
      <w:r>
        <w:t xml:space="preserve"> limited assurance the only practicable approach in relation to TCFD disclosures, or is reasonable assurance also feasible?</w:t>
      </w:r>
      <w:bookmarkEnd w:id="73"/>
    </w:p>
    <w:p w14:paraId="6FD22F74" w14:textId="0727C758" w:rsidR="00B65BFF" w:rsidRDefault="00C017F7" w:rsidP="00B65BFF">
      <w:pPr>
        <w:pStyle w:val="BodyText"/>
      </w:pPr>
      <w:r>
        <w:t xml:space="preserve">We received </w:t>
      </w:r>
      <w:r w:rsidR="007D294B">
        <w:t>3</w:t>
      </w:r>
      <w:r w:rsidR="00F47F3A">
        <w:t>1</w:t>
      </w:r>
      <w:r>
        <w:t xml:space="preserve"> responses to this question. Of which, </w:t>
      </w:r>
      <w:r w:rsidR="00FC2867">
        <w:t>11 respondent</w:t>
      </w:r>
      <w:r>
        <w:t xml:space="preserve">s felt limited assurance was the most practicable approach, due to the subjective nature of much of the TCFD framework. </w:t>
      </w:r>
    </w:p>
    <w:p w14:paraId="6D7356EB" w14:textId="02BD60FB" w:rsidR="00C017F7" w:rsidRDefault="00F6061F" w:rsidP="00B65BFF">
      <w:pPr>
        <w:pStyle w:val="BodyText"/>
      </w:pPr>
      <w:r>
        <w:t xml:space="preserve">A further </w:t>
      </w:r>
      <w:r w:rsidR="00FC2867">
        <w:t>1</w:t>
      </w:r>
      <w:r w:rsidR="007D294B">
        <w:t>1</w:t>
      </w:r>
      <w:r w:rsidR="00FC2867">
        <w:t xml:space="preserve"> respondents</w:t>
      </w:r>
      <w:r w:rsidR="00C017F7">
        <w:t xml:space="preserve"> felt reasonable assurance would be feasible, although</w:t>
      </w:r>
      <w:r w:rsidR="00B65BFF">
        <w:t xml:space="preserve"> </w:t>
      </w:r>
      <w:r>
        <w:t xml:space="preserve">they </w:t>
      </w:r>
      <w:r w:rsidR="00B65BFF">
        <w:t>all supported developing this approach</w:t>
      </w:r>
      <w:r w:rsidR="00C017F7">
        <w:t xml:space="preserve"> over time and</w:t>
      </w:r>
      <w:r>
        <w:t xml:space="preserve"> agreed</w:t>
      </w:r>
      <w:r w:rsidR="00C017F7">
        <w:t xml:space="preserve"> that</w:t>
      </w:r>
      <w:r w:rsidR="00CD08D9">
        <w:t>,</w:t>
      </w:r>
      <w:r w:rsidR="00C017F7">
        <w:t xml:space="preserve"> in the short term, limited assurance </w:t>
      </w:r>
      <w:r w:rsidR="00CD08D9">
        <w:t xml:space="preserve">was </w:t>
      </w:r>
      <w:r w:rsidR="00C017F7">
        <w:t>the most appropriate approach</w:t>
      </w:r>
      <w:r w:rsidR="00B65BFF">
        <w:t xml:space="preserve">. </w:t>
      </w:r>
      <w:r>
        <w:t>Seven</w:t>
      </w:r>
      <w:r w:rsidR="00FC2867">
        <w:t xml:space="preserve"> respondents</w:t>
      </w:r>
      <w:r w:rsidR="00C017F7">
        <w:t xml:space="preserve"> argued a mixed approach would be appropriate, with reasonable assurance applied to objective areas </w:t>
      </w:r>
      <w:r w:rsidR="00B65BFF">
        <w:t>such as</w:t>
      </w:r>
      <w:r w:rsidR="00C017F7">
        <w:t xml:space="preserve"> </w:t>
      </w:r>
      <w:r w:rsidR="00CD08D9">
        <w:t xml:space="preserve">greenhouse gas </w:t>
      </w:r>
      <w:r w:rsidR="00C017F7">
        <w:t xml:space="preserve">emissions, </w:t>
      </w:r>
      <w:r w:rsidR="00B65BFF">
        <w:t>and</w:t>
      </w:r>
      <w:r w:rsidR="00C017F7">
        <w:t xml:space="preserve"> limited assurance for other areas.</w:t>
      </w:r>
    </w:p>
    <w:p w14:paraId="7CDA7738" w14:textId="77777777" w:rsidR="00CC07D6" w:rsidRDefault="00CC07D6" w:rsidP="00CC07D6">
      <w:pPr>
        <w:pStyle w:val="Heading3"/>
      </w:pPr>
      <w:bookmarkStart w:id="74" w:name="_Toc32847663"/>
      <w:r>
        <w:t xml:space="preserve">Q.32 </w:t>
      </w:r>
      <w:proofErr w:type="gramStart"/>
      <w:r>
        <w:t>If</w:t>
      </w:r>
      <w:proofErr w:type="gramEnd"/>
      <w:r>
        <w:t xml:space="preserve"> we do not introduce mandatory assurance when a disclosure system comes into effect, should it be </w:t>
      </w:r>
      <w:r w:rsidR="004D055A">
        <w:t>re</w:t>
      </w:r>
      <w:r>
        <w:t>considered in the future?</w:t>
      </w:r>
      <w:bookmarkEnd w:id="74"/>
    </w:p>
    <w:p w14:paraId="641C974D" w14:textId="738816C9" w:rsidR="00CC07D6" w:rsidRDefault="00CC07D6" w:rsidP="00CC07D6">
      <w:pPr>
        <w:pStyle w:val="BodyText"/>
      </w:pPr>
      <w:r>
        <w:t>We received 3</w:t>
      </w:r>
      <w:r w:rsidR="00F47F3A">
        <w:t>2</w:t>
      </w:r>
      <w:r>
        <w:t xml:space="preserve"> response</w:t>
      </w:r>
      <w:r w:rsidR="00716B4C">
        <w:t xml:space="preserve">s to this question, with </w:t>
      </w:r>
      <w:r w:rsidR="005473D6">
        <w:t>84 per cent</w:t>
      </w:r>
      <w:r w:rsidR="00716B4C">
        <w:t xml:space="preserve"> of respondents (2</w:t>
      </w:r>
      <w:r w:rsidR="00F47F3A">
        <w:t>7</w:t>
      </w:r>
      <w:r w:rsidR="00716B4C">
        <w:t>) supporting</w:t>
      </w:r>
      <w:r>
        <w:t xml:space="preserve"> </w:t>
      </w:r>
      <w:r w:rsidR="00716B4C">
        <w:t>a review of</w:t>
      </w:r>
      <w:r>
        <w:t xml:space="preserve"> </w:t>
      </w:r>
      <w:r w:rsidR="00F6061F">
        <w:t xml:space="preserve">the introduction of </w:t>
      </w:r>
      <w:r>
        <w:t>mandatory assurance in the future</w:t>
      </w:r>
      <w:r w:rsidR="0015345A">
        <w:t xml:space="preserve">. Of the supporting responses, </w:t>
      </w:r>
      <w:r w:rsidR="00CD08D9">
        <w:t xml:space="preserve">six </w:t>
      </w:r>
      <w:r>
        <w:t xml:space="preserve">recommended a review in </w:t>
      </w:r>
      <w:r w:rsidR="00CD08D9">
        <w:t>three</w:t>
      </w:r>
      <w:r w:rsidR="0015345A">
        <w:t xml:space="preserve"> years and </w:t>
      </w:r>
      <w:r w:rsidR="00CD08D9">
        <w:t xml:space="preserve">three </w:t>
      </w:r>
      <w:r>
        <w:t xml:space="preserve">proposed a range </w:t>
      </w:r>
      <w:r w:rsidR="00A92D0D">
        <w:t xml:space="preserve">of </w:t>
      </w:r>
      <w:r w:rsidR="00CD08D9">
        <w:t>three to five</w:t>
      </w:r>
      <w:r w:rsidR="00383964">
        <w:t xml:space="preserve"> </w:t>
      </w:r>
      <w:r>
        <w:t xml:space="preserve">years. The others did not specify a timeframe. </w:t>
      </w:r>
    </w:p>
    <w:p w14:paraId="37E55DD5" w14:textId="3F3F6C26" w:rsidR="00935D5B" w:rsidRDefault="00F6061F" w:rsidP="00935D5B">
      <w:pPr>
        <w:pStyle w:val="BodyText"/>
      </w:pPr>
      <w:r>
        <w:t>The respondents supported r</w:t>
      </w:r>
      <w:r w:rsidR="00A0456B">
        <w:t>econsidering</w:t>
      </w:r>
      <w:r w:rsidR="00930284">
        <w:t xml:space="preserve"> mandatory assurance</w:t>
      </w:r>
      <w:r w:rsidR="00CC07D6">
        <w:t xml:space="preserve"> in the future</w:t>
      </w:r>
      <w:r w:rsidR="00A0456B">
        <w:t xml:space="preserve"> on the basis </w:t>
      </w:r>
      <w:r>
        <w:t>that</w:t>
      </w:r>
      <w:r w:rsidR="00CC07D6">
        <w:t xml:space="preserve"> greater information </w:t>
      </w:r>
      <w:r w:rsidR="00CC07D6" w:rsidRPr="009A4091">
        <w:t>about assurance priorities and</w:t>
      </w:r>
      <w:r>
        <w:t xml:space="preserve"> further</w:t>
      </w:r>
      <w:r w:rsidR="00CC07D6" w:rsidRPr="009A4091">
        <w:t xml:space="preserve"> capability</w:t>
      </w:r>
      <w:r>
        <w:t xml:space="preserve"> </w:t>
      </w:r>
      <w:r w:rsidR="00CD08D9">
        <w:t xml:space="preserve">was </w:t>
      </w:r>
      <w:r>
        <w:t>likely to</w:t>
      </w:r>
      <w:r w:rsidR="00CC07D6" w:rsidRPr="009A4091">
        <w:t xml:space="preserve"> </w:t>
      </w:r>
      <w:r w:rsidR="00A0456B">
        <w:t>be developed over time</w:t>
      </w:r>
      <w:r w:rsidR="00CD08D9">
        <w:t xml:space="preserve">. This would ensure </w:t>
      </w:r>
      <w:r w:rsidR="00CC07D6" w:rsidRPr="009A4091">
        <w:t xml:space="preserve">audited information </w:t>
      </w:r>
      <w:r w:rsidR="00CD08D9">
        <w:t>was</w:t>
      </w:r>
      <w:r w:rsidR="00CD08D9" w:rsidRPr="009A4091">
        <w:t xml:space="preserve"> </w:t>
      </w:r>
      <w:r w:rsidR="00CC07D6" w:rsidRPr="009A4091">
        <w:t xml:space="preserve">fit for purpose. </w:t>
      </w:r>
      <w:r w:rsidR="00935D5B">
        <w:t>CPA Australia pointed out that:</w:t>
      </w:r>
    </w:p>
    <w:p w14:paraId="754D8DB1" w14:textId="3F68B009" w:rsidR="00935D5B" w:rsidRDefault="00CD08D9" w:rsidP="000054C9">
      <w:pPr>
        <w:pStyle w:val="Quote"/>
      </w:pPr>
      <w:r>
        <w:t>…</w:t>
      </w:r>
      <w:r w:rsidR="00935D5B">
        <w:t>t</w:t>
      </w:r>
      <w:r w:rsidR="00935D5B" w:rsidRPr="009A4091">
        <w:t xml:space="preserve">his matter warrants ongoing monitoring by government recognising that the factors which will impinge on developments are not exclusively within the realms of TCFD; and will be dictated by both wider advancements in non-financial reporting along with market and regulatory forces affecting the </w:t>
      </w:r>
      <w:r w:rsidR="00935D5B">
        <w:t>audit and assurance profession.</w:t>
      </w:r>
    </w:p>
    <w:p w14:paraId="3B41ACEC" w14:textId="30D95050" w:rsidR="00935D5B" w:rsidRPr="009A4091" w:rsidRDefault="00935D5B" w:rsidP="00935D5B">
      <w:pPr>
        <w:pStyle w:val="BodyText"/>
      </w:pPr>
      <w:r w:rsidRPr="009A4091">
        <w:t xml:space="preserve">CDP </w:t>
      </w:r>
      <w:r w:rsidR="00CD08D9">
        <w:t>and</w:t>
      </w:r>
      <w:r w:rsidR="00CD08D9" w:rsidRPr="009A4091">
        <w:t xml:space="preserve"> </w:t>
      </w:r>
      <w:r w:rsidRPr="009A4091">
        <w:t>CDSB recommended reviewing mandatory assurance regardless of</w:t>
      </w:r>
      <w:r w:rsidR="00383964">
        <w:t xml:space="preserve"> the</w:t>
      </w:r>
      <w:r w:rsidRPr="009A4091">
        <w:t xml:space="preserve"> outcome at some point in time.</w:t>
      </w:r>
    </w:p>
    <w:p w14:paraId="6193A9AE" w14:textId="47128E1C" w:rsidR="00C017F7" w:rsidRDefault="00F6061F" w:rsidP="009A4091">
      <w:pPr>
        <w:pStyle w:val="BodyText"/>
      </w:pPr>
      <w:r>
        <w:t>Four</w:t>
      </w:r>
      <w:r w:rsidR="0015345A">
        <w:t xml:space="preserve"> </w:t>
      </w:r>
      <w:r w:rsidR="009A4091" w:rsidRPr="009A4091">
        <w:t>respondents</w:t>
      </w:r>
      <w:r w:rsidR="00CC07D6" w:rsidRPr="009A4091">
        <w:t xml:space="preserve"> reiterated the argument mandatory assurance should be</w:t>
      </w:r>
      <w:r w:rsidR="009A4091" w:rsidRPr="009A4091">
        <w:t xml:space="preserve"> introduced from commencement, while </w:t>
      </w:r>
      <w:r>
        <w:t>two</w:t>
      </w:r>
      <w:r w:rsidR="00CC07D6" w:rsidRPr="009A4091">
        <w:t xml:space="preserve"> suggested a transition period would allow for capability development</w:t>
      </w:r>
      <w:r w:rsidR="00935D5B">
        <w:t xml:space="preserve"> within the assurance industry</w:t>
      </w:r>
      <w:r w:rsidR="0015345A">
        <w:t>.</w:t>
      </w:r>
    </w:p>
    <w:p w14:paraId="78E17124" w14:textId="77777777" w:rsidR="009A4091" w:rsidRPr="009A4091" w:rsidRDefault="009A4091" w:rsidP="009A4091">
      <w:pPr>
        <w:pStyle w:val="Heading3"/>
      </w:pPr>
      <w:bookmarkStart w:id="75" w:name="_Toc32847664"/>
      <w:r>
        <w:t xml:space="preserve">Q.33 What comments do you have on the proposal to bring the disclosure system into force for financial years commencing six months </w:t>
      </w:r>
      <w:r w:rsidR="00935D5B">
        <w:t xml:space="preserve">on </w:t>
      </w:r>
      <w:r>
        <w:t>or after the date that the regulation is introduced?</w:t>
      </w:r>
      <w:bookmarkEnd w:id="75"/>
    </w:p>
    <w:p w14:paraId="7BBE78B9" w14:textId="5F96FA58" w:rsidR="00935D5B" w:rsidRDefault="009A4091" w:rsidP="00433BAF">
      <w:pPr>
        <w:pStyle w:val="BodyText"/>
      </w:pPr>
      <w:r>
        <w:t xml:space="preserve">We received </w:t>
      </w:r>
      <w:r w:rsidR="00F47F3A">
        <w:t>4</w:t>
      </w:r>
      <w:r w:rsidR="0072500A">
        <w:t>1</w:t>
      </w:r>
      <w:r w:rsidR="0081674D">
        <w:t xml:space="preserve"> </w:t>
      </w:r>
      <w:r>
        <w:t xml:space="preserve">responses to this question. </w:t>
      </w:r>
      <w:r w:rsidR="00935D5B">
        <w:t>T</w:t>
      </w:r>
      <w:r>
        <w:t xml:space="preserve">he wording of the question may not have been sufficiently clear, as </w:t>
      </w:r>
      <w:r w:rsidR="00935D5B">
        <w:t xml:space="preserve">several </w:t>
      </w:r>
      <w:r>
        <w:t xml:space="preserve">respondents </w:t>
      </w:r>
      <w:r w:rsidR="00935D5B">
        <w:t>conflated the date of commencement</w:t>
      </w:r>
      <w:r>
        <w:t xml:space="preserve"> and the one</w:t>
      </w:r>
      <w:r w:rsidR="00CD08D9">
        <w:t>-</w:t>
      </w:r>
      <w:r>
        <w:t>year transition period proposed</w:t>
      </w:r>
      <w:r w:rsidR="00433BAF">
        <w:t>. A number of response</w:t>
      </w:r>
      <w:r>
        <w:t xml:space="preserve">s therefore called for a longer transition period (refer </w:t>
      </w:r>
      <w:r w:rsidR="00193E15">
        <w:t xml:space="preserve">to </w:t>
      </w:r>
      <w:r>
        <w:t>Q</w:t>
      </w:r>
      <w:r w:rsidR="0015345A">
        <w:t xml:space="preserve">uestions </w:t>
      </w:r>
      <w:r>
        <w:t xml:space="preserve">19 </w:t>
      </w:r>
      <w:r w:rsidR="00CD08D9">
        <w:t xml:space="preserve">and </w:t>
      </w:r>
      <w:r>
        <w:t xml:space="preserve">20) in response to this question, or qualified their response in terms of the transition period. </w:t>
      </w:r>
    </w:p>
    <w:p w14:paraId="552A3AC8" w14:textId="652D81B9" w:rsidR="00935D5B" w:rsidRDefault="009A4091" w:rsidP="00433BAF">
      <w:pPr>
        <w:pStyle w:val="BodyText"/>
      </w:pPr>
      <w:r>
        <w:lastRenderedPageBreak/>
        <w:t>Notwithstanding</w:t>
      </w:r>
      <w:r w:rsidR="00433BAF">
        <w:t>, 21 respondent</w:t>
      </w:r>
      <w:r>
        <w:t xml:space="preserve">s supported the proposal, </w:t>
      </w:r>
      <w:r w:rsidR="00C3722A">
        <w:t>referring to</w:t>
      </w:r>
      <w:r w:rsidR="00433BAF">
        <w:t xml:space="preserve"> the urgency of </w:t>
      </w:r>
      <w:r w:rsidR="00935D5B">
        <w:t xml:space="preserve">advancing </w:t>
      </w:r>
      <w:r w:rsidR="00AE2074">
        <w:t>climate</w:t>
      </w:r>
      <w:r w:rsidR="00CD08D9">
        <w:t>-</w:t>
      </w:r>
      <w:r w:rsidR="00AE2074">
        <w:t>risk reporting. Meridian for example, suggested:</w:t>
      </w:r>
    </w:p>
    <w:p w14:paraId="501DE1F2" w14:textId="77777777" w:rsidR="009A4091" w:rsidRDefault="00935D5B" w:rsidP="0015345A">
      <w:pPr>
        <w:pStyle w:val="Quote"/>
      </w:pPr>
      <w:r w:rsidRPr="00935D5B">
        <w:t>The disclosure system should come into force immediately given the one-year grace period that is proposed, within which incomplete disclosures will be allowable. With both the later commencement date and the one-year transition, it may be several years before full reporting is undertaken by the reporting entities covered. Meridian considers this too much of a delay. Reporting entities should not be surprised by the disclosure regime, as they will have seen the discussion document and will be able to track progress of any legislation in the House to give effect to the Gove</w:t>
      </w:r>
      <w:r>
        <w:t>rnment’s decisions.</w:t>
      </w:r>
    </w:p>
    <w:p w14:paraId="2571F235" w14:textId="037560A4" w:rsidR="00935D5B" w:rsidRDefault="002E0EFB" w:rsidP="00E97F0D">
      <w:pPr>
        <w:pStyle w:val="BodyText"/>
        <w:spacing w:after="240"/>
      </w:pPr>
      <w:r>
        <w:t xml:space="preserve">However, many respondents </w:t>
      </w:r>
      <w:r w:rsidR="00B1593F">
        <w:t xml:space="preserve">are </w:t>
      </w:r>
      <w:r>
        <w:t>expect</w:t>
      </w:r>
      <w:r w:rsidR="00B1593F">
        <w:t>ing</w:t>
      </w:r>
      <w:r>
        <w:t xml:space="preserve"> a lower</w:t>
      </w:r>
      <w:r w:rsidR="007855B8">
        <w:t xml:space="preserve"> quality of </w:t>
      </w:r>
      <w:r>
        <w:t xml:space="preserve">initial </w:t>
      </w:r>
      <w:r w:rsidR="007855B8">
        <w:t xml:space="preserve">disclosures given the </w:t>
      </w:r>
      <w:r w:rsidR="00B1593F">
        <w:t xml:space="preserve">relatively </w:t>
      </w:r>
      <w:r w:rsidR="007855B8">
        <w:t xml:space="preserve">short deadline. </w:t>
      </w:r>
      <w:r>
        <w:t>To facilitate high</w:t>
      </w:r>
      <w:r w:rsidR="00CD08D9">
        <w:t>-</w:t>
      </w:r>
      <w:r>
        <w:t xml:space="preserve">quality disclosures, </w:t>
      </w:r>
      <w:r w:rsidR="00291427">
        <w:t xml:space="preserve">some responders </w:t>
      </w:r>
      <w:r>
        <w:t>recommended expediting education and guidance</w:t>
      </w:r>
      <w:r w:rsidR="00935D5B">
        <w:t>, regardless of the legislative process</w:t>
      </w:r>
      <w:r>
        <w:t>. While some entities have already begun TCFD</w:t>
      </w:r>
      <w:r w:rsidR="00935D5B">
        <w:t>-</w:t>
      </w:r>
      <w:r>
        <w:t xml:space="preserve">style disclosures, </w:t>
      </w:r>
      <w:r w:rsidR="00B31ABE">
        <w:t>reporting</w:t>
      </w:r>
      <w:r>
        <w:t xml:space="preserve"> entities will require a better understanding of the current practice and the pace at which it is evolving. </w:t>
      </w:r>
      <w:r w:rsidR="00935D5B">
        <w:t>To this end, CDP and CDSB noted s</w:t>
      </w:r>
      <w:r w:rsidR="00935D5B" w:rsidRPr="00935D5B">
        <w:t xml:space="preserve">ufficient resources exist for all affected companies to prepare a compliant report within the six-month timeframe. </w:t>
      </w:r>
    </w:p>
    <w:tbl>
      <w:tblPr>
        <w:tblStyle w:val="TableGrid"/>
        <w:tblW w:w="8351" w:type="dxa"/>
        <w:tblInd w:w="-5" w:type="dxa"/>
        <w:tblLook w:val="04A0" w:firstRow="1" w:lastRow="0" w:firstColumn="1" w:lastColumn="0" w:noHBand="0" w:noVBand="1"/>
      </w:tblPr>
      <w:tblGrid>
        <w:gridCol w:w="8351"/>
      </w:tblGrid>
      <w:tr w:rsidR="00935D5B" w:rsidRPr="006B77BB" w14:paraId="6C92DFC2" w14:textId="77777777" w:rsidTr="00E97F0D">
        <w:trPr>
          <w:trHeight w:val="2311"/>
        </w:trPr>
        <w:tc>
          <w:tcPr>
            <w:tcW w:w="8351" w:type="dxa"/>
            <w:shd w:val="clear" w:color="auto" w:fill="1C556C"/>
            <w:vAlign w:val="center"/>
          </w:tcPr>
          <w:p w14:paraId="1F65A74F" w14:textId="77777777" w:rsidR="00935D5B" w:rsidRPr="00B1593F" w:rsidRDefault="00935D5B" w:rsidP="00C852CD">
            <w:pPr>
              <w:pStyle w:val="BodyText"/>
              <w:ind w:left="284" w:right="284"/>
              <w:rPr>
                <w:color w:val="FFFFFF" w:themeColor="background1"/>
              </w:rPr>
            </w:pPr>
            <w:r w:rsidRPr="00B1593F">
              <w:rPr>
                <w:color w:val="FFFFFF" w:themeColor="background1"/>
              </w:rPr>
              <w:sym w:font="Webdings" w:char="F038"/>
            </w:r>
            <w:r w:rsidRPr="00B1593F">
              <w:rPr>
                <w:color w:val="FFFFFF" w:themeColor="background1"/>
              </w:rPr>
              <w:t xml:space="preserve"> Early disclosures will likely be limited in their insights and level of detail, and will require businesses’ practices to embed and mature before the quality of the disclosures and their supporting analyses improve. Individual businesses are competing for capital, customers and standing with various stakeholders and will want to ensure that there is a level playing field and that they have the time to put their best foot forward. </w:t>
            </w:r>
          </w:p>
          <w:p w14:paraId="19D04330" w14:textId="77777777" w:rsidR="00935D5B" w:rsidRPr="00B1593F" w:rsidRDefault="00935D5B" w:rsidP="00C852CD">
            <w:pPr>
              <w:pStyle w:val="BodyText"/>
              <w:ind w:left="284" w:right="284"/>
              <w:rPr>
                <w:color w:val="FFFFFF" w:themeColor="background1"/>
              </w:rPr>
            </w:pPr>
            <w:r w:rsidRPr="00B1593F">
              <w:rPr>
                <w:color w:val="FFFFFF" w:themeColor="background1"/>
              </w:rPr>
              <w:t xml:space="preserve">Guidance and support will be needed to raise standards and consistency, and it will take a little time for this to emerge and be widely adopted amongst disclosing entities. Setting a commencement date that balances the urgent need for action, emerging capability, the usefulness of the information being disclosed, and fairness for competing entities requires a better understanding of the current practice and the pace at which it is evolving. Officials should continue monitoring the situation once the disclosure obligations are finalised and provide further advice on commencement to the responsible Minister(s). </w:t>
            </w:r>
            <w:r w:rsidRPr="00B1593F">
              <w:rPr>
                <w:color w:val="FFFFFF" w:themeColor="background1"/>
              </w:rPr>
              <w:sym w:font="Webdings" w:char="F037"/>
            </w:r>
          </w:p>
          <w:p w14:paraId="65AE58D5" w14:textId="1DF6E3DB" w:rsidR="00935D5B" w:rsidRPr="006B77BB" w:rsidRDefault="00CD08D9" w:rsidP="00C852CD">
            <w:pPr>
              <w:pStyle w:val="BodyText"/>
              <w:ind w:left="284" w:right="284"/>
              <w:rPr>
                <w:color w:val="FFFFFF" w:themeColor="background1"/>
              </w:rPr>
            </w:pPr>
            <w:r>
              <w:rPr>
                <w:color w:val="FFFFFF" w:themeColor="background1"/>
                <w:szCs w:val="24"/>
              </w:rPr>
              <w:t xml:space="preserve">– </w:t>
            </w:r>
            <w:r w:rsidR="00935D5B" w:rsidRPr="00E97F0D">
              <w:rPr>
                <w:i/>
                <w:color w:val="FFFFFF" w:themeColor="background1"/>
                <w:szCs w:val="24"/>
              </w:rPr>
              <w:t>IAG</w:t>
            </w:r>
          </w:p>
        </w:tc>
      </w:tr>
    </w:tbl>
    <w:p w14:paraId="44522583" w14:textId="77777777" w:rsidR="002E0EFB" w:rsidRPr="002E0EFB" w:rsidRDefault="002E0EFB" w:rsidP="002E0EFB">
      <w:pPr>
        <w:pStyle w:val="Heading3"/>
      </w:pPr>
      <w:bookmarkStart w:id="76" w:name="_Toc32847665"/>
      <w:r>
        <w:t>Q.34 Do you consider that smaller entities should be provided with a longer transition if there were to be no exemption for them? If so, how long should that additional period be?</w:t>
      </w:r>
      <w:bookmarkEnd w:id="76"/>
    </w:p>
    <w:p w14:paraId="210E1095" w14:textId="3ACEE0A1" w:rsidR="00F84D81" w:rsidRDefault="002E0EFB" w:rsidP="000F4C83">
      <w:pPr>
        <w:pStyle w:val="BodyText"/>
      </w:pPr>
      <w:r w:rsidRPr="000F4C83">
        <w:t xml:space="preserve">We received </w:t>
      </w:r>
      <w:r w:rsidR="00F47F3A">
        <w:t>30</w:t>
      </w:r>
      <w:r w:rsidRPr="000F4C83">
        <w:t xml:space="preserve"> responses to this question, </w:t>
      </w:r>
      <w:r w:rsidR="006B32A9">
        <w:t>with</w:t>
      </w:r>
      <w:r w:rsidRPr="000F4C83">
        <w:t xml:space="preserve"> </w:t>
      </w:r>
      <w:r w:rsidR="00F47F3A">
        <w:t>60</w:t>
      </w:r>
      <w:r w:rsidR="0081674D">
        <w:t xml:space="preserve"> </w:t>
      </w:r>
      <w:r w:rsidR="0015345A">
        <w:t>per cent</w:t>
      </w:r>
      <w:r w:rsidR="006B32A9">
        <w:t xml:space="preserve"> of respondents (1</w:t>
      </w:r>
      <w:r w:rsidR="00F47F3A">
        <w:t>8</w:t>
      </w:r>
      <w:r w:rsidR="006B32A9">
        <w:t>) supporting</w:t>
      </w:r>
      <w:r w:rsidRPr="000F4C83">
        <w:t xml:space="preserve"> smaller entities being provided with a longer transition period if there </w:t>
      </w:r>
      <w:r w:rsidR="00CD08D9">
        <w:t>was</w:t>
      </w:r>
      <w:r w:rsidR="00CD08D9" w:rsidRPr="000F4C83">
        <w:t xml:space="preserve"> </w:t>
      </w:r>
      <w:r w:rsidRPr="000F4C83">
        <w:t>no exemption.</w:t>
      </w:r>
      <w:r w:rsidR="007E6A92">
        <w:t xml:space="preserve"> However, there was no clear consensus</w:t>
      </w:r>
      <w:r w:rsidR="006B32A9">
        <w:t xml:space="preserve"> </w:t>
      </w:r>
      <w:r w:rsidR="00B31ABE">
        <w:t>within</w:t>
      </w:r>
      <w:r w:rsidR="006B32A9">
        <w:t xml:space="preserve"> responses</w:t>
      </w:r>
      <w:r w:rsidR="007E6A92">
        <w:t xml:space="preserve"> on how long </w:t>
      </w:r>
      <w:r w:rsidR="00DC65DB">
        <w:t>the additional period should be</w:t>
      </w:r>
      <w:r w:rsidR="00F84D81">
        <w:t>. Respondents</w:t>
      </w:r>
      <w:r w:rsidR="00183BF6">
        <w:t>’</w:t>
      </w:r>
      <w:r w:rsidR="00F84D81">
        <w:t xml:space="preserve"> suggestions for transition periods are set out below (The number of times each class was raised by respondents is included in brackets.)</w:t>
      </w:r>
    </w:p>
    <w:p w14:paraId="3CCD83FF" w14:textId="04195D1D" w:rsidR="00F84D81" w:rsidRPr="00354A6B" w:rsidRDefault="00F84D81" w:rsidP="00857B90">
      <w:pPr>
        <w:pStyle w:val="Bullet"/>
      </w:pPr>
      <w:r w:rsidRPr="00354A6B">
        <w:t>one year (2)</w:t>
      </w:r>
    </w:p>
    <w:p w14:paraId="71575727" w14:textId="264DE3AD" w:rsidR="00F84D81" w:rsidRPr="00354A6B" w:rsidRDefault="00183BF6" w:rsidP="00857B90">
      <w:pPr>
        <w:pStyle w:val="Bullet"/>
      </w:pPr>
      <w:r>
        <w:t xml:space="preserve">one to two </w:t>
      </w:r>
      <w:r w:rsidR="00F84D81" w:rsidRPr="00354A6B">
        <w:t>years (4)</w:t>
      </w:r>
      <w:r w:rsidR="000F4C83" w:rsidRPr="00354A6B">
        <w:t xml:space="preserve"> </w:t>
      </w:r>
    </w:p>
    <w:p w14:paraId="67B0CFB8" w14:textId="0F92C9B1" w:rsidR="00F84D81" w:rsidRPr="00354A6B" w:rsidRDefault="00F84D81" w:rsidP="00857B90">
      <w:pPr>
        <w:pStyle w:val="Bullet"/>
      </w:pPr>
      <w:r w:rsidRPr="00354A6B">
        <w:t>two years (2)</w:t>
      </w:r>
    </w:p>
    <w:p w14:paraId="470E700D" w14:textId="55A2F57E" w:rsidR="00F84D81" w:rsidRPr="00354A6B" w:rsidRDefault="00F84D81" w:rsidP="00857B90">
      <w:pPr>
        <w:pStyle w:val="Bullet"/>
      </w:pPr>
      <w:r w:rsidRPr="00354A6B">
        <w:lastRenderedPageBreak/>
        <w:t>three years (2)</w:t>
      </w:r>
    </w:p>
    <w:p w14:paraId="70B1FD4E" w14:textId="005DE8CC" w:rsidR="00F84D81" w:rsidRPr="00354A6B" w:rsidRDefault="00183BF6" w:rsidP="00857B90">
      <w:pPr>
        <w:pStyle w:val="Bullet"/>
      </w:pPr>
      <w:r>
        <w:t xml:space="preserve">three to five </w:t>
      </w:r>
      <w:r w:rsidR="00F84D81" w:rsidRPr="00354A6B">
        <w:t>years (2)</w:t>
      </w:r>
    </w:p>
    <w:p w14:paraId="2ACFD42B" w14:textId="4578D2B2" w:rsidR="00F84D81" w:rsidRPr="00354A6B" w:rsidRDefault="00F84D81" w:rsidP="00857B90">
      <w:pPr>
        <w:pStyle w:val="Bullet"/>
      </w:pPr>
      <w:proofErr w:type="gramStart"/>
      <w:r w:rsidRPr="00354A6B">
        <w:t>five</w:t>
      </w:r>
      <w:proofErr w:type="gramEnd"/>
      <w:r w:rsidRPr="00354A6B">
        <w:t xml:space="preserve"> years (1). </w:t>
      </w:r>
    </w:p>
    <w:p w14:paraId="2F2C906A" w14:textId="5434158C" w:rsidR="002E0EFB" w:rsidRPr="000F4C83" w:rsidRDefault="000F4C83" w:rsidP="000F4C83">
      <w:pPr>
        <w:pStyle w:val="BodyText"/>
      </w:pPr>
      <w:r w:rsidRPr="000F4C83">
        <w:t>Three</w:t>
      </w:r>
      <w:r w:rsidR="002E0EFB" w:rsidRPr="000F4C83">
        <w:t xml:space="preserve"> respondents reiterated there should be an exemption for smaller entities</w:t>
      </w:r>
      <w:r w:rsidR="00CD08D9">
        <w:t>,</w:t>
      </w:r>
      <w:r w:rsidR="00CD08D9" w:rsidRPr="000F4C83">
        <w:t xml:space="preserve"> </w:t>
      </w:r>
      <w:r w:rsidR="002E0EFB" w:rsidRPr="000F4C83">
        <w:t>therefore</w:t>
      </w:r>
      <w:r w:rsidR="00CD08D9">
        <w:t>,</w:t>
      </w:r>
      <w:r w:rsidR="002E0EFB" w:rsidRPr="000F4C83">
        <w:t xml:space="preserve"> no additional transition period</w:t>
      </w:r>
      <w:r w:rsidR="00C513C6">
        <w:t xml:space="preserve"> </w:t>
      </w:r>
      <w:r w:rsidR="00CD08D9">
        <w:t xml:space="preserve">was </w:t>
      </w:r>
      <w:r w:rsidR="00C513C6">
        <w:t>necessary</w:t>
      </w:r>
      <w:r w:rsidR="007E6A92">
        <w:t xml:space="preserve">. </w:t>
      </w:r>
      <w:r w:rsidR="006B32A9">
        <w:t>Conversely</w:t>
      </w:r>
      <w:r w:rsidR="007E6A92">
        <w:t>,</w:t>
      </w:r>
      <w:r w:rsidR="002E0EFB" w:rsidRPr="000F4C83">
        <w:t xml:space="preserve"> </w:t>
      </w:r>
      <w:r w:rsidRPr="000F4C83">
        <w:t>three other</w:t>
      </w:r>
      <w:r w:rsidR="007E6A92">
        <w:t xml:space="preserve"> respondents</w:t>
      </w:r>
      <w:r w:rsidR="006B32A9">
        <w:t xml:space="preserve"> argued</w:t>
      </w:r>
      <w:r w:rsidR="002E0EFB" w:rsidRPr="000F4C83">
        <w:t xml:space="preserve"> there should be no differentiation (including exemptions) for smaller entities.</w:t>
      </w:r>
    </w:p>
    <w:p w14:paraId="5BAD0DEB" w14:textId="4628E379" w:rsidR="002E0EFB" w:rsidRPr="000F4C83" w:rsidRDefault="000F4C83" w:rsidP="000F4C83">
      <w:pPr>
        <w:pStyle w:val="BodyText"/>
      </w:pPr>
      <w:r w:rsidRPr="000F4C83">
        <w:t>Four</w:t>
      </w:r>
      <w:r w:rsidR="002E0EFB" w:rsidRPr="000F4C83">
        <w:t xml:space="preserve"> respondents </w:t>
      </w:r>
      <w:r w:rsidR="00C513C6">
        <w:t xml:space="preserve">proposed </w:t>
      </w:r>
      <w:r w:rsidR="002E0EFB" w:rsidRPr="000F4C83">
        <w:t xml:space="preserve">smaller entities could be </w:t>
      </w:r>
      <w:r w:rsidRPr="000F4C83">
        <w:t>granted</w:t>
      </w:r>
      <w:r w:rsidR="002E0EFB" w:rsidRPr="000F4C83">
        <w:t xml:space="preserve"> a less comprehensive disclosure requirement, thus removing the need for exemptions or a longer transition period. </w:t>
      </w:r>
    </w:p>
    <w:p w14:paraId="18FBE14A" w14:textId="2691B521" w:rsidR="002E0EFB" w:rsidRDefault="002E0EFB" w:rsidP="000F4C83">
      <w:pPr>
        <w:pStyle w:val="BodyText"/>
      </w:pPr>
      <w:r w:rsidRPr="000F4C83">
        <w:t>Two respondents noted that</w:t>
      </w:r>
      <w:r w:rsidR="00CD08D9">
        <w:t>,</w:t>
      </w:r>
      <w:r w:rsidRPr="000F4C83">
        <w:t xml:space="preserve"> in any case, smaller entities </w:t>
      </w:r>
      <w:r w:rsidR="00CD08D9">
        <w:t>would</w:t>
      </w:r>
      <w:r w:rsidR="00CD08D9" w:rsidRPr="000F4C83">
        <w:t xml:space="preserve"> </w:t>
      </w:r>
      <w:r w:rsidRPr="000F4C83">
        <w:t xml:space="preserve">require greater awareness, education and clear frameworks. </w:t>
      </w:r>
      <w:r w:rsidR="000F4C83" w:rsidRPr="000F4C83">
        <w:t>The regime could</w:t>
      </w:r>
      <w:r w:rsidR="00CD08D9">
        <w:t>,</w:t>
      </w:r>
      <w:r w:rsidR="000F4C83" w:rsidRPr="000F4C83">
        <w:t xml:space="preserve"> therefore</w:t>
      </w:r>
      <w:r w:rsidR="00CD08D9">
        <w:t>,</w:t>
      </w:r>
      <w:r w:rsidR="000F4C83" w:rsidRPr="000F4C83">
        <w:t xml:space="preserve"> encourage</w:t>
      </w:r>
      <w:r w:rsidRPr="000F4C83">
        <w:t xml:space="preserve"> </w:t>
      </w:r>
      <w:r w:rsidR="000F4C83" w:rsidRPr="000F4C83">
        <w:t xml:space="preserve">and enable </w:t>
      </w:r>
      <w:r w:rsidRPr="000F4C83">
        <w:t>voluntary reporting</w:t>
      </w:r>
      <w:r w:rsidR="000F4C83" w:rsidRPr="000F4C83">
        <w:t>, reducing smaller entities</w:t>
      </w:r>
      <w:r w:rsidR="007E6A92">
        <w:t>’</w:t>
      </w:r>
      <w:r w:rsidR="00CD08D9">
        <w:t xml:space="preserve"> </w:t>
      </w:r>
      <w:r w:rsidR="000F4C83">
        <w:t>cost over time.</w:t>
      </w:r>
      <w:r w:rsidR="007E6A92">
        <w:t xml:space="preserve"> Responsible Investment Association Australasia</w:t>
      </w:r>
      <w:r w:rsidR="00246540">
        <w:t xml:space="preserve"> stated</w:t>
      </w:r>
      <w:r w:rsidR="007E6A92">
        <w:t>:</w:t>
      </w:r>
    </w:p>
    <w:p w14:paraId="70D19598" w14:textId="42CE28CE" w:rsidR="007E6A92" w:rsidRPr="00F84D81" w:rsidRDefault="002E0EFB" w:rsidP="00FB06F2">
      <w:pPr>
        <w:pStyle w:val="Quote"/>
        <w:rPr>
          <w:spacing w:val="-2"/>
        </w:rPr>
      </w:pPr>
      <w:r w:rsidRPr="00F84D81">
        <w:rPr>
          <w:rStyle w:val="QuoteChar"/>
          <w:spacing w:val="-2"/>
        </w:rPr>
        <w:t xml:space="preserve">It may make sense to phase in the disclosure legislation so that larger companies, with better resources report early and report comprehensively, leading the way and providing examples for smaller companies. There is a circular challenge that this consideration provides due to the inability of larger companies, especially in the financial services sector, to adequately report until their smaller partners from within </w:t>
      </w:r>
      <w:r w:rsidR="00DC65DB" w:rsidRPr="00F84D81">
        <w:rPr>
          <w:rStyle w:val="QuoteChar"/>
          <w:spacing w:val="-2"/>
        </w:rPr>
        <w:t>their supply chains, also do so</w:t>
      </w:r>
      <w:r w:rsidR="00246540" w:rsidRPr="00F84D81">
        <w:rPr>
          <w:rStyle w:val="QuoteChar"/>
          <w:spacing w:val="-2"/>
        </w:rPr>
        <w:t>.</w:t>
      </w:r>
    </w:p>
    <w:p w14:paraId="3364DD1C" w14:textId="77777777" w:rsidR="003455C8" w:rsidRDefault="003455C8" w:rsidP="003455C8">
      <w:pPr>
        <w:pStyle w:val="Heading3"/>
      </w:pPr>
      <w:bookmarkStart w:id="77" w:name="_Toc32847666"/>
      <w:r>
        <w:t>Q.35 Do you have any views about the legislative means for implementing new mandatory (comply-or-explain) disclosure requirements?</w:t>
      </w:r>
      <w:bookmarkEnd w:id="77"/>
    </w:p>
    <w:p w14:paraId="3F833C6F" w14:textId="14F0BA81" w:rsidR="003455C8" w:rsidRDefault="003455C8" w:rsidP="003455C8">
      <w:pPr>
        <w:pStyle w:val="BodyText"/>
      </w:pPr>
      <w:r>
        <w:t xml:space="preserve">We received </w:t>
      </w:r>
      <w:r w:rsidR="00F47F3A">
        <w:t>30</w:t>
      </w:r>
      <w:r>
        <w:t xml:space="preserve"> responses to this question, with no clear consensus or themes emerging. Five respondents felt existin</w:t>
      </w:r>
      <w:r w:rsidR="00DC65DB">
        <w:t>g regulations should be amended</w:t>
      </w:r>
      <w:r>
        <w:t xml:space="preserve"> to avoid creating another form of reporting. Six others argued new regulations should be introduced to allow for greater flexibility</w:t>
      </w:r>
      <w:r w:rsidR="007E6A92">
        <w:t>,</w:t>
      </w:r>
      <w:r>
        <w:t xml:space="preserve"> </w:t>
      </w:r>
      <w:r w:rsidR="00DC65DB">
        <w:t>given</w:t>
      </w:r>
      <w:r>
        <w:t xml:space="preserve"> the proposals</w:t>
      </w:r>
      <w:r w:rsidR="007E6A92">
        <w:t xml:space="preserve"> </w:t>
      </w:r>
      <w:r w:rsidR="00DC65DB">
        <w:t xml:space="preserve">are </w:t>
      </w:r>
      <w:r w:rsidR="007E6A92">
        <w:t>different</w:t>
      </w:r>
      <w:r w:rsidR="00DC65DB">
        <w:t xml:space="preserve"> in</w:t>
      </w:r>
      <w:r w:rsidR="007E6A92">
        <w:t xml:space="preserve"> nature to </w:t>
      </w:r>
      <w:r w:rsidR="00D95439">
        <w:t xml:space="preserve">the </w:t>
      </w:r>
      <w:r>
        <w:t xml:space="preserve">existing </w:t>
      </w:r>
      <w:r w:rsidR="00D95439">
        <w:t xml:space="preserve">architecture for </w:t>
      </w:r>
      <w:r>
        <w:t xml:space="preserve">financial reporting. </w:t>
      </w:r>
    </w:p>
    <w:p w14:paraId="28B2502F" w14:textId="77777777" w:rsidR="003455C8" w:rsidRDefault="009346E2" w:rsidP="0028727F">
      <w:pPr>
        <w:pStyle w:val="BodyText"/>
      </w:pPr>
      <w:r>
        <w:t>Respondents raised the following concerns</w:t>
      </w:r>
      <w:r w:rsidR="00802CDD">
        <w:t>. Any legislation</w:t>
      </w:r>
      <w:r w:rsidR="00515343">
        <w:t xml:space="preserve"> must</w:t>
      </w:r>
      <w:r>
        <w:t>:</w:t>
      </w:r>
      <w:r w:rsidR="00216C16">
        <w:t xml:space="preserve"> </w:t>
      </w:r>
    </w:p>
    <w:p w14:paraId="5BBAD717" w14:textId="77777777" w:rsidR="003455C8" w:rsidRDefault="00802CDD" w:rsidP="00857B90">
      <w:pPr>
        <w:pStyle w:val="Bullet"/>
      </w:pPr>
      <w:r>
        <w:t xml:space="preserve">have clear and precise </w:t>
      </w:r>
      <w:r w:rsidR="00216C16">
        <w:t xml:space="preserve">requirements </w:t>
      </w:r>
    </w:p>
    <w:p w14:paraId="29DA7A27" w14:textId="77777777" w:rsidR="003455C8" w:rsidRDefault="003455C8" w:rsidP="00857B90">
      <w:pPr>
        <w:pStyle w:val="Bullet"/>
      </w:pPr>
      <w:r>
        <w:t>not conflict with existing reporting obligations</w:t>
      </w:r>
    </w:p>
    <w:p w14:paraId="3D8CFA1E" w14:textId="77777777" w:rsidR="003455C8" w:rsidRDefault="003455C8" w:rsidP="00857B90">
      <w:pPr>
        <w:pStyle w:val="Bullet"/>
      </w:pPr>
      <w:r>
        <w:t>provide appropriate liability</w:t>
      </w:r>
      <w:r w:rsidR="00A6245C">
        <w:t xml:space="preserve"> </w:t>
      </w:r>
    </w:p>
    <w:p w14:paraId="64642378" w14:textId="4AA5CC2C" w:rsidR="003455C8" w:rsidRDefault="003455C8" w:rsidP="00857B90">
      <w:pPr>
        <w:pStyle w:val="Bullet"/>
      </w:pPr>
      <w:r>
        <w:t xml:space="preserve">avoid unintended consequences, for example creating </w:t>
      </w:r>
      <w:r w:rsidR="007C75AC">
        <w:t xml:space="preserve">investor </w:t>
      </w:r>
      <w:r>
        <w:t>pressure for smaller</w:t>
      </w:r>
      <w:r w:rsidR="00D95439">
        <w:t>,</w:t>
      </w:r>
      <w:r>
        <w:t xml:space="preserve"> non-mandated organisations within the supply chain </w:t>
      </w:r>
    </w:p>
    <w:p w14:paraId="70B192E0" w14:textId="5A6F5C0A" w:rsidR="003455C8" w:rsidRDefault="0013649A" w:rsidP="00857B90">
      <w:pPr>
        <w:pStyle w:val="Bullet"/>
      </w:pPr>
      <w:proofErr w:type="gramStart"/>
      <w:r>
        <w:t>allow</w:t>
      </w:r>
      <w:proofErr w:type="gramEnd"/>
      <w:r>
        <w:t xml:space="preserve"> </w:t>
      </w:r>
      <w:r w:rsidR="003455C8">
        <w:t>a broader range of potential</w:t>
      </w:r>
      <w:r w:rsidR="00D95439">
        <w:t>,</w:t>
      </w:r>
      <w:r w:rsidR="003455C8">
        <w:t xml:space="preserve"> </w:t>
      </w:r>
      <w:r w:rsidR="00A6245C">
        <w:t xml:space="preserve">additional </w:t>
      </w:r>
      <w:r w:rsidR="003455C8">
        <w:t>ESG disclosures</w:t>
      </w:r>
      <w:r w:rsidR="00D95439">
        <w:t xml:space="preserve"> to be introduced at a later time</w:t>
      </w:r>
      <w:r w:rsidR="00515343">
        <w:t>.</w:t>
      </w:r>
    </w:p>
    <w:p w14:paraId="675C84DF" w14:textId="7D41D35E" w:rsidR="00CB4439" w:rsidRDefault="003455C8" w:rsidP="00857B90">
      <w:pPr>
        <w:pStyle w:val="Bullet"/>
        <w:numPr>
          <w:ilvl w:val="0"/>
          <w:numId w:val="0"/>
        </w:numPr>
      </w:pPr>
      <w:r>
        <w:t xml:space="preserve">As TCFD implementation remains </w:t>
      </w:r>
      <w:r w:rsidR="00246540">
        <w:t xml:space="preserve">at an </w:t>
      </w:r>
      <w:r>
        <w:t>early stage, regulation and standard setting</w:t>
      </w:r>
      <w:r w:rsidR="00D95439">
        <w:t xml:space="preserve"> should be separate</w:t>
      </w:r>
      <w:r w:rsidR="0063096A">
        <w:t xml:space="preserve">. </w:t>
      </w:r>
      <w:r w:rsidRPr="0028727F">
        <w:t xml:space="preserve">Several </w:t>
      </w:r>
      <w:r w:rsidR="0063096A">
        <w:t>submissions</w:t>
      </w:r>
      <w:r w:rsidRPr="0028727F">
        <w:t xml:space="preserve"> </w:t>
      </w:r>
      <w:r w:rsidR="00246540">
        <w:t xml:space="preserve">stated </w:t>
      </w:r>
      <w:r w:rsidR="00DC65DB">
        <w:t xml:space="preserve">the XRB should therefore </w:t>
      </w:r>
      <w:r w:rsidR="0028727F" w:rsidRPr="0028727F">
        <w:t>play</w:t>
      </w:r>
      <w:r w:rsidRPr="0028727F">
        <w:t xml:space="preserve"> a role</w:t>
      </w:r>
      <w:r w:rsidR="0028727F" w:rsidRPr="0028727F">
        <w:t>.</w:t>
      </w:r>
    </w:p>
    <w:p w14:paraId="323675EA" w14:textId="1C959910" w:rsidR="00185327" w:rsidRDefault="00F174BE" w:rsidP="00857B90">
      <w:pPr>
        <w:pStyle w:val="Bullet"/>
        <w:numPr>
          <w:ilvl w:val="0"/>
          <w:numId w:val="0"/>
        </w:numPr>
      </w:pPr>
      <w:r>
        <w:t>The McGuinness Institute propose</w:t>
      </w:r>
      <w:r w:rsidR="00C56AC7">
        <w:t>d</w:t>
      </w:r>
      <w:r>
        <w:t xml:space="preserve"> a</w:t>
      </w:r>
      <w:r w:rsidR="00C56AC7">
        <w:t>n alternative approach to embedding the TCFD in legislation</w:t>
      </w:r>
      <w:r w:rsidR="0061391A">
        <w:t xml:space="preserve"> (see figure 4</w:t>
      </w:r>
      <w:r>
        <w:t>).</w:t>
      </w:r>
      <w:r w:rsidR="00CF643C">
        <w:t xml:space="preserve"> </w:t>
      </w:r>
      <w:r w:rsidR="00C56AC7">
        <w:t>It</w:t>
      </w:r>
      <w:r w:rsidR="00CF643C">
        <w:t xml:space="preserve"> argued this approach would provide regulators with the most cost-effective, durable and flexible framework in the short to medium term. </w:t>
      </w:r>
    </w:p>
    <w:p w14:paraId="13523051" w14:textId="6B14CE74" w:rsidR="00185327" w:rsidRDefault="00185327" w:rsidP="00943CF2">
      <w:pPr>
        <w:pStyle w:val="Figureheading"/>
      </w:pPr>
      <w:bookmarkStart w:id="78" w:name="_Toc39504177"/>
      <w:r>
        <w:lastRenderedPageBreak/>
        <w:t xml:space="preserve">Figure </w:t>
      </w:r>
      <w:fldSimple w:instr=" SEQ Figure \* ARABIC ">
        <w:r w:rsidR="0061391A">
          <w:rPr>
            <w:noProof/>
          </w:rPr>
          <w:t>4</w:t>
        </w:r>
      </w:fldSimple>
      <w:r>
        <w:t xml:space="preserve">: </w:t>
      </w:r>
      <w:r>
        <w:tab/>
      </w:r>
      <w:r w:rsidR="00593661">
        <w:t xml:space="preserve">The </w:t>
      </w:r>
      <w:r>
        <w:t>McGuinness Institute proposed approach for embedding TCFD into legislation</w:t>
      </w:r>
      <w:bookmarkEnd w:id="78"/>
    </w:p>
    <w:p w14:paraId="467684E4" w14:textId="7C4FE87B" w:rsidR="00185327" w:rsidRDefault="00185327" w:rsidP="00185327">
      <w:pPr>
        <w:pStyle w:val="BodyText"/>
      </w:pPr>
      <w:r>
        <w:rPr>
          <w:noProof/>
        </w:rPr>
        <w:drawing>
          <wp:inline distT="0" distB="0" distL="0" distR="0" wp14:anchorId="2096B0E5" wp14:editId="3F6151C3">
            <wp:extent cx="4867275" cy="4008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blip>
                    <a:stretch>
                      <a:fillRect/>
                    </a:stretch>
                  </pic:blipFill>
                  <pic:spPr>
                    <a:xfrm>
                      <a:off x="0" y="0"/>
                      <a:ext cx="4870208" cy="4010591"/>
                    </a:xfrm>
                    <a:prstGeom prst="rect">
                      <a:avLst/>
                    </a:prstGeom>
                  </pic:spPr>
                </pic:pic>
              </a:graphicData>
            </a:graphic>
          </wp:inline>
        </w:drawing>
      </w:r>
    </w:p>
    <w:p w14:paraId="6362559F" w14:textId="77777777" w:rsidR="0028727F" w:rsidRPr="0028727F" w:rsidRDefault="0028727F">
      <w:pPr>
        <w:pStyle w:val="Heading3"/>
      </w:pPr>
      <w:bookmarkStart w:id="79" w:name="_Toc32847667"/>
      <w:r>
        <w:t>Q.36 Do you consider that there is a role for government in relation to guidance, education, monitoring and reporting?</w:t>
      </w:r>
      <w:bookmarkEnd w:id="79"/>
    </w:p>
    <w:p w14:paraId="4E7BA335" w14:textId="1778E2AD" w:rsidR="0028727F" w:rsidRDefault="0028727F" w:rsidP="00E30ACC">
      <w:pPr>
        <w:pStyle w:val="BodyText"/>
      </w:pPr>
      <w:r>
        <w:t>We received 5</w:t>
      </w:r>
      <w:r w:rsidR="00F47F3A">
        <w:t>4</w:t>
      </w:r>
      <w:r>
        <w:t xml:space="preserve"> response</w:t>
      </w:r>
      <w:r w:rsidR="005473D6">
        <w:t xml:space="preserve">s to this question, </w:t>
      </w:r>
      <w:r w:rsidR="00FB05FB">
        <w:t>with</w:t>
      </w:r>
      <w:r w:rsidR="005473D6">
        <w:t xml:space="preserve"> 8</w:t>
      </w:r>
      <w:r w:rsidR="00F47F3A">
        <w:t>9</w:t>
      </w:r>
      <w:r w:rsidR="005473D6">
        <w:t xml:space="preserve"> per cent</w:t>
      </w:r>
      <w:r w:rsidR="00FB05FB">
        <w:t xml:space="preserve"> of respondents (4</w:t>
      </w:r>
      <w:r w:rsidR="00F47F3A">
        <w:t>8</w:t>
      </w:r>
      <w:r w:rsidR="00FB05FB">
        <w:t>) considering</w:t>
      </w:r>
      <w:r>
        <w:t xml:space="preserve"> there </w:t>
      </w:r>
      <w:r w:rsidR="00D95439">
        <w:t xml:space="preserve">was </w:t>
      </w:r>
      <w:r>
        <w:t xml:space="preserve">a significant role for </w:t>
      </w:r>
      <w:r w:rsidR="00D95439">
        <w:t>the G</w:t>
      </w:r>
      <w:r>
        <w:t xml:space="preserve">overnment in relation to </w:t>
      </w:r>
      <w:r w:rsidR="00C513C6">
        <w:t>guidance, education, monitoring and reporting</w:t>
      </w:r>
      <w:r>
        <w:t>. Four r</w:t>
      </w:r>
      <w:r w:rsidR="006867CE">
        <w:t>espondent</w:t>
      </w:r>
      <w:r>
        <w:t xml:space="preserve">s felt there was a limited role for </w:t>
      </w:r>
      <w:r w:rsidR="00246540">
        <w:t>the G</w:t>
      </w:r>
      <w:r>
        <w:t xml:space="preserve">overnment, and one did not consider </w:t>
      </w:r>
      <w:r w:rsidR="00D95439">
        <w:t>the G</w:t>
      </w:r>
      <w:r>
        <w:t xml:space="preserve">overnment best placed to provide such functions. </w:t>
      </w:r>
    </w:p>
    <w:p w14:paraId="7830F80D" w14:textId="32C9A545" w:rsidR="0028727F" w:rsidRDefault="009201D7" w:rsidP="00E30ACC">
      <w:pPr>
        <w:pStyle w:val="BodyText"/>
      </w:pPr>
      <w:r>
        <w:t>A recurring theme amongst respondents w</w:t>
      </w:r>
      <w:r w:rsidR="00DC65DB">
        <w:t xml:space="preserve">as </w:t>
      </w:r>
      <w:r w:rsidR="00246540">
        <w:t>the G</w:t>
      </w:r>
      <w:r w:rsidR="00DC65DB">
        <w:t>overnment should</w:t>
      </w:r>
      <w:r w:rsidR="0028727F">
        <w:t xml:space="preserve"> focus </w:t>
      </w:r>
      <w:r w:rsidR="00124AED">
        <w:t>on ensuring comparable and useful</w:t>
      </w:r>
      <w:r w:rsidR="00DC65DB">
        <w:t xml:space="preserve"> information. It could do so</w:t>
      </w:r>
      <w:r w:rsidR="0028727F">
        <w:t xml:space="preserve"> by developing consistent and clear tools to enable scenario analysis in a cost-effective manner</w:t>
      </w:r>
      <w:r w:rsidR="00D95439">
        <w:t xml:space="preserve"> that can be replicated </w:t>
      </w:r>
      <w:r w:rsidR="0028727F">
        <w:t>across organisations (</w:t>
      </w:r>
      <w:proofErr w:type="spellStart"/>
      <w:r w:rsidR="008A4236">
        <w:t>eg</w:t>
      </w:r>
      <w:proofErr w:type="spellEnd"/>
      <w:r w:rsidR="0028727F">
        <w:t xml:space="preserve">, an approved range of scenarios or standards for scenario analysis). </w:t>
      </w:r>
      <w:r w:rsidR="00124AED">
        <w:t>R</w:t>
      </w:r>
      <w:r w:rsidR="00FC30FC">
        <w:t>espondents</w:t>
      </w:r>
      <w:r w:rsidR="0028727F">
        <w:t xml:space="preserve"> also called for better</w:t>
      </w:r>
      <w:r w:rsidR="00D95439">
        <w:t>,</w:t>
      </w:r>
      <w:r w:rsidR="0028727F">
        <w:t xml:space="preserve"> cost-effective access to New Zealand-specific data sets on a range of risks</w:t>
      </w:r>
      <w:r w:rsidR="0063096A">
        <w:t>, as well as</w:t>
      </w:r>
      <w:r w:rsidR="0028727F">
        <w:t xml:space="preserve"> economic and social data.</w:t>
      </w:r>
    </w:p>
    <w:p w14:paraId="09A8F5B9" w14:textId="4F66462F" w:rsidR="00426F0A" w:rsidRDefault="00426F0A" w:rsidP="00FB06F2">
      <w:pPr>
        <w:pStyle w:val="BodyText"/>
      </w:pPr>
      <w:r>
        <w:t xml:space="preserve">For example, </w:t>
      </w:r>
      <w:r w:rsidRPr="004345A4">
        <w:t xml:space="preserve">Air New Zealand </w:t>
      </w:r>
      <w:r>
        <w:t>stated the G</w:t>
      </w:r>
      <w:r w:rsidRPr="004345A4">
        <w:t xml:space="preserve">overnment and industry should work closely together as we move toward implementation. Specifics of </w:t>
      </w:r>
      <w:r w:rsidR="00D95439">
        <w:t xml:space="preserve">the requirements for </w:t>
      </w:r>
      <w:r w:rsidRPr="004345A4">
        <w:t xml:space="preserve">implementation will arise from close collaboration with businesses and it may be that </w:t>
      </w:r>
      <w:r>
        <w:t xml:space="preserve">the </w:t>
      </w:r>
      <w:r w:rsidRPr="004345A4">
        <w:t>Government has a role to play in facilitating sector-based guidance to encourage consistency in disclosures.</w:t>
      </w:r>
    </w:p>
    <w:p w14:paraId="31E77C5F" w14:textId="05B6071F" w:rsidR="0028727F" w:rsidRDefault="0028727F" w:rsidP="00E30ACC">
      <w:pPr>
        <w:pStyle w:val="BodyText"/>
      </w:pPr>
      <w:r>
        <w:t>Beyond impl</w:t>
      </w:r>
      <w:r w:rsidR="00124AED">
        <w:t>ementation tools, responses</w:t>
      </w:r>
      <w:r>
        <w:t xml:space="preserve"> also </w:t>
      </w:r>
      <w:r w:rsidR="0063096A">
        <w:t xml:space="preserve">called for </w:t>
      </w:r>
      <w:r>
        <w:t xml:space="preserve">greater guidance and clarity in understanding what </w:t>
      </w:r>
      <w:r w:rsidR="00D95439">
        <w:t xml:space="preserve">was </w:t>
      </w:r>
      <w:r>
        <w:t xml:space="preserve">expected from organisations </w:t>
      </w:r>
      <w:r w:rsidR="00D95439">
        <w:t>to be</w:t>
      </w:r>
      <w:r w:rsidR="00124AED">
        <w:t xml:space="preserve"> considered</w:t>
      </w:r>
      <w:r>
        <w:t xml:space="preserve"> compliant. Several </w:t>
      </w:r>
      <w:r w:rsidR="00124AED">
        <w:lastRenderedPageBreak/>
        <w:t xml:space="preserve">respondents </w:t>
      </w:r>
      <w:r>
        <w:t xml:space="preserve">suggested holding workshops and distributing best practice case studies. </w:t>
      </w:r>
      <w:r w:rsidR="00124AED">
        <w:t xml:space="preserve">Additionally, many respondents suggested monitoring disclosures and publishing findings </w:t>
      </w:r>
      <w:r w:rsidR="006D3692">
        <w:t>(</w:t>
      </w:r>
      <w:r w:rsidR="00124AED">
        <w:t>such as the quality of reporting, pathways for improvement</w:t>
      </w:r>
      <w:r w:rsidR="006D3692">
        <w:t>)</w:t>
      </w:r>
      <w:r w:rsidR="00124AED">
        <w:t xml:space="preserve"> and highlighting relevant themes on risks and opportunities </w:t>
      </w:r>
      <w:r w:rsidR="006D3692">
        <w:t xml:space="preserve">that emerged </w:t>
      </w:r>
      <w:r w:rsidR="00124AED">
        <w:t>from the disclosure</w:t>
      </w:r>
      <w:r w:rsidR="0063096A">
        <w:t>s</w:t>
      </w:r>
      <w:r w:rsidR="00124AED">
        <w:t xml:space="preserve">. These could be included on a central register or repository for disclosures. </w:t>
      </w:r>
    </w:p>
    <w:p w14:paraId="189B0AE7" w14:textId="4EC52E88" w:rsidR="00124AED" w:rsidRDefault="00124AED" w:rsidP="00E30ACC">
      <w:pPr>
        <w:pStyle w:val="BodyText"/>
      </w:pPr>
      <w:r>
        <w:t xml:space="preserve">Another theme was the need for a regulatory body with clear enforcement functions. </w:t>
      </w:r>
      <w:r w:rsidR="0063096A">
        <w:t xml:space="preserve">There was a preference for </w:t>
      </w:r>
      <w:r>
        <w:t>a non-punitive approach</w:t>
      </w:r>
      <w:r w:rsidR="00FB05FB">
        <w:t xml:space="preserve"> in</w:t>
      </w:r>
      <w:r>
        <w:t xml:space="preserve"> </w:t>
      </w:r>
      <w:r w:rsidR="00FB05FB">
        <w:t>initial years</w:t>
      </w:r>
      <w:r w:rsidR="00D86331">
        <w:t>, focusing</w:t>
      </w:r>
      <w:r w:rsidR="00931C8D">
        <w:t xml:space="preserve"> instead</w:t>
      </w:r>
      <w:r w:rsidR="00D86331">
        <w:t xml:space="preserve"> on education and improving understanding of clim</w:t>
      </w:r>
      <w:r w:rsidR="006867CE">
        <w:t xml:space="preserve">ate risks. </w:t>
      </w:r>
      <w:r w:rsidR="006D3692">
        <w:t>Some</w:t>
      </w:r>
      <w:r w:rsidR="006867CE">
        <w:t xml:space="preserve"> respondent</w:t>
      </w:r>
      <w:r w:rsidR="00D86331">
        <w:t xml:space="preserve">s noted the need for these functions to be adequately resourced. </w:t>
      </w:r>
    </w:p>
    <w:p w14:paraId="0EFDF0D9" w14:textId="7564D968" w:rsidR="0028727F" w:rsidRDefault="00E30ACC" w:rsidP="00E30ACC">
      <w:pPr>
        <w:pStyle w:val="BodyText"/>
      </w:pPr>
      <w:r>
        <w:t>Two respondents</w:t>
      </w:r>
      <w:r w:rsidR="0028727F">
        <w:t xml:space="preserve"> </w:t>
      </w:r>
      <w:r w:rsidR="00FB05FB">
        <w:t xml:space="preserve">suggested </w:t>
      </w:r>
      <w:r w:rsidR="00246540">
        <w:t xml:space="preserve">the </w:t>
      </w:r>
      <w:r w:rsidR="0028727F">
        <w:t>Government itself undertaking TCFD would allow it to learn by doing and act as a role model</w:t>
      </w:r>
      <w:r w:rsidR="0063096A">
        <w:t xml:space="preserve">. It is clear it will be important for </w:t>
      </w:r>
      <w:r w:rsidR="006D3692">
        <w:t>the G</w:t>
      </w:r>
      <w:r w:rsidR="0063096A">
        <w:t>overnment to work with indu</w:t>
      </w:r>
      <w:r w:rsidR="00FB06F2">
        <w:t>stry to develop useful guidance.</w:t>
      </w:r>
    </w:p>
    <w:p w14:paraId="03EB27E5" w14:textId="77777777" w:rsidR="00E30ACC" w:rsidRDefault="00E30ACC" w:rsidP="00E30ACC">
      <w:pPr>
        <w:pStyle w:val="Heading3"/>
      </w:pPr>
      <w:bookmarkStart w:id="80" w:name="_Toc32847668"/>
      <w:r>
        <w:t>Q.37 Are there other activities that a government agency could usefully carry out?</w:t>
      </w:r>
      <w:bookmarkEnd w:id="80"/>
    </w:p>
    <w:p w14:paraId="6F663DAD" w14:textId="3A63C61B" w:rsidR="00E30ACC" w:rsidRPr="00E74162" w:rsidRDefault="00E30ACC" w:rsidP="00E74162">
      <w:pPr>
        <w:pStyle w:val="BodyText"/>
      </w:pPr>
      <w:r w:rsidRPr="00E74162">
        <w:t>We received 3</w:t>
      </w:r>
      <w:r w:rsidR="00F47F3A">
        <w:t>7</w:t>
      </w:r>
      <w:r w:rsidRPr="00E74162">
        <w:t xml:space="preserve"> responses to this question. Many respondents reiterated or echoed poin</w:t>
      </w:r>
      <w:r w:rsidR="00802CDD">
        <w:t>ts raised in response to Q.36 (such as</w:t>
      </w:r>
      <w:r w:rsidRPr="00E74162">
        <w:t xml:space="preserve"> providing data sets and scenarios), so we have not repeated those responses.</w:t>
      </w:r>
    </w:p>
    <w:p w14:paraId="40590C9C" w14:textId="62B69A1E" w:rsidR="00E30ACC" w:rsidRDefault="00FB0048" w:rsidP="00CE3615">
      <w:pPr>
        <w:pStyle w:val="BodyText"/>
      </w:pPr>
      <w:r>
        <w:t>A number of a</w:t>
      </w:r>
      <w:r w:rsidR="00E30ACC">
        <w:t xml:space="preserve">dditional activities </w:t>
      </w:r>
      <w:r>
        <w:t>were suggested by responden</w:t>
      </w:r>
      <w:r w:rsidR="00FB06F2">
        <w:t xml:space="preserve">ts, </w:t>
      </w:r>
      <w:r w:rsidR="006D3692">
        <w:t xml:space="preserve">as </w:t>
      </w:r>
      <w:r w:rsidR="00FB06F2">
        <w:t>listed below.</w:t>
      </w:r>
    </w:p>
    <w:p w14:paraId="334592C4" w14:textId="578B93F5" w:rsidR="00E30ACC" w:rsidRDefault="00802CDD" w:rsidP="00857B90">
      <w:pPr>
        <w:pStyle w:val="Bullet"/>
      </w:pPr>
      <w:r>
        <w:t>S</w:t>
      </w:r>
      <w:r w:rsidR="00E30ACC">
        <w:t xml:space="preserve">cenario analysis from </w:t>
      </w:r>
      <w:r w:rsidR="0063096A">
        <w:t xml:space="preserve">the </w:t>
      </w:r>
      <w:r w:rsidR="009B43F1">
        <w:t>RBNZ</w:t>
      </w:r>
      <w:r w:rsidR="00E30ACC">
        <w:t>, alongside an as</w:t>
      </w:r>
      <w:r w:rsidR="00FB0048">
        <w:t>sessment of financial stability.</w:t>
      </w:r>
    </w:p>
    <w:p w14:paraId="0F1C37BB" w14:textId="7D6EEC1A" w:rsidR="004D0658" w:rsidRDefault="00FB0048" w:rsidP="00857B90">
      <w:pPr>
        <w:pStyle w:val="Bullet"/>
      </w:pPr>
      <w:r>
        <w:t>P</w:t>
      </w:r>
      <w:r w:rsidR="004D0658">
        <w:t>rovid</w:t>
      </w:r>
      <w:r w:rsidR="001C334E">
        <w:t>e</w:t>
      </w:r>
      <w:r w:rsidR="004D0658">
        <w:t xml:space="preserve"> national risk and climate</w:t>
      </w:r>
      <w:r w:rsidR="006D3692">
        <w:t>-</w:t>
      </w:r>
      <w:r w:rsidR="004D0658">
        <w:t xml:space="preserve">hazard data that </w:t>
      </w:r>
      <w:r w:rsidR="006D3692">
        <w:t xml:space="preserve">entities </w:t>
      </w:r>
      <w:r w:rsidR="004D0658">
        <w:t xml:space="preserve">can </w:t>
      </w:r>
      <w:r w:rsidR="006D3692">
        <w:t>use</w:t>
      </w:r>
      <w:r w:rsidR="004D0658">
        <w:t xml:space="preserve"> in </w:t>
      </w:r>
      <w:r w:rsidR="001C334E">
        <w:t xml:space="preserve">managing </w:t>
      </w:r>
      <w:r w:rsidR="004D0658">
        <w:t xml:space="preserve">risk in </w:t>
      </w:r>
      <w:r w:rsidR="001C334E">
        <w:t xml:space="preserve">the </w:t>
      </w:r>
      <w:r w:rsidR="004D0658">
        <w:t>scope of mandatory reporting through the National Climate Change Risk Assessment process</w:t>
      </w:r>
      <w:r>
        <w:t>.</w:t>
      </w:r>
    </w:p>
    <w:p w14:paraId="4892C232" w14:textId="267B440A" w:rsidR="00E30ACC" w:rsidRDefault="00FB0048" w:rsidP="00857B90">
      <w:pPr>
        <w:pStyle w:val="Bullet"/>
      </w:pPr>
      <w:r>
        <w:t>I</w:t>
      </w:r>
      <w:r w:rsidR="00E30ACC">
        <w:t xml:space="preserve">n line with the Sustainable Finance Forum </w:t>
      </w:r>
      <w:r w:rsidR="00B74728">
        <w:t xml:space="preserve">interim report </w:t>
      </w:r>
      <w:r w:rsidR="00E30ACC">
        <w:t>recommendation</w:t>
      </w:r>
      <w:r w:rsidR="001C334E">
        <w:t>,</w:t>
      </w:r>
      <w:r>
        <w:rPr>
          <w:rStyle w:val="FootnoteReference"/>
        </w:rPr>
        <w:footnoteReference w:id="5"/>
      </w:r>
      <w:r w:rsidR="00E30ACC">
        <w:t xml:space="preserve"> develo</w:t>
      </w:r>
      <w:r w:rsidR="001C334E">
        <w:t>p</w:t>
      </w:r>
      <w:r w:rsidR="00E30ACC">
        <w:t xml:space="preserve"> a credible and objective sustainability ‘language’ fit for N</w:t>
      </w:r>
      <w:r w:rsidR="00EA79C8">
        <w:t xml:space="preserve">ew </w:t>
      </w:r>
      <w:r w:rsidR="00E30ACC">
        <w:t>Z</w:t>
      </w:r>
      <w:r w:rsidR="00EA79C8">
        <w:t>ealand</w:t>
      </w:r>
      <w:r w:rsidR="00E30ACC">
        <w:t>, linked to international standards</w:t>
      </w:r>
      <w:r>
        <w:t>.</w:t>
      </w:r>
    </w:p>
    <w:p w14:paraId="4130DA05" w14:textId="68CA751A" w:rsidR="00E30ACC" w:rsidRDefault="00FB0048" w:rsidP="00857B90">
      <w:pPr>
        <w:pStyle w:val="Bullet"/>
      </w:pPr>
      <w:r>
        <w:t>C</w:t>
      </w:r>
      <w:r w:rsidR="00802CDD">
        <w:t>reat</w:t>
      </w:r>
      <w:r w:rsidR="001C334E">
        <w:t>e</w:t>
      </w:r>
      <w:r w:rsidR="004D0658">
        <w:t xml:space="preserve"> p</w:t>
      </w:r>
      <w:r w:rsidR="00E30ACC">
        <w:t xml:space="preserve">latforms to develop sector-level alignment in reporting approaches, methodologies and metrics to </w:t>
      </w:r>
      <w:r w:rsidR="001C334E">
        <w:t xml:space="preserve">make </w:t>
      </w:r>
      <w:r w:rsidR="00E30ACC">
        <w:t xml:space="preserve">reported information </w:t>
      </w:r>
      <w:r w:rsidR="001C334E">
        <w:t xml:space="preserve">more comparable </w:t>
      </w:r>
      <w:r w:rsidR="00E30ACC">
        <w:t xml:space="preserve">and </w:t>
      </w:r>
      <w:r w:rsidR="001C334E">
        <w:t xml:space="preserve">enable the </w:t>
      </w:r>
      <w:r w:rsidR="00E30ACC">
        <w:t xml:space="preserve">exchange </w:t>
      </w:r>
      <w:r w:rsidR="001C334E">
        <w:t xml:space="preserve">of </w:t>
      </w:r>
      <w:r w:rsidR="00E30ACC">
        <w:t>experience internationally</w:t>
      </w:r>
      <w:r>
        <w:t>.</w:t>
      </w:r>
    </w:p>
    <w:p w14:paraId="0A28D433" w14:textId="2F37683E" w:rsidR="00E30ACC" w:rsidRDefault="00FB0048" w:rsidP="00857B90">
      <w:pPr>
        <w:pStyle w:val="Bullet"/>
      </w:pPr>
      <w:r>
        <w:t>I</w:t>
      </w:r>
      <w:r w:rsidR="004D0658">
        <w:t>mprov</w:t>
      </w:r>
      <w:r w:rsidR="001C334E">
        <w:t>e</w:t>
      </w:r>
      <w:r w:rsidR="004D0658">
        <w:t xml:space="preserve"> the public’s</w:t>
      </w:r>
      <w:r w:rsidR="00E30ACC" w:rsidRPr="002207E4">
        <w:t xml:space="preserve"> financial capability </w:t>
      </w:r>
      <w:r w:rsidR="001C334E">
        <w:t>for</w:t>
      </w:r>
      <w:r w:rsidR="00E30ACC" w:rsidRPr="002207E4">
        <w:t xml:space="preserve"> investing in the context of climate change</w:t>
      </w:r>
      <w:r w:rsidR="00E30ACC">
        <w:t xml:space="preserve">, including </w:t>
      </w:r>
      <w:r w:rsidR="001C334E">
        <w:t xml:space="preserve">making available </w:t>
      </w:r>
      <w:r w:rsidR="00E30ACC" w:rsidRPr="002207E4">
        <w:t xml:space="preserve">simple information </w:t>
      </w:r>
      <w:r w:rsidR="00E30ACC">
        <w:t xml:space="preserve">and </w:t>
      </w:r>
      <w:r w:rsidR="001C334E">
        <w:t xml:space="preserve">tools to support </w:t>
      </w:r>
      <w:r w:rsidR="00E30ACC">
        <w:t>decision</w:t>
      </w:r>
      <w:r w:rsidR="00E30ACC" w:rsidRPr="002207E4">
        <w:t>-making</w:t>
      </w:r>
      <w:r w:rsidR="00E30ACC">
        <w:t xml:space="preserve"> such as comparison websites</w:t>
      </w:r>
      <w:r>
        <w:t>.</w:t>
      </w:r>
    </w:p>
    <w:p w14:paraId="5B616EF5" w14:textId="7C772D59" w:rsidR="004D0658" w:rsidRDefault="00FB0048" w:rsidP="00857B90">
      <w:pPr>
        <w:pStyle w:val="Bullet"/>
      </w:pPr>
      <w:r>
        <w:t>R</w:t>
      </w:r>
      <w:r w:rsidR="004D0658">
        <w:t>eport</w:t>
      </w:r>
      <w:r w:rsidR="00B74728">
        <w:t>ing</w:t>
      </w:r>
      <w:r w:rsidR="004D0658">
        <w:t xml:space="preserve"> on </w:t>
      </w:r>
      <w:r w:rsidR="001C334E">
        <w:t>the G</w:t>
      </w:r>
      <w:r w:rsidR="004D0658">
        <w:t>overnment’s actions in reducing or minimising transition risk to entities</w:t>
      </w:r>
      <w:r>
        <w:t>.</w:t>
      </w:r>
    </w:p>
    <w:p w14:paraId="43EAA351" w14:textId="6F22EDF4" w:rsidR="00E30ACC" w:rsidRDefault="00E30ACC" w:rsidP="00CE3615">
      <w:pPr>
        <w:pStyle w:val="BodyText"/>
      </w:pPr>
      <w:r>
        <w:t xml:space="preserve">A key recommendation was </w:t>
      </w:r>
      <w:r w:rsidRPr="00D409CF">
        <w:t>if</w:t>
      </w:r>
      <w:r>
        <w:t xml:space="preserve"> </w:t>
      </w:r>
      <w:r w:rsidR="001C334E">
        <w:t xml:space="preserve">the Government does not introduce </w:t>
      </w:r>
      <w:r>
        <w:t>mandatory reporting</w:t>
      </w:r>
      <w:r w:rsidR="001C334E">
        <w:t>,</w:t>
      </w:r>
      <w:r>
        <w:t xml:space="preserve"> </w:t>
      </w:r>
      <w:r w:rsidR="001C334E">
        <w:t>it</w:t>
      </w:r>
      <w:r>
        <w:t xml:space="preserve"> has an important role in better educatio</w:t>
      </w:r>
      <w:r w:rsidR="00FB0048">
        <w:t>n, monitoring and enforcement of</w:t>
      </w:r>
      <w:r>
        <w:t xml:space="preserve"> disclosure to improve how </w:t>
      </w:r>
      <w:r w:rsidR="004D0658">
        <w:t>disclosure</w:t>
      </w:r>
      <w:r>
        <w:t xml:space="preserve"> works in practice</w:t>
      </w:r>
      <w:r w:rsidR="00B74728">
        <w:t xml:space="preserve"> under the current system</w:t>
      </w:r>
      <w:r>
        <w:t>.</w:t>
      </w:r>
    </w:p>
    <w:p w14:paraId="1B882D00" w14:textId="77777777" w:rsidR="00CB4439" w:rsidRDefault="00A30A5E" w:rsidP="00A30A5E">
      <w:pPr>
        <w:pStyle w:val="Heading3"/>
      </w:pPr>
      <w:bookmarkStart w:id="81" w:name="_Toc32847669"/>
      <w:r>
        <w:lastRenderedPageBreak/>
        <w:t xml:space="preserve">Q.38 </w:t>
      </w:r>
      <w:proofErr w:type="gramStart"/>
      <w:r>
        <w:t>Which</w:t>
      </w:r>
      <w:proofErr w:type="gramEnd"/>
      <w:r>
        <w:t xml:space="preserve"> government agency or agencies will be best able to carry out these functions?</w:t>
      </w:r>
      <w:bookmarkEnd w:id="81"/>
    </w:p>
    <w:p w14:paraId="523312EB" w14:textId="3BA89C65" w:rsidR="00A30A5E" w:rsidRDefault="00A30A5E" w:rsidP="00A30A5E">
      <w:pPr>
        <w:pStyle w:val="BodyText"/>
      </w:pPr>
      <w:r>
        <w:t>We received 3</w:t>
      </w:r>
      <w:r w:rsidR="00F47F3A">
        <w:t>1</w:t>
      </w:r>
      <w:r>
        <w:t xml:space="preserve"> responses to this question, with little consensus. Responses varied significantly, depending on the respondent’s view of the </w:t>
      </w:r>
      <w:r w:rsidR="001C334E">
        <w:t xml:space="preserve">regime’s </w:t>
      </w:r>
      <w:r>
        <w:t xml:space="preserve">scope and the functions they felt government agencies should </w:t>
      </w:r>
      <w:r w:rsidR="001C334E">
        <w:t>have</w:t>
      </w:r>
      <w:r>
        <w:t>.</w:t>
      </w:r>
    </w:p>
    <w:p w14:paraId="0C69AAE0" w14:textId="01CB879D" w:rsidR="00A30A5E" w:rsidRDefault="00A30A5E" w:rsidP="00A30A5E">
      <w:pPr>
        <w:pStyle w:val="BodyText"/>
      </w:pPr>
      <w:r>
        <w:t>The agencies</w:t>
      </w:r>
      <w:r w:rsidR="001C334E">
        <w:t>,</w:t>
      </w:r>
      <w:r>
        <w:t xml:space="preserve"> an</w:t>
      </w:r>
      <w:r w:rsidR="006948D2">
        <w:t xml:space="preserve">d reasons for them carrying out </w:t>
      </w:r>
      <w:r>
        <w:t>functions suggested</w:t>
      </w:r>
      <w:r w:rsidR="001C334E">
        <w:t>,</w:t>
      </w:r>
      <w:r>
        <w:t xml:space="preserve"> are </w:t>
      </w:r>
      <w:r w:rsidR="001C334E">
        <w:t xml:space="preserve">set out </w:t>
      </w:r>
      <w:r>
        <w:t>below</w:t>
      </w:r>
      <w:r w:rsidR="001C334E">
        <w:t xml:space="preserve">. </w:t>
      </w:r>
      <w:r>
        <w:t>(</w:t>
      </w:r>
      <w:r w:rsidR="001C334E">
        <w:t>N</w:t>
      </w:r>
      <w:r>
        <w:t>ote</w:t>
      </w:r>
      <w:r w:rsidR="00B74728">
        <w:t xml:space="preserve"> </w:t>
      </w:r>
      <w:r w:rsidR="001C334E">
        <w:t xml:space="preserve">the </w:t>
      </w:r>
      <w:r>
        <w:t xml:space="preserve">number </w:t>
      </w:r>
      <w:r w:rsidR="001C334E">
        <w:t xml:space="preserve">in brackets is the number </w:t>
      </w:r>
      <w:r>
        <w:t xml:space="preserve">of times </w:t>
      </w:r>
      <w:r w:rsidR="001C334E">
        <w:t>respondents suggested this agency</w:t>
      </w:r>
      <w:r>
        <w:t>. Some responses named more than one agency</w:t>
      </w:r>
      <w:r w:rsidR="001C334E">
        <w:t>.</w:t>
      </w:r>
      <w:r>
        <w:t>)</w:t>
      </w:r>
    </w:p>
    <w:p w14:paraId="4CCCFD42" w14:textId="7747BBD1" w:rsidR="00A30A5E" w:rsidRDefault="006152AC" w:rsidP="00857B90">
      <w:pPr>
        <w:pStyle w:val="Bullet"/>
      </w:pPr>
      <w:r>
        <w:t>Ministry for the Environment</w:t>
      </w:r>
      <w:r w:rsidR="00A30A5E">
        <w:t xml:space="preserve"> </w:t>
      </w:r>
      <w:r>
        <w:t>(</w:t>
      </w:r>
      <w:proofErr w:type="spellStart"/>
      <w:r>
        <w:t>MfE</w:t>
      </w:r>
      <w:proofErr w:type="spellEnd"/>
      <w:r>
        <w:t xml:space="preserve">) </w:t>
      </w:r>
      <w:r w:rsidR="00A30A5E">
        <w:t>– as initiators of the consultation and given its broad environmental remit and implementation of the related adaptation reporting requests under the Zero Carbon Act</w:t>
      </w:r>
    </w:p>
    <w:p w14:paraId="6F1CBB6B" w14:textId="2C31F911" w:rsidR="00A30A5E" w:rsidRDefault="006152AC" w:rsidP="00857B90">
      <w:pPr>
        <w:pStyle w:val="Bullet"/>
      </w:pPr>
      <w:r>
        <w:t>Climate Change Commission</w:t>
      </w:r>
      <w:r w:rsidR="00A30A5E">
        <w:t xml:space="preserve"> </w:t>
      </w:r>
      <w:r>
        <w:t xml:space="preserve">(CCC) </w:t>
      </w:r>
      <w:r w:rsidR="00A30A5E">
        <w:t>–</w:t>
      </w:r>
      <w:r w:rsidR="00B74728">
        <w:t xml:space="preserve"> as it has a</w:t>
      </w:r>
      <w:r w:rsidR="00A30A5E">
        <w:t xml:space="preserve"> mandate to lead the transition and approach to adaptation</w:t>
      </w:r>
      <w:r w:rsidR="001C334E">
        <w:t xml:space="preserve"> and </w:t>
      </w:r>
      <w:r w:rsidR="00B74728">
        <w:t xml:space="preserve">could </w:t>
      </w:r>
      <w:r w:rsidR="00A30A5E">
        <w:t>develop scenario guidance aligned with</w:t>
      </w:r>
      <w:r w:rsidR="00B74728">
        <w:t xml:space="preserve"> recommended emissions</w:t>
      </w:r>
      <w:r w:rsidR="00A30A5E">
        <w:t xml:space="preserve"> budgets</w:t>
      </w:r>
      <w:r w:rsidR="001C334E">
        <w:t xml:space="preserve"> (7)</w:t>
      </w:r>
    </w:p>
    <w:p w14:paraId="3C4EEE09" w14:textId="35B05D46" w:rsidR="00A30A5E" w:rsidRDefault="006152AC" w:rsidP="00857B90">
      <w:pPr>
        <w:pStyle w:val="Bullet"/>
      </w:pPr>
      <w:r>
        <w:t>Ministry of Business, Innovation</w:t>
      </w:r>
      <w:r w:rsidR="00A30A5E">
        <w:t xml:space="preserve"> </w:t>
      </w:r>
      <w:r>
        <w:t xml:space="preserve">and Employment (MBIE) </w:t>
      </w:r>
      <w:r w:rsidR="00A30A5E">
        <w:t xml:space="preserve">– as initiators of the consultation and </w:t>
      </w:r>
      <w:r w:rsidR="00B74728">
        <w:t xml:space="preserve">due to </w:t>
      </w:r>
      <w:r w:rsidR="00A30A5E">
        <w:t>its interaction with the business community</w:t>
      </w:r>
      <w:r w:rsidR="001C334E">
        <w:t xml:space="preserve"> (5)</w:t>
      </w:r>
    </w:p>
    <w:p w14:paraId="3B0E93FB" w14:textId="75CD52CD" w:rsidR="00A30A5E" w:rsidRDefault="006152AC" w:rsidP="00857B90">
      <w:pPr>
        <w:pStyle w:val="Bullet"/>
      </w:pPr>
      <w:r>
        <w:t>Financial Markets Authority</w:t>
      </w:r>
      <w:r w:rsidR="00A30A5E">
        <w:t xml:space="preserve"> </w:t>
      </w:r>
      <w:r>
        <w:t>(FMA)</w:t>
      </w:r>
      <w:r w:rsidR="00B74728">
        <w:t xml:space="preserve"> </w:t>
      </w:r>
      <w:r w:rsidR="00A30A5E">
        <w:t xml:space="preserve">– </w:t>
      </w:r>
      <w:r w:rsidR="00B74728">
        <w:t xml:space="preserve">as it is </w:t>
      </w:r>
      <w:r w:rsidR="003D287E">
        <w:t xml:space="preserve">well </w:t>
      </w:r>
      <w:r w:rsidR="00A30A5E">
        <w:t>suited to monitoring and enforcement, given current jurisdiction and disclosures will be in annual reports, as long as it is sufficiently resourced</w:t>
      </w:r>
      <w:r w:rsidR="001C334E">
        <w:t xml:space="preserve"> (5)</w:t>
      </w:r>
    </w:p>
    <w:p w14:paraId="394FCD50" w14:textId="5EEAFE01" w:rsidR="00A30A5E" w:rsidRDefault="006152AC" w:rsidP="00857B90">
      <w:pPr>
        <w:pStyle w:val="Bullet"/>
      </w:pPr>
      <w:r>
        <w:t>National Institute of Water and Atmospheric Research (NIWA)</w:t>
      </w:r>
      <w:r w:rsidR="00A30A5E">
        <w:t xml:space="preserve"> – </w:t>
      </w:r>
      <w:r w:rsidR="00B74728">
        <w:t xml:space="preserve">with the function of </w:t>
      </w:r>
      <w:r w:rsidR="00A30A5E">
        <w:t>modelling physical impacts of climate change</w:t>
      </w:r>
      <w:r w:rsidR="00B74728">
        <w:t xml:space="preserve"> and </w:t>
      </w:r>
      <w:r w:rsidR="00A30A5E">
        <w:t>providing scenarios</w:t>
      </w:r>
      <w:r w:rsidR="00B74728">
        <w:t xml:space="preserve"> </w:t>
      </w:r>
      <w:r w:rsidR="00EE6604">
        <w:t xml:space="preserve">on which </w:t>
      </w:r>
      <w:r w:rsidR="00B74728">
        <w:t xml:space="preserve">reporting entities </w:t>
      </w:r>
      <w:r w:rsidR="00EE6604">
        <w:t xml:space="preserve">can </w:t>
      </w:r>
      <w:r w:rsidR="00B74728">
        <w:t>base their analysis</w:t>
      </w:r>
      <w:r w:rsidR="00EE6604">
        <w:t xml:space="preserve"> </w:t>
      </w:r>
      <w:r w:rsidR="001C334E">
        <w:t>(3)</w:t>
      </w:r>
    </w:p>
    <w:p w14:paraId="45845AB1" w14:textId="61F1D384" w:rsidR="00A30A5E" w:rsidRDefault="006152AC" w:rsidP="00857B90">
      <w:pPr>
        <w:pStyle w:val="Bullet"/>
      </w:pPr>
      <w:r>
        <w:t>External Reporting Board (XRB)</w:t>
      </w:r>
      <w:r w:rsidR="00A30A5E">
        <w:t xml:space="preserve"> –</w:t>
      </w:r>
      <w:r w:rsidR="00B74728">
        <w:t xml:space="preserve"> as it is</w:t>
      </w:r>
      <w:r w:rsidR="00A30A5E">
        <w:t xml:space="preserve"> responsible for </w:t>
      </w:r>
      <w:r w:rsidR="005A2FF1">
        <w:t xml:space="preserve">setting the financial </w:t>
      </w:r>
      <w:r w:rsidR="00A30A5E">
        <w:t xml:space="preserve">reporting strategy and </w:t>
      </w:r>
      <w:r w:rsidR="005A2FF1">
        <w:t xml:space="preserve">issuing </w:t>
      </w:r>
      <w:r w:rsidR="00EE6604">
        <w:t xml:space="preserve">standards for both </w:t>
      </w:r>
      <w:r w:rsidR="005A2FF1">
        <w:t xml:space="preserve">financial reporting and auditing and assurance </w:t>
      </w:r>
      <w:r w:rsidR="001C334E">
        <w:t>(3)</w:t>
      </w:r>
    </w:p>
    <w:p w14:paraId="01980FF9" w14:textId="071A22B9" w:rsidR="00A30A5E" w:rsidRDefault="000D1597" w:rsidP="00857B90">
      <w:pPr>
        <w:pStyle w:val="Bullet"/>
      </w:pPr>
      <w:r>
        <w:t xml:space="preserve">Reserve </w:t>
      </w:r>
      <w:r w:rsidR="006152AC">
        <w:t xml:space="preserve">Bank of </w:t>
      </w:r>
      <w:r w:rsidR="00FE724D">
        <w:t>New</w:t>
      </w:r>
      <w:r w:rsidR="006152AC">
        <w:t xml:space="preserve"> Zealand (RBNZ)</w:t>
      </w:r>
      <w:r w:rsidR="00A30A5E">
        <w:t xml:space="preserve"> – </w:t>
      </w:r>
      <w:r w:rsidR="00B74728">
        <w:t xml:space="preserve">as </w:t>
      </w:r>
      <w:r w:rsidR="0013649A">
        <w:t>it has a strong role in</w:t>
      </w:r>
      <w:r w:rsidR="00B74728">
        <w:t xml:space="preserve"> </w:t>
      </w:r>
      <w:r w:rsidR="00A30A5E">
        <w:t>assessing financial stability and managing macroeconomic risks</w:t>
      </w:r>
      <w:r w:rsidR="001C334E">
        <w:t xml:space="preserve"> (1).</w:t>
      </w:r>
    </w:p>
    <w:p w14:paraId="41A96480" w14:textId="77777777" w:rsidR="00A30A5E" w:rsidRDefault="003D287E" w:rsidP="00857B90">
      <w:pPr>
        <w:pStyle w:val="Bullet"/>
        <w:numPr>
          <w:ilvl w:val="0"/>
          <w:numId w:val="0"/>
        </w:numPr>
      </w:pPr>
      <w:r>
        <w:t>Several respondent</w:t>
      </w:r>
      <w:r w:rsidR="00A30A5E">
        <w:t>s recommended a cross-agency approach, with different agencies taking on different functions</w:t>
      </w:r>
      <w:r>
        <w:t xml:space="preserve">. </w:t>
      </w:r>
      <w:r w:rsidR="006867CE">
        <w:t>Respondent</w:t>
      </w:r>
      <w:r w:rsidR="00A30A5E">
        <w:t>s also noted the importance of working with the NZX,</w:t>
      </w:r>
      <w:r>
        <w:t xml:space="preserve"> I</w:t>
      </w:r>
      <w:r w:rsidR="00B74728">
        <w:t>nstitute of Directors</w:t>
      </w:r>
      <w:r>
        <w:t xml:space="preserve"> and business associations.</w:t>
      </w:r>
    </w:p>
    <w:p w14:paraId="1A816050" w14:textId="77777777" w:rsidR="008A741B" w:rsidRDefault="008A741B" w:rsidP="008A741B">
      <w:pPr>
        <w:pStyle w:val="Heading3"/>
      </w:pPr>
      <w:bookmarkStart w:id="82" w:name="_Toc32847670"/>
      <w:r>
        <w:t xml:space="preserve">Q.39 </w:t>
      </w:r>
      <w:proofErr w:type="gramStart"/>
      <w:r>
        <w:t>What</w:t>
      </w:r>
      <w:proofErr w:type="gramEnd"/>
      <w:r>
        <w:t xml:space="preserve"> would you need to assist you with a full set of TCFD disclosures?</w:t>
      </w:r>
      <w:bookmarkEnd w:id="82"/>
    </w:p>
    <w:p w14:paraId="7058ABE2" w14:textId="685E26B2" w:rsidR="008A741B" w:rsidRDefault="008A741B" w:rsidP="008A741B">
      <w:pPr>
        <w:pStyle w:val="BodyText"/>
      </w:pPr>
      <w:r>
        <w:t xml:space="preserve">We received </w:t>
      </w:r>
      <w:r w:rsidR="00F47F3A">
        <w:t>31</w:t>
      </w:r>
      <w:r>
        <w:t xml:space="preserve"> responses to this question</w:t>
      </w:r>
      <w:r w:rsidR="006152AC">
        <w:t xml:space="preserve">, many echoing responses to </w:t>
      </w:r>
      <w:r>
        <w:t>Q</w:t>
      </w:r>
      <w:r w:rsidR="00B74728">
        <w:t>.</w:t>
      </w:r>
      <w:r>
        <w:t>36.</w:t>
      </w:r>
      <w:r w:rsidR="00EA79C8">
        <w:t xml:space="preserve"> </w:t>
      </w:r>
      <w:r>
        <w:t xml:space="preserve">Many respondents </w:t>
      </w:r>
      <w:r w:rsidR="00DC65DB">
        <w:t xml:space="preserve">wanted </w:t>
      </w:r>
      <w:r>
        <w:t>access to rob</w:t>
      </w:r>
      <w:r w:rsidR="00802CDD">
        <w:t>ust, high</w:t>
      </w:r>
      <w:r w:rsidR="00EE6604">
        <w:t>-</w:t>
      </w:r>
      <w:r w:rsidR="00802CDD">
        <w:t>quality datasets (such as</w:t>
      </w:r>
      <w:r w:rsidR="00B74728">
        <w:t xml:space="preserve"> on</w:t>
      </w:r>
      <w:r>
        <w:t xml:space="preserve"> emissions and physical, transition, ecological and economic impacts</w:t>
      </w:r>
      <w:r w:rsidR="00B74728">
        <w:t xml:space="preserve"> of climate change</w:t>
      </w:r>
      <w:r>
        <w:t>)</w:t>
      </w:r>
      <w:r w:rsidR="00EE6604">
        <w:t xml:space="preserve">. They also wanted more </w:t>
      </w:r>
      <w:r>
        <w:t>information on</w:t>
      </w:r>
      <w:r w:rsidR="00B74728">
        <w:t xml:space="preserve"> the</w:t>
      </w:r>
      <w:r>
        <w:t xml:space="preserve"> </w:t>
      </w:r>
      <w:r w:rsidR="004029D9">
        <w:t>NZ ETS</w:t>
      </w:r>
      <w:r>
        <w:t xml:space="preserve"> parameters and</w:t>
      </w:r>
      <w:r w:rsidR="00802CDD">
        <w:t xml:space="preserve"> </w:t>
      </w:r>
      <w:r w:rsidR="00EE6604">
        <w:t xml:space="preserve">the </w:t>
      </w:r>
      <w:r w:rsidR="00802CDD">
        <w:t>Climate Change Commission</w:t>
      </w:r>
      <w:r w:rsidR="00EE6604">
        <w:t>’s</w:t>
      </w:r>
      <w:r w:rsidR="00EB73E9">
        <w:t xml:space="preserve"> emissions budgets to </w:t>
      </w:r>
      <w:r w:rsidR="00473900">
        <w:t xml:space="preserve">ensure </w:t>
      </w:r>
      <w:r w:rsidR="00EE6604">
        <w:t xml:space="preserve">their </w:t>
      </w:r>
      <w:r w:rsidR="00473900">
        <w:t>reports are starting from a common baseline</w:t>
      </w:r>
      <w:r>
        <w:t xml:space="preserve">. </w:t>
      </w:r>
      <w:r w:rsidR="00B74728">
        <w:t xml:space="preserve">The provision of </w:t>
      </w:r>
      <w:r>
        <w:t>N</w:t>
      </w:r>
      <w:r w:rsidR="00EB73E9">
        <w:t xml:space="preserve">ew </w:t>
      </w:r>
      <w:r>
        <w:t>Z</w:t>
      </w:r>
      <w:r w:rsidR="00EB73E9">
        <w:t>ealand</w:t>
      </w:r>
      <w:r>
        <w:t>-specific scenarios</w:t>
      </w:r>
      <w:r w:rsidR="00EB73E9">
        <w:t xml:space="preserve"> would also</w:t>
      </w:r>
      <w:r>
        <w:t xml:space="preserve"> reduce </w:t>
      </w:r>
      <w:r w:rsidR="00B74728">
        <w:t xml:space="preserve">the </w:t>
      </w:r>
      <w:r>
        <w:t>cost</w:t>
      </w:r>
      <w:r w:rsidR="00B74728">
        <w:t xml:space="preserve"> of analysis</w:t>
      </w:r>
      <w:r>
        <w:t xml:space="preserve"> and improve comparability of outputs</w:t>
      </w:r>
      <w:r w:rsidR="00EB73E9">
        <w:t>.</w:t>
      </w:r>
    </w:p>
    <w:p w14:paraId="14C7009B" w14:textId="727F9EB8" w:rsidR="00A30A5E" w:rsidRDefault="00EB73E9" w:rsidP="00F023AA">
      <w:pPr>
        <w:spacing w:after="160" w:line="259" w:lineRule="auto"/>
        <w:jc w:val="left"/>
      </w:pPr>
      <w:r>
        <w:t xml:space="preserve">Other responses suggested </w:t>
      </w:r>
      <w:r w:rsidR="00782DDE">
        <w:t xml:space="preserve">providing </w:t>
      </w:r>
      <w:r>
        <w:t>c</w:t>
      </w:r>
      <w:r w:rsidR="008A741B">
        <w:t xml:space="preserve">ase studies of international best practice </w:t>
      </w:r>
      <w:r>
        <w:t xml:space="preserve">and </w:t>
      </w:r>
      <w:r w:rsidR="008A741B">
        <w:t>access to w</w:t>
      </w:r>
      <w:r>
        <w:t>orkshops and training resources.</w:t>
      </w:r>
      <w:r w:rsidR="00F023AA">
        <w:t xml:space="preserve"> </w:t>
      </w:r>
      <w:r w:rsidR="00EE6604">
        <w:t>A</w:t>
      </w:r>
      <w:r w:rsidR="005A2FF1">
        <w:t xml:space="preserve"> need for s</w:t>
      </w:r>
      <w:r w:rsidR="00F023AA">
        <w:t xml:space="preserve">pecific </w:t>
      </w:r>
      <w:r w:rsidR="004C48D7">
        <w:t>g</w:t>
      </w:r>
      <w:r w:rsidR="008A741B">
        <w:t xml:space="preserve">uidance on </w:t>
      </w:r>
      <w:r w:rsidR="00EE6604">
        <w:t xml:space="preserve">government </w:t>
      </w:r>
      <w:r w:rsidR="008A741B">
        <w:t>expectations</w:t>
      </w:r>
      <w:r w:rsidR="00782DDE">
        <w:t xml:space="preserve"> </w:t>
      </w:r>
      <w:r w:rsidR="00EE6604">
        <w:lastRenderedPageBreak/>
        <w:t>was identified</w:t>
      </w:r>
      <w:r w:rsidR="008A741B">
        <w:t xml:space="preserve">, including </w:t>
      </w:r>
      <w:r w:rsidR="00EE6604">
        <w:t>clarifying</w:t>
      </w:r>
      <w:r w:rsidR="008A741B">
        <w:t xml:space="preserve"> timeframes for analysis</w:t>
      </w:r>
      <w:r w:rsidR="00F023AA">
        <w:t xml:space="preserve"> alongside feedback on </w:t>
      </w:r>
      <w:r w:rsidR="00EE6604">
        <w:t xml:space="preserve">the </w:t>
      </w:r>
      <w:r w:rsidR="00F023AA">
        <w:t xml:space="preserve">quality </w:t>
      </w:r>
      <w:r w:rsidR="00782DDE">
        <w:t>of disclosures</w:t>
      </w:r>
      <w:r w:rsidR="004C48D7">
        <w:t>.</w:t>
      </w:r>
    </w:p>
    <w:p w14:paraId="316EE565" w14:textId="77777777" w:rsidR="00F023AA" w:rsidRDefault="00F023AA" w:rsidP="00F023AA">
      <w:pPr>
        <w:pStyle w:val="Heading3"/>
      </w:pPr>
      <w:bookmarkStart w:id="83" w:name="_Toc32847671"/>
      <w:r>
        <w:t xml:space="preserve">Q.40 </w:t>
      </w:r>
      <w:proofErr w:type="gramStart"/>
      <w:r>
        <w:t>What</w:t>
      </w:r>
      <w:proofErr w:type="gramEnd"/>
      <w:r>
        <w:t xml:space="preserve"> information do you have about the cost implications relating to these proposals?</w:t>
      </w:r>
      <w:bookmarkEnd w:id="83"/>
    </w:p>
    <w:p w14:paraId="0663182E" w14:textId="601269D0" w:rsidR="00F023AA" w:rsidRDefault="00F023AA" w:rsidP="006B7B13">
      <w:pPr>
        <w:pStyle w:val="BodyText"/>
      </w:pPr>
      <w:r>
        <w:t>We received 3</w:t>
      </w:r>
      <w:r w:rsidR="00F47F3A">
        <w:t>3</w:t>
      </w:r>
      <w:r>
        <w:t xml:space="preserve"> responses to this question. </w:t>
      </w:r>
      <w:r w:rsidR="00EE6604">
        <w:t xml:space="preserve">Most </w:t>
      </w:r>
      <w:r>
        <w:t xml:space="preserve">respondents </w:t>
      </w:r>
      <w:r w:rsidR="00EE6604">
        <w:t>could not</w:t>
      </w:r>
      <w:r>
        <w:t xml:space="preserve"> provide estimates for the cost implications of the proposals</w:t>
      </w:r>
      <w:r w:rsidR="00782DDE">
        <w:t>, and figures that were provided ranged widely</w:t>
      </w:r>
      <w:r>
        <w:t xml:space="preserve">. </w:t>
      </w:r>
    </w:p>
    <w:p w14:paraId="22A350F0" w14:textId="6AD09136" w:rsidR="009346E2" w:rsidRDefault="00F023AA" w:rsidP="00782DDE">
      <w:pPr>
        <w:pStyle w:val="BodyText"/>
      </w:pPr>
      <w:r>
        <w:t xml:space="preserve">One organisation estimated the cost of an initial report at </w:t>
      </w:r>
      <w:r w:rsidR="00EE6604">
        <w:t xml:space="preserve">more than </w:t>
      </w:r>
      <w:r>
        <w:t xml:space="preserve">$100k, whereas an organisation that already had mature environmental measurement and reporting practices estimated </w:t>
      </w:r>
      <w:r w:rsidR="00EE6604">
        <w:t xml:space="preserve">its </w:t>
      </w:r>
      <w:r>
        <w:t xml:space="preserve">own cost at closer to $20k per year. A climate services provider estimated scenario planning at around $150k (if the entity </w:t>
      </w:r>
      <w:r w:rsidR="00EE6604">
        <w:t xml:space="preserve">was </w:t>
      </w:r>
      <w:r>
        <w:t>outsourcing</w:t>
      </w:r>
      <w:r w:rsidR="00782DDE">
        <w:t xml:space="preserve"> analysis</w:t>
      </w:r>
      <w:r>
        <w:t>), with a further $10</w:t>
      </w:r>
      <w:r w:rsidR="00EE6604">
        <w:t xml:space="preserve"> to $</w:t>
      </w:r>
      <w:r>
        <w:t xml:space="preserve">20k for advisory services and reviewing annual reports. </w:t>
      </w:r>
      <w:proofErr w:type="spellStart"/>
      <w:r w:rsidR="009346E2">
        <w:t>SkyCity</w:t>
      </w:r>
      <w:proofErr w:type="spellEnd"/>
      <w:r w:rsidR="009346E2">
        <w:t xml:space="preserve"> Entertainment suggested a high</w:t>
      </w:r>
      <w:r w:rsidR="00EE6604">
        <w:t>-</w:t>
      </w:r>
      <w:r w:rsidR="009346E2">
        <w:t>level indication of cost of around $1m</w:t>
      </w:r>
      <w:r w:rsidR="00DC65DB">
        <w:t>, noting this money could be better spent on other sustainability initiatives</w:t>
      </w:r>
      <w:r w:rsidR="009346E2">
        <w:t xml:space="preserve">. </w:t>
      </w:r>
    </w:p>
    <w:p w14:paraId="4B5C902C" w14:textId="4594B04B" w:rsidR="00B4298C" w:rsidRDefault="00782DDE" w:rsidP="00B4298C">
      <w:pPr>
        <w:pStyle w:val="BodyText"/>
      </w:pPr>
      <w:r>
        <w:t>Costs are likely to arise from labour, data collection, training, hiring third party consultants or research providers, assurance</w:t>
      </w:r>
      <w:r w:rsidR="00EE6604">
        <w:t>,</w:t>
      </w:r>
      <w:r>
        <w:t xml:space="preserve"> and establishing new processes </w:t>
      </w:r>
      <w:r w:rsidR="00EE6604">
        <w:t xml:space="preserve">and </w:t>
      </w:r>
      <w:r>
        <w:t xml:space="preserve">systems. In terms of proposed disclosures, </w:t>
      </w:r>
      <w:r w:rsidR="00EE6604">
        <w:t xml:space="preserve">greenhouse gas </w:t>
      </w:r>
      <w:r>
        <w:t xml:space="preserve">quantification and scenario analysis are likely </w:t>
      </w:r>
      <w:r w:rsidR="00473900">
        <w:t xml:space="preserve">to be the most costly aspects. </w:t>
      </w:r>
      <w:r w:rsidR="00EE6604">
        <w:t>Cost</w:t>
      </w:r>
      <w:r w:rsidR="00B4298C">
        <w:t xml:space="preserve"> may be challenging for smaller entities, who will also be starting from a lower </w:t>
      </w:r>
      <w:r w:rsidR="00EE6604">
        <w:t xml:space="preserve">baseline of </w:t>
      </w:r>
      <w:r w:rsidR="00B4298C">
        <w:t>disclosure preparedness, thus incurring higher proportional net costs.</w:t>
      </w:r>
      <w:r w:rsidR="00B4298C" w:rsidRPr="006B7B13">
        <w:t xml:space="preserve"> </w:t>
      </w:r>
    </w:p>
    <w:p w14:paraId="2CD21578" w14:textId="0992E85A" w:rsidR="00F023AA" w:rsidRDefault="00F023AA" w:rsidP="006B7B13">
      <w:pPr>
        <w:pStyle w:val="BodyText"/>
      </w:pPr>
      <w:r>
        <w:t xml:space="preserve">Costs for compiling a </w:t>
      </w:r>
      <w:r w:rsidR="00EE6604">
        <w:t xml:space="preserve">greenhouse gas </w:t>
      </w:r>
      <w:r>
        <w:t>inventory are likely to vary widely</w:t>
      </w:r>
      <w:r w:rsidR="00782DDE">
        <w:t xml:space="preserve"> too</w:t>
      </w:r>
      <w:r>
        <w:t xml:space="preserve">. A bank suggested </w:t>
      </w:r>
      <w:r w:rsidRPr="004E3573">
        <w:t xml:space="preserve">costs could amount </w:t>
      </w:r>
      <w:r w:rsidR="00B73F4F">
        <w:t>from</w:t>
      </w:r>
      <w:r w:rsidR="00B73F4F" w:rsidRPr="004E3573">
        <w:t xml:space="preserve"> </w:t>
      </w:r>
      <w:r w:rsidRPr="004E3573">
        <w:t>tens to hundreds of thousands of dollars depending on the entity</w:t>
      </w:r>
      <w:r w:rsidR="00B73F4F">
        <w:t xml:space="preserve">. The costs would vary </w:t>
      </w:r>
      <w:r w:rsidRPr="004E3573">
        <w:t xml:space="preserve">significantly depending upon a range of </w:t>
      </w:r>
      <w:r w:rsidR="00B73F4F">
        <w:t>factors</w:t>
      </w:r>
      <w:r w:rsidRPr="004E3573">
        <w:t xml:space="preserve">, such as the nature and size of the business, </w:t>
      </w:r>
      <w:r w:rsidR="00B73F4F">
        <w:t xml:space="preserve">its </w:t>
      </w:r>
      <w:r w:rsidRPr="004E3573">
        <w:t xml:space="preserve">liability and exposure to regulatory changes, </w:t>
      </w:r>
      <w:r w:rsidR="00B73F4F">
        <w:t xml:space="preserve">its </w:t>
      </w:r>
      <w:r w:rsidRPr="004E3573">
        <w:t xml:space="preserve">exposure to and changeability of consumer and investor expectations, and </w:t>
      </w:r>
      <w:r w:rsidR="00B73F4F">
        <w:t xml:space="preserve">its </w:t>
      </w:r>
      <w:r w:rsidRPr="004E3573">
        <w:t>investment strategies</w:t>
      </w:r>
      <w:r w:rsidR="004029D9">
        <w:t>.</w:t>
      </w:r>
    </w:p>
    <w:p w14:paraId="50557866" w14:textId="30FEAE4E" w:rsidR="004D0BDB" w:rsidRDefault="00DC65DB" w:rsidP="00DC65DB">
      <w:pPr>
        <w:pStyle w:val="BodyText"/>
      </w:pPr>
      <w:r>
        <w:t xml:space="preserve">However, costs are anticipated to decline over time as reporting becomes standard practice, and the availability of tools and capability increases. Responders suggested Government </w:t>
      </w:r>
      <w:r w:rsidR="00B73F4F">
        <w:t xml:space="preserve">could </w:t>
      </w:r>
      <w:r>
        <w:t>mitigate short-term costs by developing market guidance, tools and resourc</w:t>
      </w:r>
      <w:r w:rsidR="00B4298C">
        <w:t xml:space="preserve">es to </w:t>
      </w:r>
      <w:r w:rsidR="00B73F4F">
        <w:t>help</w:t>
      </w:r>
      <w:r w:rsidR="00B4298C">
        <w:t xml:space="preserve"> implementation. It was also argued</w:t>
      </w:r>
      <w:r w:rsidR="004D0BDB">
        <w:t xml:space="preserve"> costs </w:t>
      </w:r>
      <w:r w:rsidR="00B73F4F">
        <w:t xml:space="preserve">would </w:t>
      </w:r>
      <w:r w:rsidR="004D0BDB">
        <w:t xml:space="preserve">be higher if implementation </w:t>
      </w:r>
      <w:r w:rsidR="00B73F4F">
        <w:t xml:space="preserve">was </w:t>
      </w:r>
      <w:r w:rsidR="004D0BDB">
        <w:t>delayed.</w:t>
      </w:r>
    </w:p>
    <w:p w14:paraId="79F8AEC1" w14:textId="32C79913" w:rsidR="00F023AA" w:rsidRDefault="006B7B13" w:rsidP="006B7B13">
      <w:pPr>
        <w:pStyle w:val="BodyText"/>
      </w:pPr>
      <w:r>
        <w:t xml:space="preserve">Many respondents </w:t>
      </w:r>
      <w:r w:rsidR="00B4298C">
        <w:t>argued</w:t>
      </w:r>
      <w:r w:rsidR="004D0BDB">
        <w:t xml:space="preserve"> </w:t>
      </w:r>
      <w:r w:rsidR="00F264B7">
        <w:t xml:space="preserve">disclosure </w:t>
      </w:r>
      <w:r w:rsidR="004D0BDB">
        <w:t xml:space="preserve">should be considered </w:t>
      </w:r>
      <w:r w:rsidR="00F264B7">
        <w:t>as</w:t>
      </w:r>
      <w:r>
        <w:t xml:space="preserve"> an investment rather than a cost</w:t>
      </w:r>
      <w:r w:rsidR="00782DDE">
        <w:t xml:space="preserve">. Undertaking the exercise </w:t>
      </w:r>
      <w:r w:rsidR="00B73F4F">
        <w:t xml:space="preserve">could </w:t>
      </w:r>
      <w:r>
        <w:t>improv</w:t>
      </w:r>
      <w:r w:rsidR="00782DDE">
        <w:t>e</w:t>
      </w:r>
      <w:r>
        <w:t xml:space="preserve"> resilience</w:t>
      </w:r>
      <w:r w:rsidR="00B73F4F">
        <w:t xml:space="preserve"> and</w:t>
      </w:r>
      <w:r>
        <w:t xml:space="preserve"> understanding</w:t>
      </w:r>
      <w:r w:rsidR="00782DDE">
        <w:t xml:space="preserve"> of</w:t>
      </w:r>
      <w:r>
        <w:t xml:space="preserve"> risk, </w:t>
      </w:r>
      <w:r w:rsidR="00B73F4F">
        <w:t xml:space="preserve">and </w:t>
      </w:r>
      <w:r>
        <w:t>increas</w:t>
      </w:r>
      <w:r w:rsidR="00782DDE">
        <w:t>e</w:t>
      </w:r>
      <w:r>
        <w:t xml:space="preserve"> investor confidence and financial stability</w:t>
      </w:r>
      <w:r w:rsidR="00782DDE">
        <w:t>. Some submitters</w:t>
      </w:r>
      <w:r w:rsidR="009365D5">
        <w:t xml:space="preserve"> </w:t>
      </w:r>
      <w:r w:rsidR="00FB068D">
        <w:t>contend</w:t>
      </w:r>
      <w:r w:rsidR="00782DDE">
        <w:t>ed</w:t>
      </w:r>
      <w:r w:rsidR="009365D5">
        <w:t xml:space="preserve"> </w:t>
      </w:r>
      <w:r>
        <w:t xml:space="preserve">the cost of inaction </w:t>
      </w:r>
      <w:r w:rsidR="00B73F4F">
        <w:t xml:space="preserve">was </w:t>
      </w:r>
      <w:r>
        <w:t>far grea</w:t>
      </w:r>
      <w:r w:rsidR="00B4298C">
        <w:t>ter than the cost of compliance</w:t>
      </w:r>
      <w:r w:rsidR="00782DDE">
        <w:t>:</w:t>
      </w:r>
    </w:p>
    <w:p w14:paraId="545509D0" w14:textId="3BAAC133" w:rsidR="00F023AA" w:rsidRDefault="00F023AA" w:rsidP="001318E5">
      <w:pPr>
        <w:pStyle w:val="Quote"/>
      </w:pPr>
      <w:r w:rsidRPr="00BA113A">
        <w:t>Costs are incurred through several activities, primarily the staff time required to undertake the analysis and some consultant assistance to ensure that the reporting is consistent with the guidance. However, it is our opinion that these internal costs should be routinely incurred by any organisation with exposure to climate change, as part of its long-term strategy development, and should not be seen as additional costs incurred due to the current proposal.</w:t>
      </w:r>
      <w:r w:rsidR="00B4298C">
        <w:t xml:space="preserve"> (Meridian Energy)</w:t>
      </w:r>
    </w:p>
    <w:p w14:paraId="5D665963" w14:textId="38926FBE" w:rsidR="00DC65DB" w:rsidRPr="00DC65DB" w:rsidRDefault="00DC65DB" w:rsidP="00DC65DB">
      <w:pPr>
        <w:pStyle w:val="BodyText"/>
      </w:pPr>
      <w:r>
        <w:t xml:space="preserve">BNZ, NZ Winegrowers and </w:t>
      </w:r>
      <w:proofErr w:type="spellStart"/>
      <w:r>
        <w:t>BusinessNZ</w:t>
      </w:r>
      <w:proofErr w:type="spellEnd"/>
      <w:r>
        <w:t xml:space="preserve"> </w:t>
      </w:r>
      <w:r w:rsidR="004D0BDB">
        <w:t xml:space="preserve">stated officials </w:t>
      </w:r>
      <w:r>
        <w:t>had not done an adequate job of estimating the costs of proposals</w:t>
      </w:r>
      <w:r w:rsidR="004D0BDB">
        <w:t xml:space="preserve"> before releasing the discussion document</w:t>
      </w:r>
      <w:r>
        <w:t xml:space="preserve">. </w:t>
      </w:r>
    </w:p>
    <w:p w14:paraId="3A80093A" w14:textId="77777777" w:rsidR="006B7B13" w:rsidRDefault="006B7B13" w:rsidP="006B7B13">
      <w:pPr>
        <w:pStyle w:val="Heading3"/>
      </w:pPr>
      <w:bookmarkStart w:id="84" w:name="_Toc32847672"/>
      <w:r>
        <w:lastRenderedPageBreak/>
        <w:t xml:space="preserve">Q.41 </w:t>
      </w:r>
      <w:proofErr w:type="gramStart"/>
      <w:r>
        <w:t>What</w:t>
      </w:r>
      <w:proofErr w:type="gramEnd"/>
      <w:r>
        <w:t xml:space="preserve"> information do you have about costs for specific types of reporting entities?</w:t>
      </w:r>
      <w:bookmarkEnd w:id="84"/>
    </w:p>
    <w:p w14:paraId="5CEEBCE0" w14:textId="4726E8BB" w:rsidR="006B7B13" w:rsidRDefault="006B7B13" w:rsidP="006B7B13">
      <w:pPr>
        <w:pStyle w:val="BodyText"/>
      </w:pPr>
      <w:r>
        <w:t xml:space="preserve">We received </w:t>
      </w:r>
      <w:r w:rsidR="00F526E3">
        <w:t>eight</w:t>
      </w:r>
      <w:r w:rsidR="00782DDE">
        <w:t xml:space="preserve"> </w:t>
      </w:r>
      <w:r>
        <w:t>response</w:t>
      </w:r>
      <w:r w:rsidR="006867CE">
        <w:t>s to this question. No respondent</w:t>
      </w:r>
      <w:r>
        <w:t xml:space="preserve">s were able to provide further evidence. </w:t>
      </w:r>
    </w:p>
    <w:p w14:paraId="4DD0D02A" w14:textId="29FE5FAE" w:rsidR="006B7B13" w:rsidRPr="004F4E79" w:rsidRDefault="006B7B13" w:rsidP="006B7B13">
      <w:pPr>
        <w:pStyle w:val="BodyText"/>
      </w:pPr>
      <w:r>
        <w:t>CDP and CDSB suggested we review the</w:t>
      </w:r>
      <w:r w:rsidRPr="007C53A0">
        <w:t xml:space="preserve"> </w:t>
      </w:r>
      <w:r w:rsidR="00B73F4F">
        <w:t xml:space="preserve">UK’s </w:t>
      </w:r>
      <w:r w:rsidRPr="007C53A0">
        <w:t xml:space="preserve">regulatory impact assessments </w:t>
      </w:r>
      <w:r w:rsidR="00B73F4F">
        <w:t>of</w:t>
      </w:r>
      <w:r w:rsidRPr="007C53A0">
        <w:t xml:space="preserve"> the Companies Act 2006 (Strategic Report and Directors’ Report) Regulations </w:t>
      </w:r>
      <w:r w:rsidRPr="004F4E79">
        <w:t>2013, as w</w:t>
      </w:r>
      <w:r w:rsidR="004F4E79" w:rsidRPr="004F4E79">
        <w:t xml:space="preserve">ell as the European Commission’s </w:t>
      </w:r>
      <w:r w:rsidRPr="004F4E79">
        <w:t>Non-Financial Reporting Directive.</w:t>
      </w:r>
    </w:p>
    <w:p w14:paraId="5ECEBF96" w14:textId="37DBE0CE" w:rsidR="006B7B13" w:rsidRDefault="006B7B13" w:rsidP="006B7B13">
      <w:pPr>
        <w:pStyle w:val="BodyText"/>
      </w:pPr>
      <w:r w:rsidRPr="007C53A0">
        <w:t>Milford</w:t>
      </w:r>
      <w:r>
        <w:t xml:space="preserve"> Asset Management</w:t>
      </w:r>
      <w:r w:rsidRPr="007C53A0">
        <w:t xml:space="preserve"> has been investigating engaging a research provider who offers collection and aggregation tools for carbon metrics (including MSCI ESG, </w:t>
      </w:r>
      <w:proofErr w:type="spellStart"/>
      <w:r w:rsidRPr="007C53A0">
        <w:t>Sustainalytics</w:t>
      </w:r>
      <w:proofErr w:type="spellEnd"/>
      <w:r w:rsidRPr="007C53A0">
        <w:t xml:space="preserve">, ISS-ESG, </w:t>
      </w:r>
      <w:proofErr w:type="gramStart"/>
      <w:r w:rsidRPr="007C53A0">
        <w:t>S</w:t>
      </w:r>
      <w:proofErr w:type="gramEnd"/>
      <w:r w:rsidRPr="007C53A0">
        <w:t xml:space="preserve">&amp;P </w:t>
      </w:r>
      <w:proofErr w:type="spellStart"/>
      <w:r w:rsidRPr="007C53A0">
        <w:t>TruCost</w:t>
      </w:r>
      <w:proofErr w:type="spellEnd"/>
      <w:r w:rsidRPr="007C53A0">
        <w:t xml:space="preserve">). Preliminary investigations </w:t>
      </w:r>
      <w:r w:rsidR="004F4E79">
        <w:t>found</w:t>
      </w:r>
      <w:r w:rsidRPr="007C53A0">
        <w:t xml:space="preserve"> the MSCI tool</w:t>
      </w:r>
      <w:r w:rsidR="00B73F4F">
        <w:t>,</w:t>
      </w:r>
      <w:r w:rsidRPr="007C53A0">
        <w:t xml:space="preserve"> for ex</w:t>
      </w:r>
      <w:r w:rsidR="004F4E79">
        <w:t>ample</w:t>
      </w:r>
      <w:r w:rsidR="00B73F4F">
        <w:t>,</w:t>
      </w:r>
      <w:r w:rsidR="004F4E79">
        <w:t xml:space="preserve"> could cost upwards of NZ$</w:t>
      </w:r>
      <w:r w:rsidRPr="007C53A0">
        <w:t>40,000 (the carbon analytics is part of a wider subscription package)</w:t>
      </w:r>
      <w:r w:rsidR="004029D9">
        <w:t xml:space="preserve"> and</w:t>
      </w:r>
      <w:r w:rsidRPr="007C53A0">
        <w:t xml:space="preserve"> the ISS-ESG carbon analytics tool could cost </w:t>
      </w:r>
      <w:r w:rsidR="004F4E79">
        <w:t>approximately NZ$</w:t>
      </w:r>
      <w:r w:rsidRPr="007C53A0">
        <w:t>6,500 per portfolio analysed.</w:t>
      </w:r>
    </w:p>
    <w:p w14:paraId="3C98BFA6" w14:textId="77777777" w:rsidR="00857209" w:rsidRPr="004F4E79" w:rsidRDefault="00857209" w:rsidP="004F4E79">
      <w:pPr>
        <w:pStyle w:val="Heading3"/>
      </w:pPr>
      <w:bookmarkStart w:id="85" w:name="_Toc32847673"/>
      <w:r>
        <w:t>Q</w:t>
      </w:r>
      <w:r w:rsidR="005473D6">
        <w:t>.42</w:t>
      </w:r>
      <w:r>
        <w:t xml:space="preserve"> Do you have any other comments?</w:t>
      </w:r>
      <w:bookmarkEnd w:id="85"/>
    </w:p>
    <w:p w14:paraId="4AFD1B32" w14:textId="14C9A01E" w:rsidR="00857209" w:rsidRDefault="00857209" w:rsidP="00F75FA3">
      <w:pPr>
        <w:pStyle w:val="BodyText"/>
      </w:pPr>
      <w:r>
        <w:t>We received 38 responses to this question. Many of the respondents took the opportunity to offer help through further discussion and</w:t>
      </w:r>
      <w:r w:rsidR="00782DDE">
        <w:t xml:space="preserve"> to</w:t>
      </w:r>
      <w:r>
        <w:t xml:space="preserve"> provi</w:t>
      </w:r>
      <w:r w:rsidR="00DC65DB">
        <w:t xml:space="preserve">de information on their climate </w:t>
      </w:r>
      <w:r>
        <w:t>disclosure experience</w:t>
      </w:r>
      <w:r w:rsidR="00DC65DB">
        <w:t xml:space="preserve"> through voluntary channels</w:t>
      </w:r>
      <w:r>
        <w:t>.</w:t>
      </w:r>
      <w:r w:rsidR="00CD08D9">
        <w:t xml:space="preserve"> </w:t>
      </w:r>
    </w:p>
    <w:p w14:paraId="6B092979" w14:textId="23E33C2B" w:rsidR="00857209" w:rsidRDefault="0022787F" w:rsidP="00F75FA3">
      <w:pPr>
        <w:pStyle w:val="BodyText"/>
      </w:pPr>
      <w:r>
        <w:t>A few</w:t>
      </w:r>
      <w:r w:rsidR="00857209">
        <w:t xml:space="preserve"> respondents were concerned with the omission of proposals </w:t>
      </w:r>
      <w:r w:rsidR="00223FE3">
        <w:t>regarding</w:t>
      </w:r>
      <w:r w:rsidR="00857209">
        <w:t xml:space="preserve"> consequences and enforcement. </w:t>
      </w:r>
      <w:r w:rsidR="00B73F4F">
        <w:t>They equated a</w:t>
      </w:r>
      <w:r w:rsidR="00C45BDC">
        <w:t xml:space="preserve"> mandatory system </w:t>
      </w:r>
      <w:r w:rsidR="00857209">
        <w:t xml:space="preserve">without compliance </w:t>
      </w:r>
      <w:r w:rsidR="00DC65DB">
        <w:t xml:space="preserve">to maintaining </w:t>
      </w:r>
      <w:r w:rsidR="002D76CA">
        <w:t xml:space="preserve">the </w:t>
      </w:r>
      <w:r w:rsidR="00DC65DB">
        <w:t>status quo</w:t>
      </w:r>
      <w:r w:rsidR="00B73F4F">
        <w:t>. O</w:t>
      </w:r>
      <w:r w:rsidR="00DC65DB">
        <w:t>ne respondent</w:t>
      </w:r>
      <w:r>
        <w:t xml:space="preserve"> strongly cautioned against relying on</w:t>
      </w:r>
      <w:r w:rsidR="00DC65DB">
        <w:t xml:space="preserve"> the strength of market forces</w:t>
      </w:r>
      <w:r>
        <w:t xml:space="preserve"> to operate in lieu of a monitoring, enforcement and assurance framework. </w:t>
      </w:r>
    </w:p>
    <w:p w14:paraId="5988FEC4" w14:textId="6B4200CA" w:rsidR="00857209" w:rsidRDefault="0022787F" w:rsidP="00F75FA3">
      <w:pPr>
        <w:pStyle w:val="BodyText"/>
      </w:pPr>
      <w:r>
        <w:t>F</w:t>
      </w:r>
      <w:r w:rsidR="00857209">
        <w:t>urther consultation</w:t>
      </w:r>
      <w:r>
        <w:t xml:space="preserve"> was suggested</w:t>
      </w:r>
      <w:r w:rsidR="005473D6">
        <w:t xml:space="preserve"> as proposals evolve and more specific details are decided upon. Th</w:t>
      </w:r>
      <w:r w:rsidR="0070471E">
        <w:t xml:space="preserve">e Institute of </w:t>
      </w:r>
      <w:r w:rsidR="002D76CA">
        <w:t xml:space="preserve">Finance Professionals </w:t>
      </w:r>
      <w:r w:rsidR="0070471E">
        <w:t>in New Zealand</w:t>
      </w:r>
      <w:r w:rsidR="005473D6">
        <w:t xml:space="preserve"> suggested </w:t>
      </w:r>
      <w:r w:rsidR="0070471E">
        <w:t>a</w:t>
      </w:r>
      <w:r w:rsidR="00857209">
        <w:t xml:space="preserve"> workshop</w:t>
      </w:r>
      <w:r w:rsidR="0070471E">
        <w:t xml:space="preserve"> approach similar to that </w:t>
      </w:r>
      <w:r w:rsidR="00B73F4F">
        <w:t xml:space="preserve">used for </w:t>
      </w:r>
      <w:r w:rsidR="0070471E">
        <w:t>the National Climate Change Risk Assessment.</w:t>
      </w:r>
      <w:r w:rsidR="00857209">
        <w:t xml:space="preserve"> </w:t>
      </w:r>
      <w:r>
        <w:t xml:space="preserve">Respondents felt </w:t>
      </w:r>
      <w:r w:rsidR="00857209">
        <w:t xml:space="preserve">climate-related reporting </w:t>
      </w:r>
      <w:r w:rsidR="00B73F4F">
        <w:t xml:space="preserve">is </w:t>
      </w:r>
      <w:r w:rsidR="00857209">
        <w:t>a rapidly changing area which needs</w:t>
      </w:r>
      <w:r w:rsidR="00735E2F">
        <w:t xml:space="preserve"> continuous</w:t>
      </w:r>
      <w:r w:rsidR="00857209">
        <w:t xml:space="preserve"> support </w:t>
      </w:r>
      <w:r w:rsidR="00735E2F">
        <w:t xml:space="preserve">and input </w:t>
      </w:r>
      <w:r w:rsidR="00857209">
        <w:t xml:space="preserve">from key stakeholders. </w:t>
      </w:r>
    </w:p>
    <w:p w14:paraId="77A2901F" w14:textId="471183F0" w:rsidR="00857209" w:rsidRDefault="00857209" w:rsidP="00F75FA3">
      <w:pPr>
        <w:pStyle w:val="BodyText"/>
      </w:pPr>
      <w:r>
        <w:t>While respondents were generally supportive of the proposals, several</w:t>
      </w:r>
      <w:r w:rsidR="00C852CD">
        <w:t xml:space="preserve"> </w:t>
      </w:r>
      <w:r w:rsidR="002D76CA">
        <w:t>state</w:t>
      </w:r>
      <w:r w:rsidR="00B73F4F">
        <w:t>d</w:t>
      </w:r>
      <w:r w:rsidR="002D76CA">
        <w:t xml:space="preserve"> </w:t>
      </w:r>
      <w:r>
        <w:t xml:space="preserve">the proposals </w:t>
      </w:r>
      <w:r w:rsidR="00B73F4F">
        <w:t xml:space="preserve">did </w:t>
      </w:r>
      <w:r>
        <w:t xml:space="preserve">not </w:t>
      </w:r>
      <w:r w:rsidR="001E217E">
        <w:t xml:space="preserve">go far enough given the </w:t>
      </w:r>
      <w:r>
        <w:t>considerable urgency</w:t>
      </w:r>
      <w:r w:rsidR="001E217E">
        <w:t xml:space="preserve"> to respond to climate change risk</w:t>
      </w:r>
      <w:r>
        <w:t xml:space="preserve">. Suggestions included increasing the scope of </w:t>
      </w:r>
      <w:r w:rsidR="00C852CD">
        <w:t xml:space="preserve">entities </w:t>
      </w:r>
      <w:r>
        <w:t xml:space="preserve">required to disclose and requiring action beyond </w:t>
      </w:r>
      <w:r w:rsidR="00B73F4F">
        <w:t xml:space="preserve">providing </w:t>
      </w:r>
      <w:r>
        <w:t xml:space="preserve">information. </w:t>
      </w:r>
    </w:p>
    <w:p w14:paraId="327FFD2F" w14:textId="144EAEEB" w:rsidR="008233D9" w:rsidRPr="00E24035" w:rsidRDefault="008233D9" w:rsidP="00E24035">
      <w:pPr>
        <w:spacing w:before="0" w:after="200" w:line="276" w:lineRule="auto"/>
        <w:jc w:val="left"/>
      </w:pPr>
    </w:p>
    <w:p w14:paraId="66198BA1" w14:textId="77777777" w:rsidR="002D241C" w:rsidRDefault="002D241C">
      <w:pPr>
        <w:spacing w:before="0" w:after="200" w:line="276" w:lineRule="auto"/>
        <w:jc w:val="left"/>
        <w:rPr>
          <w:rFonts w:eastAsiaTheme="majorEastAsia" w:cstheme="majorBidi"/>
          <w:b/>
          <w:bCs/>
          <w:color w:val="1C556C"/>
          <w:sz w:val="48"/>
          <w:szCs w:val="28"/>
        </w:rPr>
      </w:pPr>
      <w:bookmarkStart w:id="86" w:name="_Toc32847674"/>
      <w:r>
        <w:br w:type="page"/>
      </w:r>
    </w:p>
    <w:p w14:paraId="7320BABB" w14:textId="499EA480" w:rsidR="00EE266D" w:rsidRDefault="00EE266D" w:rsidP="00EE266D">
      <w:pPr>
        <w:pStyle w:val="Heading1"/>
      </w:pPr>
      <w:bookmarkStart w:id="87" w:name="_Toc34216956"/>
      <w:r>
        <w:lastRenderedPageBreak/>
        <w:t>Conclusion</w:t>
      </w:r>
      <w:bookmarkEnd w:id="86"/>
      <w:bookmarkEnd w:id="87"/>
    </w:p>
    <w:p w14:paraId="49A87CC9" w14:textId="5615F778" w:rsidR="00EE266D" w:rsidRDefault="00BE7B31" w:rsidP="00EE266D">
      <w:pPr>
        <w:pStyle w:val="BodyText"/>
      </w:pPr>
      <w:r>
        <w:t>We</w:t>
      </w:r>
      <w:r w:rsidR="00EE266D">
        <w:t xml:space="preserve"> will use the submissions received during consultation </w:t>
      </w:r>
      <w:r w:rsidR="00120A25">
        <w:t>to inform the Government’s final decisions about the proposed regime on climate-related financial disclosures.</w:t>
      </w:r>
      <w:r w:rsidR="00CD08D9">
        <w:t xml:space="preserve"> </w:t>
      </w:r>
    </w:p>
    <w:p w14:paraId="5FC817BD" w14:textId="3700D534" w:rsidR="00EE266D" w:rsidRDefault="00BE7B31" w:rsidP="00EE266D">
      <w:pPr>
        <w:pStyle w:val="BodyText"/>
      </w:pPr>
      <w:r>
        <w:t>We</w:t>
      </w:r>
      <w:r w:rsidR="00120A25">
        <w:t xml:space="preserve"> will seek agreement from Cabinet to make recommended changes. If </w:t>
      </w:r>
      <w:r>
        <w:t>m</w:t>
      </w:r>
      <w:r w:rsidR="00120A25">
        <w:t xml:space="preserve">inisterial and </w:t>
      </w:r>
      <w:proofErr w:type="gramStart"/>
      <w:r w:rsidR="00120A25">
        <w:t>Cabinet</w:t>
      </w:r>
      <w:proofErr w:type="gramEnd"/>
      <w:r w:rsidR="00120A25">
        <w:t xml:space="preserve"> approval is given, officials will begin the process of introducing new regulation. </w:t>
      </w:r>
    </w:p>
    <w:p w14:paraId="1A439D02" w14:textId="05F1FA82" w:rsidR="005202F9" w:rsidRDefault="005202F9" w:rsidP="00EE266D">
      <w:pPr>
        <w:pStyle w:val="BodyText"/>
      </w:pPr>
      <w:r>
        <w:t xml:space="preserve">It is </w:t>
      </w:r>
      <w:r w:rsidR="00BE7B31">
        <w:t xml:space="preserve">our </w:t>
      </w:r>
      <w:r>
        <w:t xml:space="preserve">intention to work with affected entities and other government agencies to develop regulations and robust regulatory guidance, noting the feedback from the consultation that this is a rapidly developing area which would benefit from ongoing stakeholder input. </w:t>
      </w:r>
    </w:p>
    <w:p w14:paraId="2EEB060F" w14:textId="7FDAAA32" w:rsidR="004C2487" w:rsidRDefault="002D76CA" w:rsidP="004C2487">
      <w:pPr>
        <w:pStyle w:val="BodyText"/>
      </w:pPr>
      <w:r>
        <w:t>S</w:t>
      </w:r>
      <w:r w:rsidR="00EE266D">
        <w:t>ubmissio</w:t>
      </w:r>
      <w:r w:rsidR="00120A25">
        <w:t>ns can be found on the Ministry for the Environment’s</w:t>
      </w:r>
      <w:r w:rsidR="00EE266D">
        <w:t xml:space="preserve"> website.</w:t>
      </w:r>
      <w:r w:rsidR="00EE266D">
        <w:br w:type="page"/>
      </w:r>
    </w:p>
    <w:p w14:paraId="095426FF" w14:textId="77777777" w:rsidR="00C852CD" w:rsidRDefault="00B51610" w:rsidP="00C852CD">
      <w:pPr>
        <w:pStyle w:val="Heading1"/>
        <w:tabs>
          <w:tab w:val="clear" w:pos="851"/>
        </w:tabs>
      </w:pPr>
      <w:bookmarkStart w:id="88" w:name="_Toc32847675"/>
      <w:bookmarkStart w:id="89" w:name="_Toc34216957"/>
      <w:r w:rsidRPr="006B77BB">
        <w:lastRenderedPageBreak/>
        <w:t>References</w:t>
      </w:r>
      <w:bookmarkEnd w:id="88"/>
      <w:bookmarkEnd w:id="89"/>
    </w:p>
    <w:p w14:paraId="7C68CB4A" w14:textId="77777777" w:rsidR="00C852CD" w:rsidRDefault="00C852CD" w:rsidP="00554B30">
      <w:pPr>
        <w:pStyle w:val="References"/>
      </w:pPr>
      <w:r>
        <w:t xml:space="preserve">Chapman Tripp. October 2019. </w:t>
      </w:r>
      <w:r>
        <w:rPr>
          <w:i/>
        </w:rPr>
        <w:t>Climate change risk – implications for New Zealand company directors and managed investment scheme providers: legal opinion.</w:t>
      </w:r>
      <w:r>
        <w:t xml:space="preserve"> Retrieved from </w:t>
      </w:r>
      <w:hyperlink r:id="rId25" w:history="1">
        <w:r>
          <w:rPr>
            <w:rStyle w:val="Hyperlink"/>
          </w:rPr>
          <w:t>https://www.chapmantripp.com/Publication%20PDFs/Chapman%20Tripp%20Aotearoa%20Circle%20Climate%20Change%20Risk%20Legal%20Opinion.pdf</w:t>
        </w:r>
      </w:hyperlink>
      <w:r>
        <w:t xml:space="preserve"> (14 February 2020)</w:t>
      </w:r>
    </w:p>
    <w:p w14:paraId="5B4BE119" w14:textId="2B2C82AF" w:rsidR="00E404B7" w:rsidRDefault="00E404B7" w:rsidP="00554B30">
      <w:pPr>
        <w:pStyle w:val="References"/>
      </w:pPr>
      <w:r>
        <w:t xml:space="preserve">Ministry for the Environment </w:t>
      </w:r>
      <w:r w:rsidR="00BE7B31">
        <w:t xml:space="preserve">and </w:t>
      </w:r>
      <w:r>
        <w:t xml:space="preserve">Ministry of Business, Innovation &amp; Employment. 2019. </w:t>
      </w:r>
      <w:r w:rsidRPr="00E404B7">
        <w:rPr>
          <w:i/>
        </w:rPr>
        <w:t>Climate-related financial disclosures – Understanding your business risks and opportunities related to climate change: Discussion document</w:t>
      </w:r>
      <w:r>
        <w:t>. Wellington: Ministry for the Environment.</w:t>
      </w:r>
    </w:p>
    <w:p w14:paraId="090768CF" w14:textId="77777777" w:rsidR="00C852CD" w:rsidRDefault="00C852CD" w:rsidP="00554B30">
      <w:pPr>
        <w:pStyle w:val="References"/>
      </w:pPr>
      <w:r>
        <w:t xml:space="preserve">Sustainable Finance Forum. October 2019. </w:t>
      </w:r>
      <w:r w:rsidRPr="00C852CD">
        <w:rPr>
          <w:i/>
        </w:rPr>
        <w:t>Interim Report</w:t>
      </w:r>
      <w:r>
        <w:t xml:space="preserve">. The Aotearoa Circle. Retrieved from </w:t>
      </w:r>
      <w:hyperlink r:id="rId26" w:history="1">
        <w:r>
          <w:rPr>
            <w:rStyle w:val="Hyperlink"/>
          </w:rPr>
          <w:t>https://static1.squarespace.com/static/5bb6cb19c2ff61422a0d7b17/t/5dd3b114d0279f0fb06e00f3/1574154539204/1013241_Sustainable+Finance+Report_FINAL_NEW+%28002%29.pdf</w:t>
        </w:r>
      </w:hyperlink>
      <w:r>
        <w:t xml:space="preserve"> (14 February 2020)</w:t>
      </w:r>
    </w:p>
    <w:p w14:paraId="7C4C6FD0" w14:textId="77777777" w:rsidR="00C852CD" w:rsidRDefault="00C852CD" w:rsidP="00554B30">
      <w:pPr>
        <w:pStyle w:val="References"/>
      </w:pPr>
      <w:r>
        <w:t>Task Force on Climate-Related Financial Disclosures (TCFD). 2017. Final Report: Recommendations of the Task Force on Climate-related Financial Disclosures.</w:t>
      </w:r>
    </w:p>
    <w:p w14:paraId="1B6A7B9F" w14:textId="77777777" w:rsidR="00D009D8" w:rsidRPr="006B77BB" w:rsidRDefault="00D009D8" w:rsidP="00554B30">
      <w:pPr>
        <w:pStyle w:val="References"/>
      </w:pPr>
    </w:p>
    <w:sectPr w:rsidR="00D009D8" w:rsidRPr="006B77BB" w:rsidSect="00A17427">
      <w:footerReference w:type="even" r:id="rId27"/>
      <w:footerReference w:type="default" r:id="rId28"/>
      <w:pgSz w:w="11907" w:h="16840" w:code="9"/>
      <w:pgMar w:top="1440" w:right="1440" w:bottom="1440" w:left="1440"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D9709" w14:textId="77777777" w:rsidR="0081674D" w:rsidRDefault="0081674D" w:rsidP="0080531E">
      <w:pPr>
        <w:spacing w:before="0" w:after="0" w:line="240" w:lineRule="auto"/>
      </w:pPr>
      <w:r>
        <w:separator/>
      </w:r>
    </w:p>
    <w:p w14:paraId="41B8056B" w14:textId="77777777" w:rsidR="0081674D" w:rsidRDefault="0081674D"/>
  </w:endnote>
  <w:endnote w:type="continuationSeparator" w:id="0">
    <w:p w14:paraId="6CBE518A" w14:textId="77777777" w:rsidR="0081674D" w:rsidRDefault="0081674D" w:rsidP="0080531E">
      <w:pPr>
        <w:spacing w:before="0" w:after="0" w:line="240" w:lineRule="auto"/>
      </w:pPr>
      <w:r>
        <w:continuationSeparator/>
      </w:r>
    </w:p>
    <w:p w14:paraId="5C4B0AA0" w14:textId="77777777" w:rsidR="0081674D" w:rsidRDefault="00816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071D4" w14:textId="2BE41952" w:rsidR="0081674D" w:rsidRDefault="0081674D"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0DF1" w14:textId="77777777" w:rsidR="0081674D" w:rsidRDefault="0081674D"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70361" w14:textId="77777777" w:rsidR="0081674D" w:rsidRDefault="0081674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E42F4" w14:textId="492C4AA6" w:rsidR="0081674D" w:rsidRDefault="0081674D" w:rsidP="00CD25E1">
    <w:pPr>
      <w:pStyle w:val="Footereven"/>
    </w:pPr>
    <w:r w:rsidRPr="004F458A">
      <w:rPr>
        <w:b/>
      </w:rPr>
      <w:fldChar w:fldCharType="begin"/>
    </w:r>
    <w:r w:rsidRPr="004F458A">
      <w:instrText xml:space="preserve"> PAGE </w:instrText>
    </w:r>
    <w:r w:rsidRPr="004F458A">
      <w:rPr>
        <w:b/>
      </w:rPr>
      <w:fldChar w:fldCharType="separate"/>
    </w:r>
    <w:r>
      <w:rPr>
        <w:noProof/>
      </w:rPr>
      <w:t>20</w:t>
    </w:r>
    <w:r w:rsidRPr="004F458A">
      <w:rPr>
        <w:b/>
      </w:rPr>
      <w:fldChar w:fldCharType="end"/>
    </w:r>
    <w:r>
      <w:tab/>
      <w:t>Climate-related financial disclosures: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9299F" w14:textId="55382CE9" w:rsidR="0081674D" w:rsidRDefault="0081674D" w:rsidP="00CD25E1">
    <w:pPr>
      <w:pStyle w:val="Footerodd"/>
    </w:pPr>
    <w:r>
      <w:tab/>
      <w:t>Climate-related financial disclosures: Summary of submissions</w:t>
    </w:r>
    <w:r>
      <w:tab/>
    </w:r>
    <w:r>
      <w:fldChar w:fldCharType="begin"/>
    </w:r>
    <w:r>
      <w:instrText xml:space="preserve"> PAGE   \* MERGEFORMAT </w:instrText>
    </w:r>
    <w:r>
      <w:fldChar w:fldCharType="separate"/>
    </w:r>
    <w:r w:rsidR="00746D80">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331EB" w14:textId="77777777" w:rsidR="0081674D" w:rsidRDefault="0081674D" w:rsidP="00CB5C5F">
      <w:pPr>
        <w:spacing w:before="0" w:after="80" w:line="240" w:lineRule="auto"/>
      </w:pPr>
      <w:r>
        <w:separator/>
      </w:r>
    </w:p>
  </w:footnote>
  <w:footnote w:type="continuationSeparator" w:id="0">
    <w:p w14:paraId="41227390" w14:textId="77777777" w:rsidR="0081674D" w:rsidRDefault="0081674D" w:rsidP="0080531E">
      <w:pPr>
        <w:spacing w:before="0" w:after="0" w:line="240" w:lineRule="auto"/>
      </w:pPr>
      <w:r>
        <w:continuationSeparator/>
      </w:r>
    </w:p>
    <w:p w14:paraId="61B82664" w14:textId="77777777" w:rsidR="0081674D" w:rsidRDefault="0081674D"/>
  </w:footnote>
  <w:footnote w:id="1">
    <w:p w14:paraId="5F83973E" w14:textId="77777777" w:rsidR="0081674D" w:rsidRPr="001A6C72" w:rsidRDefault="0081674D" w:rsidP="005E1706">
      <w:pPr>
        <w:pStyle w:val="FootnoteText"/>
      </w:pPr>
      <w:r w:rsidRPr="000854F1">
        <w:rPr>
          <w:rStyle w:val="FootnoteReference"/>
        </w:rPr>
        <w:footnoteRef/>
      </w:r>
      <w:r w:rsidRPr="00D11651">
        <w:rPr>
          <w:szCs w:val="19"/>
        </w:rPr>
        <w:t xml:space="preserve"> </w:t>
      </w:r>
      <w:r>
        <w:rPr>
          <w:szCs w:val="19"/>
        </w:rPr>
        <w:tab/>
      </w:r>
      <w:hyperlink r:id="rId1" w:history="1">
        <w:r w:rsidRPr="00B656FE">
          <w:rPr>
            <w:rStyle w:val="Hyperlink"/>
            <w:szCs w:val="19"/>
          </w:rPr>
          <w:t>Productivity Commission</w:t>
        </w:r>
      </w:hyperlink>
      <w:r>
        <w:rPr>
          <w:szCs w:val="19"/>
        </w:rPr>
        <w:t>,</w:t>
      </w:r>
      <w:r w:rsidRPr="00D11651">
        <w:rPr>
          <w:szCs w:val="19"/>
        </w:rPr>
        <w:t xml:space="preserve"> 2018</w:t>
      </w:r>
      <w:r>
        <w:rPr>
          <w:szCs w:val="19"/>
        </w:rPr>
        <w:t xml:space="preserve">. </w:t>
      </w:r>
      <w:r w:rsidRPr="00D11651">
        <w:rPr>
          <w:szCs w:val="19"/>
        </w:rPr>
        <w:t>p 7.</w:t>
      </w:r>
    </w:p>
  </w:footnote>
  <w:footnote w:id="2">
    <w:p w14:paraId="09250624" w14:textId="6C241CCC" w:rsidR="0081674D" w:rsidRPr="000C1835" w:rsidRDefault="0081674D">
      <w:pPr>
        <w:pStyle w:val="FootnoteText"/>
        <w:rPr>
          <w:sz w:val="18"/>
          <w:szCs w:val="18"/>
        </w:rPr>
      </w:pPr>
      <w:r w:rsidRPr="000C1835">
        <w:rPr>
          <w:rStyle w:val="FootnoteReference"/>
          <w:sz w:val="18"/>
          <w:szCs w:val="18"/>
        </w:rPr>
        <w:footnoteRef/>
      </w:r>
      <w:r w:rsidRPr="000C1835">
        <w:rPr>
          <w:sz w:val="18"/>
          <w:szCs w:val="18"/>
        </w:rPr>
        <w:t xml:space="preserve"> </w:t>
      </w:r>
      <w:r w:rsidRPr="000C1835">
        <w:rPr>
          <w:sz w:val="18"/>
          <w:szCs w:val="18"/>
        </w:rPr>
        <w:tab/>
        <w:t xml:space="preserve">The </w:t>
      </w:r>
      <w:hyperlink r:id="rId2" w:history="1">
        <w:r w:rsidRPr="000C1835">
          <w:rPr>
            <w:rStyle w:val="Hyperlink"/>
            <w:sz w:val="18"/>
            <w:szCs w:val="18"/>
          </w:rPr>
          <w:t>UN Principles for Responsible Investment</w:t>
        </w:r>
      </w:hyperlink>
      <w:r w:rsidRPr="000C1835">
        <w:rPr>
          <w:sz w:val="18"/>
          <w:szCs w:val="18"/>
        </w:rPr>
        <w:t xml:space="preserve"> are a set of six principles that provide a global standard for responsible investment with regards to </w:t>
      </w:r>
      <w:r w:rsidRPr="000C1835">
        <w:rPr>
          <w:color w:val="000000"/>
          <w:sz w:val="18"/>
          <w:szCs w:val="18"/>
        </w:rPr>
        <w:t xml:space="preserve">environmental, social and governance (ESG) factors. Nearly 2700 signatories follow these principles on a voluntary basis. </w:t>
      </w:r>
    </w:p>
  </w:footnote>
  <w:footnote w:id="3">
    <w:p w14:paraId="6C695550" w14:textId="3EE69AA4" w:rsidR="0081674D" w:rsidRDefault="0081674D">
      <w:pPr>
        <w:pStyle w:val="FootnoteText"/>
      </w:pPr>
      <w:r>
        <w:rPr>
          <w:rStyle w:val="FootnoteReference"/>
        </w:rPr>
        <w:footnoteRef/>
      </w:r>
      <w:hyperlink r:id="rId3" w:history="1">
        <w:r w:rsidRPr="00D33E2A">
          <w:rPr>
            <w:rStyle w:val="Hyperlink"/>
          </w:rPr>
          <w:t xml:space="preserve"> </w:t>
        </w:r>
        <w:r>
          <w:rPr>
            <w:rStyle w:val="Hyperlink"/>
          </w:rPr>
          <w:tab/>
        </w:r>
        <w:r w:rsidRPr="00D33E2A">
          <w:rPr>
            <w:rStyle w:val="Hyperlink"/>
          </w:rPr>
          <w:t>TCFD</w:t>
        </w:r>
      </w:hyperlink>
      <w:r>
        <w:t>, 2017.</w:t>
      </w:r>
    </w:p>
  </w:footnote>
  <w:footnote w:id="4">
    <w:p w14:paraId="1FFACDC8" w14:textId="0C3F730A" w:rsidR="0081674D" w:rsidRDefault="0081674D">
      <w:pPr>
        <w:pStyle w:val="FootnoteText"/>
      </w:pPr>
      <w:r>
        <w:rPr>
          <w:rStyle w:val="FootnoteReference"/>
        </w:rPr>
        <w:footnoteRef/>
      </w:r>
      <w:r>
        <w:t xml:space="preserve"> </w:t>
      </w:r>
      <w:r>
        <w:tab/>
        <w:t xml:space="preserve">Productivity Commission, 2018, as quoted in The Mana Whenua </w:t>
      </w:r>
      <w:proofErr w:type="spellStart"/>
      <w:r>
        <w:t>Kaitiaki</w:t>
      </w:r>
      <w:proofErr w:type="spellEnd"/>
      <w:r>
        <w:t xml:space="preserve"> Forum’s submission.</w:t>
      </w:r>
    </w:p>
  </w:footnote>
  <w:footnote w:id="5">
    <w:p w14:paraId="73B544E6" w14:textId="545C378B" w:rsidR="0081674D" w:rsidRDefault="0081674D" w:rsidP="00FB0048">
      <w:pPr>
        <w:pStyle w:val="References"/>
      </w:pPr>
      <w:r>
        <w:rPr>
          <w:rStyle w:val="FootnoteReference"/>
        </w:rPr>
        <w:footnoteRef/>
      </w:r>
      <w:r>
        <w:t xml:space="preserve"> </w:t>
      </w:r>
      <w:r>
        <w:tab/>
      </w:r>
      <w:hyperlink r:id="rId4" w:history="1">
        <w:r w:rsidRPr="00802CDD">
          <w:rPr>
            <w:rStyle w:val="Hyperlink"/>
          </w:rPr>
          <w:t>Sustainable Finance Forum</w:t>
        </w:r>
      </w:hyperlink>
      <w:r w:rsidRPr="00FB0048">
        <w:t>, 2</w:t>
      </w:r>
      <w:r>
        <w:t xml:space="preserve">019. </w:t>
      </w:r>
      <w:proofErr w:type="gramStart"/>
      <w:r>
        <w:t>p</w:t>
      </w:r>
      <w:proofErr w:type="gramEnd"/>
      <w:r>
        <w:t xml:space="preserve"> 54–55.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730F8" w14:textId="7A203434" w:rsidR="0081674D" w:rsidRPr="00DE7BF8" w:rsidRDefault="0081674D"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28C61" w14:textId="77777777" w:rsidR="0081674D" w:rsidRDefault="0081674D"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A124" w14:textId="77777777" w:rsidR="0081674D" w:rsidRDefault="00816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ED6C0A"/>
    <w:multiLevelType w:val="hybridMultilevel"/>
    <w:tmpl w:val="11F8D3D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D465A16"/>
    <w:multiLevelType w:val="multilevel"/>
    <w:tmpl w:val="597AF830"/>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A84F70"/>
    <w:multiLevelType w:val="multilevel"/>
    <w:tmpl w:val="994A51EE"/>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pStyle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06077F"/>
    <w:multiLevelType w:val="multilevel"/>
    <w:tmpl w:val="C486C44E"/>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pPr>
        <w:ind w:left="1440" w:hanging="360"/>
      </w:pPr>
      <w:rPr>
        <w:rFonts w:ascii="Symbol" w:hAnsi="Symbol" w:hint="default"/>
        <w:sz w:val="22"/>
      </w:rPr>
    </w:lvl>
    <w:lvl w:ilvl="2">
      <w:start w:val="1"/>
      <w:numFmt w:val="bullet"/>
      <w:pStyle w:val="Subbullets"/>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5CCC4AD5"/>
    <w:multiLevelType w:val="hybridMultilevel"/>
    <w:tmpl w:val="6BBA468A"/>
    <w:lvl w:ilvl="0" w:tplc="B6DCA56A">
      <w:start w:val="17"/>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A543C2"/>
    <w:multiLevelType w:val="multilevel"/>
    <w:tmpl w:val="8056E9D2"/>
    <w:lvl w:ilvl="0">
      <w:start w:val="1"/>
      <w:numFmt w:val="decimal"/>
      <w:pStyle w:val="BodyText-Numbered"/>
      <w:lvlText w:val="%1."/>
      <w:lvlJc w:val="left"/>
      <w:pPr>
        <w:tabs>
          <w:tab w:val="num" w:pos="397"/>
        </w:tabs>
        <w:ind w:left="397" w:hanging="397"/>
      </w:pPr>
      <w:rPr>
        <w:rFonts w:hint="default"/>
        <w:color w:val="auto"/>
        <w:sz w:val="22"/>
        <w:szCs w:val="22"/>
      </w:rPr>
    </w:lvl>
    <w:lvl w:ilvl="1">
      <w:numFmt w:val="bullet"/>
      <w:lvlText w:val="-"/>
      <w:lvlJc w:val="left"/>
      <w:pPr>
        <w:ind w:left="1440" w:hanging="360"/>
      </w:pPr>
      <w:rPr>
        <w:rFonts w:ascii="Calibri" w:eastAsiaTheme="minorEastAsia" w:hAnsi="Calibri"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3"/>
  </w:num>
  <w:num w:numId="5">
    <w:abstractNumId w:val="14"/>
  </w:num>
  <w:num w:numId="6">
    <w:abstractNumId w:val="12"/>
  </w:num>
  <w:num w:numId="7">
    <w:abstractNumId w:val="1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6"/>
  </w:num>
  <w:num w:numId="11">
    <w:abstractNumId w:val="1"/>
  </w:num>
  <w:num w:numId="12">
    <w:abstractNumId w:val="4"/>
  </w:num>
  <w:num w:numId="13">
    <w:abstractNumId w:val="9"/>
  </w:num>
  <w:num w:numId="14">
    <w:abstractNumId w:val="2"/>
  </w:num>
  <w:num w:numId="15">
    <w:abstractNumId w:val="17"/>
  </w:num>
  <w:num w:numId="16">
    <w:abstractNumId w:val="19"/>
  </w:num>
  <w:num w:numId="17">
    <w:abstractNumId w:val="10"/>
  </w:num>
  <w:num w:numId="18">
    <w:abstractNumId w:val="15"/>
  </w:num>
  <w:num w:numId="19">
    <w:abstractNumId w:val="5"/>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trackRevisions/>
  <w:defaultTabStop w:val="39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3MLe0NLAwtLC0NDdR0lEKTi0uzszPAykwrAUApnIXPSwAAAA="/>
  </w:docVars>
  <w:rsids>
    <w:rsidRoot w:val="005037F9"/>
    <w:rsid w:val="000006BB"/>
    <w:rsid w:val="00000792"/>
    <w:rsid w:val="00000F04"/>
    <w:rsid w:val="00003C4F"/>
    <w:rsid w:val="00004E0A"/>
    <w:rsid w:val="00004FD3"/>
    <w:rsid w:val="000054C9"/>
    <w:rsid w:val="00006DF5"/>
    <w:rsid w:val="00006F95"/>
    <w:rsid w:val="00007023"/>
    <w:rsid w:val="0000709F"/>
    <w:rsid w:val="000071D6"/>
    <w:rsid w:val="00007D87"/>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521"/>
    <w:rsid w:val="00021910"/>
    <w:rsid w:val="00022E8D"/>
    <w:rsid w:val="0002348A"/>
    <w:rsid w:val="00023537"/>
    <w:rsid w:val="00024708"/>
    <w:rsid w:val="00024EE7"/>
    <w:rsid w:val="00025BA1"/>
    <w:rsid w:val="00025F96"/>
    <w:rsid w:val="00025FAB"/>
    <w:rsid w:val="00026E89"/>
    <w:rsid w:val="000275A3"/>
    <w:rsid w:val="00030558"/>
    <w:rsid w:val="00030699"/>
    <w:rsid w:val="00030725"/>
    <w:rsid w:val="00030DB8"/>
    <w:rsid w:val="00031A83"/>
    <w:rsid w:val="0003213A"/>
    <w:rsid w:val="00032A81"/>
    <w:rsid w:val="000340D8"/>
    <w:rsid w:val="0003427D"/>
    <w:rsid w:val="00034905"/>
    <w:rsid w:val="00034DFA"/>
    <w:rsid w:val="000354F5"/>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C3C"/>
    <w:rsid w:val="00051D42"/>
    <w:rsid w:val="00052122"/>
    <w:rsid w:val="00052AE7"/>
    <w:rsid w:val="000538A1"/>
    <w:rsid w:val="00055375"/>
    <w:rsid w:val="00056319"/>
    <w:rsid w:val="000564E7"/>
    <w:rsid w:val="00056770"/>
    <w:rsid w:val="00057386"/>
    <w:rsid w:val="00057EEF"/>
    <w:rsid w:val="000619CB"/>
    <w:rsid w:val="00062387"/>
    <w:rsid w:val="0006311D"/>
    <w:rsid w:val="00063156"/>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60B"/>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93B"/>
    <w:rsid w:val="00097B40"/>
    <w:rsid w:val="00097D0E"/>
    <w:rsid w:val="000A17EA"/>
    <w:rsid w:val="000A1A03"/>
    <w:rsid w:val="000A1C7A"/>
    <w:rsid w:val="000A2345"/>
    <w:rsid w:val="000A2394"/>
    <w:rsid w:val="000A2914"/>
    <w:rsid w:val="000A31C1"/>
    <w:rsid w:val="000A32C5"/>
    <w:rsid w:val="000A33E9"/>
    <w:rsid w:val="000A3411"/>
    <w:rsid w:val="000A34CA"/>
    <w:rsid w:val="000A426F"/>
    <w:rsid w:val="000A4559"/>
    <w:rsid w:val="000A45FD"/>
    <w:rsid w:val="000A477B"/>
    <w:rsid w:val="000A558D"/>
    <w:rsid w:val="000A5611"/>
    <w:rsid w:val="000A563C"/>
    <w:rsid w:val="000A59C5"/>
    <w:rsid w:val="000A5DEA"/>
    <w:rsid w:val="000A5EBD"/>
    <w:rsid w:val="000A6364"/>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3C0"/>
    <w:rsid w:val="000B66DC"/>
    <w:rsid w:val="000B6D1F"/>
    <w:rsid w:val="000C062F"/>
    <w:rsid w:val="000C17E7"/>
    <w:rsid w:val="000C1835"/>
    <w:rsid w:val="000C3270"/>
    <w:rsid w:val="000C35D0"/>
    <w:rsid w:val="000C47EF"/>
    <w:rsid w:val="000C577E"/>
    <w:rsid w:val="000D04BA"/>
    <w:rsid w:val="000D0B6E"/>
    <w:rsid w:val="000D0D65"/>
    <w:rsid w:val="000D12E0"/>
    <w:rsid w:val="000D1597"/>
    <w:rsid w:val="000D1944"/>
    <w:rsid w:val="000D1DD9"/>
    <w:rsid w:val="000D2172"/>
    <w:rsid w:val="000D293C"/>
    <w:rsid w:val="000D2BC1"/>
    <w:rsid w:val="000D337B"/>
    <w:rsid w:val="000D385A"/>
    <w:rsid w:val="000D38C2"/>
    <w:rsid w:val="000D3CA7"/>
    <w:rsid w:val="000D5B16"/>
    <w:rsid w:val="000D5FB1"/>
    <w:rsid w:val="000D5FD6"/>
    <w:rsid w:val="000D6201"/>
    <w:rsid w:val="000D6488"/>
    <w:rsid w:val="000D7088"/>
    <w:rsid w:val="000D770B"/>
    <w:rsid w:val="000D788E"/>
    <w:rsid w:val="000E12B0"/>
    <w:rsid w:val="000E1BC8"/>
    <w:rsid w:val="000E1D32"/>
    <w:rsid w:val="000E26D8"/>
    <w:rsid w:val="000E2706"/>
    <w:rsid w:val="000E2B94"/>
    <w:rsid w:val="000E3156"/>
    <w:rsid w:val="000E35B6"/>
    <w:rsid w:val="000E3BB8"/>
    <w:rsid w:val="000E3D9B"/>
    <w:rsid w:val="000E3DFD"/>
    <w:rsid w:val="000E3FEE"/>
    <w:rsid w:val="000E4261"/>
    <w:rsid w:val="000E4697"/>
    <w:rsid w:val="000E58C5"/>
    <w:rsid w:val="000E6203"/>
    <w:rsid w:val="000E64CB"/>
    <w:rsid w:val="000E6791"/>
    <w:rsid w:val="000E722C"/>
    <w:rsid w:val="000E755B"/>
    <w:rsid w:val="000E786F"/>
    <w:rsid w:val="000E7DA7"/>
    <w:rsid w:val="000E7FA0"/>
    <w:rsid w:val="000F00BA"/>
    <w:rsid w:val="000F02F8"/>
    <w:rsid w:val="000F0409"/>
    <w:rsid w:val="000F049F"/>
    <w:rsid w:val="000F0642"/>
    <w:rsid w:val="000F07FA"/>
    <w:rsid w:val="000F0B5E"/>
    <w:rsid w:val="000F0E05"/>
    <w:rsid w:val="000F1D43"/>
    <w:rsid w:val="000F1FFF"/>
    <w:rsid w:val="000F20AA"/>
    <w:rsid w:val="000F2651"/>
    <w:rsid w:val="000F348D"/>
    <w:rsid w:val="000F369A"/>
    <w:rsid w:val="000F435F"/>
    <w:rsid w:val="000F4463"/>
    <w:rsid w:val="000F4C83"/>
    <w:rsid w:val="000F5285"/>
    <w:rsid w:val="000F52E0"/>
    <w:rsid w:val="000F53A9"/>
    <w:rsid w:val="000F6464"/>
    <w:rsid w:val="000F6628"/>
    <w:rsid w:val="000F6C25"/>
    <w:rsid w:val="000F76EB"/>
    <w:rsid w:val="000F78AE"/>
    <w:rsid w:val="000F7E25"/>
    <w:rsid w:val="001007EE"/>
    <w:rsid w:val="00100F76"/>
    <w:rsid w:val="0010148E"/>
    <w:rsid w:val="00101878"/>
    <w:rsid w:val="0010253C"/>
    <w:rsid w:val="00102BD1"/>
    <w:rsid w:val="0010486A"/>
    <w:rsid w:val="00104BE5"/>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A25"/>
    <w:rsid w:val="00121211"/>
    <w:rsid w:val="00121502"/>
    <w:rsid w:val="00121628"/>
    <w:rsid w:val="0012167D"/>
    <w:rsid w:val="00122189"/>
    <w:rsid w:val="00122280"/>
    <w:rsid w:val="00122D42"/>
    <w:rsid w:val="00123345"/>
    <w:rsid w:val="00123C46"/>
    <w:rsid w:val="0012470B"/>
    <w:rsid w:val="00124AED"/>
    <w:rsid w:val="00125C75"/>
    <w:rsid w:val="00125C7E"/>
    <w:rsid w:val="00127945"/>
    <w:rsid w:val="00127D94"/>
    <w:rsid w:val="00127E90"/>
    <w:rsid w:val="001302C1"/>
    <w:rsid w:val="001306D3"/>
    <w:rsid w:val="001310BF"/>
    <w:rsid w:val="001317A4"/>
    <w:rsid w:val="001318E5"/>
    <w:rsid w:val="00131E86"/>
    <w:rsid w:val="00132097"/>
    <w:rsid w:val="00132724"/>
    <w:rsid w:val="001338EF"/>
    <w:rsid w:val="00133E73"/>
    <w:rsid w:val="00133FDB"/>
    <w:rsid w:val="00134F4A"/>
    <w:rsid w:val="00135E4E"/>
    <w:rsid w:val="00136246"/>
    <w:rsid w:val="0013649A"/>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45A"/>
    <w:rsid w:val="00153A96"/>
    <w:rsid w:val="00153D1C"/>
    <w:rsid w:val="001543E2"/>
    <w:rsid w:val="00155B43"/>
    <w:rsid w:val="001565A2"/>
    <w:rsid w:val="001567C3"/>
    <w:rsid w:val="00156A12"/>
    <w:rsid w:val="00157B3F"/>
    <w:rsid w:val="00157D6E"/>
    <w:rsid w:val="00157F8A"/>
    <w:rsid w:val="00160C3D"/>
    <w:rsid w:val="00161A5C"/>
    <w:rsid w:val="00161B24"/>
    <w:rsid w:val="00161C41"/>
    <w:rsid w:val="00161DD5"/>
    <w:rsid w:val="001633A4"/>
    <w:rsid w:val="001634D6"/>
    <w:rsid w:val="001648DD"/>
    <w:rsid w:val="00165705"/>
    <w:rsid w:val="001661DB"/>
    <w:rsid w:val="00166389"/>
    <w:rsid w:val="001668DA"/>
    <w:rsid w:val="00166E03"/>
    <w:rsid w:val="00167E4C"/>
    <w:rsid w:val="00171449"/>
    <w:rsid w:val="0017178B"/>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77DA4"/>
    <w:rsid w:val="001808DA"/>
    <w:rsid w:val="00180B3F"/>
    <w:rsid w:val="00180C83"/>
    <w:rsid w:val="00180CE5"/>
    <w:rsid w:val="0018175B"/>
    <w:rsid w:val="001820A3"/>
    <w:rsid w:val="0018332A"/>
    <w:rsid w:val="00183BF6"/>
    <w:rsid w:val="00183D80"/>
    <w:rsid w:val="001842C8"/>
    <w:rsid w:val="00185044"/>
    <w:rsid w:val="001850DB"/>
    <w:rsid w:val="00185327"/>
    <w:rsid w:val="0018599C"/>
    <w:rsid w:val="001869EE"/>
    <w:rsid w:val="00186D00"/>
    <w:rsid w:val="0018743A"/>
    <w:rsid w:val="00190A57"/>
    <w:rsid w:val="00190B3F"/>
    <w:rsid w:val="0019122C"/>
    <w:rsid w:val="00191908"/>
    <w:rsid w:val="00192A6F"/>
    <w:rsid w:val="00192B7D"/>
    <w:rsid w:val="00192DF3"/>
    <w:rsid w:val="0019301F"/>
    <w:rsid w:val="00193286"/>
    <w:rsid w:val="001937B8"/>
    <w:rsid w:val="00193E15"/>
    <w:rsid w:val="00194BB7"/>
    <w:rsid w:val="00194CC5"/>
    <w:rsid w:val="001951B2"/>
    <w:rsid w:val="0019565D"/>
    <w:rsid w:val="00197564"/>
    <w:rsid w:val="00197EC2"/>
    <w:rsid w:val="00197ECE"/>
    <w:rsid w:val="001A12E6"/>
    <w:rsid w:val="001A1CED"/>
    <w:rsid w:val="001A279B"/>
    <w:rsid w:val="001A27CD"/>
    <w:rsid w:val="001A2DC3"/>
    <w:rsid w:val="001A2E87"/>
    <w:rsid w:val="001A3869"/>
    <w:rsid w:val="001A38C2"/>
    <w:rsid w:val="001A392A"/>
    <w:rsid w:val="001A4E64"/>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CD2"/>
    <w:rsid w:val="001B7E91"/>
    <w:rsid w:val="001C147E"/>
    <w:rsid w:val="001C151B"/>
    <w:rsid w:val="001C19E5"/>
    <w:rsid w:val="001C334E"/>
    <w:rsid w:val="001C3800"/>
    <w:rsid w:val="001C3C7B"/>
    <w:rsid w:val="001C5C44"/>
    <w:rsid w:val="001C6122"/>
    <w:rsid w:val="001C6587"/>
    <w:rsid w:val="001C69BE"/>
    <w:rsid w:val="001C6DB5"/>
    <w:rsid w:val="001C71AC"/>
    <w:rsid w:val="001C7316"/>
    <w:rsid w:val="001C7AE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6C23"/>
    <w:rsid w:val="001D7DEE"/>
    <w:rsid w:val="001E02CB"/>
    <w:rsid w:val="001E14FD"/>
    <w:rsid w:val="001E180F"/>
    <w:rsid w:val="001E1C64"/>
    <w:rsid w:val="001E1CEC"/>
    <w:rsid w:val="001E217E"/>
    <w:rsid w:val="001E2ECB"/>
    <w:rsid w:val="001E4AE7"/>
    <w:rsid w:val="001E4B5B"/>
    <w:rsid w:val="001E4B64"/>
    <w:rsid w:val="001E552A"/>
    <w:rsid w:val="001E57B9"/>
    <w:rsid w:val="001E6E8D"/>
    <w:rsid w:val="001E7EE4"/>
    <w:rsid w:val="001E7F76"/>
    <w:rsid w:val="001F00B5"/>
    <w:rsid w:val="001F0FAF"/>
    <w:rsid w:val="001F139F"/>
    <w:rsid w:val="001F161A"/>
    <w:rsid w:val="001F2805"/>
    <w:rsid w:val="001F2E79"/>
    <w:rsid w:val="001F2F07"/>
    <w:rsid w:val="001F3123"/>
    <w:rsid w:val="001F376D"/>
    <w:rsid w:val="001F418C"/>
    <w:rsid w:val="001F4B2D"/>
    <w:rsid w:val="001F4E21"/>
    <w:rsid w:val="001F4EAE"/>
    <w:rsid w:val="001F4F40"/>
    <w:rsid w:val="001F50E0"/>
    <w:rsid w:val="001F594C"/>
    <w:rsid w:val="001F69FC"/>
    <w:rsid w:val="001F6C21"/>
    <w:rsid w:val="001F6D62"/>
    <w:rsid w:val="001F7675"/>
    <w:rsid w:val="00200FAE"/>
    <w:rsid w:val="0020102D"/>
    <w:rsid w:val="002010E2"/>
    <w:rsid w:val="00201B73"/>
    <w:rsid w:val="00202517"/>
    <w:rsid w:val="00202ADB"/>
    <w:rsid w:val="00202BB7"/>
    <w:rsid w:val="0020435B"/>
    <w:rsid w:val="00204533"/>
    <w:rsid w:val="00204F2D"/>
    <w:rsid w:val="00205566"/>
    <w:rsid w:val="002056FF"/>
    <w:rsid w:val="002063AA"/>
    <w:rsid w:val="00207431"/>
    <w:rsid w:val="00210549"/>
    <w:rsid w:val="0021069E"/>
    <w:rsid w:val="00210781"/>
    <w:rsid w:val="00210804"/>
    <w:rsid w:val="0021088F"/>
    <w:rsid w:val="002113FE"/>
    <w:rsid w:val="00211737"/>
    <w:rsid w:val="0021181B"/>
    <w:rsid w:val="0021230F"/>
    <w:rsid w:val="002125B0"/>
    <w:rsid w:val="00212A82"/>
    <w:rsid w:val="00212E5A"/>
    <w:rsid w:val="00214EA2"/>
    <w:rsid w:val="00215193"/>
    <w:rsid w:val="002160FA"/>
    <w:rsid w:val="002166DD"/>
    <w:rsid w:val="002168A2"/>
    <w:rsid w:val="00216C16"/>
    <w:rsid w:val="00217867"/>
    <w:rsid w:val="002205E4"/>
    <w:rsid w:val="00220A08"/>
    <w:rsid w:val="00220D67"/>
    <w:rsid w:val="00221052"/>
    <w:rsid w:val="002211D8"/>
    <w:rsid w:val="002215F8"/>
    <w:rsid w:val="00221F80"/>
    <w:rsid w:val="0022273A"/>
    <w:rsid w:val="00222D28"/>
    <w:rsid w:val="00223CF4"/>
    <w:rsid w:val="00223FE3"/>
    <w:rsid w:val="00224220"/>
    <w:rsid w:val="00224398"/>
    <w:rsid w:val="00224A81"/>
    <w:rsid w:val="00224E91"/>
    <w:rsid w:val="00225B4C"/>
    <w:rsid w:val="00225E1E"/>
    <w:rsid w:val="00226129"/>
    <w:rsid w:val="0022614D"/>
    <w:rsid w:val="00226AA2"/>
    <w:rsid w:val="00227218"/>
    <w:rsid w:val="0022770A"/>
    <w:rsid w:val="0022787F"/>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6E"/>
    <w:rsid w:val="00241AED"/>
    <w:rsid w:val="00243182"/>
    <w:rsid w:val="00243928"/>
    <w:rsid w:val="00243946"/>
    <w:rsid w:val="00243BC5"/>
    <w:rsid w:val="00243C7D"/>
    <w:rsid w:val="00243E9A"/>
    <w:rsid w:val="00244371"/>
    <w:rsid w:val="00244AF8"/>
    <w:rsid w:val="00244BC5"/>
    <w:rsid w:val="00244E68"/>
    <w:rsid w:val="00245534"/>
    <w:rsid w:val="002456C5"/>
    <w:rsid w:val="00245ABE"/>
    <w:rsid w:val="00245C0B"/>
    <w:rsid w:val="00246540"/>
    <w:rsid w:val="00246EAE"/>
    <w:rsid w:val="0024700E"/>
    <w:rsid w:val="00247068"/>
    <w:rsid w:val="00247116"/>
    <w:rsid w:val="002471E5"/>
    <w:rsid w:val="0024750A"/>
    <w:rsid w:val="002517A8"/>
    <w:rsid w:val="00251906"/>
    <w:rsid w:val="00251EEE"/>
    <w:rsid w:val="00253177"/>
    <w:rsid w:val="002538B8"/>
    <w:rsid w:val="0025396F"/>
    <w:rsid w:val="00254319"/>
    <w:rsid w:val="0025539F"/>
    <w:rsid w:val="00256388"/>
    <w:rsid w:val="00256E44"/>
    <w:rsid w:val="00260566"/>
    <w:rsid w:val="00260919"/>
    <w:rsid w:val="002612FD"/>
    <w:rsid w:val="002613DC"/>
    <w:rsid w:val="00261755"/>
    <w:rsid w:val="00261AAA"/>
    <w:rsid w:val="00261B49"/>
    <w:rsid w:val="00262097"/>
    <w:rsid w:val="00262D20"/>
    <w:rsid w:val="002634AB"/>
    <w:rsid w:val="002638E0"/>
    <w:rsid w:val="00263C19"/>
    <w:rsid w:val="00263E9F"/>
    <w:rsid w:val="00264F03"/>
    <w:rsid w:val="00264F8F"/>
    <w:rsid w:val="0026538C"/>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9FD"/>
    <w:rsid w:val="00276F82"/>
    <w:rsid w:val="002776DB"/>
    <w:rsid w:val="002805DF"/>
    <w:rsid w:val="0028092D"/>
    <w:rsid w:val="002815D9"/>
    <w:rsid w:val="00282317"/>
    <w:rsid w:val="002829CB"/>
    <w:rsid w:val="00282D25"/>
    <w:rsid w:val="00282DF9"/>
    <w:rsid w:val="00283A44"/>
    <w:rsid w:val="0028529F"/>
    <w:rsid w:val="00285687"/>
    <w:rsid w:val="0028727F"/>
    <w:rsid w:val="00287649"/>
    <w:rsid w:val="00287DAB"/>
    <w:rsid w:val="00287FB6"/>
    <w:rsid w:val="002900C5"/>
    <w:rsid w:val="002901E0"/>
    <w:rsid w:val="0029075B"/>
    <w:rsid w:val="00290BB1"/>
    <w:rsid w:val="00291427"/>
    <w:rsid w:val="002918E6"/>
    <w:rsid w:val="00291BC1"/>
    <w:rsid w:val="00291E6B"/>
    <w:rsid w:val="002923D6"/>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002"/>
    <w:rsid w:val="002A75CA"/>
    <w:rsid w:val="002A7889"/>
    <w:rsid w:val="002A7991"/>
    <w:rsid w:val="002A799A"/>
    <w:rsid w:val="002B097D"/>
    <w:rsid w:val="002B11B2"/>
    <w:rsid w:val="002B18F7"/>
    <w:rsid w:val="002B3ED7"/>
    <w:rsid w:val="002B4778"/>
    <w:rsid w:val="002B5EFB"/>
    <w:rsid w:val="002B67D4"/>
    <w:rsid w:val="002B75B2"/>
    <w:rsid w:val="002B79B7"/>
    <w:rsid w:val="002C09C9"/>
    <w:rsid w:val="002C141D"/>
    <w:rsid w:val="002C19C0"/>
    <w:rsid w:val="002C2485"/>
    <w:rsid w:val="002C25E0"/>
    <w:rsid w:val="002C2A2D"/>
    <w:rsid w:val="002C30D1"/>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41C"/>
    <w:rsid w:val="002D2B10"/>
    <w:rsid w:val="002D386A"/>
    <w:rsid w:val="002D4100"/>
    <w:rsid w:val="002D477F"/>
    <w:rsid w:val="002D4F48"/>
    <w:rsid w:val="002D519B"/>
    <w:rsid w:val="002D621E"/>
    <w:rsid w:val="002D66DA"/>
    <w:rsid w:val="002D7027"/>
    <w:rsid w:val="002D70DC"/>
    <w:rsid w:val="002D758B"/>
    <w:rsid w:val="002D76CA"/>
    <w:rsid w:val="002D79BC"/>
    <w:rsid w:val="002D7E58"/>
    <w:rsid w:val="002E0D31"/>
    <w:rsid w:val="002E0EFA"/>
    <w:rsid w:val="002E0EFB"/>
    <w:rsid w:val="002E1073"/>
    <w:rsid w:val="002E12C3"/>
    <w:rsid w:val="002E12EC"/>
    <w:rsid w:val="002E146D"/>
    <w:rsid w:val="002E1CD5"/>
    <w:rsid w:val="002E243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3C9"/>
    <w:rsid w:val="002E6536"/>
    <w:rsid w:val="002E69F5"/>
    <w:rsid w:val="002E6CAA"/>
    <w:rsid w:val="002E73EC"/>
    <w:rsid w:val="002F023D"/>
    <w:rsid w:val="002F10EC"/>
    <w:rsid w:val="002F1136"/>
    <w:rsid w:val="002F1231"/>
    <w:rsid w:val="002F1521"/>
    <w:rsid w:val="002F15EE"/>
    <w:rsid w:val="002F246E"/>
    <w:rsid w:val="002F3632"/>
    <w:rsid w:val="002F3AFB"/>
    <w:rsid w:val="002F3C41"/>
    <w:rsid w:val="002F46BA"/>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E40"/>
    <w:rsid w:val="00304FFF"/>
    <w:rsid w:val="00305557"/>
    <w:rsid w:val="0030561F"/>
    <w:rsid w:val="00305CA3"/>
    <w:rsid w:val="00306E5C"/>
    <w:rsid w:val="00307C19"/>
    <w:rsid w:val="00310064"/>
    <w:rsid w:val="00310732"/>
    <w:rsid w:val="00310BC9"/>
    <w:rsid w:val="00311762"/>
    <w:rsid w:val="00311885"/>
    <w:rsid w:val="00311E98"/>
    <w:rsid w:val="00312215"/>
    <w:rsid w:val="0031249C"/>
    <w:rsid w:val="003125C3"/>
    <w:rsid w:val="00312896"/>
    <w:rsid w:val="00313EAC"/>
    <w:rsid w:val="003142F4"/>
    <w:rsid w:val="0031454E"/>
    <w:rsid w:val="00315F21"/>
    <w:rsid w:val="0031611F"/>
    <w:rsid w:val="0031630B"/>
    <w:rsid w:val="00317A33"/>
    <w:rsid w:val="00320339"/>
    <w:rsid w:val="00321214"/>
    <w:rsid w:val="003213D5"/>
    <w:rsid w:val="00323737"/>
    <w:rsid w:val="00323AD6"/>
    <w:rsid w:val="00323F27"/>
    <w:rsid w:val="003242EF"/>
    <w:rsid w:val="00325339"/>
    <w:rsid w:val="003255AA"/>
    <w:rsid w:val="003266B9"/>
    <w:rsid w:val="00326973"/>
    <w:rsid w:val="003314B6"/>
    <w:rsid w:val="00331A20"/>
    <w:rsid w:val="00331E65"/>
    <w:rsid w:val="00333107"/>
    <w:rsid w:val="0033343B"/>
    <w:rsid w:val="0033393C"/>
    <w:rsid w:val="0033458B"/>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55C8"/>
    <w:rsid w:val="0034639B"/>
    <w:rsid w:val="00346631"/>
    <w:rsid w:val="00346AAD"/>
    <w:rsid w:val="00346D96"/>
    <w:rsid w:val="0034736A"/>
    <w:rsid w:val="0034747C"/>
    <w:rsid w:val="00347B6C"/>
    <w:rsid w:val="00350EA8"/>
    <w:rsid w:val="0035151C"/>
    <w:rsid w:val="00352254"/>
    <w:rsid w:val="003522A3"/>
    <w:rsid w:val="00353929"/>
    <w:rsid w:val="00353F9E"/>
    <w:rsid w:val="003540D1"/>
    <w:rsid w:val="003545BF"/>
    <w:rsid w:val="00354A6B"/>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6B99"/>
    <w:rsid w:val="00367496"/>
    <w:rsid w:val="003676C5"/>
    <w:rsid w:val="003678BE"/>
    <w:rsid w:val="003700F8"/>
    <w:rsid w:val="00370949"/>
    <w:rsid w:val="0037243B"/>
    <w:rsid w:val="0037251C"/>
    <w:rsid w:val="0037272C"/>
    <w:rsid w:val="00372B9A"/>
    <w:rsid w:val="003731BF"/>
    <w:rsid w:val="003751AB"/>
    <w:rsid w:val="00375287"/>
    <w:rsid w:val="003754C5"/>
    <w:rsid w:val="00375791"/>
    <w:rsid w:val="00375826"/>
    <w:rsid w:val="00375994"/>
    <w:rsid w:val="00375C59"/>
    <w:rsid w:val="00375E05"/>
    <w:rsid w:val="00376BB7"/>
    <w:rsid w:val="00376EEE"/>
    <w:rsid w:val="00377BA1"/>
    <w:rsid w:val="00377FF0"/>
    <w:rsid w:val="003800E3"/>
    <w:rsid w:val="00380616"/>
    <w:rsid w:val="00380711"/>
    <w:rsid w:val="00381022"/>
    <w:rsid w:val="003814B8"/>
    <w:rsid w:val="00382909"/>
    <w:rsid w:val="00382D87"/>
    <w:rsid w:val="00382EE1"/>
    <w:rsid w:val="00383964"/>
    <w:rsid w:val="00384258"/>
    <w:rsid w:val="00385131"/>
    <w:rsid w:val="0038620B"/>
    <w:rsid w:val="00387647"/>
    <w:rsid w:val="0038791A"/>
    <w:rsid w:val="00390056"/>
    <w:rsid w:val="0039055C"/>
    <w:rsid w:val="00390718"/>
    <w:rsid w:val="00390767"/>
    <w:rsid w:val="00390883"/>
    <w:rsid w:val="00391470"/>
    <w:rsid w:val="00392048"/>
    <w:rsid w:val="003920C4"/>
    <w:rsid w:val="00392184"/>
    <w:rsid w:val="00392652"/>
    <w:rsid w:val="00392B41"/>
    <w:rsid w:val="003944DB"/>
    <w:rsid w:val="0039456F"/>
    <w:rsid w:val="003945C8"/>
    <w:rsid w:val="0039480D"/>
    <w:rsid w:val="00395446"/>
    <w:rsid w:val="00396725"/>
    <w:rsid w:val="0039786B"/>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7B9"/>
    <w:rsid w:val="003A61B6"/>
    <w:rsid w:val="003A623F"/>
    <w:rsid w:val="003A71AD"/>
    <w:rsid w:val="003A7D1D"/>
    <w:rsid w:val="003B12BA"/>
    <w:rsid w:val="003B1688"/>
    <w:rsid w:val="003B1FA4"/>
    <w:rsid w:val="003B1FE6"/>
    <w:rsid w:val="003B3106"/>
    <w:rsid w:val="003B3974"/>
    <w:rsid w:val="003B39E0"/>
    <w:rsid w:val="003B3DAB"/>
    <w:rsid w:val="003B404D"/>
    <w:rsid w:val="003B40D6"/>
    <w:rsid w:val="003B4527"/>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87E"/>
    <w:rsid w:val="003D28C0"/>
    <w:rsid w:val="003D3583"/>
    <w:rsid w:val="003D391E"/>
    <w:rsid w:val="003D3B6F"/>
    <w:rsid w:val="003D40E8"/>
    <w:rsid w:val="003D455E"/>
    <w:rsid w:val="003D499C"/>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AE0"/>
    <w:rsid w:val="003E4C71"/>
    <w:rsid w:val="003E4E74"/>
    <w:rsid w:val="003E5F7D"/>
    <w:rsid w:val="003E6520"/>
    <w:rsid w:val="003E67E7"/>
    <w:rsid w:val="003E6B3C"/>
    <w:rsid w:val="003E6B95"/>
    <w:rsid w:val="003E6D50"/>
    <w:rsid w:val="003E70FF"/>
    <w:rsid w:val="003E7F1B"/>
    <w:rsid w:val="003F0B41"/>
    <w:rsid w:val="003F1B0F"/>
    <w:rsid w:val="003F1E39"/>
    <w:rsid w:val="003F229D"/>
    <w:rsid w:val="003F22A9"/>
    <w:rsid w:val="003F25F0"/>
    <w:rsid w:val="003F2D5B"/>
    <w:rsid w:val="003F5945"/>
    <w:rsid w:val="003F5AD2"/>
    <w:rsid w:val="003F5CA4"/>
    <w:rsid w:val="003F693F"/>
    <w:rsid w:val="003F6D50"/>
    <w:rsid w:val="003F7006"/>
    <w:rsid w:val="003F7507"/>
    <w:rsid w:val="003F7C72"/>
    <w:rsid w:val="003F7D10"/>
    <w:rsid w:val="00401000"/>
    <w:rsid w:val="004016C6"/>
    <w:rsid w:val="0040179A"/>
    <w:rsid w:val="00401856"/>
    <w:rsid w:val="004028A2"/>
    <w:rsid w:val="004029D9"/>
    <w:rsid w:val="00402FEB"/>
    <w:rsid w:val="00403344"/>
    <w:rsid w:val="00403C82"/>
    <w:rsid w:val="0040420A"/>
    <w:rsid w:val="00404C44"/>
    <w:rsid w:val="00404EE8"/>
    <w:rsid w:val="0040510D"/>
    <w:rsid w:val="0040512D"/>
    <w:rsid w:val="0040602F"/>
    <w:rsid w:val="00406AFB"/>
    <w:rsid w:val="00407382"/>
    <w:rsid w:val="0040791B"/>
    <w:rsid w:val="00407E58"/>
    <w:rsid w:val="00411958"/>
    <w:rsid w:val="00411B2A"/>
    <w:rsid w:val="00412973"/>
    <w:rsid w:val="00412D42"/>
    <w:rsid w:val="00412DA4"/>
    <w:rsid w:val="00412EB6"/>
    <w:rsid w:val="0041351F"/>
    <w:rsid w:val="004137C8"/>
    <w:rsid w:val="00413BF9"/>
    <w:rsid w:val="00413C25"/>
    <w:rsid w:val="00415531"/>
    <w:rsid w:val="004161D2"/>
    <w:rsid w:val="0041621B"/>
    <w:rsid w:val="00416330"/>
    <w:rsid w:val="004176C7"/>
    <w:rsid w:val="00417877"/>
    <w:rsid w:val="00417D9F"/>
    <w:rsid w:val="00420229"/>
    <w:rsid w:val="00420DBA"/>
    <w:rsid w:val="00421290"/>
    <w:rsid w:val="00421311"/>
    <w:rsid w:val="00422E13"/>
    <w:rsid w:val="0042350F"/>
    <w:rsid w:val="00423599"/>
    <w:rsid w:val="0042384C"/>
    <w:rsid w:val="00423893"/>
    <w:rsid w:val="00423BC9"/>
    <w:rsid w:val="00424A32"/>
    <w:rsid w:val="004255B4"/>
    <w:rsid w:val="004256BA"/>
    <w:rsid w:val="00426766"/>
    <w:rsid w:val="004267D0"/>
    <w:rsid w:val="00426F0A"/>
    <w:rsid w:val="00427306"/>
    <w:rsid w:val="004279CA"/>
    <w:rsid w:val="00427A82"/>
    <w:rsid w:val="00427EA2"/>
    <w:rsid w:val="00430115"/>
    <w:rsid w:val="00430A4B"/>
    <w:rsid w:val="00431C46"/>
    <w:rsid w:val="00431C4D"/>
    <w:rsid w:val="004327E6"/>
    <w:rsid w:val="004329DC"/>
    <w:rsid w:val="00432AC6"/>
    <w:rsid w:val="00433BAF"/>
    <w:rsid w:val="00434C5E"/>
    <w:rsid w:val="00435765"/>
    <w:rsid w:val="004360B6"/>
    <w:rsid w:val="004362E5"/>
    <w:rsid w:val="00436356"/>
    <w:rsid w:val="004405B4"/>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672"/>
    <w:rsid w:val="004559CE"/>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90E"/>
    <w:rsid w:val="00460E36"/>
    <w:rsid w:val="00461053"/>
    <w:rsid w:val="00461155"/>
    <w:rsid w:val="0046218C"/>
    <w:rsid w:val="004623D4"/>
    <w:rsid w:val="00463944"/>
    <w:rsid w:val="0046512A"/>
    <w:rsid w:val="00465234"/>
    <w:rsid w:val="00465B24"/>
    <w:rsid w:val="00466405"/>
    <w:rsid w:val="00466858"/>
    <w:rsid w:val="00466D0F"/>
    <w:rsid w:val="00467544"/>
    <w:rsid w:val="004676BA"/>
    <w:rsid w:val="0046784C"/>
    <w:rsid w:val="00467ECB"/>
    <w:rsid w:val="004710C3"/>
    <w:rsid w:val="00471459"/>
    <w:rsid w:val="00472243"/>
    <w:rsid w:val="00472274"/>
    <w:rsid w:val="004722D4"/>
    <w:rsid w:val="00472D9C"/>
    <w:rsid w:val="00473900"/>
    <w:rsid w:val="00473B60"/>
    <w:rsid w:val="00473CF8"/>
    <w:rsid w:val="00475AFF"/>
    <w:rsid w:val="00475D30"/>
    <w:rsid w:val="004765F4"/>
    <w:rsid w:val="00476B4D"/>
    <w:rsid w:val="00476CBC"/>
    <w:rsid w:val="00476E6C"/>
    <w:rsid w:val="00477282"/>
    <w:rsid w:val="00477947"/>
    <w:rsid w:val="00477A71"/>
    <w:rsid w:val="00477FB9"/>
    <w:rsid w:val="00480FA1"/>
    <w:rsid w:val="00481FD7"/>
    <w:rsid w:val="00482676"/>
    <w:rsid w:val="00482DE5"/>
    <w:rsid w:val="004830AA"/>
    <w:rsid w:val="00483266"/>
    <w:rsid w:val="0048352E"/>
    <w:rsid w:val="004836A9"/>
    <w:rsid w:val="00483B23"/>
    <w:rsid w:val="004840D7"/>
    <w:rsid w:val="004846F4"/>
    <w:rsid w:val="00485C26"/>
    <w:rsid w:val="00485EC0"/>
    <w:rsid w:val="0048677E"/>
    <w:rsid w:val="004875E1"/>
    <w:rsid w:val="00487B37"/>
    <w:rsid w:val="00490636"/>
    <w:rsid w:val="00490FF0"/>
    <w:rsid w:val="004910FE"/>
    <w:rsid w:val="00491198"/>
    <w:rsid w:val="004917E0"/>
    <w:rsid w:val="00491BF6"/>
    <w:rsid w:val="00491FED"/>
    <w:rsid w:val="00492C68"/>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0B11"/>
    <w:rsid w:val="004B1199"/>
    <w:rsid w:val="004B16C4"/>
    <w:rsid w:val="004B1867"/>
    <w:rsid w:val="004B2A64"/>
    <w:rsid w:val="004B41DA"/>
    <w:rsid w:val="004B470D"/>
    <w:rsid w:val="004B4764"/>
    <w:rsid w:val="004B4846"/>
    <w:rsid w:val="004B5394"/>
    <w:rsid w:val="004B5BDD"/>
    <w:rsid w:val="004B6655"/>
    <w:rsid w:val="004B6E9E"/>
    <w:rsid w:val="004B6F83"/>
    <w:rsid w:val="004B7C29"/>
    <w:rsid w:val="004C06E5"/>
    <w:rsid w:val="004C1B7D"/>
    <w:rsid w:val="004C1E3C"/>
    <w:rsid w:val="004C2487"/>
    <w:rsid w:val="004C25F0"/>
    <w:rsid w:val="004C26DD"/>
    <w:rsid w:val="004C2B5D"/>
    <w:rsid w:val="004C2D68"/>
    <w:rsid w:val="004C2F56"/>
    <w:rsid w:val="004C339D"/>
    <w:rsid w:val="004C33E8"/>
    <w:rsid w:val="004C4307"/>
    <w:rsid w:val="004C4309"/>
    <w:rsid w:val="004C44C9"/>
    <w:rsid w:val="004C48D7"/>
    <w:rsid w:val="004C49E3"/>
    <w:rsid w:val="004C4E8A"/>
    <w:rsid w:val="004C514A"/>
    <w:rsid w:val="004C6572"/>
    <w:rsid w:val="004C6D4F"/>
    <w:rsid w:val="004C7541"/>
    <w:rsid w:val="004D055A"/>
    <w:rsid w:val="004D0658"/>
    <w:rsid w:val="004D0BDB"/>
    <w:rsid w:val="004D1E71"/>
    <w:rsid w:val="004D2CDF"/>
    <w:rsid w:val="004D33CE"/>
    <w:rsid w:val="004D4AAE"/>
    <w:rsid w:val="004D4CB7"/>
    <w:rsid w:val="004D7C86"/>
    <w:rsid w:val="004E0197"/>
    <w:rsid w:val="004E1122"/>
    <w:rsid w:val="004E1409"/>
    <w:rsid w:val="004E1A87"/>
    <w:rsid w:val="004E1BB0"/>
    <w:rsid w:val="004E2335"/>
    <w:rsid w:val="004E3030"/>
    <w:rsid w:val="004E3311"/>
    <w:rsid w:val="004E38EC"/>
    <w:rsid w:val="004E3933"/>
    <w:rsid w:val="004E3AAC"/>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4E79"/>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343"/>
    <w:rsid w:val="005158C2"/>
    <w:rsid w:val="005169DE"/>
    <w:rsid w:val="0051754D"/>
    <w:rsid w:val="0051785D"/>
    <w:rsid w:val="00517913"/>
    <w:rsid w:val="0052005F"/>
    <w:rsid w:val="00520200"/>
    <w:rsid w:val="005202F9"/>
    <w:rsid w:val="00520E2D"/>
    <w:rsid w:val="00520F04"/>
    <w:rsid w:val="00521237"/>
    <w:rsid w:val="00521717"/>
    <w:rsid w:val="005224B2"/>
    <w:rsid w:val="00523B23"/>
    <w:rsid w:val="00523DFA"/>
    <w:rsid w:val="005254BC"/>
    <w:rsid w:val="005256FC"/>
    <w:rsid w:val="00526C27"/>
    <w:rsid w:val="00526DFF"/>
    <w:rsid w:val="005271CB"/>
    <w:rsid w:val="00527473"/>
    <w:rsid w:val="00527EF9"/>
    <w:rsid w:val="005305FF"/>
    <w:rsid w:val="00530C9B"/>
    <w:rsid w:val="005319B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D4D"/>
    <w:rsid w:val="00544DA0"/>
    <w:rsid w:val="005454BD"/>
    <w:rsid w:val="005457E4"/>
    <w:rsid w:val="00546C49"/>
    <w:rsid w:val="005473D6"/>
    <w:rsid w:val="0055010B"/>
    <w:rsid w:val="00550D59"/>
    <w:rsid w:val="0055110D"/>
    <w:rsid w:val="00551BC4"/>
    <w:rsid w:val="00551F81"/>
    <w:rsid w:val="0055210F"/>
    <w:rsid w:val="00552CD7"/>
    <w:rsid w:val="005533BE"/>
    <w:rsid w:val="00553A37"/>
    <w:rsid w:val="00554B30"/>
    <w:rsid w:val="00554FFB"/>
    <w:rsid w:val="005568DE"/>
    <w:rsid w:val="00557C50"/>
    <w:rsid w:val="005606B6"/>
    <w:rsid w:val="005608D6"/>
    <w:rsid w:val="00560F19"/>
    <w:rsid w:val="00561E6B"/>
    <w:rsid w:val="005621D2"/>
    <w:rsid w:val="005621E0"/>
    <w:rsid w:val="005622C9"/>
    <w:rsid w:val="00562D90"/>
    <w:rsid w:val="00563441"/>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0B75"/>
    <w:rsid w:val="00571231"/>
    <w:rsid w:val="00571767"/>
    <w:rsid w:val="00571E44"/>
    <w:rsid w:val="00573E61"/>
    <w:rsid w:val="00573E83"/>
    <w:rsid w:val="0057411B"/>
    <w:rsid w:val="00574525"/>
    <w:rsid w:val="00574778"/>
    <w:rsid w:val="0057498F"/>
    <w:rsid w:val="00574DE9"/>
    <w:rsid w:val="00575683"/>
    <w:rsid w:val="00575DF4"/>
    <w:rsid w:val="0057765D"/>
    <w:rsid w:val="005777FC"/>
    <w:rsid w:val="005808EB"/>
    <w:rsid w:val="00580D37"/>
    <w:rsid w:val="00581FA0"/>
    <w:rsid w:val="00582B90"/>
    <w:rsid w:val="005831A7"/>
    <w:rsid w:val="00583321"/>
    <w:rsid w:val="0058341E"/>
    <w:rsid w:val="005844BD"/>
    <w:rsid w:val="00584F3A"/>
    <w:rsid w:val="005853AB"/>
    <w:rsid w:val="00585748"/>
    <w:rsid w:val="005859C5"/>
    <w:rsid w:val="00585C79"/>
    <w:rsid w:val="00586144"/>
    <w:rsid w:val="0058702C"/>
    <w:rsid w:val="00587785"/>
    <w:rsid w:val="0058788D"/>
    <w:rsid w:val="00587E29"/>
    <w:rsid w:val="00587FE6"/>
    <w:rsid w:val="00591698"/>
    <w:rsid w:val="00591BF3"/>
    <w:rsid w:val="00593661"/>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2FF1"/>
    <w:rsid w:val="005A3252"/>
    <w:rsid w:val="005A33F7"/>
    <w:rsid w:val="005A40CF"/>
    <w:rsid w:val="005A4A9C"/>
    <w:rsid w:val="005A4BAE"/>
    <w:rsid w:val="005A4F39"/>
    <w:rsid w:val="005A574D"/>
    <w:rsid w:val="005A5B5C"/>
    <w:rsid w:val="005A6E6C"/>
    <w:rsid w:val="005A6E93"/>
    <w:rsid w:val="005A707A"/>
    <w:rsid w:val="005A7340"/>
    <w:rsid w:val="005A7F93"/>
    <w:rsid w:val="005B07DA"/>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5D2"/>
    <w:rsid w:val="005C3B5C"/>
    <w:rsid w:val="005C3C7F"/>
    <w:rsid w:val="005C5143"/>
    <w:rsid w:val="005C5639"/>
    <w:rsid w:val="005C5742"/>
    <w:rsid w:val="005C760E"/>
    <w:rsid w:val="005C7E9E"/>
    <w:rsid w:val="005D18C9"/>
    <w:rsid w:val="005D1B72"/>
    <w:rsid w:val="005D2471"/>
    <w:rsid w:val="005D25A3"/>
    <w:rsid w:val="005D2779"/>
    <w:rsid w:val="005D2E20"/>
    <w:rsid w:val="005D3242"/>
    <w:rsid w:val="005D3452"/>
    <w:rsid w:val="005D54AC"/>
    <w:rsid w:val="005D610C"/>
    <w:rsid w:val="005D74E7"/>
    <w:rsid w:val="005D7C68"/>
    <w:rsid w:val="005D7F7B"/>
    <w:rsid w:val="005E0303"/>
    <w:rsid w:val="005E0E62"/>
    <w:rsid w:val="005E1706"/>
    <w:rsid w:val="005E1878"/>
    <w:rsid w:val="005E2657"/>
    <w:rsid w:val="005E3BCD"/>
    <w:rsid w:val="005E4A87"/>
    <w:rsid w:val="005E4DA5"/>
    <w:rsid w:val="005E503E"/>
    <w:rsid w:val="005E54FD"/>
    <w:rsid w:val="005E59C7"/>
    <w:rsid w:val="005E5E7B"/>
    <w:rsid w:val="005E6095"/>
    <w:rsid w:val="005E6A3F"/>
    <w:rsid w:val="005E6DB8"/>
    <w:rsid w:val="005E7228"/>
    <w:rsid w:val="005E7284"/>
    <w:rsid w:val="005E7BAC"/>
    <w:rsid w:val="005F06AA"/>
    <w:rsid w:val="005F0E5C"/>
    <w:rsid w:val="005F134E"/>
    <w:rsid w:val="005F1365"/>
    <w:rsid w:val="005F19A8"/>
    <w:rsid w:val="005F2C1F"/>
    <w:rsid w:val="005F2E44"/>
    <w:rsid w:val="005F3690"/>
    <w:rsid w:val="005F3986"/>
    <w:rsid w:val="005F4C57"/>
    <w:rsid w:val="005F4DC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91A"/>
    <w:rsid w:val="00613FB6"/>
    <w:rsid w:val="006140C6"/>
    <w:rsid w:val="00614134"/>
    <w:rsid w:val="00614241"/>
    <w:rsid w:val="0061428D"/>
    <w:rsid w:val="006152AC"/>
    <w:rsid w:val="00615411"/>
    <w:rsid w:val="0061599E"/>
    <w:rsid w:val="00615AC7"/>
    <w:rsid w:val="006162E6"/>
    <w:rsid w:val="00616CA5"/>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096A"/>
    <w:rsid w:val="00630D96"/>
    <w:rsid w:val="0063164E"/>
    <w:rsid w:val="0063191D"/>
    <w:rsid w:val="00632D8F"/>
    <w:rsid w:val="00633488"/>
    <w:rsid w:val="00633581"/>
    <w:rsid w:val="006339AF"/>
    <w:rsid w:val="00633C47"/>
    <w:rsid w:val="006348F7"/>
    <w:rsid w:val="0063512D"/>
    <w:rsid w:val="006358FB"/>
    <w:rsid w:val="00635AE2"/>
    <w:rsid w:val="00635E1E"/>
    <w:rsid w:val="0063677C"/>
    <w:rsid w:val="00636972"/>
    <w:rsid w:val="00636B69"/>
    <w:rsid w:val="00636BC2"/>
    <w:rsid w:val="006370C4"/>
    <w:rsid w:val="006404D1"/>
    <w:rsid w:val="00640F43"/>
    <w:rsid w:val="006412CA"/>
    <w:rsid w:val="00641639"/>
    <w:rsid w:val="006420DA"/>
    <w:rsid w:val="006426CC"/>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537"/>
    <w:rsid w:val="006519E6"/>
    <w:rsid w:val="00651CDE"/>
    <w:rsid w:val="00652326"/>
    <w:rsid w:val="00652907"/>
    <w:rsid w:val="00652E06"/>
    <w:rsid w:val="00653FC4"/>
    <w:rsid w:val="00654F91"/>
    <w:rsid w:val="00655361"/>
    <w:rsid w:val="00655960"/>
    <w:rsid w:val="00655A68"/>
    <w:rsid w:val="00656253"/>
    <w:rsid w:val="00656799"/>
    <w:rsid w:val="00656B77"/>
    <w:rsid w:val="00656E72"/>
    <w:rsid w:val="006578A1"/>
    <w:rsid w:val="0066137B"/>
    <w:rsid w:val="0066174E"/>
    <w:rsid w:val="00661BBB"/>
    <w:rsid w:val="00661E57"/>
    <w:rsid w:val="006629E4"/>
    <w:rsid w:val="00663783"/>
    <w:rsid w:val="00663DD2"/>
    <w:rsid w:val="00663E47"/>
    <w:rsid w:val="006644A7"/>
    <w:rsid w:val="00664BDE"/>
    <w:rsid w:val="0066565B"/>
    <w:rsid w:val="00665C44"/>
    <w:rsid w:val="00666284"/>
    <w:rsid w:val="006667F3"/>
    <w:rsid w:val="00667AEA"/>
    <w:rsid w:val="006704FA"/>
    <w:rsid w:val="00670687"/>
    <w:rsid w:val="00670DC5"/>
    <w:rsid w:val="00671652"/>
    <w:rsid w:val="00671FAA"/>
    <w:rsid w:val="00673E94"/>
    <w:rsid w:val="00674FD6"/>
    <w:rsid w:val="00675DA5"/>
    <w:rsid w:val="006777A7"/>
    <w:rsid w:val="00677D22"/>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C4B"/>
    <w:rsid w:val="00684D9B"/>
    <w:rsid w:val="006858AA"/>
    <w:rsid w:val="00685B35"/>
    <w:rsid w:val="00685BCF"/>
    <w:rsid w:val="006867CE"/>
    <w:rsid w:val="006871D0"/>
    <w:rsid w:val="0068751F"/>
    <w:rsid w:val="006900D1"/>
    <w:rsid w:val="00690297"/>
    <w:rsid w:val="0069115A"/>
    <w:rsid w:val="006912F1"/>
    <w:rsid w:val="00691387"/>
    <w:rsid w:val="006927F2"/>
    <w:rsid w:val="0069281A"/>
    <w:rsid w:val="00692B85"/>
    <w:rsid w:val="006931E1"/>
    <w:rsid w:val="00694310"/>
    <w:rsid w:val="00694700"/>
    <w:rsid w:val="00694803"/>
    <w:rsid w:val="006948D2"/>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2A9"/>
    <w:rsid w:val="006B3AF9"/>
    <w:rsid w:val="006B44C5"/>
    <w:rsid w:val="006B5303"/>
    <w:rsid w:val="006B555F"/>
    <w:rsid w:val="006B6242"/>
    <w:rsid w:val="006B6C7C"/>
    <w:rsid w:val="006B6EA4"/>
    <w:rsid w:val="006B7436"/>
    <w:rsid w:val="006B77BB"/>
    <w:rsid w:val="006B7B13"/>
    <w:rsid w:val="006B7F8F"/>
    <w:rsid w:val="006B7FC5"/>
    <w:rsid w:val="006C055E"/>
    <w:rsid w:val="006C0D13"/>
    <w:rsid w:val="006C187F"/>
    <w:rsid w:val="006C19BC"/>
    <w:rsid w:val="006C19D5"/>
    <w:rsid w:val="006C1A89"/>
    <w:rsid w:val="006C1B44"/>
    <w:rsid w:val="006C1F77"/>
    <w:rsid w:val="006C2211"/>
    <w:rsid w:val="006C246E"/>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3692"/>
    <w:rsid w:val="006D48E7"/>
    <w:rsid w:val="006D4947"/>
    <w:rsid w:val="006D53EB"/>
    <w:rsid w:val="006D5F16"/>
    <w:rsid w:val="006D63AD"/>
    <w:rsid w:val="006D6764"/>
    <w:rsid w:val="006D67D9"/>
    <w:rsid w:val="006D6C93"/>
    <w:rsid w:val="006D7573"/>
    <w:rsid w:val="006E0340"/>
    <w:rsid w:val="006E06F9"/>
    <w:rsid w:val="006E07A9"/>
    <w:rsid w:val="006E0D91"/>
    <w:rsid w:val="006E1202"/>
    <w:rsid w:val="006E1706"/>
    <w:rsid w:val="006E1D0D"/>
    <w:rsid w:val="006E3CB2"/>
    <w:rsid w:val="006E3D26"/>
    <w:rsid w:val="006E3DA8"/>
    <w:rsid w:val="006E5DAA"/>
    <w:rsid w:val="006E7006"/>
    <w:rsid w:val="006F00E7"/>
    <w:rsid w:val="006F0F6E"/>
    <w:rsid w:val="006F1B22"/>
    <w:rsid w:val="006F1BA4"/>
    <w:rsid w:val="006F2259"/>
    <w:rsid w:val="006F22AE"/>
    <w:rsid w:val="006F23E1"/>
    <w:rsid w:val="006F2F8F"/>
    <w:rsid w:val="006F2FDA"/>
    <w:rsid w:val="006F2FE5"/>
    <w:rsid w:val="006F3460"/>
    <w:rsid w:val="006F34FE"/>
    <w:rsid w:val="006F3615"/>
    <w:rsid w:val="006F3FA3"/>
    <w:rsid w:val="006F48BA"/>
    <w:rsid w:val="006F4AF9"/>
    <w:rsid w:val="006F52CE"/>
    <w:rsid w:val="006F54EB"/>
    <w:rsid w:val="006F5CC1"/>
    <w:rsid w:val="006F67A5"/>
    <w:rsid w:val="006F700D"/>
    <w:rsid w:val="006F762D"/>
    <w:rsid w:val="00700492"/>
    <w:rsid w:val="00700643"/>
    <w:rsid w:val="0070167E"/>
    <w:rsid w:val="00701E1B"/>
    <w:rsid w:val="00702ED0"/>
    <w:rsid w:val="00702FAB"/>
    <w:rsid w:val="00703C09"/>
    <w:rsid w:val="0070434A"/>
    <w:rsid w:val="0070471E"/>
    <w:rsid w:val="007048C4"/>
    <w:rsid w:val="00704CC4"/>
    <w:rsid w:val="00705345"/>
    <w:rsid w:val="00706222"/>
    <w:rsid w:val="0070638D"/>
    <w:rsid w:val="00706DBF"/>
    <w:rsid w:val="00707A59"/>
    <w:rsid w:val="0071046B"/>
    <w:rsid w:val="00710AC6"/>
    <w:rsid w:val="00710C1D"/>
    <w:rsid w:val="007110A3"/>
    <w:rsid w:val="00711108"/>
    <w:rsid w:val="00711213"/>
    <w:rsid w:val="007112A1"/>
    <w:rsid w:val="00711996"/>
    <w:rsid w:val="00711AFC"/>
    <w:rsid w:val="00711B3B"/>
    <w:rsid w:val="00711BA3"/>
    <w:rsid w:val="00711C9D"/>
    <w:rsid w:val="007125C0"/>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6B4C"/>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C32"/>
    <w:rsid w:val="00724D39"/>
    <w:rsid w:val="0072500A"/>
    <w:rsid w:val="0072567A"/>
    <w:rsid w:val="00725A19"/>
    <w:rsid w:val="00725DE9"/>
    <w:rsid w:val="00726356"/>
    <w:rsid w:val="007268C7"/>
    <w:rsid w:val="00726AAB"/>
    <w:rsid w:val="00727077"/>
    <w:rsid w:val="00730EA6"/>
    <w:rsid w:val="00731C15"/>
    <w:rsid w:val="00732045"/>
    <w:rsid w:val="007322A0"/>
    <w:rsid w:val="00732385"/>
    <w:rsid w:val="00732C1A"/>
    <w:rsid w:val="00732C24"/>
    <w:rsid w:val="00733CDC"/>
    <w:rsid w:val="00734B9A"/>
    <w:rsid w:val="00735695"/>
    <w:rsid w:val="00735E2F"/>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6D80"/>
    <w:rsid w:val="007473E1"/>
    <w:rsid w:val="00747897"/>
    <w:rsid w:val="00747E47"/>
    <w:rsid w:val="00750192"/>
    <w:rsid w:val="007504E1"/>
    <w:rsid w:val="00750544"/>
    <w:rsid w:val="00750804"/>
    <w:rsid w:val="007509AB"/>
    <w:rsid w:val="00751689"/>
    <w:rsid w:val="007524AA"/>
    <w:rsid w:val="00753744"/>
    <w:rsid w:val="00753A93"/>
    <w:rsid w:val="00755663"/>
    <w:rsid w:val="00755979"/>
    <w:rsid w:val="00755C5D"/>
    <w:rsid w:val="00756386"/>
    <w:rsid w:val="007565CB"/>
    <w:rsid w:val="00756603"/>
    <w:rsid w:val="007575C0"/>
    <w:rsid w:val="00757D2F"/>
    <w:rsid w:val="0076000E"/>
    <w:rsid w:val="0076054E"/>
    <w:rsid w:val="00760C00"/>
    <w:rsid w:val="007610E9"/>
    <w:rsid w:val="00761728"/>
    <w:rsid w:val="00761C6C"/>
    <w:rsid w:val="00762B72"/>
    <w:rsid w:val="00763CCB"/>
    <w:rsid w:val="007642B4"/>
    <w:rsid w:val="0076489A"/>
    <w:rsid w:val="00764C45"/>
    <w:rsid w:val="00766277"/>
    <w:rsid w:val="0076656A"/>
    <w:rsid w:val="00766701"/>
    <w:rsid w:val="0076681D"/>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DDE"/>
    <w:rsid w:val="007840E2"/>
    <w:rsid w:val="007855B8"/>
    <w:rsid w:val="0078569F"/>
    <w:rsid w:val="00785803"/>
    <w:rsid w:val="00785EB4"/>
    <w:rsid w:val="0078609A"/>
    <w:rsid w:val="00786F85"/>
    <w:rsid w:val="0078731A"/>
    <w:rsid w:val="00787487"/>
    <w:rsid w:val="007906F1"/>
    <w:rsid w:val="00790EDA"/>
    <w:rsid w:val="00791349"/>
    <w:rsid w:val="00791D85"/>
    <w:rsid w:val="00791DAF"/>
    <w:rsid w:val="00791F0A"/>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D15"/>
    <w:rsid w:val="007A3E60"/>
    <w:rsid w:val="007A3FDB"/>
    <w:rsid w:val="007A407D"/>
    <w:rsid w:val="007A464F"/>
    <w:rsid w:val="007A57AC"/>
    <w:rsid w:val="007A612B"/>
    <w:rsid w:val="007A6196"/>
    <w:rsid w:val="007A63D5"/>
    <w:rsid w:val="007A689A"/>
    <w:rsid w:val="007A68EA"/>
    <w:rsid w:val="007A6B7D"/>
    <w:rsid w:val="007A7629"/>
    <w:rsid w:val="007A7639"/>
    <w:rsid w:val="007B1027"/>
    <w:rsid w:val="007B1691"/>
    <w:rsid w:val="007B174F"/>
    <w:rsid w:val="007B1863"/>
    <w:rsid w:val="007B22E0"/>
    <w:rsid w:val="007B28CA"/>
    <w:rsid w:val="007B358D"/>
    <w:rsid w:val="007B5401"/>
    <w:rsid w:val="007B5FB4"/>
    <w:rsid w:val="007B6B2B"/>
    <w:rsid w:val="007B7949"/>
    <w:rsid w:val="007B7D30"/>
    <w:rsid w:val="007C0FA9"/>
    <w:rsid w:val="007C1661"/>
    <w:rsid w:val="007C2413"/>
    <w:rsid w:val="007C25AE"/>
    <w:rsid w:val="007C3152"/>
    <w:rsid w:val="007C333B"/>
    <w:rsid w:val="007C3914"/>
    <w:rsid w:val="007C3CEA"/>
    <w:rsid w:val="007C3D92"/>
    <w:rsid w:val="007C3E98"/>
    <w:rsid w:val="007C5A8F"/>
    <w:rsid w:val="007C5B38"/>
    <w:rsid w:val="007C7398"/>
    <w:rsid w:val="007C75AC"/>
    <w:rsid w:val="007C76D8"/>
    <w:rsid w:val="007C76E8"/>
    <w:rsid w:val="007D00A2"/>
    <w:rsid w:val="007D01E6"/>
    <w:rsid w:val="007D035E"/>
    <w:rsid w:val="007D0396"/>
    <w:rsid w:val="007D0644"/>
    <w:rsid w:val="007D1801"/>
    <w:rsid w:val="007D1FE0"/>
    <w:rsid w:val="007D20BB"/>
    <w:rsid w:val="007D261E"/>
    <w:rsid w:val="007D294B"/>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39E"/>
    <w:rsid w:val="007E3EE3"/>
    <w:rsid w:val="007E57DE"/>
    <w:rsid w:val="007E5902"/>
    <w:rsid w:val="007E6719"/>
    <w:rsid w:val="007E68ED"/>
    <w:rsid w:val="007E69ED"/>
    <w:rsid w:val="007E6A92"/>
    <w:rsid w:val="007E6FC5"/>
    <w:rsid w:val="007E7B2D"/>
    <w:rsid w:val="007F0221"/>
    <w:rsid w:val="007F034B"/>
    <w:rsid w:val="007F07B9"/>
    <w:rsid w:val="007F082E"/>
    <w:rsid w:val="007F0928"/>
    <w:rsid w:val="007F0B6B"/>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0A33"/>
    <w:rsid w:val="0080148D"/>
    <w:rsid w:val="0080156B"/>
    <w:rsid w:val="00801A3A"/>
    <w:rsid w:val="008020A9"/>
    <w:rsid w:val="00802CDD"/>
    <w:rsid w:val="00802D78"/>
    <w:rsid w:val="00804114"/>
    <w:rsid w:val="00804634"/>
    <w:rsid w:val="008047E8"/>
    <w:rsid w:val="0080531E"/>
    <w:rsid w:val="00805C3D"/>
    <w:rsid w:val="00806F1D"/>
    <w:rsid w:val="008077ED"/>
    <w:rsid w:val="00807B6F"/>
    <w:rsid w:val="00807B8B"/>
    <w:rsid w:val="00807D8F"/>
    <w:rsid w:val="00807E93"/>
    <w:rsid w:val="00810172"/>
    <w:rsid w:val="00810762"/>
    <w:rsid w:val="008107B7"/>
    <w:rsid w:val="00810858"/>
    <w:rsid w:val="008108E3"/>
    <w:rsid w:val="00810EFF"/>
    <w:rsid w:val="00811314"/>
    <w:rsid w:val="00811A39"/>
    <w:rsid w:val="0081291B"/>
    <w:rsid w:val="008133A0"/>
    <w:rsid w:val="00813622"/>
    <w:rsid w:val="00813DCF"/>
    <w:rsid w:val="00813FAB"/>
    <w:rsid w:val="0081498C"/>
    <w:rsid w:val="00814AE1"/>
    <w:rsid w:val="00815D31"/>
    <w:rsid w:val="0081601F"/>
    <w:rsid w:val="00816064"/>
    <w:rsid w:val="0081674D"/>
    <w:rsid w:val="00816BC7"/>
    <w:rsid w:val="008174B2"/>
    <w:rsid w:val="00817CFF"/>
    <w:rsid w:val="0082000D"/>
    <w:rsid w:val="0082037E"/>
    <w:rsid w:val="00820660"/>
    <w:rsid w:val="00820C9C"/>
    <w:rsid w:val="00820F55"/>
    <w:rsid w:val="00821572"/>
    <w:rsid w:val="00822310"/>
    <w:rsid w:val="008233D9"/>
    <w:rsid w:val="00823794"/>
    <w:rsid w:val="008237F4"/>
    <w:rsid w:val="00823B3E"/>
    <w:rsid w:val="00823F67"/>
    <w:rsid w:val="00824022"/>
    <w:rsid w:val="0082483A"/>
    <w:rsid w:val="00824A81"/>
    <w:rsid w:val="008257B8"/>
    <w:rsid w:val="008260ED"/>
    <w:rsid w:val="0082699D"/>
    <w:rsid w:val="00826B8C"/>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6E7"/>
    <w:rsid w:val="008377C1"/>
    <w:rsid w:val="00837C90"/>
    <w:rsid w:val="00837EB1"/>
    <w:rsid w:val="0084042B"/>
    <w:rsid w:val="008409BB"/>
    <w:rsid w:val="00841402"/>
    <w:rsid w:val="0084184A"/>
    <w:rsid w:val="008423F2"/>
    <w:rsid w:val="00842A30"/>
    <w:rsid w:val="00842F71"/>
    <w:rsid w:val="00843179"/>
    <w:rsid w:val="0084386A"/>
    <w:rsid w:val="00843E0E"/>
    <w:rsid w:val="008442EA"/>
    <w:rsid w:val="00844589"/>
    <w:rsid w:val="00844794"/>
    <w:rsid w:val="00844FE7"/>
    <w:rsid w:val="00845454"/>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245"/>
    <w:rsid w:val="00855F78"/>
    <w:rsid w:val="00857209"/>
    <w:rsid w:val="00857591"/>
    <w:rsid w:val="00857B90"/>
    <w:rsid w:val="00857E88"/>
    <w:rsid w:val="008612DB"/>
    <w:rsid w:val="00861B57"/>
    <w:rsid w:val="00862AC4"/>
    <w:rsid w:val="008633AC"/>
    <w:rsid w:val="008634E3"/>
    <w:rsid w:val="00864627"/>
    <w:rsid w:val="00864635"/>
    <w:rsid w:val="00864678"/>
    <w:rsid w:val="00864C1A"/>
    <w:rsid w:val="00865217"/>
    <w:rsid w:val="008653CA"/>
    <w:rsid w:val="008658AA"/>
    <w:rsid w:val="00865CBD"/>
    <w:rsid w:val="00866E37"/>
    <w:rsid w:val="00866F9E"/>
    <w:rsid w:val="008672E2"/>
    <w:rsid w:val="008677FB"/>
    <w:rsid w:val="0086793D"/>
    <w:rsid w:val="00867B1C"/>
    <w:rsid w:val="00870EF6"/>
    <w:rsid w:val="008713D6"/>
    <w:rsid w:val="00871643"/>
    <w:rsid w:val="0087281D"/>
    <w:rsid w:val="008732D8"/>
    <w:rsid w:val="00873377"/>
    <w:rsid w:val="00873577"/>
    <w:rsid w:val="0087409F"/>
    <w:rsid w:val="00874D58"/>
    <w:rsid w:val="008750D2"/>
    <w:rsid w:val="008755FC"/>
    <w:rsid w:val="00875AB5"/>
    <w:rsid w:val="00875C91"/>
    <w:rsid w:val="00875F85"/>
    <w:rsid w:val="00876C6B"/>
    <w:rsid w:val="00876DC9"/>
    <w:rsid w:val="00877125"/>
    <w:rsid w:val="008777C2"/>
    <w:rsid w:val="00881511"/>
    <w:rsid w:val="00881B42"/>
    <w:rsid w:val="00882448"/>
    <w:rsid w:val="00882C49"/>
    <w:rsid w:val="00882F1D"/>
    <w:rsid w:val="00883A4D"/>
    <w:rsid w:val="00883B21"/>
    <w:rsid w:val="00883F8F"/>
    <w:rsid w:val="00884235"/>
    <w:rsid w:val="0088524F"/>
    <w:rsid w:val="00885285"/>
    <w:rsid w:val="00885985"/>
    <w:rsid w:val="00886699"/>
    <w:rsid w:val="00886DFC"/>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5C7B"/>
    <w:rsid w:val="00895ED0"/>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236"/>
    <w:rsid w:val="008A448D"/>
    <w:rsid w:val="008A4A55"/>
    <w:rsid w:val="008A506F"/>
    <w:rsid w:val="008A528A"/>
    <w:rsid w:val="008A5298"/>
    <w:rsid w:val="008A535A"/>
    <w:rsid w:val="008A63D3"/>
    <w:rsid w:val="008A6A08"/>
    <w:rsid w:val="008A720F"/>
    <w:rsid w:val="008A741B"/>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0D7B"/>
    <w:rsid w:val="008C13B4"/>
    <w:rsid w:val="008C1557"/>
    <w:rsid w:val="008C159A"/>
    <w:rsid w:val="008C1B8C"/>
    <w:rsid w:val="008C2306"/>
    <w:rsid w:val="008C26D1"/>
    <w:rsid w:val="008C2B7F"/>
    <w:rsid w:val="008C36AC"/>
    <w:rsid w:val="008C4681"/>
    <w:rsid w:val="008C4953"/>
    <w:rsid w:val="008C4DDB"/>
    <w:rsid w:val="008C4E44"/>
    <w:rsid w:val="008C6255"/>
    <w:rsid w:val="008C6492"/>
    <w:rsid w:val="008C65F3"/>
    <w:rsid w:val="008C684B"/>
    <w:rsid w:val="008C6ABD"/>
    <w:rsid w:val="008C6F18"/>
    <w:rsid w:val="008C7685"/>
    <w:rsid w:val="008C7CB4"/>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075"/>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9B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D4E"/>
    <w:rsid w:val="00907E47"/>
    <w:rsid w:val="00910EDA"/>
    <w:rsid w:val="009115EF"/>
    <w:rsid w:val="009116DD"/>
    <w:rsid w:val="00912D1C"/>
    <w:rsid w:val="00913019"/>
    <w:rsid w:val="00913F1E"/>
    <w:rsid w:val="00913FB2"/>
    <w:rsid w:val="009140C4"/>
    <w:rsid w:val="009144A9"/>
    <w:rsid w:val="0091468B"/>
    <w:rsid w:val="009150FD"/>
    <w:rsid w:val="0091526F"/>
    <w:rsid w:val="009153D2"/>
    <w:rsid w:val="00916286"/>
    <w:rsid w:val="00916595"/>
    <w:rsid w:val="00916C47"/>
    <w:rsid w:val="009170E1"/>
    <w:rsid w:val="009171AD"/>
    <w:rsid w:val="00917569"/>
    <w:rsid w:val="00920174"/>
    <w:rsid w:val="009201D7"/>
    <w:rsid w:val="009207EB"/>
    <w:rsid w:val="00920C6F"/>
    <w:rsid w:val="009219D2"/>
    <w:rsid w:val="00921A4E"/>
    <w:rsid w:val="00921E37"/>
    <w:rsid w:val="00922511"/>
    <w:rsid w:val="00922F07"/>
    <w:rsid w:val="00923463"/>
    <w:rsid w:val="00925238"/>
    <w:rsid w:val="009256B4"/>
    <w:rsid w:val="00925ACF"/>
    <w:rsid w:val="0092615D"/>
    <w:rsid w:val="00926546"/>
    <w:rsid w:val="009265A1"/>
    <w:rsid w:val="009274FE"/>
    <w:rsid w:val="00927700"/>
    <w:rsid w:val="00930284"/>
    <w:rsid w:val="0093036E"/>
    <w:rsid w:val="00931224"/>
    <w:rsid w:val="00931C8D"/>
    <w:rsid w:val="009333D3"/>
    <w:rsid w:val="009339B6"/>
    <w:rsid w:val="00933B4C"/>
    <w:rsid w:val="00933DC4"/>
    <w:rsid w:val="0093431B"/>
    <w:rsid w:val="009346D6"/>
    <w:rsid w:val="009346E2"/>
    <w:rsid w:val="00934743"/>
    <w:rsid w:val="0093487E"/>
    <w:rsid w:val="00934FFE"/>
    <w:rsid w:val="00935D5B"/>
    <w:rsid w:val="00936405"/>
    <w:rsid w:val="009365D5"/>
    <w:rsid w:val="00936B64"/>
    <w:rsid w:val="009379C4"/>
    <w:rsid w:val="0094041A"/>
    <w:rsid w:val="00940D32"/>
    <w:rsid w:val="00941405"/>
    <w:rsid w:val="0094190D"/>
    <w:rsid w:val="00942354"/>
    <w:rsid w:val="00942681"/>
    <w:rsid w:val="00943A7E"/>
    <w:rsid w:val="00943CF2"/>
    <w:rsid w:val="00943E42"/>
    <w:rsid w:val="00943E5D"/>
    <w:rsid w:val="00944728"/>
    <w:rsid w:val="0094527C"/>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3C7"/>
    <w:rsid w:val="00960ACA"/>
    <w:rsid w:val="00960C4F"/>
    <w:rsid w:val="0096217C"/>
    <w:rsid w:val="00962441"/>
    <w:rsid w:val="00963026"/>
    <w:rsid w:val="00963277"/>
    <w:rsid w:val="009632D2"/>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1DE2"/>
    <w:rsid w:val="0097216F"/>
    <w:rsid w:val="00972C3B"/>
    <w:rsid w:val="00973057"/>
    <w:rsid w:val="00974D50"/>
    <w:rsid w:val="009751AF"/>
    <w:rsid w:val="00975326"/>
    <w:rsid w:val="00975DEA"/>
    <w:rsid w:val="0097738A"/>
    <w:rsid w:val="00977CDF"/>
    <w:rsid w:val="0098043F"/>
    <w:rsid w:val="00981038"/>
    <w:rsid w:val="0098106E"/>
    <w:rsid w:val="00981511"/>
    <w:rsid w:val="00981D1C"/>
    <w:rsid w:val="00981E1C"/>
    <w:rsid w:val="00982118"/>
    <w:rsid w:val="00982C62"/>
    <w:rsid w:val="00982C91"/>
    <w:rsid w:val="00982F76"/>
    <w:rsid w:val="00982FA3"/>
    <w:rsid w:val="009840FD"/>
    <w:rsid w:val="00984395"/>
    <w:rsid w:val="00984701"/>
    <w:rsid w:val="00984847"/>
    <w:rsid w:val="00984BEC"/>
    <w:rsid w:val="00984DF1"/>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9BE"/>
    <w:rsid w:val="0099719E"/>
    <w:rsid w:val="009A0169"/>
    <w:rsid w:val="009A1B56"/>
    <w:rsid w:val="009A3C93"/>
    <w:rsid w:val="009A3FD0"/>
    <w:rsid w:val="009A4091"/>
    <w:rsid w:val="009A51C7"/>
    <w:rsid w:val="009A59EC"/>
    <w:rsid w:val="009A5C56"/>
    <w:rsid w:val="009A5CA8"/>
    <w:rsid w:val="009A6CA8"/>
    <w:rsid w:val="009A6ED0"/>
    <w:rsid w:val="009A706A"/>
    <w:rsid w:val="009A71AB"/>
    <w:rsid w:val="009A7745"/>
    <w:rsid w:val="009A7C3D"/>
    <w:rsid w:val="009B0156"/>
    <w:rsid w:val="009B0295"/>
    <w:rsid w:val="009B05BA"/>
    <w:rsid w:val="009B1B0E"/>
    <w:rsid w:val="009B2596"/>
    <w:rsid w:val="009B42B6"/>
    <w:rsid w:val="009B42CC"/>
    <w:rsid w:val="009B43D6"/>
    <w:rsid w:val="009B43F1"/>
    <w:rsid w:val="009B5081"/>
    <w:rsid w:val="009B534C"/>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C7F43"/>
    <w:rsid w:val="009D000A"/>
    <w:rsid w:val="009D1A86"/>
    <w:rsid w:val="009D1E12"/>
    <w:rsid w:val="009D2DA9"/>
    <w:rsid w:val="009D2E93"/>
    <w:rsid w:val="009D2EA9"/>
    <w:rsid w:val="009D3038"/>
    <w:rsid w:val="009D34B6"/>
    <w:rsid w:val="009D34C0"/>
    <w:rsid w:val="009D35FB"/>
    <w:rsid w:val="009D4BBE"/>
    <w:rsid w:val="009D4E16"/>
    <w:rsid w:val="009D4F64"/>
    <w:rsid w:val="009D5893"/>
    <w:rsid w:val="009D6620"/>
    <w:rsid w:val="009D6C54"/>
    <w:rsid w:val="009D72B0"/>
    <w:rsid w:val="009D77CE"/>
    <w:rsid w:val="009D7D42"/>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53B"/>
    <w:rsid w:val="009F17E7"/>
    <w:rsid w:val="009F245B"/>
    <w:rsid w:val="009F25E6"/>
    <w:rsid w:val="009F2BE8"/>
    <w:rsid w:val="009F2F09"/>
    <w:rsid w:val="009F39A7"/>
    <w:rsid w:val="009F3D95"/>
    <w:rsid w:val="009F40B7"/>
    <w:rsid w:val="009F4188"/>
    <w:rsid w:val="009F4302"/>
    <w:rsid w:val="009F4393"/>
    <w:rsid w:val="009F4BE9"/>
    <w:rsid w:val="009F62D3"/>
    <w:rsid w:val="009F7702"/>
    <w:rsid w:val="009F794E"/>
    <w:rsid w:val="00A00112"/>
    <w:rsid w:val="00A0019D"/>
    <w:rsid w:val="00A008B5"/>
    <w:rsid w:val="00A017B4"/>
    <w:rsid w:val="00A01C53"/>
    <w:rsid w:val="00A01D38"/>
    <w:rsid w:val="00A02414"/>
    <w:rsid w:val="00A025B9"/>
    <w:rsid w:val="00A0355C"/>
    <w:rsid w:val="00A03A13"/>
    <w:rsid w:val="00A03D03"/>
    <w:rsid w:val="00A040CD"/>
    <w:rsid w:val="00A04429"/>
    <w:rsid w:val="00A0456B"/>
    <w:rsid w:val="00A058AF"/>
    <w:rsid w:val="00A06446"/>
    <w:rsid w:val="00A06697"/>
    <w:rsid w:val="00A06C40"/>
    <w:rsid w:val="00A10586"/>
    <w:rsid w:val="00A10A48"/>
    <w:rsid w:val="00A110DA"/>
    <w:rsid w:val="00A11163"/>
    <w:rsid w:val="00A1132B"/>
    <w:rsid w:val="00A11930"/>
    <w:rsid w:val="00A11B54"/>
    <w:rsid w:val="00A11CDC"/>
    <w:rsid w:val="00A1238C"/>
    <w:rsid w:val="00A1263D"/>
    <w:rsid w:val="00A12AF2"/>
    <w:rsid w:val="00A12D8A"/>
    <w:rsid w:val="00A12E6C"/>
    <w:rsid w:val="00A1355D"/>
    <w:rsid w:val="00A136D0"/>
    <w:rsid w:val="00A13D1A"/>
    <w:rsid w:val="00A143E3"/>
    <w:rsid w:val="00A14DC2"/>
    <w:rsid w:val="00A14DD6"/>
    <w:rsid w:val="00A15AD7"/>
    <w:rsid w:val="00A15D5E"/>
    <w:rsid w:val="00A161F8"/>
    <w:rsid w:val="00A169FA"/>
    <w:rsid w:val="00A17427"/>
    <w:rsid w:val="00A1766A"/>
    <w:rsid w:val="00A200F4"/>
    <w:rsid w:val="00A2059E"/>
    <w:rsid w:val="00A206C9"/>
    <w:rsid w:val="00A20C27"/>
    <w:rsid w:val="00A20E7D"/>
    <w:rsid w:val="00A216BC"/>
    <w:rsid w:val="00A226D1"/>
    <w:rsid w:val="00A23931"/>
    <w:rsid w:val="00A23FD6"/>
    <w:rsid w:val="00A25317"/>
    <w:rsid w:val="00A253DD"/>
    <w:rsid w:val="00A25706"/>
    <w:rsid w:val="00A25D84"/>
    <w:rsid w:val="00A26029"/>
    <w:rsid w:val="00A262E4"/>
    <w:rsid w:val="00A267EF"/>
    <w:rsid w:val="00A268EA"/>
    <w:rsid w:val="00A30A5E"/>
    <w:rsid w:val="00A31CE0"/>
    <w:rsid w:val="00A31FA9"/>
    <w:rsid w:val="00A333BF"/>
    <w:rsid w:val="00A33825"/>
    <w:rsid w:val="00A3398F"/>
    <w:rsid w:val="00A33F67"/>
    <w:rsid w:val="00A35583"/>
    <w:rsid w:val="00A35EF3"/>
    <w:rsid w:val="00A363EF"/>
    <w:rsid w:val="00A36DFE"/>
    <w:rsid w:val="00A370FD"/>
    <w:rsid w:val="00A3798C"/>
    <w:rsid w:val="00A37DD9"/>
    <w:rsid w:val="00A40ED7"/>
    <w:rsid w:val="00A40F83"/>
    <w:rsid w:val="00A412BA"/>
    <w:rsid w:val="00A41416"/>
    <w:rsid w:val="00A4200D"/>
    <w:rsid w:val="00A424BF"/>
    <w:rsid w:val="00A4258E"/>
    <w:rsid w:val="00A4325A"/>
    <w:rsid w:val="00A432D1"/>
    <w:rsid w:val="00A43716"/>
    <w:rsid w:val="00A442C5"/>
    <w:rsid w:val="00A44712"/>
    <w:rsid w:val="00A44AF5"/>
    <w:rsid w:val="00A44B8B"/>
    <w:rsid w:val="00A45EC4"/>
    <w:rsid w:val="00A47212"/>
    <w:rsid w:val="00A474EA"/>
    <w:rsid w:val="00A501B2"/>
    <w:rsid w:val="00A5034A"/>
    <w:rsid w:val="00A50379"/>
    <w:rsid w:val="00A50FFA"/>
    <w:rsid w:val="00A52A2C"/>
    <w:rsid w:val="00A539D1"/>
    <w:rsid w:val="00A53E00"/>
    <w:rsid w:val="00A54DAE"/>
    <w:rsid w:val="00A5503D"/>
    <w:rsid w:val="00A556AD"/>
    <w:rsid w:val="00A56D3B"/>
    <w:rsid w:val="00A57450"/>
    <w:rsid w:val="00A57479"/>
    <w:rsid w:val="00A57C08"/>
    <w:rsid w:val="00A600D9"/>
    <w:rsid w:val="00A604CD"/>
    <w:rsid w:val="00A6245C"/>
    <w:rsid w:val="00A637A0"/>
    <w:rsid w:val="00A6395F"/>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4CD"/>
    <w:rsid w:val="00A82506"/>
    <w:rsid w:val="00A837CE"/>
    <w:rsid w:val="00A83CCD"/>
    <w:rsid w:val="00A83DB5"/>
    <w:rsid w:val="00A83FBA"/>
    <w:rsid w:val="00A84636"/>
    <w:rsid w:val="00A84FE1"/>
    <w:rsid w:val="00A85080"/>
    <w:rsid w:val="00A86406"/>
    <w:rsid w:val="00A86853"/>
    <w:rsid w:val="00A86B75"/>
    <w:rsid w:val="00A86E75"/>
    <w:rsid w:val="00A86F33"/>
    <w:rsid w:val="00A87570"/>
    <w:rsid w:val="00A9065F"/>
    <w:rsid w:val="00A90B0E"/>
    <w:rsid w:val="00A91AA1"/>
    <w:rsid w:val="00A91C8C"/>
    <w:rsid w:val="00A91D68"/>
    <w:rsid w:val="00A91F0D"/>
    <w:rsid w:val="00A9235A"/>
    <w:rsid w:val="00A92D0D"/>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17E8"/>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08C1"/>
    <w:rsid w:val="00AC154B"/>
    <w:rsid w:val="00AC1B72"/>
    <w:rsid w:val="00AC26FE"/>
    <w:rsid w:val="00AC350D"/>
    <w:rsid w:val="00AC3568"/>
    <w:rsid w:val="00AC3CF2"/>
    <w:rsid w:val="00AC42B6"/>
    <w:rsid w:val="00AC47EC"/>
    <w:rsid w:val="00AC4E5D"/>
    <w:rsid w:val="00AC6C53"/>
    <w:rsid w:val="00AC6E85"/>
    <w:rsid w:val="00AC7284"/>
    <w:rsid w:val="00AC7CE6"/>
    <w:rsid w:val="00AC7F7F"/>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074"/>
    <w:rsid w:val="00AE23E3"/>
    <w:rsid w:val="00AE2F65"/>
    <w:rsid w:val="00AE317E"/>
    <w:rsid w:val="00AE35A5"/>
    <w:rsid w:val="00AE4E2A"/>
    <w:rsid w:val="00AE5922"/>
    <w:rsid w:val="00AE5CF9"/>
    <w:rsid w:val="00AE5DB6"/>
    <w:rsid w:val="00AE6C3C"/>
    <w:rsid w:val="00AE702E"/>
    <w:rsid w:val="00AE73E0"/>
    <w:rsid w:val="00AF03C0"/>
    <w:rsid w:val="00AF0E64"/>
    <w:rsid w:val="00AF166F"/>
    <w:rsid w:val="00AF1C03"/>
    <w:rsid w:val="00AF39AF"/>
    <w:rsid w:val="00AF3CC2"/>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8DC"/>
    <w:rsid w:val="00B07BFE"/>
    <w:rsid w:val="00B07CE9"/>
    <w:rsid w:val="00B101D5"/>
    <w:rsid w:val="00B10633"/>
    <w:rsid w:val="00B10B08"/>
    <w:rsid w:val="00B11A78"/>
    <w:rsid w:val="00B11CFB"/>
    <w:rsid w:val="00B12111"/>
    <w:rsid w:val="00B13063"/>
    <w:rsid w:val="00B13E18"/>
    <w:rsid w:val="00B13EC4"/>
    <w:rsid w:val="00B14109"/>
    <w:rsid w:val="00B14410"/>
    <w:rsid w:val="00B1486D"/>
    <w:rsid w:val="00B150D6"/>
    <w:rsid w:val="00B15373"/>
    <w:rsid w:val="00B15639"/>
    <w:rsid w:val="00B1593F"/>
    <w:rsid w:val="00B15D15"/>
    <w:rsid w:val="00B15E42"/>
    <w:rsid w:val="00B15EEE"/>
    <w:rsid w:val="00B16198"/>
    <w:rsid w:val="00B16A2C"/>
    <w:rsid w:val="00B16FB6"/>
    <w:rsid w:val="00B17022"/>
    <w:rsid w:val="00B21736"/>
    <w:rsid w:val="00B218B1"/>
    <w:rsid w:val="00B21A33"/>
    <w:rsid w:val="00B224AA"/>
    <w:rsid w:val="00B22998"/>
    <w:rsid w:val="00B229FE"/>
    <w:rsid w:val="00B22A2A"/>
    <w:rsid w:val="00B2302B"/>
    <w:rsid w:val="00B24363"/>
    <w:rsid w:val="00B2456E"/>
    <w:rsid w:val="00B24979"/>
    <w:rsid w:val="00B250A5"/>
    <w:rsid w:val="00B25651"/>
    <w:rsid w:val="00B25D04"/>
    <w:rsid w:val="00B26937"/>
    <w:rsid w:val="00B26E93"/>
    <w:rsid w:val="00B27DC5"/>
    <w:rsid w:val="00B30243"/>
    <w:rsid w:val="00B30421"/>
    <w:rsid w:val="00B30DC8"/>
    <w:rsid w:val="00B315BB"/>
    <w:rsid w:val="00B31977"/>
    <w:rsid w:val="00B31ABE"/>
    <w:rsid w:val="00B3235A"/>
    <w:rsid w:val="00B333FE"/>
    <w:rsid w:val="00B3382B"/>
    <w:rsid w:val="00B35094"/>
    <w:rsid w:val="00B350F0"/>
    <w:rsid w:val="00B357AC"/>
    <w:rsid w:val="00B35888"/>
    <w:rsid w:val="00B35992"/>
    <w:rsid w:val="00B35E4B"/>
    <w:rsid w:val="00B35FCC"/>
    <w:rsid w:val="00B36518"/>
    <w:rsid w:val="00B378CC"/>
    <w:rsid w:val="00B41615"/>
    <w:rsid w:val="00B41FD8"/>
    <w:rsid w:val="00B420DF"/>
    <w:rsid w:val="00B428E2"/>
    <w:rsid w:val="00B4298C"/>
    <w:rsid w:val="00B42A2C"/>
    <w:rsid w:val="00B42A5C"/>
    <w:rsid w:val="00B42A98"/>
    <w:rsid w:val="00B42C64"/>
    <w:rsid w:val="00B448EF"/>
    <w:rsid w:val="00B47214"/>
    <w:rsid w:val="00B47493"/>
    <w:rsid w:val="00B474C8"/>
    <w:rsid w:val="00B474DF"/>
    <w:rsid w:val="00B47915"/>
    <w:rsid w:val="00B50E18"/>
    <w:rsid w:val="00B513A9"/>
    <w:rsid w:val="00B51568"/>
    <w:rsid w:val="00B51610"/>
    <w:rsid w:val="00B5167B"/>
    <w:rsid w:val="00B520E3"/>
    <w:rsid w:val="00B52336"/>
    <w:rsid w:val="00B523C5"/>
    <w:rsid w:val="00B5388C"/>
    <w:rsid w:val="00B55CED"/>
    <w:rsid w:val="00B55D57"/>
    <w:rsid w:val="00B55F80"/>
    <w:rsid w:val="00B56480"/>
    <w:rsid w:val="00B565D6"/>
    <w:rsid w:val="00B56C78"/>
    <w:rsid w:val="00B576A4"/>
    <w:rsid w:val="00B57998"/>
    <w:rsid w:val="00B57CD0"/>
    <w:rsid w:val="00B57DA9"/>
    <w:rsid w:val="00B60177"/>
    <w:rsid w:val="00B60639"/>
    <w:rsid w:val="00B60BA5"/>
    <w:rsid w:val="00B6308E"/>
    <w:rsid w:val="00B63D58"/>
    <w:rsid w:val="00B64E8A"/>
    <w:rsid w:val="00B65588"/>
    <w:rsid w:val="00B658D1"/>
    <w:rsid w:val="00B65BFF"/>
    <w:rsid w:val="00B66064"/>
    <w:rsid w:val="00B66995"/>
    <w:rsid w:val="00B671A1"/>
    <w:rsid w:val="00B675A6"/>
    <w:rsid w:val="00B6794D"/>
    <w:rsid w:val="00B67B55"/>
    <w:rsid w:val="00B67C6C"/>
    <w:rsid w:val="00B70365"/>
    <w:rsid w:val="00B70C61"/>
    <w:rsid w:val="00B70E5A"/>
    <w:rsid w:val="00B7220D"/>
    <w:rsid w:val="00B73F4F"/>
    <w:rsid w:val="00B74728"/>
    <w:rsid w:val="00B749B6"/>
    <w:rsid w:val="00B7509A"/>
    <w:rsid w:val="00B7613E"/>
    <w:rsid w:val="00B76591"/>
    <w:rsid w:val="00B766C1"/>
    <w:rsid w:val="00B76966"/>
    <w:rsid w:val="00B76B96"/>
    <w:rsid w:val="00B76EFB"/>
    <w:rsid w:val="00B77129"/>
    <w:rsid w:val="00B77C37"/>
    <w:rsid w:val="00B807BF"/>
    <w:rsid w:val="00B809B1"/>
    <w:rsid w:val="00B82543"/>
    <w:rsid w:val="00B82998"/>
    <w:rsid w:val="00B82BD3"/>
    <w:rsid w:val="00B834B0"/>
    <w:rsid w:val="00B837F6"/>
    <w:rsid w:val="00B83DAE"/>
    <w:rsid w:val="00B84FB4"/>
    <w:rsid w:val="00B856AF"/>
    <w:rsid w:val="00B8756E"/>
    <w:rsid w:val="00B87DF9"/>
    <w:rsid w:val="00B90000"/>
    <w:rsid w:val="00B91951"/>
    <w:rsid w:val="00B91A58"/>
    <w:rsid w:val="00B91EAD"/>
    <w:rsid w:val="00B920B9"/>
    <w:rsid w:val="00B930D2"/>
    <w:rsid w:val="00B937CD"/>
    <w:rsid w:val="00B938BC"/>
    <w:rsid w:val="00B93997"/>
    <w:rsid w:val="00B93C98"/>
    <w:rsid w:val="00B94604"/>
    <w:rsid w:val="00B96693"/>
    <w:rsid w:val="00B976BB"/>
    <w:rsid w:val="00BA01A7"/>
    <w:rsid w:val="00BA0224"/>
    <w:rsid w:val="00BA05C8"/>
    <w:rsid w:val="00BA09AA"/>
    <w:rsid w:val="00BA0AD5"/>
    <w:rsid w:val="00BA0CA0"/>
    <w:rsid w:val="00BA0E3C"/>
    <w:rsid w:val="00BA1F74"/>
    <w:rsid w:val="00BA1FE7"/>
    <w:rsid w:val="00BA2B1D"/>
    <w:rsid w:val="00BA35DF"/>
    <w:rsid w:val="00BA3D14"/>
    <w:rsid w:val="00BA435A"/>
    <w:rsid w:val="00BA461C"/>
    <w:rsid w:val="00BA49B2"/>
    <w:rsid w:val="00BA54BA"/>
    <w:rsid w:val="00BA5603"/>
    <w:rsid w:val="00BA56D9"/>
    <w:rsid w:val="00BA6194"/>
    <w:rsid w:val="00BA7EEE"/>
    <w:rsid w:val="00BB2008"/>
    <w:rsid w:val="00BB2439"/>
    <w:rsid w:val="00BB29DF"/>
    <w:rsid w:val="00BB2CFC"/>
    <w:rsid w:val="00BB34DC"/>
    <w:rsid w:val="00BB35D0"/>
    <w:rsid w:val="00BB3AC4"/>
    <w:rsid w:val="00BB4999"/>
    <w:rsid w:val="00BB4BCD"/>
    <w:rsid w:val="00BB56C7"/>
    <w:rsid w:val="00BB5B62"/>
    <w:rsid w:val="00BB6502"/>
    <w:rsid w:val="00BB6BCD"/>
    <w:rsid w:val="00BB70F9"/>
    <w:rsid w:val="00BB711A"/>
    <w:rsid w:val="00BB7C9B"/>
    <w:rsid w:val="00BC1527"/>
    <w:rsid w:val="00BC2306"/>
    <w:rsid w:val="00BC2F31"/>
    <w:rsid w:val="00BC4036"/>
    <w:rsid w:val="00BC4F0A"/>
    <w:rsid w:val="00BC509F"/>
    <w:rsid w:val="00BC51D2"/>
    <w:rsid w:val="00BC64BE"/>
    <w:rsid w:val="00BC7155"/>
    <w:rsid w:val="00BC7550"/>
    <w:rsid w:val="00BD0A0D"/>
    <w:rsid w:val="00BD0B72"/>
    <w:rsid w:val="00BD0E5F"/>
    <w:rsid w:val="00BD2668"/>
    <w:rsid w:val="00BD3924"/>
    <w:rsid w:val="00BD450F"/>
    <w:rsid w:val="00BD4512"/>
    <w:rsid w:val="00BD52AA"/>
    <w:rsid w:val="00BD7D87"/>
    <w:rsid w:val="00BE1061"/>
    <w:rsid w:val="00BE1321"/>
    <w:rsid w:val="00BE1CE0"/>
    <w:rsid w:val="00BE2893"/>
    <w:rsid w:val="00BE2EB4"/>
    <w:rsid w:val="00BE2F5A"/>
    <w:rsid w:val="00BE37D3"/>
    <w:rsid w:val="00BE522A"/>
    <w:rsid w:val="00BE57B5"/>
    <w:rsid w:val="00BE586B"/>
    <w:rsid w:val="00BE6912"/>
    <w:rsid w:val="00BE6B07"/>
    <w:rsid w:val="00BE7A7C"/>
    <w:rsid w:val="00BE7B31"/>
    <w:rsid w:val="00BF05E9"/>
    <w:rsid w:val="00BF0A44"/>
    <w:rsid w:val="00BF0CEC"/>
    <w:rsid w:val="00BF1A44"/>
    <w:rsid w:val="00BF1EDF"/>
    <w:rsid w:val="00BF450C"/>
    <w:rsid w:val="00BF4CEF"/>
    <w:rsid w:val="00BF4D3D"/>
    <w:rsid w:val="00BF5B8C"/>
    <w:rsid w:val="00BF66B7"/>
    <w:rsid w:val="00BF6A68"/>
    <w:rsid w:val="00BF7152"/>
    <w:rsid w:val="00BF73F0"/>
    <w:rsid w:val="00BF75B1"/>
    <w:rsid w:val="00BF75C9"/>
    <w:rsid w:val="00BF7BD3"/>
    <w:rsid w:val="00C00352"/>
    <w:rsid w:val="00C007CE"/>
    <w:rsid w:val="00C00A22"/>
    <w:rsid w:val="00C00F18"/>
    <w:rsid w:val="00C0138C"/>
    <w:rsid w:val="00C017F7"/>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931"/>
    <w:rsid w:val="00C14E7D"/>
    <w:rsid w:val="00C15722"/>
    <w:rsid w:val="00C16897"/>
    <w:rsid w:val="00C168E1"/>
    <w:rsid w:val="00C200C9"/>
    <w:rsid w:val="00C21D8E"/>
    <w:rsid w:val="00C22525"/>
    <w:rsid w:val="00C23DBB"/>
    <w:rsid w:val="00C23FE1"/>
    <w:rsid w:val="00C2410D"/>
    <w:rsid w:val="00C24BAF"/>
    <w:rsid w:val="00C254DC"/>
    <w:rsid w:val="00C25687"/>
    <w:rsid w:val="00C25BE2"/>
    <w:rsid w:val="00C25F8B"/>
    <w:rsid w:val="00C2657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2A"/>
    <w:rsid w:val="00C372E8"/>
    <w:rsid w:val="00C40607"/>
    <w:rsid w:val="00C409DC"/>
    <w:rsid w:val="00C40B1B"/>
    <w:rsid w:val="00C40E88"/>
    <w:rsid w:val="00C416A3"/>
    <w:rsid w:val="00C41785"/>
    <w:rsid w:val="00C41FC1"/>
    <w:rsid w:val="00C434C2"/>
    <w:rsid w:val="00C434FC"/>
    <w:rsid w:val="00C43940"/>
    <w:rsid w:val="00C43D5F"/>
    <w:rsid w:val="00C44173"/>
    <w:rsid w:val="00C44342"/>
    <w:rsid w:val="00C44694"/>
    <w:rsid w:val="00C44744"/>
    <w:rsid w:val="00C457C1"/>
    <w:rsid w:val="00C45BDC"/>
    <w:rsid w:val="00C46625"/>
    <w:rsid w:val="00C46870"/>
    <w:rsid w:val="00C47545"/>
    <w:rsid w:val="00C47593"/>
    <w:rsid w:val="00C47C54"/>
    <w:rsid w:val="00C5044B"/>
    <w:rsid w:val="00C506BD"/>
    <w:rsid w:val="00C506ED"/>
    <w:rsid w:val="00C50E55"/>
    <w:rsid w:val="00C513C6"/>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6AC7"/>
    <w:rsid w:val="00C577F7"/>
    <w:rsid w:val="00C60667"/>
    <w:rsid w:val="00C61AB9"/>
    <w:rsid w:val="00C61F84"/>
    <w:rsid w:val="00C62FF7"/>
    <w:rsid w:val="00C63135"/>
    <w:rsid w:val="00C637DC"/>
    <w:rsid w:val="00C63DF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709"/>
    <w:rsid w:val="00C72801"/>
    <w:rsid w:val="00C72C0A"/>
    <w:rsid w:val="00C73E67"/>
    <w:rsid w:val="00C73EB9"/>
    <w:rsid w:val="00C73FAD"/>
    <w:rsid w:val="00C74280"/>
    <w:rsid w:val="00C745FE"/>
    <w:rsid w:val="00C74AE1"/>
    <w:rsid w:val="00C75590"/>
    <w:rsid w:val="00C757B8"/>
    <w:rsid w:val="00C76906"/>
    <w:rsid w:val="00C76B7C"/>
    <w:rsid w:val="00C76CC7"/>
    <w:rsid w:val="00C76F81"/>
    <w:rsid w:val="00C776A4"/>
    <w:rsid w:val="00C800DD"/>
    <w:rsid w:val="00C80920"/>
    <w:rsid w:val="00C80B03"/>
    <w:rsid w:val="00C8243F"/>
    <w:rsid w:val="00C8289B"/>
    <w:rsid w:val="00C82D54"/>
    <w:rsid w:val="00C82F3B"/>
    <w:rsid w:val="00C83591"/>
    <w:rsid w:val="00C837C4"/>
    <w:rsid w:val="00C83829"/>
    <w:rsid w:val="00C83EDD"/>
    <w:rsid w:val="00C84BF1"/>
    <w:rsid w:val="00C84CA2"/>
    <w:rsid w:val="00C852CD"/>
    <w:rsid w:val="00C85A36"/>
    <w:rsid w:val="00C85CD1"/>
    <w:rsid w:val="00C86C56"/>
    <w:rsid w:val="00C8773E"/>
    <w:rsid w:val="00C90601"/>
    <w:rsid w:val="00C90D16"/>
    <w:rsid w:val="00C9116A"/>
    <w:rsid w:val="00C9265D"/>
    <w:rsid w:val="00C92824"/>
    <w:rsid w:val="00C937BA"/>
    <w:rsid w:val="00C93FA3"/>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4FE"/>
    <w:rsid w:val="00CB2EF5"/>
    <w:rsid w:val="00CB2F39"/>
    <w:rsid w:val="00CB33E4"/>
    <w:rsid w:val="00CB3B82"/>
    <w:rsid w:val="00CB4230"/>
    <w:rsid w:val="00CB431B"/>
    <w:rsid w:val="00CB4439"/>
    <w:rsid w:val="00CB4A77"/>
    <w:rsid w:val="00CB4EA5"/>
    <w:rsid w:val="00CB556F"/>
    <w:rsid w:val="00CB557F"/>
    <w:rsid w:val="00CB592B"/>
    <w:rsid w:val="00CB5C5F"/>
    <w:rsid w:val="00CB600E"/>
    <w:rsid w:val="00CB65B8"/>
    <w:rsid w:val="00CB6CDF"/>
    <w:rsid w:val="00CB7264"/>
    <w:rsid w:val="00CB730F"/>
    <w:rsid w:val="00CB761C"/>
    <w:rsid w:val="00CB76B5"/>
    <w:rsid w:val="00CB7AD6"/>
    <w:rsid w:val="00CC0495"/>
    <w:rsid w:val="00CC07D6"/>
    <w:rsid w:val="00CC110F"/>
    <w:rsid w:val="00CC11B8"/>
    <w:rsid w:val="00CC1AF9"/>
    <w:rsid w:val="00CC20E0"/>
    <w:rsid w:val="00CC2818"/>
    <w:rsid w:val="00CC2F7A"/>
    <w:rsid w:val="00CC377C"/>
    <w:rsid w:val="00CC3A70"/>
    <w:rsid w:val="00CC4033"/>
    <w:rsid w:val="00CC40B8"/>
    <w:rsid w:val="00CC4604"/>
    <w:rsid w:val="00CC5444"/>
    <w:rsid w:val="00CC5631"/>
    <w:rsid w:val="00CC62A6"/>
    <w:rsid w:val="00CC676C"/>
    <w:rsid w:val="00CC6D97"/>
    <w:rsid w:val="00CC739A"/>
    <w:rsid w:val="00CC7A11"/>
    <w:rsid w:val="00CD04A8"/>
    <w:rsid w:val="00CD051B"/>
    <w:rsid w:val="00CD08D9"/>
    <w:rsid w:val="00CD1DB1"/>
    <w:rsid w:val="00CD22B5"/>
    <w:rsid w:val="00CD22F4"/>
    <w:rsid w:val="00CD25E1"/>
    <w:rsid w:val="00CD35A3"/>
    <w:rsid w:val="00CD367C"/>
    <w:rsid w:val="00CD4064"/>
    <w:rsid w:val="00CD454A"/>
    <w:rsid w:val="00CD4F54"/>
    <w:rsid w:val="00CD4FFE"/>
    <w:rsid w:val="00CD57FA"/>
    <w:rsid w:val="00CD5A6E"/>
    <w:rsid w:val="00CD711F"/>
    <w:rsid w:val="00CD74A7"/>
    <w:rsid w:val="00CD79B2"/>
    <w:rsid w:val="00CD7DC3"/>
    <w:rsid w:val="00CE157C"/>
    <w:rsid w:val="00CE1AF6"/>
    <w:rsid w:val="00CE2298"/>
    <w:rsid w:val="00CE3064"/>
    <w:rsid w:val="00CE3615"/>
    <w:rsid w:val="00CE39E4"/>
    <w:rsid w:val="00CE4282"/>
    <w:rsid w:val="00CE54E1"/>
    <w:rsid w:val="00CE55B6"/>
    <w:rsid w:val="00CE5856"/>
    <w:rsid w:val="00CE5BDE"/>
    <w:rsid w:val="00CE6A6D"/>
    <w:rsid w:val="00CE774C"/>
    <w:rsid w:val="00CF012E"/>
    <w:rsid w:val="00CF04D4"/>
    <w:rsid w:val="00CF0B4C"/>
    <w:rsid w:val="00CF155F"/>
    <w:rsid w:val="00CF1680"/>
    <w:rsid w:val="00CF1BD7"/>
    <w:rsid w:val="00CF21A5"/>
    <w:rsid w:val="00CF2518"/>
    <w:rsid w:val="00CF2DDE"/>
    <w:rsid w:val="00CF344A"/>
    <w:rsid w:val="00CF39A0"/>
    <w:rsid w:val="00CF3D1C"/>
    <w:rsid w:val="00CF4146"/>
    <w:rsid w:val="00CF4713"/>
    <w:rsid w:val="00CF4B12"/>
    <w:rsid w:val="00CF58FE"/>
    <w:rsid w:val="00CF5EBE"/>
    <w:rsid w:val="00CF643C"/>
    <w:rsid w:val="00CF7820"/>
    <w:rsid w:val="00CF783B"/>
    <w:rsid w:val="00CF7D97"/>
    <w:rsid w:val="00CF7EEC"/>
    <w:rsid w:val="00D001C2"/>
    <w:rsid w:val="00D00779"/>
    <w:rsid w:val="00D009D8"/>
    <w:rsid w:val="00D012E1"/>
    <w:rsid w:val="00D01318"/>
    <w:rsid w:val="00D01665"/>
    <w:rsid w:val="00D01D1E"/>
    <w:rsid w:val="00D02536"/>
    <w:rsid w:val="00D02580"/>
    <w:rsid w:val="00D03BF7"/>
    <w:rsid w:val="00D03F1E"/>
    <w:rsid w:val="00D0428E"/>
    <w:rsid w:val="00D04426"/>
    <w:rsid w:val="00D0482F"/>
    <w:rsid w:val="00D04A33"/>
    <w:rsid w:val="00D05892"/>
    <w:rsid w:val="00D06824"/>
    <w:rsid w:val="00D06C03"/>
    <w:rsid w:val="00D1037A"/>
    <w:rsid w:val="00D10D09"/>
    <w:rsid w:val="00D1129C"/>
    <w:rsid w:val="00D1163E"/>
    <w:rsid w:val="00D12362"/>
    <w:rsid w:val="00D12A4F"/>
    <w:rsid w:val="00D12DEA"/>
    <w:rsid w:val="00D132C5"/>
    <w:rsid w:val="00D14C15"/>
    <w:rsid w:val="00D15CB3"/>
    <w:rsid w:val="00D15F51"/>
    <w:rsid w:val="00D16ED5"/>
    <w:rsid w:val="00D202B1"/>
    <w:rsid w:val="00D20662"/>
    <w:rsid w:val="00D21291"/>
    <w:rsid w:val="00D21C8A"/>
    <w:rsid w:val="00D2297E"/>
    <w:rsid w:val="00D22DE5"/>
    <w:rsid w:val="00D233BD"/>
    <w:rsid w:val="00D233D7"/>
    <w:rsid w:val="00D23CBB"/>
    <w:rsid w:val="00D24246"/>
    <w:rsid w:val="00D25806"/>
    <w:rsid w:val="00D25E9D"/>
    <w:rsid w:val="00D25F1C"/>
    <w:rsid w:val="00D26DE6"/>
    <w:rsid w:val="00D26EE7"/>
    <w:rsid w:val="00D27C65"/>
    <w:rsid w:val="00D30718"/>
    <w:rsid w:val="00D322FB"/>
    <w:rsid w:val="00D32475"/>
    <w:rsid w:val="00D32781"/>
    <w:rsid w:val="00D32EF4"/>
    <w:rsid w:val="00D33E2A"/>
    <w:rsid w:val="00D33F81"/>
    <w:rsid w:val="00D34850"/>
    <w:rsid w:val="00D35060"/>
    <w:rsid w:val="00D35991"/>
    <w:rsid w:val="00D36485"/>
    <w:rsid w:val="00D369D4"/>
    <w:rsid w:val="00D36AD7"/>
    <w:rsid w:val="00D373E9"/>
    <w:rsid w:val="00D37C61"/>
    <w:rsid w:val="00D403FF"/>
    <w:rsid w:val="00D404C4"/>
    <w:rsid w:val="00D409CF"/>
    <w:rsid w:val="00D40CE9"/>
    <w:rsid w:val="00D42115"/>
    <w:rsid w:val="00D42EFD"/>
    <w:rsid w:val="00D457D1"/>
    <w:rsid w:val="00D458AA"/>
    <w:rsid w:val="00D46338"/>
    <w:rsid w:val="00D46998"/>
    <w:rsid w:val="00D46BA2"/>
    <w:rsid w:val="00D47234"/>
    <w:rsid w:val="00D47281"/>
    <w:rsid w:val="00D47581"/>
    <w:rsid w:val="00D50295"/>
    <w:rsid w:val="00D5069A"/>
    <w:rsid w:val="00D50E43"/>
    <w:rsid w:val="00D51469"/>
    <w:rsid w:val="00D52B45"/>
    <w:rsid w:val="00D530EB"/>
    <w:rsid w:val="00D53393"/>
    <w:rsid w:val="00D535B6"/>
    <w:rsid w:val="00D541A4"/>
    <w:rsid w:val="00D55235"/>
    <w:rsid w:val="00D55D78"/>
    <w:rsid w:val="00D56B3E"/>
    <w:rsid w:val="00D572B2"/>
    <w:rsid w:val="00D57F53"/>
    <w:rsid w:val="00D60B0F"/>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77003"/>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331"/>
    <w:rsid w:val="00D86466"/>
    <w:rsid w:val="00D870E8"/>
    <w:rsid w:val="00D87423"/>
    <w:rsid w:val="00D87452"/>
    <w:rsid w:val="00D87485"/>
    <w:rsid w:val="00D87BB3"/>
    <w:rsid w:val="00D907CB"/>
    <w:rsid w:val="00D91252"/>
    <w:rsid w:val="00D91BF2"/>
    <w:rsid w:val="00D93C1C"/>
    <w:rsid w:val="00D94026"/>
    <w:rsid w:val="00D94120"/>
    <w:rsid w:val="00D951DD"/>
    <w:rsid w:val="00D952ED"/>
    <w:rsid w:val="00D95439"/>
    <w:rsid w:val="00D957FA"/>
    <w:rsid w:val="00D95A39"/>
    <w:rsid w:val="00D95DAD"/>
    <w:rsid w:val="00D9664C"/>
    <w:rsid w:val="00D97404"/>
    <w:rsid w:val="00D975A3"/>
    <w:rsid w:val="00D978E8"/>
    <w:rsid w:val="00D979D0"/>
    <w:rsid w:val="00DA0190"/>
    <w:rsid w:val="00DA08CA"/>
    <w:rsid w:val="00DA0F37"/>
    <w:rsid w:val="00DA101A"/>
    <w:rsid w:val="00DA122C"/>
    <w:rsid w:val="00DA2FD5"/>
    <w:rsid w:val="00DA4838"/>
    <w:rsid w:val="00DA4989"/>
    <w:rsid w:val="00DA5721"/>
    <w:rsid w:val="00DA6173"/>
    <w:rsid w:val="00DA63C9"/>
    <w:rsid w:val="00DA7477"/>
    <w:rsid w:val="00DA7573"/>
    <w:rsid w:val="00DA7BD4"/>
    <w:rsid w:val="00DB0191"/>
    <w:rsid w:val="00DB0359"/>
    <w:rsid w:val="00DB0EF6"/>
    <w:rsid w:val="00DB0F8A"/>
    <w:rsid w:val="00DB26A8"/>
    <w:rsid w:val="00DB27CF"/>
    <w:rsid w:val="00DB324C"/>
    <w:rsid w:val="00DB3FD3"/>
    <w:rsid w:val="00DB4F0B"/>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B00"/>
    <w:rsid w:val="00DC4D1D"/>
    <w:rsid w:val="00DC4D87"/>
    <w:rsid w:val="00DC54EB"/>
    <w:rsid w:val="00DC580A"/>
    <w:rsid w:val="00DC5B50"/>
    <w:rsid w:val="00DC65DB"/>
    <w:rsid w:val="00DC66BC"/>
    <w:rsid w:val="00DC727F"/>
    <w:rsid w:val="00DC7E78"/>
    <w:rsid w:val="00DD0493"/>
    <w:rsid w:val="00DD0924"/>
    <w:rsid w:val="00DD0CBF"/>
    <w:rsid w:val="00DD1071"/>
    <w:rsid w:val="00DD12FD"/>
    <w:rsid w:val="00DD1576"/>
    <w:rsid w:val="00DD2893"/>
    <w:rsid w:val="00DD44C9"/>
    <w:rsid w:val="00DD4717"/>
    <w:rsid w:val="00DD4F74"/>
    <w:rsid w:val="00DD531F"/>
    <w:rsid w:val="00DD556C"/>
    <w:rsid w:val="00DD5737"/>
    <w:rsid w:val="00DD5E81"/>
    <w:rsid w:val="00DD5FE8"/>
    <w:rsid w:val="00DD6C46"/>
    <w:rsid w:val="00DD6C7A"/>
    <w:rsid w:val="00DD6E82"/>
    <w:rsid w:val="00DD6F44"/>
    <w:rsid w:val="00DD7CCA"/>
    <w:rsid w:val="00DE0BDE"/>
    <w:rsid w:val="00DE0D16"/>
    <w:rsid w:val="00DE10CF"/>
    <w:rsid w:val="00DE1270"/>
    <w:rsid w:val="00DE1AF2"/>
    <w:rsid w:val="00DE1E1E"/>
    <w:rsid w:val="00DE223E"/>
    <w:rsid w:val="00DE2D33"/>
    <w:rsid w:val="00DE34EB"/>
    <w:rsid w:val="00DE3592"/>
    <w:rsid w:val="00DE3E78"/>
    <w:rsid w:val="00DE41F8"/>
    <w:rsid w:val="00DE4B9D"/>
    <w:rsid w:val="00DE50EA"/>
    <w:rsid w:val="00DE5245"/>
    <w:rsid w:val="00DE545C"/>
    <w:rsid w:val="00DE5C9F"/>
    <w:rsid w:val="00DE734E"/>
    <w:rsid w:val="00DE775F"/>
    <w:rsid w:val="00DE7887"/>
    <w:rsid w:val="00DE7BF8"/>
    <w:rsid w:val="00DF0DC3"/>
    <w:rsid w:val="00DF121F"/>
    <w:rsid w:val="00DF14F9"/>
    <w:rsid w:val="00DF1C2D"/>
    <w:rsid w:val="00DF1FAE"/>
    <w:rsid w:val="00DF2AD9"/>
    <w:rsid w:val="00DF390A"/>
    <w:rsid w:val="00DF54D0"/>
    <w:rsid w:val="00DF580C"/>
    <w:rsid w:val="00DF5C1A"/>
    <w:rsid w:val="00DF64D4"/>
    <w:rsid w:val="00DF6BCB"/>
    <w:rsid w:val="00DF6D45"/>
    <w:rsid w:val="00DF7042"/>
    <w:rsid w:val="00DF78FD"/>
    <w:rsid w:val="00DF7EFE"/>
    <w:rsid w:val="00E00E15"/>
    <w:rsid w:val="00E00F63"/>
    <w:rsid w:val="00E01210"/>
    <w:rsid w:val="00E01D50"/>
    <w:rsid w:val="00E02635"/>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035"/>
    <w:rsid w:val="00E249DB"/>
    <w:rsid w:val="00E253A3"/>
    <w:rsid w:val="00E25402"/>
    <w:rsid w:val="00E259B0"/>
    <w:rsid w:val="00E25AF8"/>
    <w:rsid w:val="00E26AEC"/>
    <w:rsid w:val="00E2757B"/>
    <w:rsid w:val="00E2792D"/>
    <w:rsid w:val="00E30828"/>
    <w:rsid w:val="00E30ACC"/>
    <w:rsid w:val="00E30B37"/>
    <w:rsid w:val="00E3109C"/>
    <w:rsid w:val="00E311D1"/>
    <w:rsid w:val="00E31821"/>
    <w:rsid w:val="00E31C2D"/>
    <w:rsid w:val="00E31E44"/>
    <w:rsid w:val="00E32432"/>
    <w:rsid w:val="00E33B1E"/>
    <w:rsid w:val="00E34277"/>
    <w:rsid w:val="00E34530"/>
    <w:rsid w:val="00E3621B"/>
    <w:rsid w:val="00E36F43"/>
    <w:rsid w:val="00E37F0C"/>
    <w:rsid w:val="00E404B7"/>
    <w:rsid w:val="00E40ADF"/>
    <w:rsid w:val="00E418E3"/>
    <w:rsid w:val="00E423DE"/>
    <w:rsid w:val="00E42F07"/>
    <w:rsid w:val="00E4370F"/>
    <w:rsid w:val="00E4441D"/>
    <w:rsid w:val="00E453AB"/>
    <w:rsid w:val="00E462E6"/>
    <w:rsid w:val="00E463A0"/>
    <w:rsid w:val="00E47839"/>
    <w:rsid w:val="00E50813"/>
    <w:rsid w:val="00E51CDE"/>
    <w:rsid w:val="00E5210B"/>
    <w:rsid w:val="00E53631"/>
    <w:rsid w:val="00E5388F"/>
    <w:rsid w:val="00E54239"/>
    <w:rsid w:val="00E54272"/>
    <w:rsid w:val="00E542BC"/>
    <w:rsid w:val="00E54521"/>
    <w:rsid w:val="00E54617"/>
    <w:rsid w:val="00E5484B"/>
    <w:rsid w:val="00E54DAC"/>
    <w:rsid w:val="00E56023"/>
    <w:rsid w:val="00E56B19"/>
    <w:rsid w:val="00E56D6E"/>
    <w:rsid w:val="00E56D8C"/>
    <w:rsid w:val="00E56FEF"/>
    <w:rsid w:val="00E577F9"/>
    <w:rsid w:val="00E57FB5"/>
    <w:rsid w:val="00E6051F"/>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18DF"/>
    <w:rsid w:val="00E72383"/>
    <w:rsid w:val="00E724D2"/>
    <w:rsid w:val="00E72D9F"/>
    <w:rsid w:val="00E73209"/>
    <w:rsid w:val="00E73C41"/>
    <w:rsid w:val="00E74162"/>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9C2"/>
    <w:rsid w:val="00E85E56"/>
    <w:rsid w:val="00E860DD"/>
    <w:rsid w:val="00E86C29"/>
    <w:rsid w:val="00E8713D"/>
    <w:rsid w:val="00E901DB"/>
    <w:rsid w:val="00E90329"/>
    <w:rsid w:val="00E910D5"/>
    <w:rsid w:val="00E922C4"/>
    <w:rsid w:val="00E943AE"/>
    <w:rsid w:val="00E947B0"/>
    <w:rsid w:val="00E95D82"/>
    <w:rsid w:val="00E95F21"/>
    <w:rsid w:val="00E96273"/>
    <w:rsid w:val="00E96E97"/>
    <w:rsid w:val="00E97D49"/>
    <w:rsid w:val="00E97F0D"/>
    <w:rsid w:val="00EA0251"/>
    <w:rsid w:val="00EA1065"/>
    <w:rsid w:val="00EA1434"/>
    <w:rsid w:val="00EA3C3E"/>
    <w:rsid w:val="00EA4102"/>
    <w:rsid w:val="00EA4694"/>
    <w:rsid w:val="00EA48D3"/>
    <w:rsid w:val="00EA546B"/>
    <w:rsid w:val="00EA57C5"/>
    <w:rsid w:val="00EA5D7E"/>
    <w:rsid w:val="00EA5F31"/>
    <w:rsid w:val="00EA5F92"/>
    <w:rsid w:val="00EA627F"/>
    <w:rsid w:val="00EA64B4"/>
    <w:rsid w:val="00EA65F1"/>
    <w:rsid w:val="00EA6665"/>
    <w:rsid w:val="00EA6935"/>
    <w:rsid w:val="00EA6967"/>
    <w:rsid w:val="00EA6F44"/>
    <w:rsid w:val="00EA73BC"/>
    <w:rsid w:val="00EA7613"/>
    <w:rsid w:val="00EA793B"/>
    <w:rsid w:val="00EA79C8"/>
    <w:rsid w:val="00EA7A7E"/>
    <w:rsid w:val="00EB05DA"/>
    <w:rsid w:val="00EB0B58"/>
    <w:rsid w:val="00EB190F"/>
    <w:rsid w:val="00EB235B"/>
    <w:rsid w:val="00EB31A3"/>
    <w:rsid w:val="00EB325B"/>
    <w:rsid w:val="00EB3E22"/>
    <w:rsid w:val="00EB693B"/>
    <w:rsid w:val="00EB73E9"/>
    <w:rsid w:val="00EB7BA9"/>
    <w:rsid w:val="00EB7D75"/>
    <w:rsid w:val="00EC0572"/>
    <w:rsid w:val="00EC0B20"/>
    <w:rsid w:val="00EC0EE7"/>
    <w:rsid w:val="00EC150A"/>
    <w:rsid w:val="00EC1C3A"/>
    <w:rsid w:val="00EC1F51"/>
    <w:rsid w:val="00EC2B1D"/>
    <w:rsid w:val="00EC3AC0"/>
    <w:rsid w:val="00EC4233"/>
    <w:rsid w:val="00EC4544"/>
    <w:rsid w:val="00EC49C9"/>
    <w:rsid w:val="00EC4A85"/>
    <w:rsid w:val="00EC57B2"/>
    <w:rsid w:val="00EC58F4"/>
    <w:rsid w:val="00EC650B"/>
    <w:rsid w:val="00EC7808"/>
    <w:rsid w:val="00EC7BFA"/>
    <w:rsid w:val="00EC7E03"/>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5F2"/>
    <w:rsid w:val="00EE1760"/>
    <w:rsid w:val="00EE178E"/>
    <w:rsid w:val="00EE266D"/>
    <w:rsid w:val="00EE287D"/>
    <w:rsid w:val="00EE3B32"/>
    <w:rsid w:val="00EE3CFF"/>
    <w:rsid w:val="00EE3F39"/>
    <w:rsid w:val="00EE414C"/>
    <w:rsid w:val="00EE44FE"/>
    <w:rsid w:val="00EE5406"/>
    <w:rsid w:val="00EE5EF8"/>
    <w:rsid w:val="00EE6604"/>
    <w:rsid w:val="00EE6964"/>
    <w:rsid w:val="00EE6A1D"/>
    <w:rsid w:val="00EE6D18"/>
    <w:rsid w:val="00EE7E7A"/>
    <w:rsid w:val="00EF1230"/>
    <w:rsid w:val="00EF138F"/>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3AA"/>
    <w:rsid w:val="00F02500"/>
    <w:rsid w:val="00F032E2"/>
    <w:rsid w:val="00F037E3"/>
    <w:rsid w:val="00F03FF2"/>
    <w:rsid w:val="00F040C5"/>
    <w:rsid w:val="00F04F9E"/>
    <w:rsid w:val="00F06A47"/>
    <w:rsid w:val="00F0717F"/>
    <w:rsid w:val="00F0747A"/>
    <w:rsid w:val="00F07849"/>
    <w:rsid w:val="00F07882"/>
    <w:rsid w:val="00F07883"/>
    <w:rsid w:val="00F10177"/>
    <w:rsid w:val="00F10528"/>
    <w:rsid w:val="00F10D83"/>
    <w:rsid w:val="00F1196B"/>
    <w:rsid w:val="00F11A6A"/>
    <w:rsid w:val="00F126BD"/>
    <w:rsid w:val="00F13433"/>
    <w:rsid w:val="00F134FC"/>
    <w:rsid w:val="00F1350E"/>
    <w:rsid w:val="00F14419"/>
    <w:rsid w:val="00F1470E"/>
    <w:rsid w:val="00F147A5"/>
    <w:rsid w:val="00F14AA7"/>
    <w:rsid w:val="00F151F9"/>
    <w:rsid w:val="00F15884"/>
    <w:rsid w:val="00F158DB"/>
    <w:rsid w:val="00F15AA1"/>
    <w:rsid w:val="00F15B8E"/>
    <w:rsid w:val="00F16665"/>
    <w:rsid w:val="00F16FB0"/>
    <w:rsid w:val="00F1721F"/>
    <w:rsid w:val="00F1733B"/>
    <w:rsid w:val="00F17474"/>
    <w:rsid w:val="00F174BE"/>
    <w:rsid w:val="00F201CC"/>
    <w:rsid w:val="00F20487"/>
    <w:rsid w:val="00F20F65"/>
    <w:rsid w:val="00F2106D"/>
    <w:rsid w:val="00F22337"/>
    <w:rsid w:val="00F22D65"/>
    <w:rsid w:val="00F23175"/>
    <w:rsid w:val="00F23FB0"/>
    <w:rsid w:val="00F2480A"/>
    <w:rsid w:val="00F24891"/>
    <w:rsid w:val="00F24B9F"/>
    <w:rsid w:val="00F24CA6"/>
    <w:rsid w:val="00F24E8F"/>
    <w:rsid w:val="00F256AE"/>
    <w:rsid w:val="00F25773"/>
    <w:rsid w:val="00F257FA"/>
    <w:rsid w:val="00F26004"/>
    <w:rsid w:val="00F264B7"/>
    <w:rsid w:val="00F270E8"/>
    <w:rsid w:val="00F27EF5"/>
    <w:rsid w:val="00F27FDB"/>
    <w:rsid w:val="00F30251"/>
    <w:rsid w:val="00F305CC"/>
    <w:rsid w:val="00F3179A"/>
    <w:rsid w:val="00F31D54"/>
    <w:rsid w:val="00F32357"/>
    <w:rsid w:val="00F32C70"/>
    <w:rsid w:val="00F340C1"/>
    <w:rsid w:val="00F34E02"/>
    <w:rsid w:val="00F3549E"/>
    <w:rsid w:val="00F36421"/>
    <w:rsid w:val="00F365A7"/>
    <w:rsid w:val="00F3681C"/>
    <w:rsid w:val="00F3769D"/>
    <w:rsid w:val="00F404F4"/>
    <w:rsid w:val="00F4143E"/>
    <w:rsid w:val="00F41B30"/>
    <w:rsid w:val="00F41CC5"/>
    <w:rsid w:val="00F41D25"/>
    <w:rsid w:val="00F422DE"/>
    <w:rsid w:val="00F423C2"/>
    <w:rsid w:val="00F433F8"/>
    <w:rsid w:val="00F433FE"/>
    <w:rsid w:val="00F43627"/>
    <w:rsid w:val="00F43781"/>
    <w:rsid w:val="00F4463C"/>
    <w:rsid w:val="00F46505"/>
    <w:rsid w:val="00F473A5"/>
    <w:rsid w:val="00F473F3"/>
    <w:rsid w:val="00F474B8"/>
    <w:rsid w:val="00F478CA"/>
    <w:rsid w:val="00F47CE2"/>
    <w:rsid w:val="00F47F3A"/>
    <w:rsid w:val="00F501F3"/>
    <w:rsid w:val="00F50340"/>
    <w:rsid w:val="00F50676"/>
    <w:rsid w:val="00F50A98"/>
    <w:rsid w:val="00F50E5F"/>
    <w:rsid w:val="00F50E78"/>
    <w:rsid w:val="00F51460"/>
    <w:rsid w:val="00F51667"/>
    <w:rsid w:val="00F521DC"/>
    <w:rsid w:val="00F526E3"/>
    <w:rsid w:val="00F53199"/>
    <w:rsid w:val="00F541A1"/>
    <w:rsid w:val="00F549FB"/>
    <w:rsid w:val="00F54B09"/>
    <w:rsid w:val="00F54BEA"/>
    <w:rsid w:val="00F54E8A"/>
    <w:rsid w:val="00F559A8"/>
    <w:rsid w:val="00F55C21"/>
    <w:rsid w:val="00F55E5F"/>
    <w:rsid w:val="00F55F6D"/>
    <w:rsid w:val="00F5736B"/>
    <w:rsid w:val="00F57880"/>
    <w:rsid w:val="00F6061F"/>
    <w:rsid w:val="00F608AB"/>
    <w:rsid w:val="00F60BE7"/>
    <w:rsid w:val="00F6159C"/>
    <w:rsid w:val="00F61714"/>
    <w:rsid w:val="00F6238F"/>
    <w:rsid w:val="00F63E59"/>
    <w:rsid w:val="00F64BE0"/>
    <w:rsid w:val="00F65B68"/>
    <w:rsid w:val="00F67846"/>
    <w:rsid w:val="00F67861"/>
    <w:rsid w:val="00F67B42"/>
    <w:rsid w:val="00F70B72"/>
    <w:rsid w:val="00F70DEF"/>
    <w:rsid w:val="00F70EA3"/>
    <w:rsid w:val="00F71398"/>
    <w:rsid w:val="00F7294C"/>
    <w:rsid w:val="00F72C5F"/>
    <w:rsid w:val="00F73549"/>
    <w:rsid w:val="00F73688"/>
    <w:rsid w:val="00F75782"/>
    <w:rsid w:val="00F75FA3"/>
    <w:rsid w:val="00F80C1D"/>
    <w:rsid w:val="00F81130"/>
    <w:rsid w:val="00F818F7"/>
    <w:rsid w:val="00F82F27"/>
    <w:rsid w:val="00F8325D"/>
    <w:rsid w:val="00F832A9"/>
    <w:rsid w:val="00F832B0"/>
    <w:rsid w:val="00F83307"/>
    <w:rsid w:val="00F833A5"/>
    <w:rsid w:val="00F844D3"/>
    <w:rsid w:val="00F84629"/>
    <w:rsid w:val="00F84B71"/>
    <w:rsid w:val="00F84D81"/>
    <w:rsid w:val="00F84F0E"/>
    <w:rsid w:val="00F8519E"/>
    <w:rsid w:val="00F85FF5"/>
    <w:rsid w:val="00F86BB4"/>
    <w:rsid w:val="00F870F5"/>
    <w:rsid w:val="00F901E4"/>
    <w:rsid w:val="00F902D2"/>
    <w:rsid w:val="00F90B12"/>
    <w:rsid w:val="00F90CBD"/>
    <w:rsid w:val="00F9109E"/>
    <w:rsid w:val="00F9177E"/>
    <w:rsid w:val="00F91E4F"/>
    <w:rsid w:val="00F91FDF"/>
    <w:rsid w:val="00F92AA1"/>
    <w:rsid w:val="00F92FDC"/>
    <w:rsid w:val="00F931D2"/>
    <w:rsid w:val="00F93431"/>
    <w:rsid w:val="00F9350B"/>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A7D6A"/>
    <w:rsid w:val="00FB0048"/>
    <w:rsid w:val="00FB05FB"/>
    <w:rsid w:val="00FB068D"/>
    <w:rsid w:val="00FB06F2"/>
    <w:rsid w:val="00FB12D8"/>
    <w:rsid w:val="00FB176A"/>
    <w:rsid w:val="00FB1CDC"/>
    <w:rsid w:val="00FB238A"/>
    <w:rsid w:val="00FB2446"/>
    <w:rsid w:val="00FB2C81"/>
    <w:rsid w:val="00FB3BC4"/>
    <w:rsid w:val="00FB3F9C"/>
    <w:rsid w:val="00FB3FDE"/>
    <w:rsid w:val="00FB4676"/>
    <w:rsid w:val="00FB5162"/>
    <w:rsid w:val="00FB5552"/>
    <w:rsid w:val="00FB5789"/>
    <w:rsid w:val="00FB5F3A"/>
    <w:rsid w:val="00FB6AA9"/>
    <w:rsid w:val="00FB6AD4"/>
    <w:rsid w:val="00FB7F22"/>
    <w:rsid w:val="00FC00F3"/>
    <w:rsid w:val="00FC0A33"/>
    <w:rsid w:val="00FC1416"/>
    <w:rsid w:val="00FC14B2"/>
    <w:rsid w:val="00FC1823"/>
    <w:rsid w:val="00FC2198"/>
    <w:rsid w:val="00FC22B8"/>
    <w:rsid w:val="00FC26A4"/>
    <w:rsid w:val="00FC2867"/>
    <w:rsid w:val="00FC2C93"/>
    <w:rsid w:val="00FC30FC"/>
    <w:rsid w:val="00FC325A"/>
    <w:rsid w:val="00FC33ED"/>
    <w:rsid w:val="00FC43AD"/>
    <w:rsid w:val="00FC51C0"/>
    <w:rsid w:val="00FC543C"/>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313"/>
    <w:rsid w:val="00FE1C47"/>
    <w:rsid w:val="00FE22DD"/>
    <w:rsid w:val="00FE2CFB"/>
    <w:rsid w:val="00FE3C44"/>
    <w:rsid w:val="00FE4A60"/>
    <w:rsid w:val="00FE54E0"/>
    <w:rsid w:val="00FE55F0"/>
    <w:rsid w:val="00FE6331"/>
    <w:rsid w:val="00FE685B"/>
    <w:rsid w:val="00FE6C12"/>
    <w:rsid w:val="00FE724D"/>
    <w:rsid w:val="00FE7894"/>
    <w:rsid w:val="00FF01FA"/>
    <w:rsid w:val="00FF21B5"/>
    <w:rsid w:val="00FF21C3"/>
    <w:rsid w:val="00FF2A11"/>
    <w:rsid w:val="00FF2AA0"/>
    <w:rsid w:val="00FF3F6C"/>
    <w:rsid w:val="00FF4603"/>
    <w:rsid w:val="00FF4B07"/>
    <w:rsid w:val="00FF4BFC"/>
    <w:rsid w:val="00FF4C11"/>
    <w:rsid w:val="00FF51E4"/>
    <w:rsid w:val="00FF56B9"/>
    <w:rsid w:val="00FF57E8"/>
    <w:rsid w:val="00FF58C0"/>
    <w:rsid w:val="00FF5948"/>
    <w:rsid w:val="00FF6B71"/>
    <w:rsid w:val="00FF6EDF"/>
    <w:rsid w:val="00FF6EEA"/>
    <w:rsid w:val="00FF77DF"/>
    <w:rsid w:val="00FF7ABB"/>
    <w:rsid w:val="00FF7B99"/>
    <w:rsid w:val="00FF7F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F068BD"/>
  <w15:docId w15:val="{2AA66690-6EAD-4A27-93C2-1AC7FCAD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466405"/>
    <w:pPr>
      <w:keepNext/>
      <w:tabs>
        <w:tab w:val="left" w:pos="851"/>
      </w:tabs>
      <w:spacing w:before="36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466405"/>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2D241C"/>
    <w:pPr>
      <w:jc w:val="left"/>
    </w:pPr>
  </w:style>
  <w:style w:type="character" w:customStyle="1" w:styleId="BodyTextChar">
    <w:name w:val="Body Text Char"/>
    <w:basedOn w:val="DefaultParagraphFont"/>
    <w:link w:val="BodyText"/>
    <w:rsid w:val="002D241C"/>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57B90"/>
    <w:pPr>
      <w:numPr>
        <w:ilvl w:val="1"/>
        <w:numId w:val="17"/>
      </w:numPr>
      <w:spacing w:before="0" w:line="280" w:lineRule="exact"/>
      <w:ind w:left="426" w:hanging="426"/>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2"/>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3"/>
      </w:numPr>
      <w:spacing w:before="0"/>
      <w:ind w:left="397" w:hanging="397"/>
      <w:jc w:val="left"/>
    </w:pPr>
  </w:style>
  <w:style w:type="paragraph" w:customStyle="1" w:styleId="Sub-lista">
    <w:name w:val="Sub-list a"/>
    <w:aliases w:val="b"/>
    <w:basedOn w:val="Normal"/>
    <w:uiPriority w:val="2"/>
    <w:rsid w:val="00E21ACA"/>
    <w:pPr>
      <w:numPr>
        <w:numId w:val="4"/>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57B90"/>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C15722"/>
    <w:pPr>
      <w:numPr>
        <w:numId w:val="1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tabs>
        <w:tab w:val="left" w:pos="680"/>
      </w:tabs>
      <w:spacing w:before="0"/>
      <w:ind w:left="0"/>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5"/>
      </w:numPr>
      <w:spacing w:before="0"/>
      <w:ind w:left="1077" w:hanging="397"/>
    </w:pPr>
  </w:style>
  <w:style w:type="character" w:styleId="Emphasis">
    <w:name w:val="Emphasis"/>
    <w:basedOn w:val="DefaultParagraphFont"/>
    <w:uiPriority w:val="20"/>
    <w:qFormat/>
    <w:rsid w:val="00311885"/>
    <w:rPr>
      <w:i/>
      <w:iCs/>
    </w:rPr>
  </w:style>
  <w:style w:type="paragraph" w:customStyle="1" w:styleId="BodyText-Numbered">
    <w:name w:val="Body Text - Numbered"/>
    <w:basedOn w:val="BodyText"/>
    <w:rsid w:val="005E1706"/>
    <w:pPr>
      <w:numPr>
        <w:numId w:val="16"/>
      </w:numPr>
      <w:tabs>
        <w:tab w:val="clear" w:pos="397"/>
        <w:tab w:val="left" w:pos="567"/>
      </w:tabs>
      <w:ind w:left="567" w:hanging="567"/>
    </w:pPr>
  </w:style>
  <w:style w:type="paragraph" w:styleId="CommentText">
    <w:name w:val="annotation text"/>
    <w:basedOn w:val="Normal"/>
    <w:link w:val="CommentTextChar"/>
    <w:uiPriority w:val="99"/>
    <w:semiHidden/>
    <w:rsid w:val="00021521"/>
    <w:pPr>
      <w:spacing w:line="240" w:lineRule="auto"/>
    </w:pPr>
    <w:rPr>
      <w:sz w:val="20"/>
      <w:szCs w:val="20"/>
    </w:rPr>
  </w:style>
  <w:style w:type="character" w:customStyle="1" w:styleId="CommentTextChar">
    <w:name w:val="Comment Text Char"/>
    <w:basedOn w:val="DefaultParagraphFont"/>
    <w:link w:val="CommentText"/>
    <w:uiPriority w:val="99"/>
    <w:semiHidden/>
    <w:rsid w:val="00021521"/>
    <w:rPr>
      <w:rFonts w:ascii="Calibri" w:eastAsiaTheme="minorEastAsia" w:hAnsi="Calibri"/>
      <w:sz w:val="20"/>
      <w:szCs w:val="20"/>
      <w:lang w:eastAsia="en-NZ"/>
    </w:rPr>
  </w:style>
  <w:style w:type="paragraph" w:customStyle="1" w:styleId="BodyText-Numberedsub">
    <w:name w:val="Body Text - Numbered sub"/>
    <w:basedOn w:val="BodyText"/>
    <w:qFormat/>
    <w:rsid w:val="006E1202"/>
    <w:pPr>
      <w:spacing w:before="0"/>
      <w:ind w:left="794" w:hanging="794"/>
    </w:pPr>
  </w:style>
  <w:style w:type="paragraph" w:styleId="TOCHeading">
    <w:name w:val="TOC Heading"/>
    <w:basedOn w:val="Heading1"/>
    <w:next w:val="Normal"/>
    <w:uiPriority w:val="39"/>
    <w:unhideWhenUsed/>
    <w:qFormat/>
    <w:rsid w:val="00492C68"/>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customStyle="1" w:styleId="Subbullets">
    <w:name w:val="Subbullets"/>
    <w:basedOn w:val="Bullet"/>
    <w:link w:val="SubbulletsChar"/>
    <w:qFormat/>
    <w:rsid w:val="00857B90"/>
    <w:pPr>
      <w:numPr>
        <w:ilvl w:val="2"/>
        <w:numId w:val="20"/>
      </w:numPr>
      <w:ind w:left="993" w:hanging="426"/>
    </w:pPr>
  </w:style>
  <w:style w:type="character" w:customStyle="1" w:styleId="SubbulletsChar">
    <w:name w:val="Subbullets Char"/>
    <w:basedOn w:val="BulletChar"/>
    <w:link w:val="Subbullets"/>
    <w:rsid w:val="00857B90"/>
    <w:rPr>
      <w:rFonts w:ascii="Calibri" w:eastAsia="Times New Roman" w:hAnsi="Calibri" w:cs="Times New Roman"/>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97802054">
      <w:bodyDiv w:val="1"/>
      <w:marLeft w:val="0"/>
      <w:marRight w:val="0"/>
      <w:marTop w:val="0"/>
      <w:marBottom w:val="0"/>
      <w:divBdr>
        <w:top w:val="none" w:sz="0" w:space="0" w:color="auto"/>
        <w:left w:val="none" w:sz="0" w:space="0" w:color="auto"/>
        <w:bottom w:val="none" w:sz="0" w:space="0" w:color="auto"/>
        <w:right w:val="none" w:sz="0" w:space="0" w:color="auto"/>
      </w:divBdr>
    </w:div>
    <w:div w:id="202277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mfe.govt.nz/sites/default/files/media/Climate%20Change/Climate-related-financial-disclosures-discussion-document.pdf" TargetMode="External"/><Relationship Id="rId26" Type="http://schemas.openxmlformats.org/officeDocument/2006/relationships/hyperlink" Target="https://static1.squarespace.com/static/5bb6cb19c2ff61422a0d7b17/t/5dd3b114d0279f0fb06e00f3/1574154539204/1013241_Sustainable+Finance+Report_FINAL_NEW+%28002%29.pdf" TargetMode="External"/><Relationship Id="rId3" Type="http://schemas.openxmlformats.org/officeDocument/2006/relationships/styles" Target="styles.xml"/><Relationship Id="rId21" Type="http://schemas.openxmlformats.org/officeDocument/2006/relationships/hyperlink" Target="https://www.chapmantripp.com/Publication%20PDFs/Chapman%20Tripp%20Aotearoa%20Circle%20Climate%20Change%20Risk%20Legal%20Opinion.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chapmantripp.com/Publication%20PDFs/Chapman%20Tripp%20Aotearoa%20Circle%20Climate%20Change%20Risk%20Legal%20Opinion.pd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legislation.govt.nz/act/public/1993/0105/latest/DLM321105.html"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legislation.govt.nz/act/public/1993/0105/latest/DLM320899.html" TargetMode="External"/><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sb-tcfd.org/wp-content/uploads/2017/06/FINAL-2017-TCFD-Report-11052018.pdf" TargetMode="External"/><Relationship Id="rId2" Type="http://schemas.openxmlformats.org/officeDocument/2006/relationships/hyperlink" Target="https://www.unpri.org/pri/an-introduction-to-responsible-investment/what-are-the-principles-for-responsible-investment" TargetMode="External"/><Relationship Id="rId1" Type="http://schemas.openxmlformats.org/officeDocument/2006/relationships/hyperlink" Target="https://www.productivity.govt.nz/assets/Documents/4e01d69a83/Productivity-Commission_Low-emissions-economy_Final-Report.pdf" TargetMode="External"/><Relationship Id="rId4" Type="http://schemas.openxmlformats.org/officeDocument/2006/relationships/hyperlink" Target="https://static1.squarespace.com/static/5bb6cb19c2ff61422a0d7b17/t/5dd3b114d0279f0fb06e00f3/1574154539204/1013241_Sustainable+Finance+Report_FINAL_NEW+%28002%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feprodfps01\webbc$\Copy%20of%20Breakdown%20of%20industry%20responder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mfeprodfps01\webbc$\Submission%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Breakdown of industry responders.xlsx]Sheet3!PivotTable5</c:name>
    <c:fmtId val="-1"/>
  </c:pivotSource>
  <c:chart>
    <c:autoTitleDeleted val="1"/>
    <c:pivotFmts>
      <c:pivotFmt>
        <c:idx val="0"/>
        <c:dLbl>
          <c:idx val="0"/>
          <c:delete val="1"/>
          <c:extLst>
            <c:ext xmlns:c15="http://schemas.microsoft.com/office/drawing/2012/chart" uri="{CE6537A1-D6FC-4f65-9D91-7224C49458BB}"/>
          </c:extLst>
        </c:dLbl>
      </c:pivotFmt>
      <c:pivotFmt>
        <c:idx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12700">
              <a:solidFill>
                <a:schemeClr val="lt2"/>
              </a:solidFill>
              <a:round/>
            </a:ln>
            <a:effectLst/>
          </c:spPr>
        </c:marker>
      </c:pivotFmt>
      <c:pivotFmt>
        <c:idx val="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marker>
          <c:symbol val="none"/>
        </c:marker>
      </c:pivotFmt>
      <c:pivotFmt>
        <c:idx val="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marker>
          <c:symbol val="none"/>
        </c:marker>
      </c:pivotFmt>
    </c:pivotFmts>
    <c:plotArea>
      <c:layout/>
      <c:barChart>
        <c:barDir val="col"/>
        <c:grouping val="clustered"/>
        <c:varyColors val="0"/>
        <c:ser>
          <c:idx val="0"/>
          <c:order val="0"/>
          <c:tx>
            <c:strRef>
              <c:f>Sheet3!$B$3</c:f>
              <c:strCache>
                <c:ptCount val="1"/>
                <c:pt idx="0">
                  <c:v>Total</c:v>
                </c:pt>
              </c:strCache>
            </c:strRef>
          </c:tx>
          <c:spPr>
            <a:solidFill>
              <a:schemeClr val="accent6"/>
            </a:solidFill>
            <a:ln>
              <a:noFill/>
            </a:ln>
            <a:effectLst/>
          </c:spPr>
          <c:invertIfNegative val="0"/>
          <c:cat>
            <c:strRef>
              <c:f>Sheet3!$A$4:$A$12</c:f>
              <c:strCache>
                <c:ptCount val="9"/>
                <c:pt idx="0">
                  <c:v>Energy </c:v>
                </c:pt>
                <c:pt idx="1">
                  <c:v>Consultancy</c:v>
                </c:pt>
                <c:pt idx="2">
                  <c:v>Other</c:v>
                </c:pt>
                <c:pt idx="3">
                  <c:v>Asset manager</c:v>
                </c:pt>
                <c:pt idx="4">
                  <c:v>Agriculture</c:v>
                </c:pt>
                <c:pt idx="5">
                  <c:v>Bank</c:v>
                </c:pt>
                <c:pt idx="6">
                  <c:v>Heavy industry</c:v>
                </c:pt>
                <c:pt idx="7">
                  <c:v>Insurance </c:v>
                </c:pt>
                <c:pt idx="8">
                  <c:v>Asset owner</c:v>
                </c:pt>
              </c:strCache>
            </c:strRef>
          </c:cat>
          <c:val>
            <c:numRef>
              <c:f>Sheet3!$B$4:$B$12</c:f>
              <c:numCache>
                <c:formatCode>General</c:formatCode>
                <c:ptCount val="9"/>
                <c:pt idx="0">
                  <c:v>6</c:v>
                </c:pt>
                <c:pt idx="1">
                  <c:v>6</c:v>
                </c:pt>
                <c:pt idx="2">
                  <c:v>5</c:v>
                </c:pt>
                <c:pt idx="3">
                  <c:v>5</c:v>
                </c:pt>
                <c:pt idx="4">
                  <c:v>4</c:v>
                </c:pt>
                <c:pt idx="5">
                  <c:v>4</c:v>
                </c:pt>
                <c:pt idx="6">
                  <c:v>3</c:v>
                </c:pt>
                <c:pt idx="7">
                  <c:v>2</c:v>
                </c:pt>
                <c:pt idx="8">
                  <c:v>1</c:v>
                </c:pt>
              </c:numCache>
            </c:numRef>
          </c:val>
          <c:extLst>
            <c:ext xmlns:c16="http://schemas.microsoft.com/office/drawing/2014/chart" uri="{C3380CC4-5D6E-409C-BE32-E72D297353CC}">
              <c16:uniqueId val="{00000000-F2BA-42DA-AA75-1AD0341E6FC3}"/>
            </c:ext>
          </c:extLst>
        </c:ser>
        <c:dLbls>
          <c:showLegendKey val="0"/>
          <c:showVal val="0"/>
          <c:showCatName val="0"/>
          <c:showSerName val="0"/>
          <c:showPercent val="0"/>
          <c:showBubbleSize val="0"/>
        </c:dLbls>
        <c:gapWidth val="199"/>
        <c:axId val="246645120"/>
        <c:axId val="246646656"/>
      </c:barChart>
      <c:catAx>
        <c:axId val="2466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46646656"/>
        <c:crosses val="autoZero"/>
        <c:auto val="1"/>
        <c:lblAlgn val="ctr"/>
        <c:lblOffset val="100"/>
        <c:noMultiLvlLbl val="0"/>
      </c:catAx>
      <c:valAx>
        <c:axId val="246646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45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Sheet3!$E$2</c:f>
              <c:strCache>
                <c:ptCount val="1"/>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06F-460C-A2CF-E7459F4FB9A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06F-460C-A2CF-E7459F4FB9A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06F-460C-A2CF-E7459F4FB9A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06F-460C-A2CF-E7459F4FB9A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06F-460C-A2CF-E7459F4FB9A9}"/>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406F-460C-A2CF-E7459F4FB9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Sheet3!$D$3:$D$8</c:f>
              <c:strCache>
                <c:ptCount val="6"/>
                <c:pt idx="0">
                  <c:v>Support (51%)</c:v>
                </c:pt>
                <c:pt idx="1">
                  <c:v>Largely support (26%)</c:v>
                </c:pt>
                <c:pt idx="2">
                  <c:v>Mixed (9%)</c:v>
                </c:pt>
                <c:pt idx="3">
                  <c:v>Largely oppose (5%)</c:v>
                </c:pt>
                <c:pt idx="4">
                  <c:v>Oppose (5%)</c:v>
                </c:pt>
                <c:pt idx="5">
                  <c:v>Unclear / Not stated (4%)</c:v>
                </c:pt>
              </c:strCache>
            </c:strRef>
          </c:cat>
          <c:val>
            <c:numRef>
              <c:f>Sheet3!$E$3:$E$8</c:f>
              <c:numCache>
                <c:formatCode>0%</c:formatCode>
                <c:ptCount val="6"/>
                <c:pt idx="0">
                  <c:v>0.51</c:v>
                </c:pt>
                <c:pt idx="1">
                  <c:v>0.26</c:v>
                </c:pt>
                <c:pt idx="2">
                  <c:v>9.3333333333333338E-2</c:v>
                </c:pt>
                <c:pt idx="3">
                  <c:v>5.3333333333333337E-2</c:v>
                </c:pt>
                <c:pt idx="4">
                  <c:v>0.05</c:v>
                </c:pt>
                <c:pt idx="5">
                  <c:v>0.04</c:v>
                </c:pt>
              </c:numCache>
            </c:numRef>
          </c:val>
          <c:extLst>
            <c:ext xmlns:c16="http://schemas.microsoft.com/office/drawing/2014/chart" uri="{C3380CC4-5D6E-409C-BE32-E72D297353CC}">
              <c16:uniqueId val="{0000000C-406F-460C-A2CF-E7459F4FB9A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E65C1-9036-496C-B9A2-2DB6BD13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34</TotalTime>
  <Pages>46</Pages>
  <Words>14907</Words>
  <Characters>84974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Dee Warring</cp:lastModifiedBy>
  <cp:revision>6</cp:revision>
  <cp:lastPrinted>2020-02-18T00:18:00Z</cp:lastPrinted>
  <dcterms:created xsi:type="dcterms:W3CDTF">2020-05-04T03:35:00Z</dcterms:created>
  <dcterms:modified xsi:type="dcterms:W3CDTF">2020-05-04T05:03:00Z</dcterms:modified>
</cp:coreProperties>
</file>